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57" w:rsidRPr="003941F1" w:rsidRDefault="006A0F57" w:rsidP="006A0F57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Ղ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Կ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Վ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6A0F57" w:rsidRPr="003941F1" w:rsidRDefault="006A0F57" w:rsidP="006A0F57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  <w:lang w:val="hy-AM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ՀԱՅԱՍՏԱՆԻ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ՀԱՆՐԱՊԵՏՈՒԹՅԱՆ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201</w:t>
      </w:r>
      <w:r w:rsidR="006157E3">
        <w:rPr>
          <w:rFonts w:ascii="GHEA Grapalat" w:hAnsi="GHEA Grapalat" w:cs="Calibri"/>
          <w:b/>
          <w:i/>
          <w:sz w:val="22"/>
          <w:szCs w:val="22"/>
        </w:rPr>
        <w:t>7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ԱՌԱՋԻՆ ԵՌԱՄՍՅԱԿԻ</w:t>
      </w:r>
    </w:p>
    <w:p w:rsidR="006A0F57" w:rsidRPr="003941F1" w:rsidRDefault="006A0F57" w:rsidP="006A0F57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  <w:lang w:val="hy-AM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ԲՅՈՒՋԵԻ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ԿԱՏԱՐՄԱՆ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ԸՆԹԱՑՔԻ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ՎԵՐԱԲԵՐՅԱԼ</w:t>
      </w:r>
    </w:p>
    <w:p w:rsidR="006A0F57" w:rsidRPr="003941F1" w:rsidRDefault="006A0F57" w:rsidP="006A0F57">
      <w:pPr>
        <w:spacing w:line="480" w:lineRule="auto"/>
        <w:ind w:right="-187" w:firstLine="561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6A0F57" w:rsidRPr="003941F1" w:rsidRDefault="006A0F57" w:rsidP="006A0F57">
      <w:pPr>
        <w:spacing w:line="480" w:lineRule="auto"/>
        <w:ind w:left="561" w:right="-187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ՀՀ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ՍՈՑԻԱԼ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>-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ՏՆՏԵՍԱԿԱՆ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ԻՐԱՎԻՃԱԿԸ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2017 թվականի առաջին եռամսյակի տվյալների ամփոփումը ցույց տվեց, որ տնտեսության զարգացումն ընթանում է նախորդ տարվա համեմատ ավելի արագ տեմպերով` պայմանավորված հիմնականում ծառայությունների և արդյունաբերության աճերով: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Տարեսկզբից արտաքին հատվածը բնութագրող ցուցանիշների բարելավումը շարունակվել է. գրանցվել են արտաքին ապրանքաշրջանառության և արտահանման բարձր աճի տեմպեր: 2017 թվականի առաջին եռամսյակի ընթացքում պահպանվել է գնանկումային միջավայրը: Պետական բյուջեի ընդհանուր եկամուտներն աճել են 7.9%-ով, իսկ ծախսերը` 2.1%-ով: Հարկաբյուջետային քաղաքականությունը 2017 թվականի առաջին եռամսյակի արդյունքներով ամբողջական պահանջարկի վրա ունեցել է զսպող ազդեցություն: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0101A2" w:rsidRDefault="00ED649F" w:rsidP="009A7209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0101A2">
        <w:rPr>
          <w:rFonts w:ascii="GHEA Grapalat" w:hAnsi="GHEA Grapalat" w:cs="Sylfaen"/>
          <w:b/>
          <w:i/>
          <w:sz w:val="22"/>
          <w:szCs w:val="22"/>
          <w:lang w:val="hy-AM"/>
        </w:rPr>
        <w:t>Համախառն առաջարկ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հունվար-մարտին տնտեսական ակտիվությունն արագացել է նախորդ տարվա նույն ժամանակահատվածի համեմատությամբ: Նախորդ տարվա նույն ժամանակահատվածի նկատմամբ գրանցվել է տնտեսական ակտիվության իրական արտահայտությամբ 6.6% աճ, որը գերազանցում է նախորդ տարվա ցուցանիշը 0.5 տոկոսային կետով: Տնտեսական ակտիվությանը դրական նպաստում են ունեցել ծառայությունների (5.5 տոկոսային կետ) և արդյունաբերության (2.8 տոկոսային կետ) ճյուղերի աճերը: Շինարարության և գյուղատնտեսության ազդեցությունը տնտեսական ակտիվության</w:t>
      </w:r>
      <w:r w:rsidR="005F34F3" w:rsidRPr="000101A2">
        <w:rPr>
          <w:rFonts w:ascii="GHEA Grapalat" w:hAnsi="GHEA Grapalat" w:cs="GHEA Grapalat"/>
          <w:sz w:val="22"/>
          <w:szCs w:val="22"/>
          <w:lang w:val="hy-AM"/>
        </w:rPr>
        <w:t xml:space="preserve"> վրա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եղել է բացասական` համապատասխանաբար 1.1 և 0.3 տոկոսային կետով: </w:t>
      </w:r>
    </w:p>
    <w:p w:rsidR="009A7209" w:rsidRPr="000101A2" w:rsidRDefault="009A7209" w:rsidP="00C62A8A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9A7209" w:rsidRPr="000101A2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A7209" w:rsidRPr="000101A2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A7209" w:rsidRPr="000101A2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A7209" w:rsidRPr="000101A2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A7209" w:rsidRPr="000101A2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A7209" w:rsidRPr="000101A2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ED649F" w:rsidRPr="00C62A8A" w:rsidRDefault="00ED649F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9A7209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Գծապատկեր 1.</w:t>
      </w:r>
      <w:r w:rsidRPr="00C62A8A">
        <w:rPr>
          <w:rFonts w:ascii="GHEA Grapalat" w:hAnsi="GHEA Grapalat" w:cs="GHEA Grapalat"/>
          <w:sz w:val="22"/>
          <w:szCs w:val="22"/>
          <w:lang w:val="hy-AM"/>
        </w:rPr>
        <w:t xml:space="preserve"> 2016-2017 թվականների հունվար-մարտ ամիսներին տնտեսության ճյուղերի թողարկումների նպաստումները տնտեսական ակտիվության իրական աճին, տոկոսային կետ</w:t>
      </w:r>
    </w:p>
    <w:p w:rsidR="00ED649F" w:rsidRPr="00C62A8A" w:rsidRDefault="00ED649F" w:rsidP="00C62A8A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5A364D" w:rsidRDefault="000E6C77" w:rsidP="0016068D">
      <w:pPr>
        <w:tabs>
          <w:tab w:val="right" w:pos="8640"/>
        </w:tabs>
        <w:spacing w:line="360" w:lineRule="auto"/>
        <w:jc w:val="center"/>
        <w:rPr>
          <w:rFonts w:ascii="GHEA Grapalat" w:hAnsi="GHEA Grapalat" w:cs="Sylfaen"/>
          <w:b/>
          <w:i/>
        </w:rPr>
      </w:pPr>
      <w:r w:rsidRPr="00ED649F">
        <w:rPr>
          <w:rFonts w:ascii="GHEA Grapalat" w:hAnsi="GHEA Grapalat" w:cs="Sylfaen"/>
          <w:b/>
          <w:i/>
          <w:noProof/>
          <w:lang w:val="ru-RU" w:eastAsia="ru-RU"/>
        </w:rPr>
        <w:drawing>
          <wp:inline distT="0" distB="0" distL="0" distR="0">
            <wp:extent cx="2905125" cy="26384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D649F">
        <w:rPr>
          <w:rFonts w:ascii="GHEA Grapalat" w:hAnsi="GHEA Grapalat" w:cs="Sylfaen"/>
          <w:b/>
          <w:i/>
          <w:noProof/>
          <w:lang w:val="ru-RU" w:eastAsia="ru-RU"/>
        </w:rPr>
        <w:drawing>
          <wp:inline distT="0" distB="0" distL="0" distR="0">
            <wp:extent cx="2876550" cy="26289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56D0" w:rsidRDefault="00C256D0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b/>
          <w:sz w:val="22"/>
          <w:szCs w:val="22"/>
        </w:rPr>
      </w:pP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t>Արդյունաբերություն</w:t>
      </w:r>
      <w:r w:rsidRPr="00BC4D7A">
        <w:rPr>
          <w:rFonts w:ascii="GHEA Grapalat" w:hAnsi="GHEA Grapalat" w:cs="GHEA Grapalat"/>
          <w:b/>
          <w:sz w:val="22"/>
          <w:szCs w:val="22"/>
          <w:vertAlign w:val="superscript"/>
          <w:lang w:val="hy-AM"/>
        </w:rPr>
        <w:footnoteReference w:id="1"/>
      </w: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t>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հունվար-մարտին արդյունաբերության ճյուղում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երկնիշ աճ է գրանցվել: Արդյունաբերական արտադրանքի թողարկման ծավալն աճել է 16.2%-ով, ինչը հիմնականում պայմանավորված է եղել մշակող արդյունաբերության 21.4% աճով: Մշակող արդյունաբերության աճին հիմնականում նպաստել են հիմնային մետաղների, խմիչքների, ոսկերչական արտադրատեսակների և սննդամթերքի արտադրության համապատասխանաբար 32.3%, 43.6%, 170% և 8.2% աճերը: Մշակող արդյունաբերության աճը տեղի է ունեցել հիմնականում արտաքին պահանջարկի հաշվին: Արդյունաբերության աճին նշանակալի նպաստում է ունեցել նաև հանքագործական արդյունաբերության և բացահանքերի շահագործման 13.8% աճը, ինչն իր հերթին պայմանավորված է եղել հիմնականում մետաղական հանքաքարի արդյունահանման 13.6% աճով: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«Էլեկտրաէներգիայի, գազի, գոլորշու և լավորակ օդի մատակարարում» և «Ջրամատակարարում, կոյուղի, թափոնների կառավարում և վերմշակում» ենթաճյուղերը արդյունաբերության աճին դրական</w:t>
      </w:r>
      <w:r w:rsidR="00C256D0" w:rsidRPr="000101A2">
        <w:rPr>
          <w:rFonts w:ascii="GHEA Grapalat" w:hAnsi="GHEA Grapalat" w:cs="GHEA Grapalat"/>
          <w:sz w:val="22"/>
          <w:szCs w:val="22"/>
          <w:lang w:val="hy-AM"/>
        </w:rPr>
        <w:t>որեն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են նպաստել` աճելով համապատասխանաբար 6.9%</w:t>
      </w:r>
      <w:r w:rsidR="00642172" w:rsidRPr="000101A2">
        <w:rPr>
          <w:rFonts w:ascii="GHEA Grapalat" w:hAnsi="GHEA Grapalat" w:cs="GHEA Grapalat"/>
          <w:sz w:val="22"/>
          <w:szCs w:val="22"/>
          <w:lang w:val="hy-AM"/>
        </w:rPr>
        <w:t>-ով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և 8.8%-ով: «Էլեկտրաէներգիայի, գազի, գոլորշու և լավորակ օդի մատակարարում» ճյուղի աճը հիմնականում պայմանավորված է եղել «գազի արտադրություն, գազակերպ վառելիքի բաշխում գազամատակարարման համակարգի միջոցով» ենթաճյուղի աճով (26.1%): Էլեկտրաէներգիայի արտադրության աճը հիմնականում ապահովվել է ՋԷԿ-երի կողմից արտադրության ծավալի 38.4% աճի հաշվին, իսկ ՀԷԿ-երի կողմից արտադրված էլեկտրաէներգիան նվազել է 12.7%-ով: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Գյուղատնտեսություն: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հունվար-մարտին գյուղատնտեսության համախառն արտադրանքը նվազել է նախորդ տարվա նույն ժամանակահատվածի նկատմամբ: Գյուղատնտեսության համախառն արտադրանքի 1.6% նվազումը հիմնականում պայմանավորված է եղել բուսաբուծության 44.8% նվազմամբ: Անասնաբուծության աճը (1.3%) հակազդել է գյուղատնտեսության համախառն արտադրանքի նվազմանը: Անասնաբուծության աճը պայմանավորված է եղել մսի և կաթի համապատասխանաբար 3.3% և 0.9% աճերով: Գյուղատնտեսության նվազումն ուղեկցվել է ոլորտում կապիտալ ներդրումների</w:t>
      </w:r>
      <w:r w:rsidRPr="00206281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2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44.5% նվազմամբ: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t>Շինարարություն: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հունվար-մարտին շինարարության ճյուղի նվազման միտումները շարունակվել են: Ճյուղում գրանցվել է 13.6% նվազում, ինչը, ըստ ֆինանսավորման աղբյուրների, պայմանավորված է եղել հիմնականում միջազգային վարկերի (հատկապես Ասիական զարգացման բանկի կողմից տրամադրված) հաշվին իրականացված շինարարության ծավալների նվազմամբ (65.6%): Համեմատաբար մեծ է եղել նաև պետական բյուջեի միջոցների հաշվին իրականացված շինարարության ծավալների նվազման (26.6%) ազդեցությունը: Շինարարության նվազմանը հիմնականում հակազդել է կազմակերպությունների միջոցներով ֆինանսավորվող շինարարության աճը (21.3%): </w:t>
      </w:r>
    </w:p>
    <w:p w:rsidR="00ED649F" w:rsidRPr="000101A2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Ըստ տնտեսական գործունեության տեսակների` շինարարության նվազումը հիմնականում պայմանավորված է եղել տրանսպորտի ոլորտում իրականացված շինարարության նվազմամբ (62.4%): Շինարարութ</w:t>
      </w:r>
      <w:r w:rsidR="00206281" w:rsidRPr="000101A2">
        <w:rPr>
          <w:rFonts w:ascii="GHEA Grapalat" w:hAnsi="GHEA Grapalat" w:cs="GHEA Grapalat"/>
          <w:sz w:val="22"/>
          <w:szCs w:val="22"/>
          <w:lang w:val="hy-AM"/>
        </w:rPr>
        <w:t>յ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ունը նվազել է նաև «առողջապահություն և բնակչության սոցիալական սպասարկում», «մշակող արդյունաբերություն», ինչպես նաև «պետական կառավարում և պաշտպանություն, պարտադիր սոցիալական ապահովություն» ոլորտներում՝ համապատասխանաբար 87.7%</w:t>
      </w:r>
      <w:r w:rsidR="00B778E3" w:rsidRPr="000101A2">
        <w:rPr>
          <w:rFonts w:ascii="GHEA Grapalat" w:hAnsi="GHEA Grapalat" w:cs="GHEA Grapalat"/>
          <w:sz w:val="22"/>
          <w:szCs w:val="22"/>
          <w:lang w:val="hy-AM"/>
        </w:rPr>
        <w:t>-ով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, 72.3%</w:t>
      </w:r>
      <w:r w:rsidR="00B778E3" w:rsidRPr="000101A2">
        <w:rPr>
          <w:rFonts w:ascii="GHEA Grapalat" w:hAnsi="GHEA Grapalat" w:cs="GHEA Grapalat"/>
          <w:sz w:val="22"/>
          <w:szCs w:val="22"/>
          <w:lang w:val="hy-AM"/>
        </w:rPr>
        <w:t>-ով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և 85.6%-ով: Շինարարության նվազմանը հիմնականում հակազդել է անշարժ գույքի հետ կապված գործունեության ոլորտում իրականացված շինարարության աճը (86.9%): Շինարարության նվազումն ուղեկցվել է նաև շինարարության ոլորտում վարկավորման ծավալների նվազմամբ: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t>Ծառայություններ և առևտուր: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հունվար-մարտին ծառայություններն ու առևտուրն աճել են: Ծառայություններն աճել են 10%-ով, ինչը հիմնականում պայմանավորված է եղել «ֆինանսական և ապահովագրական գործունեություն» և «մշակույթ, զվարճություններ և հանգիստ» ոլորտների աճով (համապատասխանաբար` 17.3%</w:t>
      </w:r>
      <w:r w:rsidR="00663060" w:rsidRPr="000101A2">
        <w:rPr>
          <w:rFonts w:ascii="GHEA Grapalat" w:hAnsi="GHEA Grapalat" w:cs="GHEA Grapalat"/>
          <w:sz w:val="22"/>
          <w:szCs w:val="22"/>
          <w:lang w:val="hy-AM"/>
        </w:rPr>
        <w:t>-ով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և 10.7%</w:t>
      </w:r>
      <w:r w:rsidR="00663060" w:rsidRPr="000101A2">
        <w:rPr>
          <w:rFonts w:ascii="GHEA Grapalat" w:hAnsi="GHEA Grapalat" w:cs="GHEA Grapalat"/>
          <w:sz w:val="22"/>
          <w:szCs w:val="22"/>
          <w:lang w:val="hy-AM"/>
        </w:rPr>
        <w:t>-ով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): Ծառայությունների աճին էապես նպաստել են նաև «տրանսպորտ», «տեղեկատվություն և կապ», ինչպես նաև «կացություն և հանրային սննդի կազմակերպում» ոլորտների համապատասխանաբար 9.3%, 5.3% և 19.6% աճերը: Ծառայությունների աճն ուղեկցվել է այդ ոլորտում վարկավորման ծավալների աճով: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>Առևտրի շրջանառությունը նախորդ տարվա նույն ժամանակաշրջանի նկատմամբ աճել է 11.3</w:t>
      </w:r>
      <w:r w:rsidR="00663060">
        <w:rPr>
          <w:rFonts w:ascii="GHEA Grapalat" w:hAnsi="GHEA Grapalat" w:cs="GHEA Grapalat"/>
          <w:sz w:val="22"/>
          <w:szCs w:val="22"/>
          <w:lang w:val="hy-AM"/>
        </w:rPr>
        <w:t>%</w:t>
      </w:r>
      <w:r w:rsidR="00663060" w:rsidRPr="000101A2">
        <w:rPr>
          <w:rFonts w:ascii="GHEA Grapalat" w:hAnsi="GHEA Grapalat" w:cs="GHEA Grapalat"/>
          <w:sz w:val="22"/>
          <w:szCs w:val="22"/>
          <w:lang w:val="hy-AM"/>
        </w:rPr>
        <w:noBreakHyphen/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ով, ինչը հիմնականում պայմանավորված է եղել մեծածախ առևտրի աճով (17%): Առևտրի շրջանառության աճին նշանակալի նպաստում են ունեցել նաև մանրածախ առևտրի և ավտոմեքենաների առևտրի աճերը (համապատասխանաբար` 5.1% և 54.3%): Ընդ որում՝ մանրածախ առևտրի աճը հիմնականում պայմանանավորված է եղել խանութների առևտրաշրջանառության աճով (7.1%): Առևտրի աճն ուղեկցվել է տնօրինվող եկամտի աճով: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t>Տրանսպորտ և կապ: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հունվար-մարտին ընդհանուր օգտագործման տրանսպորտով բեռնափոխադրումների ծավալն</w:t>
      </w:r>
      <w:r w:rsidR="0025043C" w:rsidRPr="000101A2">
        <w:rPr>
          <w:rFonts w:ascii="GHEA Grapalat" w:hAnsi="GHEA Grapalat" w:cs="GHEA Grapalat"/>
          <w:sz w:val="22"/>
          <w:szCs w:val="22"/>
          <w:lang w:val="hy-AM"/>
        </w:rPr>
        <w:t>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աճել, իսկ ուղևորափոխադրումների ծավալը նվազել է: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Ընդհանուր օգտագործման տրանսպորտով բեռնափոխադրումների ծավալն աճել է 88.9%-ով, ինչը պայմանավորված է եղել հիմնականում ավտոմոբիլային տրանսպորտի 2.3 անգամ աճով՝ հիմնականում ներհանրապետական փոխադրումների 2.5 անգամ աճի հաշվին: Բեռնափոխադրումների աճին նշանակալի նպաստում է ունեցել նաև մայրուղային խողովակաշարային տրանսպորտով բեռնափոխադրումների աճը (28.5%): Բեռնափոխադրումների աճին չնչին հակազդել է միայն երկաթուղային տրանսպորտով բեռնափոխադրումների նվազումը` հիմնականում ներհանրապետական փոխադրումների նվազման հաշվին: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Ընդհանուր օգտագործման տրանսպորտով ուղևորափոխադրումների ծավալը նվազել է 6.1%</w:t>
      </w:r>
      <w:r w:rsidR="00F9055F" w:rsidRPr="000101A2">
        <w:rPr>
          <w:rFonts w:ascii="GHEA Grapalat" w:hAnsi="GHEA Grapalat" w:cs="GHEA Grapalat"/>
          <w:sz w:val="22"/>
          <w:szCs w:val="22"/>
          <w:lang w:val="hy-AM"/>
        </w:rPr>
        <w:noBreakHyphen/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ով, ինչը պայմանավորված է եղել հիմնականում ավտոմոբիլային տրանսպորտով ուղևորափոխադրումների 6.6% նվազմամբ: Ուղևորափոխադրումների նվազմանը չնչին հակազդել է օդային տրանսպորտով ուղևորափոխադրումների աճը (23.6%):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Կապի ծառայությունները նախորդ տարվա նույն ժամանակահատվածի համեմատությամբ նվազել են: Կապի ծառայություններից ստացված հասույթը նախորդ տարվա նույն ժամանակաշրջանի նկատմամբ նվազել է 7.9%-ով, ինչը հիմնականում պայմանավորված է հեռահաղորդակցման ծառայությունների 9.1%-ով կրճատմամբ, որը հիմնականում բջջային և լարային հեռախոսային հեռահաղորդակցման ծառայությունների համապատասխանաբար 24.1% և 22.3% նվազման արդյունք է:</w:t>
      </w:r>
    </w:p>
    <w:p w:rsidR="00ED649F" w:rsidRPr="000101A2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895E36">
        <w:rPr>
          <w:rFonts w:ascii="GHEA Grapalat" w:hAnsi="GHEA Grapalat" w:cs="GHEA Grapalat"/>
          <w:b/>
          <w:sz w:val="22"/>
          <w:szCs w:val="22"/>
          <w:lang w:val="hy-AM"/>
        </w:rPr>
        <w:t>Գներ և սակագներ: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եռամսյակի ընթացքում դեռևս պահպանվել է գնանկումային միջավայրը: Միջին գնանկումը կազմել է 0.3%, որին սպառման ապրանքների գները նպաստել են աճի ուղղությամբ (0.8%), իսկ ծառայությունների սակագները (2.5%)` նվազման ուղղությամբ: Սպառման ապրանքներից «Սննդամթերք և ոչ ալկոհոլային խմիչքներ» և «Ալկոհոլային խմիչք, ծխախոտային արտադրատեսակներ» խմբերում արձանագրվել է գնաճ</w:t>
      </w:r>
      <w:r w:rsidR="00F9055F" w:rsidRPr="000101A2">
        <w:rPr>
          <w:rFonts w:ascii="GHEA Grapalat" w:hAnsi="GHEA Grapalat" w:cs="GHEA Grapalat"/>
          <w:sz w:val="22"/>
          <w:szCs w:val="22"/>
          <w:lang w:val="hy-AM"/>
        </w:rPr>
        <w:t>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համապատասխանաբար 2.8% և 1.7%, իսկ «Ոչ պարենային ապրանքներ» խմբում</w:t>
      </w:r>
      <w:r w:rsidR="00F9055F" w:rsidRPr="000101A2">
        <w:rPr>
          <w:rFonts w:ascii="GHEA Grapalat" w:hAnsi="GHEA Grapalat" w:cs="GHEA Grapalat"/>
          <w:sz w:val="22"/>
          <w:szCs w:val="22"/>
          <w:lang w:val="hy-AM"/>
        </w:rPr>
        <w:t>՝ 2.5%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գնանկում</w:t>
      </w:r>
      <w:r w:rsidR="00F9055F" w:rsidRPr="000101A2">
        <w:rPr>
          <w:rFonts w:ascii="GHEA Grapalat" w:hAnsi="GHEA Grapalat" w:cs="GHEA Grapalat"/>
          <w:sz w:val="22"/>
          <w:szCs w:val="22"/>
          <w:lang w:val="hy-AM"/>
        </w:rPr>
        <w:t>:</w:t>
      </w:r>
    </w:p>
    <w:p w:rsidR="00895E36" w:rsidRPr="000101A2" w:rsidRDefault="00895E36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895E36" w:rsidRPr="000101A2" w:rsidRDefault="00ED649F" w:rsidP="00895E36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895E36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Գծապատկեր 2.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Միջին գնաճին նպաստումները 2016-2017թթ. մարտ ամիսներին</w:t>
      </w:r>
    </w:p>
    <w:p w:rsidR="00ED649F" w:rsidRPr="00B82694" w:rsidRDefault="00ED649F" w:rsidP="00895E36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(խոշոր ապրանքախմբերով), տոկոսային կետ</w:t>
      </w:r>
    </w:p>
    <w:p w:rsidR="00D033FA" w:rsidRPr="00EA552A" w:rsidRDefault="000E6C77" w:rsidP="00D033FA">
      <w:pPr>
        <w:tabs>
          <w:tab w:val="left" w:pos="0"/>
          <w:tab w:val="left" w:pos="720"/>
          <w:tab w:val="right" w:pos="8640"/>
        </w:tabs>
        <w:jc w:val="both"/>
        <w:rPr>
          <w:rFonts w:ascii="GHEA Grapalat" w:hAnsi="GHEA Grapalat" w:cs="Sylfaen"/>
          <w:color w:val="000000"/>
          <w:lang w:val="it-IT"/>
        </w:rPr>
      </w:pPr>
      <w:r w:rsidRPr="00D033FA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3181350" cy="25431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033FA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3124200" cy="25431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3CDB" w:rsidRDefault="00C53CDB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</w:rPr>
      </w:pP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206281">
        <w:rPr>
          <w:rFonts w:ascii="GHEA Grapalat" w:hAnsi="GHEA Grapalat" w:cs="GHEA Grapalat"/>
          <w:b/>
          <w:sz w:val="22"/>
          <w:szCs w:val="22"/>
          <w:lang w:val="hy-AM"/>
        </w:rPr>
        <w:t>Աշխատանքի շուկա: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 ամիսներին պաշտոնապես գրանցված գործազուրկների միջին ամսական թվաքանակը նախորդ տարվա նույն ժամանակահատվածի նկատմամբ աճել է 2.7%-ով՝ կազմելով 80709 մարդ: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հունվար-մարտ ամիսներին միջին ամսական անվանական աշխատավարձը նախորդ տարվա նույն ժամանակահատվածում գրանցված ցուցանիշի նկատմամբ աճել է 1.2%-ով` կազմելով 183643 դրամ</w:t>
      </w:r>
      <w:r w:rsidRPr="00AC2267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3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>: Միջին ամսական անվանական աշխատավարձը պետական հատվածում նվազել է 1.2%-ով` կազմելով՝ 155125 դրամ, իսկ ոչ պետականում աճել է 1.9%-ով՝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կազմելով 219613 դրամ: Իրական աշխատավարձը 2016 թվականի նույն ժամանակահատվածի համեմատ աճել է 1.5%-ով: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0101A2" w:rsidRDefault="00ED649F" w:rsidP="000031B4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0101A2">
        <w:rPr>
          <w:rFonts w:ascii="GHEA Grapalat" w:hAnsi="GHEA Grapalat" w:cs="Sylfaen"/>
          <w:b/>
          <w:i/>
          <w:sz w:val="22"/>
          <w:szCs w:val="22"/>
          <w:lang w:val="hy-AM"/>
        </w:rPr>
        <w:t>Համախառն պահանջարկ</w:t>
      </w:r>
      <w:r w:rsidRPr="000031B4">
        <w:rPr>
          <w:rFonts w:ascii="GHEA Grapalat" w:hAnsi="GHEA Grapalat" w:cs="Sylfaen"/>
          <w:i/>
          <w:sz w:val="22"/>
          <w:szCs w:val="22"/>
          <w:vertAlign w:val="superscript"/>
        </w:rPr>
        <w:footnoteReference w:id="4"/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2017 թվականի առաջին եռամսյակում տնտեսական աճն ուղեկցվել է և՛ արտաքին, և՛ ներքին պահանջարկի աճով: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501BF6">
        <w:rPr>
          <w:rFonts w:ascii="GHEA Grapalat" w:hAnsi="GHEA Grapalat" w:cs="GHEA Grapalat"/>
          <w:b/>
          <w:sz w:val="22"/>
          <w:szCs w:val="22"/>
          <w:lang w:val="hy-AM"/>
        </w:rPr>
        <w:t>Սպառում: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եռամսյակում վերջնական սպառումը նախորդ տարվա նույն ժամանակահատվածի նկատմամբ իրական արտահայտությամբ աճել է 2.2%-ով: Ընդ որում, տնօրինվող եկամտի աճի պայմաններում մասնավոր սպառումն աճել է 4%-ով՝ նպաստելով վերջնական սպառման աճին: Պետական սպառումը նույն ժամանակահատվածում նախորդ տարվա համեմատ նվազել է 7.7%-ով: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501BF6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Ներդրումներ: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եռամսյակում կապիտալ ներդրումները նախորդ տարվա նույն ժամանակահատվածի նկատմամբ իրական արտահայտությամբ աճել են շուրջ 2.7</w:t>
      </w:r>
      <w:r w:rsidR="00EC1243">
        <w:rPr>
          <w:rFonts w:ascii="GHEA Grapalat" w:hAnsi="GHEA Grapalat" w:cs="GHEA Grapalat"/>
          <w:sz w:val="22"/>
          <w:szCs w:val="22"/>
          <w:lang w:val="hy-AM"/>
        </w:rPr>
        <w:t>%</w:t>
      </w:r>
      <w:r w:rsidR="00EC1243" w:rsidRPr="000101A2">
        <w:rPr>
          <w:rFonts w:ascii="GHEA Grapalat" w:hAnsi="GHEA Grapalat" w:cs="GHEA Grapalat"/>
          <w:sz w:val="22"/>
          <w:szCs w:val="22"/>
          <w:lang w:val="hy-AM"/>
        </w:rPr>
        <w:noBreakHyphen/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ով` պայմանավորված պետական ներդրումների շուրջ աճով և մասնավոր ներդրումների վերականգնմամբ: Ներդրումներին դրական</w:t>
      </w:r>
      <w:r w:rsidR="00EC1243" w:rsidRPr="000101A2">
        <w:rPr>
          <w:rFonts w:ascii="GHEA Grapalat" w:hAnsi="GHEA Grapalat" w:cs="GHEA Grapalat"/>
          <w:sz w:val="22"/>
          <w:szCs w:val="22"/>
          <w:lang w:val="hy-AM"/>
        </w:rPr>
        <w:t>որեն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է նպաստել անշարժ գույքի հետ կապված գործունեության և հանքագործության ոլորտներում կատարված ներդրումների աճը, բացասա</w:t>
      </w:r>
      <w:r w:rsidR="00EC1243" w:rsidRPr="000101A2">
        <w:rPr>
          <w:rFonts w:ascii="GHEA Grapalat" w:hAnsi="GHEA Grapalat" w:cs="GHEA Grapalat"/>
          <w:sz w:val="22"/>
          <w:szCs w:val="22"/>
          <w:lang w:val="hy-AM"/>
        </w:rPr>
        <w:t>բար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EC1243" w:rsidRPr="000101A2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ազդել տրանսպորտի և մշակող արդյունաբերության ճյուղերում կատարված ներդրումների նվազումը</w:t>
      </w:r>
      <w:r w:rsidRPr="00352625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5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501BF6">
        <w:rPr>
          <w:rFonts w:ascii="GHEA Grapalat" w:hAnsi="GHEA Grapalat" w:cs="GHEA Grapalat"/>
          <w:b/>
          <w:sz w:val="22"/>
          <w:szCs w:val="22"/>
          <w:lang w:val="hy-AM"/>
        </w:rPr>
        <w:t>Զուտ արտահանում: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եռամսյակում ապրանքների և ծառայությունների արտահանման իրական ծավալները նախորդ տարվա նույն ժամանակահատվածի համեմատ աճել են 12.9%-ով, ինչն պայմանավորված է արտաքին պահանջարկի բարելավմամբ: Ապրանքների և ծառայությունների ներմուծումն իրական արտահայտությամբ աճել է 19.2%-ով, ինչը պայմանավորված է եղել տնտեսության աշխուժացմամբ և տնօրինվող եկամտի ծավալների աճով:</w:t>
      </w:r>
    </w:p>
    <w:p w:rsidR="00501BF6" w:rsidRPr="000101A2" w:rsidRDefault="00501BF6" w:rsidP="00ED649F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ED649F" w:rsidRPr="000101A2" w:rsidRDefault="00ED649F" w:rsidP="00501BF6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0101A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Արտաքին հատված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352625">
        <w:rPr>
          <w:rFonts w:ascii="GHEA Grapalat" w:hAnsi="GHEA Grapalat" w:cs="GHEA Grapalat"/>
          <w:b/>
          <w:sz w:val="22"/>
          <w:szCs w:val="22"/>
          <w:lang w:val="hy-AM"/>
        </w:rPr>
        <w:t>Արտաքին առևտուր (դոլարային արտահայտությամբ)</w:t>
      </w:r>
      <w:r w:rsidRPr="00352625">
        <w:rPr>
          <w:rFonts w:ascii="GHEA Grapalat" w:hAnsi="GHEA Grapalat" w:cs="GHEA Grapalat"/>
          <w:b/>
          <w:sz w:val="22"/>
          <w:szCs w:val="22"/>
          <w:vertAlign w:val="superscript"/>
          <w:lang w:val="hy-AM"/>
        </w:rPr>
        <w:footnoteReference w:id="6"/>
      </w:r>
      <w:r w:rsidRPr="00352625">
        <w:rPr>
          <w:rFonts w:ascii="GHEA Grapalat" w:hAnsi="GHEA Grapalat" w:cs="GHEA Grapalat"/>
          <w:b/>
          <w:sz w:val="22"/>
          <w:szCs w:val="22"/>
          <w:lang w:val="hy-AM"/>
        </w:rPr>
        <w:t>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եռամսյակի ընթացքում արտաքին հատվածը բնութագրող ցուցանիշների բարելավումը շարունակվել է. պահպանվել են ապրանքաշրջանառության և արտահանման բարձր աճի տեմպերը, ինչը հիմնականում պայմանավորված է եղել գործընկեր երկրների տնտեսական ակտիվության աճի արդյունքում արտաքին պահանջարկի որոշակի վերականգնմամբ, ինչպես նաև տնօրինվող եկամտի աճի արդյունքում ներքին պահանջարկի աճով: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Արտաքին ապրանքաշրջանառությունը 2017 թվականի առաջին երեք ամիսներին կազմել է 1246.8 մլն ԱՄՆ դոլար` նախորդ տարվա համեմատ աճելով 17.4%-ով: Հաշվետու ժամանակահատվածում արձանագրվել է դոլարային արտահայտությամբ և´ արտահանման, և´ ներմուծման երկնիշ աճ. արտահանումն աճել է 16.5%-ով` կազմելով 443.1 մլն ԱՄՆ դոլար, իսկ ներմուծումը` 17.9%-ով և կազմել 803.7 մլն ԱՄՆ դոլար: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Ներմուծման առաջանցիկ աճով պայմանավորված` ընթացիկ տարվա առաջին եռամսյակում ապրանքների գծով արտաքին առևտրի բացասական մնացորդը կազմել է 360.6 մլն ԱՄՆ դոլար` նախորդ տարվա նկատմամբ աճելով 19.7%-ով:</w:t>
      </w:r>
    </w:p>
    <w:p w:rsidR="00501BF6" w:rsidRPr="000101A2" w:rsidRDefault="00501BF6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501BF6" w:rsidRPr="000101A2" w:rsidRDefault="00501BF6" w:rsidP="00501BF6">
      <w:pPr>
        <w:autoSpaceDE w:val="0"/>
        <w:autoSpaceDN w:val="0"/>
        <w:adjustRightInd w:val="0"/>
        <w:spacing w:line="360" w:lineRule="auto"/>
        <w:ind w:right="-12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0101A2" w:rsidRDefault="00ED649F" w:rsidP="00501BF6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501BF6">
        <w:rPr>
          <w:rFonts w:ascii="GHEA Grapalat" w:hAnsi="GHEA Grapalat" w:cs="GHEA Grapalat"/>
          <w:b/>
          <w:sz w:val="22"/>
          <w:szCs w:val="22"/>
          <w:lang w:val="hy-AM"/>
        </w:rPr>
        <w:t>Գծապատկեր 3.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Առևտրային հաշվեկշռի դինամիկան հունվար-մարտ ամիսներին (մլն ԱՄՆ դոլար)</w:t>
      </w:r>
    </w:p>
    <w:p w:rsidR="00501BF6" w:rsidRPr="000101A2" w:rsidRDefault="00501BF6" w:rsidP="00501BF6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5A364D" w:rsidRDefault="000E6C77" w:rsidP="00ED649F">
      <w:pPr>
        <w:tabs>
          <w:tab w:val="num" w:pos="720"/>
        </w:tabs>
        <w:spacing w:line="360" w:lineRule="auto"/>
        <w:jc w:val="center"/>
        <w:rPr>
          <w:rFonts w:ascii="GHEA Grapalat" w:hAnsi="GHEA Grapalat" w:cs="Sylfaen"/>
        </w:rPr>
      </w:pPr>
      <w:r w:rsidRPr="00ED649F">
        <w:rPr>
          <w:rFonts w:ascii="GHEA Grapalat" w:hAnsi="GHEA Grapalat" w:cs="Sylfaen"/>
          <w:noProof/>
          <w:lang w:val="ru-RU" w:eastAsia="ru-RU"/>
        </w:rPr>
        <w:drawing>
          <wp:inline distT="0" distB="0" distL="0" distR="0">
            <wp:extent cx="6115050" cy="27908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171E" w:rsidRDefault="006A171E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b/>
          <w:sz w:val="22"/>
          <w:szCs w:val="22"/>
        </w:rPr>
      </w:pP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36B92">
        <w:rPr>
          <w:rFonts w:ascii="GHEA Grapalat" w:hAnsi="GHEA Grapalat" w:cs="GHEA Grapalat"/>
          <w:b/>
          <w:sz w:val="22"/>
          <w:szCs w:val="22"/>
          <w:lang w:val="hy-AM"/>
        </w:rPr>
        <w:t>Ներմուծում: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Հաշվետու ժամանակահատվածում բոլոր ապրանքախմբերով արձանագրվել է ներմուծման աճ` հիմնականում պայմանավորված ներքին պահանջարկի որոշակի բարելավմամբ: Դոլարային արտահայտությամբ ներմուծման ծավալների 17.9% աճին դրական նպաստումներ են ունեցել «Թանկարժեք և կիսաթանկարժեք քարեր, թանկարժեք մետաղներ և դրանցից իրեր», «Մանածագործական իրեր», «Քիմիայի և դրա հետ կապված արդյունաբերության ճյուղերի արտադրանք» և «Ոչ թանկարժեք մետաղներ և դրանցից պատրաստված իրեր» ապրանքախմբերը </w:t>
      </w:r>
      <w:r w:rsidR="005E767B">
        <w:rPr>
          <w:rFonts w:ascii="GHEA Grapalat" w:hAnsi="GHEA Grapalat" w:cs="GHEA Grapalat"/>
          <w:sz w:val="22"/>
          <w:szCs w:val="22"/>
          <w:lang w:val="hy-AM"/>
        </w:rPr>
        <w:t>(համապատասխանաբար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4.0, 2.4, 1.7 և 1.2 տոկոսային կետերով): Ներմուծման կառուցվածքում ամենամեծ կշիռ ունեցող «Հանքահումքային արտադրանք» ապրանքախմբի վերջին տարիների բացասական ազդեցության միտումը ընթացիկ տարվա առաջին եռամսյակում փոխարինվել է դրական ազդեցությամբ (0.6 տոկոսային կետ):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առաջին եռամսյակի արդյունքներով ըստ ապրանքների լայն տնտեսական դասակարգման</w:t>
      </w:r>
      <w:r w:rsidRPr="00D36B92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7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ներմուծման աճին հիմնականում նպաստել են «Միջանկյալ սպառման ապրանքները» (13.1 տոկոսային կետով)` վկայելով ներքին տնտեսության աշխուժացման մասին: «Վերջնական սպառման ապրանքներ», «Մարդատար ավտոմեքենաներ» և «Կապիտալ ապրանքներ» խմբերը հակազդել են ներմուծման աճին` համապատասխանաբար 4.7, 0.6 և 0.5 տոկոսային կետերով: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36B92">
        <w:rPr>
          <w:rFonts w:ascii="GHEA Grapalat" w:hAnsi="GHEA Grapalat" w:cs="GHEA Grapalat"/>
          <w:b/>
          <w:sz w:val="22"/>
          <w:szCs w:val="22"/>
          <w:lang w:val="hy-AM"/>
        </w:rPr>
        <w:t>Արտահանում: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եռամսյակում արձանագրվել է արտահանման երկնիշ աճ` հիմնականում պայմանավորված տարածաշրջանային երկրներում պահանջարկի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վերականգնմամբ և տնտեսության մրցունակության որոշակի բարձրացմամբ: Արտահանման 16.5% աճը հիմնականում պայմանավորված է եղել «Պատրաստի սննդի արտադրանք», «Հանքահումքային արտադրանք», «Ոչ թանկարժեք մետաղներ և դրանցից պատրաստված իրեր» և «Մեքենաներ, սարքավորումներ և մեխանիզմներ» ապրանքախմբերի աճերով (համապատասխանաբար 7.4, 5.8, 3.5 և 1.9 տոկոսային կետով): Արտահանման աճը զսպել են հիմնականում «Բուսական ծագման արտադրանք» և «Կենդանի կենդանիներ և կենդանական ծագման արտադրանք» ապրանքախմբերը (համապատասխանաբար 2.1 և 0.9 տոկոսային կետով): Արտահանման մեջ մեծ կշիռ ունեցող «Թանկարժեք և կիսաթանկարժեք քարեր, թանկարժեք մետաղներ և դրանցից իրեր» ապրանքախումբը նույնպես բացասական ազդեցություն է </w:t>
      </w:r>
      <w:r w:rsidR="00686ABA">
        <w:rPr>
          <w:rFonts w:ascii="GHEA Grapalat" w:hAnsi="GHEA Grapalat" w:cs="GHEA Grapalat"/>
          <w:sz w:val="22"/>
          <w:szCs w:val="22"/>
          <w:lang w:val="hy-AM"/>
        </w:rPr>
        <w:t>թողել արտա</w:t>
      </w:r>
      <w:r w:rsidR="00686ABA" w:rsidRPr="000101A2">
        <w:rPr>
          <w:rFonts w:ascii="GHEA Grapalat" w:hAnsi="GHEA Grapalat" w:cs="GHEA Grapalat"/>
          <w:sz w:val="22"/>
          <w:szCs w:val="22"/>
          <w:lang w:val="hy-AM"/>
        </w:rPr>
        <w:t>հ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ա</w:t>
      </w:r>
      <w:r w:rsidR="00686ABA" w:rsidRPr="000101A2">
        <w:rPr>
          <w:rFonts w:ascii="GHEA Grapalat" w:hAnsi="GHEA Grapalat" w:cs="GHEA Grapalat"/>
          <w:sz w:val="22"/>
          <w:szCs w:val="22"/>
          <w:lang w:val="hy-AM"/>
        </w:rPr>
        <w:t>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ման աճի վրա</w:t>
      </w:r>
      <w:r w:rsidRPr="005A0807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8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(0.7 տոկոսային կետով):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36B92">
        <w:rPr>
          <w:rFonts w:ascii="GHEA Grapalat" w:hAnsi="GHEA Grapalat" w:cs="GHEA Grapalat"/>
          <w:b/>
          <w:sz w:val="22"/>
          <w:szCs w:val="22"/>
          <w:lang w:val="hy-AM"/>
        </w:rPr>
        <w:t>Ներմուծման ծածկման գործակից: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Հիմնականում պայմանավորված ներմուծման առաջանցիկ աճով` ներմուծման ծածկման գործակ</w:t>
      </w:r>
      <w:r w:rsidR="005A0807" w:rsidRPr="000101A2">
        <w:rPr>
          <w:rFonts w:ascii="GHEA Grapalat" w:hAnsi="GHEA Grapalat" w:cs="GHEA Grapalat"/>
          <w:sz w:val="22"/>
          <w:szCs w:val="22"/>
          <w:lang w:val="hy-AM"/>
        </w:rPr>
        <w:t>ի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ցը նախորդ տարվա համապատասխան ժամանակահատվածի նկատմամբ փոքր-ինչ կրճատվել է, այնուհանդերձ այն գտնվում է պատմականորեն բարձր մակարդակում. 2017 թվականի առաջին եռամսյակի ընթացքում արտահանման հաշվին ֆինանսավորվել է ներմուծման 64.8%-ը:</w:t>
      </w:r>
    </w:p>
    <w:p w:rsidR="00B93706" w:rsidRPr="000101A2" w:rsidRDefault="00B93706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B82694" w:rsidRDefault="00ED649F" w:rsidP="00B93706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B93706">
        <w:rPr>
          <w:rFonts w:ascii="GHEA Grapalat" w:hAnsi="GHEA Grapalat" w:cs="GHEA Grapalat"/>
          <w:b/>
          <w:sz w:val="22"/>
          <w:szCs w:val="22"/>
          <w:lang w:val="hy-AM"/>
        </w:rPr>
        <w:t>Գծապատկեր 4.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Ներմուծման ծածկման գործակիցը</w:t>
      </w:r>
      <w:r w:rsidRPr="00B93706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9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>, տոկոսներով</w:t>
      </w:r>
    </w:p>
    <w:p w:rsidR="00ED649F" w:rsidRPr="005A364D" w:rsidRDefault="000E6C77" w:rsidP="00ED649F">
      <w:pPr>
        <w:pStyle w:val="33"/>
        <w:jc w:val="center"/>
        <w:rPr>
          <w:rFonts w:ascii="GHEA Grapalat" w:hAnsi="GHEA Grapalat"/>
          <w:i w:val="0"/>
          <w:szCs w:val="22"/>
        </w:rPr>
      </w:pPr>
      <w:r w:rsidRPr="00ED649F">
        <w:rPr>
          <w:rFonts w:ascii="GHEA Grapalat" w:hAnsi="GHEA Grapalat"/>
          <w:i w:val="0"/>
          <w:noProof/>
          <w:szCs w:val="22"/>
          <w:lang w:val="ru-RU" w:eastAsia="ru-RU"/>
        </w:rPr>
        <w:drawing>
          <wp:inline distT="0" distB="0" distL="0" distR="0">
            <wp:extent cx="6105525" cy="3086100"/>
            <wp:effectExtent l="0" t="0" r="0" b="0"/>
            <wp:docPr id="6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93706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Արտաքին առևտուրն ըստ գործընկեր երկրների: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Ընթացիկ տարվա հունվար-մարտին գործընկեր երկրների կազմը և արտաքին առևտրաշրջանառության աշխարհագրական կառուցվածքը գրեթե չեն փոփոխվել: ՀՀ արտաքին առևտրաշրջանառության 31.7%-ը բաժին է ընկել ԱՊՀ (որից 29.6%-ը` ԵԱՏՄ), 22.8%-ը` ԵՄ և 45.4%-ը` այլ երկրներին: ՀՀ արտաքին առևտրաշրջանառության մեջ ԵԱՏՄ երկների կշիռը նախորդ տարվա նկատմամբ աճել է 0.2 տոկոսային կետով, ինչը հիմնականում պայմանավորվել է դեպի այդ երկներ արտահանման շուրջ 38% աճով (հիմնականում՝ Ռուսաստան):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ՀՀ խոշոր առևտրային գործընկ</w:t>
      </w:r>
      <w:r w:rsidR="00F15440">
        <w:rPr>
          <w:rFonts w:ascii="GHEA Grapalat" w:hAnsi="GHEA Grapalat" w:cs="GHEA Grapalat"/>
          <w:sz w:val="22"/>
          <w:szCs w:val="22"/>
          <w:lang w:val="hy-AM"/>
        </w:rPr>
        <w:t>երների շրջանակում ընդգրկված էին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ԱՊՀ երկրներից՝ Ռուսաստանը (առևտրաշրջանառության 28.9%</w:t>
      </w:r>
      <w:r w:rsidR="00A50CDA" w:rsidRPr="000101A2">
        <w:rPr>
          <w:rFonts w:ascii="GHEA Grapalat" w:hAnsi="GHEA Grapalat" w:cs="GHEA Grapalat"/>
          <w:sz w:val="22"/>
          <w:szCs w:val="22"/>
          <w:lang w:val="hy-AM"/>
        </w:rPr>
        <w:t>-ը՝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նախորդ տարվա 28.8%-ի դիմաց</w:t>
      </w:r>
      <w:r w:rsidR="00A50CDA">
        <w:rPr>
          <w:rFonts w:ascii="GHEA Grapalat" w:hAnsi="GHEA Grapalat" w:cs="GHEA Grapalat"/>
          <w:sz w:val="22"/>
          <w:szCs w:val="22"/>
          <w:lang w:val="hy-AM"/>
        </w:rPr>
        <w:t>) և Ուկրաինան (համապատասխանաբար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1.9% և 2.0%), իսկ ԵՄ և </w:t>
      </w:r>
      <w:r w:rsidR="00A50CDA" w:rsidRPr="000101A2">
        <w:rPr>
          <w:rFonts w:ascii="GHEA Grapalat" w:hAnsi="GHEA Grapalat" w:cs="GHEA Grapalat"/>
          <w:sz w:val="22"/>
          <w:szCs w:val="22"/>
          <w:lang w:val="hy-AM"/>
        </w:rPr>
        <w:t>ա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յլ երկրներից՝ Չինաստանը (9.4% և 8.9%), Շվեյցարիան (6.6% և 1.0%), Գերմանիան (5.2% և 6.7%), Բուլղարիան (5.0% և 4.6%), Իրանը (3.8% և 5.2%), Վրաստանը (3.8% և 4.8%), Թուրքիան (3.6% և 2.3%), Արաբական Միացյալ Էմիրությունները (3.5% և 1.5%), Իտալիան (2.8% և 2.6%) և ԱՄՆ-ն (2.6% և 2.7%): Հանրապետության թվով 38 հիմնական գործընկեր երկրները մեծամասամբ (մոտ 90%</w:t>
      </w:r>
      <w:r w:rsidR="00E754EB" w:rsidRPr="000101A2">
        <w:rPr>
          <w:rFonts w:ascii="GHEA Grapalat" w:hAnsi="GHEA Grapalat" w:cs="GHEA Grapalat"/>
          <w:sz w:val="22"/>
          <w:szCs w:val="22"/>
          <w:lang w:val="hy-AM"/>
        </w:rPr>
        <w:t>-ը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) հանդիսանում են ԱՀԿ անդամ պետություններ: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93706">
        <w:rPr>
          <w:rFonts w:ascii="GHEA Grapalat" w:hAnsi="GHEA Grapalat" w:cs="GHEA Grapalat"/>
          <w:b/>
          <w:sz w:val="22"/>
          <w:szCs w:val="22"/>
          <w:lang w:val="hy-AM"/>
        </w:rPr>
        <w:t>Երկկողմանի փոխարժեք: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ՀՀ դրամը ԱՄՆ դոլարի նկատմամբ դրսևորել է հարաբերական</w:t>
      </w:r>
      <w:r w:rsidR="00E754EB" w:rsidRPr="000101A2">
        <w:rPr>
          <w:rFonts w:ascii="GHEA Grapalat" w:hAnsi="GHEA Grapalat" w:cs="GHEA Grapalat"/>
          <w:sz w:val="22"/>
          <w:szCs w:val="22"/>
          <w:lang w:val="hy-AM"/>
        </w:rPr>
        <w:t>որեն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կայուն վարքագիծ: 2017 թվականի առաջին եռամսյակին միջին փոխարժեքը կազմել է 485.8 դրամ մեկ ԱՄՆ դոլարի դիմաց՝ նախորդ տարվա համապատասխան ժամանակահատվածի միջին փոխարժեքի (488.7) նկատմամբ արժևորվելով 0.6%-ով: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2017 թվականի առաջին եռամսյակում նկատվել է </w:t>
      </w:r>
      <w:r w:rsidR="00420C93" w:rsidRPr="000101A2">
        <w:rPr>
          <w:rFonts w:ascii="GHEA Grapalat" w:hAnsi="GHEA Grapalat" w:cs="GHEA Grapalat"/>
          <w:sz w:val="22"/>
          <w:szCs w:val="22"/>
          <w:lang w:val="hy-AM"/>
        </w:rPr>
        <w:t>ե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վրոյի դիմաց ՀՀ դրամի փոխարժեքի արժևորման տեմպի արագացման միտում. նախորդ տարվա նույն ժամանակահատվածի համեմատությամբ հունվար-մարտ ամիսներին միջին արժեքով ՀՀ դրամը </w:t>
      </w:r>
      <w:r w:rsidR="00420C93" w:rsidRPr="000101A2">
        <w:rPr>
          <w:rFonts w:ascii="GHEA Grapalat" w:hAnsi="GHEA Grapalat" w:cs="GHEA Grapalat"/>
          <w:sz w:val="22"/>
          <w:szCs w:val="22"/>
          <w:lang w:val="hy-AM"/>
        </w:rPr>
        <w:t>ե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վրոյի նկատմամբ արժևորվել է 4.0%-ով: Իսկ ՌԴ ռուբլու նկատմամբ նշված ժամանակահատվածում ՀՀ դրամը դրսևորել է արժեզրկման տեմպի դանդաղման միտում. ընթացիկ տարվա հունվար-մարտ ամիսներին ՀՀ դրամի միջին փոխարժեքը ՌԴ ռուբլու նկատմամբ նախորդ տարվա նույն ժամանակահատվածի համեմատությամբ արժեզրկվել է 21.2%-ով (2016թ. </w:t>
      </w:r>
      <w:r w:rsidR="00FC4A5C" w:rsidRPr="000101A2">
        <w:rPr>
          <w:rFonts w:ascii="GHEA Grapalat" w:hAnsi="GHEA Grapalat" w:cs="GHEA Grapalat"/>
          <w:sz w:val="22"/>
          <w:szCs w:val="22"/>
          <w:lang w:val="hy-AM"/>
        </w:rPr>
        <w:t>առաջ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ին եռամսյակում ՀՀ դրամի միջին փոխարժեքը ՌԴ ռուբլու նկատմամբ արժևորվել էր 16.5%-ով):</w:t>
      </w:r>
    </w:p>
    <w:p w:rsidR="00501BF6" w:rsidRPr="000101A2" w:rsidRDefault="00501BF6" w:rsidP="00ED649F">
      <w:pPr>
        <w:spacing w:line="360" w:lineRule="auto"/>
        <w:ind w:firstLine="540"/>
        <w:jc w:val="both"/>
        <w:rPr>
          <w:rFonts w:ascii="GHEA Grapalat" w:hAnsi="GHEA Grapalat" w:cs="Arial LatArm"/>
          <w:b/>
          <w:lang w:val="hy-AM"/>
        </w:rPr>
      </w:pPr>
    </w:p>
    <w:p w:rsidR="00ED649F" w:rsidRPr="000101A2" w:rsidRDefault="00ED649F" w:rsidP="00FE253F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0101A2">
        <w:rPr>
          <w:rFonts w:ascii="GHEA Grapalat" w:hAnsi="GHEA Grapalat" w:cs="Sylfaen"/>
          <w:b/>
          <w:i/>
          <w:sz w:val="22"/>
          <w:szCs w:val="22"/>
          <w:lang w:val="hy-AM"/>
        </w:rPr>
        <w:t>Դրամավարկային հատված և ֆինանսական շուկա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մարտին փողի բազան ընդլայնվել է ՀՀ ԿԲ զուտ արտաքին ակտիվների համալրման հաշվին, ինչը զուգորդվել է զուտ ներքին ակտիվերի նվազմամբ: 2017 թվականի մարտին փողի բազան կազմել է շուրջ 970.5 մլրդ դրամ` նախորդ տարվա նույն ամսվա նկատմամբ աճելով 14.2%-ով: Ընդ որում, զուտ արտաքին ակտիվներն աճել են 38%-ով, իսկ զուտ ներքին ակտիվները նվազել են 10.1%-ով: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>Փողի բազայի աճին հիմնականում նպաստել են ՀՀ ԿԲ-ում արտարժութային թղթակցային հաշիվները և ԿԲ-ից դուրս կանխիկը: Այսպես, փողի բազայում ԿԲ-ից դուրս կանխիկն աճել է 24.1%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noBreakHyphen/>
        <w:t>ով (նպաստումը փողի բազայի աճին կազմել է 9.9 տոկոսային կետ), իսկ պարտադիր պահուստները դրամով նվազել են 4.2%-ով և արտարժույթով՝ աճել 25.7%-ով (նպաստումը փողի բազայի աճին կազմել է համապատասխանաբար -1.7 և 4.9 տոկոսային կետ):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Փողի զանգվածի աճը արագացման միտում է ցուցաբերել: 2017 թվականի առաջին եռամսյակի վերջին փողի զանգվածը նախորդ տարվա նույն ժամանակահատվածի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նկատմամբ աճել է 18.7%-ով</w:t>
      </w:r>
      <w:r w:rsidR="00C808E1" w:rsidRPr="000101A2">
        <w:rPr>
          <w:rFonts w:ascii="GHEA Grapalat" w:hAnsi="GHEA Grapalat" w:cs="GHEA Grapalat"/>
          <w:sz w:val="22"/>
          <w:szCs w:val="22"/>
          <w:lang w:val="hy-AM"/>
        </w:rPr>
        <w:t>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նախորդ տարվա 16.9%-ի համեմատ</w:t>
      </w:r>
      <w:r w:rsidR="00C808E1" w:rsidRPr="000101A2">
        <w:rPr>
          <w:rFonts w:ascii="GHEA Grapalat" w:hAnsi="GHEA Grapalat" w:cs="GHEA Grapalat"/>
          <w:sz w:val="22"/>
          <w:szCs w:val="22"/>
          <w:lang w:val="hy-AM"/>
        </w:rPr>
        <w:t>,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և կազմել 2221.9 մլրդ դրամ: Ընդ որում, զուտ արտաքին ակտիվների աճը կազմել է 41.6%, իսկ զուտ ներքին ակտիվներինը` 10.4%: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Փողի զանգվածի աճը պայմանավորվել է հիմնականում դրամային ավանդների աճով: Փողի զանգվածի աճին բանկային համակարգից դուրս կանխիկը նպաստել է 4.4 տոկոսային կետով, իսկ դրամային և արտարժույթով ավանդները՝ համապատասխանաբար 8.8 և 5.5 տոկոսային կետով: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B82694" w:rsidRDefault="00ED649F" w:rsidP="007F64F7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6B03A0">
        <w:rPr>
          <w:rFonts w:ascii="GHEA Grapalat" w:hAnsi="GHEA Grapalat" w:cs="GHEA Grapalat"/>
          <w:b/>
          <w:sz w:val="22"/>
          <w:szCs w:val="22"/>
          <w:lang w:val="hy-AM"/>
        </w:rPr>
        <w:t>Գծապատկեր 5.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մարտին փողի բազայի և փողի զանգվածի աճին նպաստումները, տոկոսային կետ</w:t>
      </w:r>
    </w:p>
    <w:p w:rsidR="00ED649F" w:rsidRPr="000101A2" w:rsidRDefault="00ED649F" w:rsidP="00ED649F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D649F" w:rsidRPr="00EA552A" w:rsidRDefault="000E6C77" w:rsidP="006B03A0">
      <w:pPr>
        <w:jc w:val="both"/>
        <w:rPr>
          <w:rFonts w:ascii="GHEA Grapalat" w:hAnsi="GHEA Grapalat" w:cs="Sylfaen"/>
        </w:rPr>
      </w:pPr>
      <w:r w:rsidRPr="00ED649F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3200400" cy="3314700"/>
            <wp:effectExtent l="0" t="0" r="0" b="0"/>
            <wp:docPr id="7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ED649F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2981325" cy="3314700"/>
            <wp:effectExtent l="0" t="0" r="0" b="0"/>
            <wp:docPr id="8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49F" w:rsidRPr="00EA552A" w:rsidRDefault="00ED649F" w:rsidP="00ED649F">
      <w:pPr>
        <w:spacing w:line="360" w:lineRule="auto"/>
        <w:ind w:firstLine="540"/>
        <w:jc w:val="both"/>
        <w:rPr>
          <w:rFonts w:ascii="GHEA Grapalat" w:hAnsi="GHEA Grapalat" w:cs="Sylfaen"/>
        </w:rPr>
      </w:pP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մարտին դոլարայնացման մակարդակը նվազել է`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ի տարբերություն 201</w:t>
      </w:r>
      <w:r w:rsidR="00043CDF">
        <w:rPr>
          <w:rFonts w:ascii="GHEA Grapalat" w:hAnsi="GHEA Grapalat" w:cs="GHEA Grapalat"/>
          <w:sz w:val="22"/>
          <w:szCs w:val="22"/>
          <w:lang w:val="hy-AM"/>
        </w:rPr>
        <w:t>6 թվականի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նույն ժամանակահատվածում արձանագրված աճի: Ռեզիդենտների արտարժութային ավանդներ/փողի զանգված հարաբերակցությունը նվազել է 4.0 տոկոսային կետով՝ կազմելով 50.7%: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>2017 թվականի մարտին ավանդների ծավալների աճն արագացել է նախորդ տարվա նույն ժամանակահատվածի համեմատ: Առևտրային բանկերի կողմից ռեզիդենտներից և ոչ ռեզիդենտներից ներգրավված ավանդներն աճել են 19.8%-ով, որին 13.1 տոկոսային կետով նպաստել է դրամային ավանդների, 6.7 տոկոսային կետով` արտարժութային ավանդների աճը: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մարտին վարկերի ծավալներն աճել են նախորդ տարվա նույն ժամանակահատվածի համեմատ: Առևտրային բանկերի կողմից ռեզիդենտներին և ոչ ռեզիդենտներին տրամադրված վարկերի ծավալների աճը կազմել է 13.1%</w:t>
      </w:r>
      <w:r w:rsidRPr="00A569EB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10"/>
      </w:r>
      <w:r w:rsidR="00D57F48" w:rsidRPr="000101A2">
        <w:rPr>
          <w:rFonts w:ascii="GHEA Grapalat" w:hAnsi="GHEA Grapalat" w:cs="GHEA Grapalat"/>
          <w:sz w:val="22"/>
          <w:szCs w:val="22"/>
          <w:lang w:val="hy-AM"/>
        </w:rPr>
        <w:t>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2016 թվականի 3.5%-ի համեմատ (վարկավորման ընդհանուր կառուցվածքում գերակշռում են արտարժույթով վարկերը՝ 62.2%): Վարկերի աճին 9.1 տոկոսային կետով նպաստել է դրամային վարկերի և 3.9 տոկոսային կետով՝ արտարժութային վարկերի աճը: Վարկերի աճին հիմնականում դրականորեն </w:t>
      </w:r>
      <w:r w:rsidR="00AE68FF" w:rsidRPr="000101A2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նպաստել արդյունաբերության, սպասարկման ոլորտի և սպառողական վարկերի աճը, իսկ շինարարության, տրանսպորտի և կապի, առևտրի ոլորտ</w:t>
      </w:r>
      <w:r w:rsidR="00AE68FF" w:rsidRPr="000101A2">
        <w:rPr>
          <w:rFonts w:ascii="GHEA Grapalat" w:hAnsi="GHEA Grapalat" w:cs="GHEA Grapalat"/>
          <w:sz w:val="22"/>
          <w:szCs w:val="22"/>
          <w:lang w:val="hy-AM"/>
        </w:rPr>
        <w:t>ներ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ին տրամադրված վարկերը նվազել են` բացասաբար նպաստելով վարկերի աճին: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7F64F7" w:rsidRPr="000101A2" w:rsidRDefault="00ED649F" w:rsidP="007F64F7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7F64F7">
        <w:rPr>
          <w:rFonts w:ascii="GHEA Grapalat" w:hAnsi="GHEA Grapalat" w:cs="GHEA Grapalat"/>
          <w:b/>
          <w:sz w:val="22"/>
          <w:szCs w:val="22"/>
          <w:lang w:val="hy-AM"/>
        </w:rPr>
        <w:t>Գծապատկեր 6.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Վարկերի և ավանդների ծավալների ամսական աճերը </w:t>
      </w:r>
      <w:r w:rsidR="007F64F7">
        <w:rPr>
          <w:rFonts w:ascii="GHEA Grapalat" w:hAnsi="GHEA Grapalat" w:cs="GHEA Grapalat"/>
          <w:sz w:val="22"/>
          <w:szCs w:val="22"/>
          <w:lang w:val="hy-AM"/>
        </w:rPr>
        <w:t>2016-2017թթ.</w:t>
      </w:r>
    </w:p>
    <w:p w:rsidR="00ED649F" w:rsidRPr="00B82694" w:rsidRDefault="00ED649F" w:rsidP="007F64F7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(նախորդ տարվա նույն ժամանակահատվածի նկատմամբ, %)</w:t>
      </w:r>
    </w:p>
    <w:p w:rsidR="00ED649F" w:rsidRPr="008D10EC" w:rsidRDefault="000E6C77" w:rsidP="00ED649F">
      <w:pPr>
        <w:tabs>
          <w:tab w:val="left" w:pos="-180"/>
          <w:tab w:val="left" w:pos="540"/>
        </w:tabs>
        <w:spacing w:line="360" w:lineRule="auto"/>
        <w:jc w:val="both"/>
        <w:rPr>
          <w:rFonts w:ascii="GHEA Grapalat" w:eastAsia="Calibri" w:hAnsi="GHEA Grapalat"/>
        </w:rPr>
      </w:pPr>
      <w:r w:rsidRPr="00ED649F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3152775" cy="299085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700609">
        <w:rPr>
          <w:noProof/>
          <w:lang w:val="ru-RU" w:eastAsia="ru-RU"/>
        </w:rPr>
        <w:drawing>
          <wp:inline distT="0" distB="0" distL="0" distR="0">
            <wp:extent cx="3209925" cy="299085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569EB">
        <w:rPr>
          <w:rFonts w:ascii="GHEA Grapalat" w:hAnsi="GHEA Grapalat" w:cs="GHEA Grapalat"/>
          <w:b/>
          <w:sz w:val="22"/>
          <w:szCs w:val="22"/>
          <w:lang w:val="hy-AM"/>
        </w:rPr>
        <w:t>Տոկոսադրույքներ: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Ֆինանսական շուկայում արտարժույթով և դրամով մինչև 1 տարի ժամկետով </w:t>
      </w:r>
      <w:r w:rsidR="004A6FBF" w:rsidRPr="00B82694">
        <w:rPr>
          <w:rFonts w:ascii="GHEA Grapalat" w:hAnsi="GHEA Grapalat" w:cs="GHEA Grapalat"/>
          <w:sz w:val="22"/>
          <w:szCs w:val="22"/>
          <w:lang w:val="hy-AM"/>
        </w:rPr>
        <w:t xml:space="preserve">միջին կշռված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տոկոսադրույքների միջև սպրեդը 201</w:t>
      </w:r>
      <w:r w:rsidR="004A6FBF">
        <w:rPr>
          <w:rFonts w:ascii="GHEA Grapalat" w:hAnsi="GHEA Grapalat" w:cs="GHEA Grapalat"/>
          <w:sz w:val="22"/>
          <w:szCs w:val="22"/>
          <w:lang w:val="hy-AM"/>
        </w:rPr>
        <w:t>7 թվականի հունվար-մարտին աճել է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` կազմելով շուրջ 5.3 տոկոսային կետ: Ընդ որում</w:t>
      </w:r>
      <w:r w:rsidR="004A6FBF">
        <w:rPr>
          <w:rFonts w:ascii="GHEA Grapalat" w:hAnsi="GHEA Grapalat" w:cs="GHEA Grapalat"/>
          <w:sz w:val="22"/>
          <w:szCs w:val="22"/>
        </w:rPr>
        <w:t>,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դրամով վարկերի և ավանդների միջև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>տոկոսադրուքների սպրեդն աճել է 1.3 տոկոսային կետով` կազմելով 7.6, իսկ արտարժույթով սպրեդ</w:t>
      </w:r>
      <w:r w:rsidR="004A6FBF">
        <w:rPr>
          <w:rFonts w:ascii="GHEA Grapalat" w:hAnsi="GHEA Grapalat" w:cs="GHEA Grapalat"/>
          <w:sz w:val="22"/>
          <w:szCs w:val="22"/>
        </w:rPr>
        <w:t>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աճել է 1.</w:t>
      </w:r>
      <w:r w:rsidR="004A6FBF">
        <w:rPr>
          <w:rFonts w:ascii="GHEA Grapalat" w:hAnsi="GHEA Grapalat" w:cs="GHEA Grapalat"/>
          <w:sz w:val="22"/>
          <w:szCs w:val="22"/>
          <w:lang w:val="hy-AM"/>
        </w:rPr>
        <w:t>2 տոկոսային կետով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` կազմելով 3.9 տոկոսային կետ: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Ավանդների և վարկերի տոկոսադրույքները նվազման միտումներ են դրսևորել: 2017 թվականի հունվար-մարտին ՀՀ դրամային ավանդների (մինչև մեկ տարի ժամկետով) միջին եռամսյակային տոկոսադրույքը կազմել</w:t>
      </w:r>
      <w:r w:rsidR="008371B8" w:rsidRPr="000101A2">
        <w:rPr>
          <w:rFonts w:ascii="GHEA Grapalat" w:hAnsi="GHEA Grapalat" w:cs="GHEA Grapalat"/>
          <w:sz w:val="22"/>
          <w:szCs w:val="22"/>
          <w:lang w:val="hy-AM"/>
        </w:rPr>
        <w:t xml:space="preserve"> է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9.2%՝ նախորդ տարվա համեմատ նվազելով 2.9 տոկոսային կետով: ՀՀ դրամով վարկավորման (մինչև մեկ տարի ժամկետով) միջին տարեկան տոկոսադրույքը կազմել է 16.5%՝ նվազելով 1.7 տոկոսային կետով: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Արտարժույթով ավանդների (մինչև մեկ տարի ժամկետով) միջին տարեկան տոկոսադրույքը 2017 թվականի հունվար-մարտին կազմել է 4.4%՝ նախորդ տարվա համեմատ նվազելով 1.6 տոկոսային կետով: Արտարժույթով վարկավորման (մինչև մեկ տարի ժամկետով) միջին տարեկան տոկոսադրույքը կազմել է 8.3%՝ նվազելով 0.4 տոկոսային կետով: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2F17C3">
        <w:rPr>
          <w:rFonts w:ascii="GHEA Grapalat" w:hAnsi="GHEA Grapalat" w:cs="GHEA Grapalat"/>
          <w:b/>
          <w:sz w:val="22"/>
          <w:szCs w:val="22"/>
          <w:lang w:val="hy-AM"/>
        </w:rPr>
        <w:t>ՀՀ պետական պարտատոմսերի շուկա: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ՀՀ պետական պարտատոմսերի շուկայում նկատվել է ՊՊ տեղաբաշխման միջին կշռված եկամտաբերության նվազում: Նվազումը պայմանավորված է եղել ՀՀ ԿԲ-ի վերաֆինասավորման տոկոսադրույքի նվազմամբ, ինչպես նաև ընդհանուր առմամբ ֆինանսական շուկայի տոկոսադրույքների նվազման միտումներով: 2017 թվականի առաջին եռամսյակի ընթացքում ՀՀ պետական պարտատոմսերի շուկայում նկատվել է տեղաբաշխման միջին կշռված եկամտաբերության նվազում (շուրջ 2.7 տոկոսային կետով): Այսպես, եթե 2016 թվականի առաջին եռամսյակի ընթացքում տեղաբաշխված պետական պարտատոմսերի միջին կշռված եկամտաբերությունը կազմել է</w:t>
      </w:r>
      <w:r w:rsidR="009212CF" w:rsidRPr="000101A2">
        <w:rPr>
          <w:rFonts w:ascii="GHEA Grapalat" w:hAnsi="GHEA Grapalat" w:cs="GHEA Grapalat"/>
          <w:sz w:val="22"/>
          <w:szCs w:val="22"/>
          <w:lang w:val="hy-AM"/>
        </w:rPr>
        <w:t>ր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13.9%, ապա 2017 թվականի նույն ժամանակահատվածում այն կազմել է 11.2%: Նույն ժամանակահատվածում տեղաբաշխված պետական պարտատոմսերի ծավալը կազմել է </w:t>
      </w:r>
      <w:r w:rsidR="0035201F" w:rsidRPr="0035201F">
        <w:rPr>
          <w:rFonts w:ascii="GHEA Grapalat" w:hAnsi="GHEA Grapalat" w:cs="GHEA Grapalat"/>
          <w:sz w:val="22"/>
          <w:szCs w:val="22"/>
          <w:lang w:val="hy-AM"/>
        </w:rPr>
        <w:t>49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մլրդ դրամ՝ </w:t>
      </w:r>
      <w:r w:rsidRPr="0035201F">
        <w:rPr>
          <w:rFonts w:ascii="GHEA Grapalat" w:hAnsi="GHEA Grapalat" w:cs="GHEA Grapalat"/>
          <w:sz w:val="22"/>
          <w:szCs w:val="22"/>
          <w:lang w:val="hy-AM"/>
        </w:rPr>
        <w:t>201</w:t>
      </w:r>
      <w:r w:rsidR="008F2061" w:rsidRPr="0035201F">
        <w:rPr>
          <w:rFonts w:ascii="GHEA Grapalat" w:hAnsi="GHEA Grapalat" w:cs="GHEA Grapalat"/>
          <w:sz w:val="22"/>
          <w:szCs w:val="22"/>
          <w:lang w:val="hy-AM"/>
        </w:rPr>
        <w:t>6</w:t>
      </w:r>
      <w:r w:rsidRPr="0035201F">
        <w:rPr>
          <w:rFonts w:ascii="GHEA Grapalat" w:hAnsi="GHEA Grapalat" w:cs="GHEA Grapalat"/>
          <w:sz w:val="22"/>
          <w:szCs w:val="22"/>
          <w:lang w:val="hy-AM"/>
        </w:rPr>
        <w:t xml:space="preserve"> թվականի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առաջին եռամսյակի </w:t>
      </w:r>
      <w:r w:rsidR="0035201F" w:rsidRPr="000101A2">
        <w:rPr>
          <w:rFonts w:ascii="GHEA Grapalat" w:hAnsi="GHEA Grapalat" w:cs="GHEA Grapalat"/>
          <w:sz w:val="22"/>
          <w:szCs w:val="22"/>
          <w:lang w:val="hy-AM"/>
        </w:rPr>
        <w:t>29.8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մլրդ դրամի դիմաց, իսկ տեղաբաշխման միջին կշռված ժամկետայնությունը` 3796 օր, 2016 թվականի նույն ժամանակահատվածի 1104-ի համեմատ: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հունվար-մարտին պետական (շուկայական) պարտատոմսերի նկատմամբ պահանջարկը գերազանցել է թողարկման ցուցանիշը 2.56 անգամ (2016 թվականի առաջին եռամսյակում՝ 2.3 անգամ), իսկ տեղաբաշխում/թողարկում հարաբերակցության միջին մեծությունը կազմել է 1.0 (2016 թվականի առաջին</w:t>
      </w:r>
      <w:r w:rsidR="000B20BF">
        <w:rPr>
          <w:rFonts w:ascii="GHEA Grapalat" w:hAnsi="GHEA Grapalat" w:cs="GHEA Grapalat"/>
          <w:sz w:val="22"/>
          <w:szCs w:val="22"/>
          <w:lang w:val="hy-AM"/>
        </w:rPr>
        <w:t xml:space="preserve"> եռամսյակում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` 1.0):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ՀՀ եվրապարտատոմսերի երկրորդային շուկայում ևս նկատվել է եկամտաբերության նվազում: Միջազգային կապիտալի շուկայում 2013 թվականին 6.25% եկամտաբերությամբ թողարկված պետական արտարժութային պարտատոմսերի եկամտաբերությունը 2017 թվականի առաջին եռամսյակի վերջի դրությամբ կազմել է 4.45%՝ 2016 թվականի նույն ժամանակահատվածում արձանագրված 6.19%-ի դիմաց: Իսկ 2015 թվականին 7.5% եկամտաբերությամբ թողարկված պետական արտարժութային պարտատոմսերի եկամտաբերությունը 2017 թվականի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առաջին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եռամսյակի վերջի դրությամբ կազմել է 5.98%՝ 2016 թվականի նույն ժամանակահատվածում արձանագրված 7.31%-ի դիմաց: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0101A2" w:rsidRDefault="00ED649F" w:rsidP="00B93706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0101A2">
        <w:rPr>
          <w:rFonts w:ascii="GHEA Grapalat" w:hAnsi="GHEA Grapalat" w:cs="Sylfaen"/>
          <w:b/>
          <w:i/>
          <w:sz w:val="22"/>
          <w:szCs w:val="22"/>
          <w:lang w:val="hy-AM"/>
        </w:rPr>
        <w:t>Հարկաբյուջետային հատված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Հարկաբյուջետային կայունության անհրաժեշտությամբ պայմանավորված</w:t>
      </w:r>
      <w:r w:rsidR="000B20BF" w:rsidRPr="000101A2">
        <w:rPr>
          <w:rFonts w:ascii="GHEA Grapalat" w:hAnsi="GHEA Grapalat" w:cs="GHEA Grapalat"/>
          <w:sz w:val="22"/>
          <w:szCs w:val="22"/>
          <w:lang w:val="hy-AM"/>
        </w:rPr>
        <w:t>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նախանշվել և իրականացվել է զսպող հարկաբյուջետային քաղաքականություն: 2017 թվականի առաջին եռամսյակի արդյունքներով ՀՀ պետական բյուջեի ընդհանուր եկամուտները կազմել են 270.3</w:t>
      </w:r>
      <w:r w:rsidR="00A569EB">
        <w:rPr>
          <w:rFonts w:ascii="GHEA Grapalat" w:hAnsi="GHEA Grapalat" w:cs="GHEA Grapalat"/>
          <w:sz w:val="22"/>
          <w:szCs w:val="22"/>
          <w:lang w:val="hy-AM"/>
        </w:rPr>
        <w:t xml:space="preserve"> մլրդ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դրամ՝ նախորդ տարվա նույն ժամանակահատվածի համեմատ աճելով 7.9%-ով, իսկ հարկեր և տուրքերը կազմել են 255.5</w:t>
      </w:r>
      <w:r w:rsidR="00A569EB">
        <w:rPr>
          <w:rFonts w:ascii="GHEA Grapalat" w:hAnsi="GHEA Grapalat" w:cs="GHEA Grapalat"/>
          <w:sz w:val="22"/>
          <w:szCs w:val="22"/>
          <w:lang w:val="hy-AM"/>
        </w:rPr>
        <w:t xml:space="preserve"> մլրդ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դրամ նախորդ տարվա նույն ժամանակահատվածի համեմատ աճելով` 10.6</w:t>
      </w:r>
      <w:r w:rsidR="00F36150" w:rsidRPr="000101A2">
        <w:rPr>
          <w:rFonts w:ascii="GHEA Grapalat" w:hAnsi="GHEA Grapalat" w:cs="GHEA Grapalat"/>
          <w:sz w:val="22"/>
          <w:szCs w:val="22"/>
          <w:lang w:val="hy-AM"/>
        </w:rPr>
        <w:t>%-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ով: Ընդ որում, հարկեր և տուրքերի աճին հիմնականում նպաստել </w:t>
      </w:r>
      <w:r w:rsidR="00F36150" w:rsidRPr="000101A2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ավելացված արժեքի հարկի, բնապահպանական և բնօգտագործման վճարների </w:t>
      </w:r>
      <w:r w:rsidR="00F36150" w:rsidRPr="000101A2">
        <w:rPr>
          <w:rFonts w:ascii="GHEA Grapalat" w:hAnsi="GHEA Grapalat" w:cs="GHEA Grapalat"/>
          <w:sz w:val="22"/>
          <w:szCs w:val="22"/>
          <w:lang w:val="hy-AM"/>
        </w:rPr>
        <w:t>ու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եկամտային հարկի </w:t>
      </w:r>
      <w:r w:rsidR="00F36150">
        <w:rPr>
          <w:rFonts w:ascii="GHEA Grapalat" w:hAnsi="GHEA Grapalat" w:cs="GHEA Grapalat"/>
          <w:sz w:val="22"/>
          <w:szCs w:val="22"/>
          <w:lang w:val="hy-AM"/>
        </w:rPr>
        <w:t>աճ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ը, իսկ շահութահարկը և պետական տուրքը փոքր բացասական նպաստում են ունեցել: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Հարկերի և տուրքերի աճին դրական</w:t>
      </w:r>
      <w:r w:rsidR="00F8359C" w:rsidRPr="000101A2">
        <w:rPr>
          <w:rFonts w:ascii="GHEA Grapalat" w:hAnsi="GHEA Grapalat" w:cs="GHEA Grapalat"/>
          <w:sz w:val="22"/>
          <w:szCs w:val="22"/>
          <w:lang w:val="hy-AM"/>
        </w:rPr>
        <w:t>որեն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են նպաստել և´ ներքին տնտեսությունից հավաքագրված հարկերը, և´ ներմուծման հարկերը: Այսպես, ներքին տնտեսությունից հավաքագրված հարկերը 5.9 տոկոսային կետով դրական</w:t>
      </w:r>
      <w:r w:rsidR="00F8359C" w:rsidRPr="000101A2">
        <w:rPr>
          <w:rFonts w:ascii="GHEA Grapalat" w:hAnsi="GHEA Grapalat" w:cs="GHEA Grapalat"/>
          <w:sz w:val="22"/>
          <w:szCs w:val="22"/>
          <w:lang w:val="hy-AM"/>
        </w:rPr>
        <w:t xml:space="preserve"> նպաստում են ունեց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ել հարկերի և տուրքերի աճին՝ աճելով 8.3%-ով, իսկ ներմուծման հարկերը (ներառյալ մաքսատուրքը) նպաստել են 4.7 տոկոսային կետով՝ աճելով 16.4%-ով: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0101A2" w:rsidRDefault="00ED649F" w:rsidP="00A569EB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A569EB">
        <w:rPr>
          <w:rFonts w:ascii="GHEA Grapalat" w:hAnsi="GHEA Grapalat" w:cs="GHEA Grapalat"/>
          <w:b/>
          <w:sz w:val="22"/>
          <w:szCs w:val="22"/>
          <w:lang w:val="hy-AM"/>
        </w:rPr>
        <w:t>Գծապատկեր 7.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Հարկերի և տուրքերի աճի նպաստումներն ըստ տնտեսության առանձին</w:t>
      </w:r>
    </w:p>
    <w:p w:rsidR="00ED649F" w:rsidRPr="000101A2" w:rsidRDefault="000E6C77" w:rsidP="0048462D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351155</wp:posOffset>
            </wp:positionV>
            <wp:extent cx="3310255" cy="2365375"/>
            <wp:effectExtent l="0" t="0" r="6350" b="1905"/>
            <wp:wrapSquare wrapText="bothSides"/>
            <wp:docPr id="15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694">
        <w:rPr>
          <w:rFonts w:ascii="GHEA Grapalat" w:hAnsi="GHEA Grapalat" w:cs="GHEA Grapalat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351155</wp:posOffset>
            </wp:positionV>
            <wp:extent cx="3315970" cy="2365375"/>
            <wp:effectExtent l="1270" t="0" r="0" b="1905"/>
            <wp:wrapSquare wrapText="bothSides"/>
            <wp:docPr id="1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49F" w:rsidRPr="00B82694">
        <w:rPr>
          <w:rFonts w:ascii="GHEA Grapalat" w:hAnsi="GHEA Grapalat" w:cs="GHEA Grapalat"/>
          <w:sz w:val="22"/>
          <w:szCs w:val="22"/>
          <w:lang w:val="hy-AM"/>
        </w:rPr>
        <w:t>հատվածների 2016-2017թթ. առաջին եռամսյակների ընթացքում</w:t>
      </w:r>
    </w:p>
    <w:p w:rsidR="00ED649F" w:rsidRPr="00F570F2" w:rsidRDefault="00ED649F" w:rsidP="00F570F2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2017 թվականի առաջին եռամսյակի արդյունքներով պետական բյուջեի ծախսերի աճին </w:t>
      </w:r>
      <w:r w:rsidRPr="007C2CF1">
        <w:rPr>
          <w:rFonts w:ascii="GHEA Grapalat" w:hAnsi="GHEA Grapalat" w:cs="GHEA Grapalat"/>
          <w:sz w:val="22"/>
          <w:szCs w:val="22"/>
          <w:lang w:val="hy-AM"/>
        </w:rPr>
        <w:t>հիմնականում նպաստել են կապիտալ ծախսերը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>: Այսպես, ծախսերը կազմել են 289.5 մլրդ դրամ՝ նախորդ տարվա նույն ժամանակահատվածի համեմատ աճելով 2.1%-ով: Ընդ որում, ընթաց</w:t>
      </w:r>
      <w:r w:rsidR="00BB7D73">
        <w:rPr>
          <w:rFonts w:ascii="GHEA Grapalat" w:hAnsi="GHEA Grapalat" w:cs="GHEA Grapalat"/>
          <w:sz w:val="22"/>
          <w:szCs w:val="22"/>
          <w:lang w:val="hy-AM"/>
        </w:rPr>
        <w:t>իկ ծախսերը կազմել են 276.1 մլրդ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 դրամ` նախորդ տարվա նույն ժամանակահատվածի համեմատ 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lastRenderedPageBreak/>
        <w:t>աճելով` 0.1%-ով, իսկ ոչ ֆինանսական ակտիվների գծով ծախսերը կազմել են 13.5 մլրդ դրամ` նախորդ տարվա նույն ժամանակահատվածի համեմատ աճելով 24.0%-ով: Ընթացիկ ծախսերի աճին հիմնականում նպաստել են սոցիալական նպաստները և կենսաթոշակները, իսկ սուբսիդիաներին և ապրանքների ու ծառայությունների ձեռքբերմանն ուղղվող ծախսերը բացասական նպաստ</w:t>
      </w:r>
      <w:r w:rsidR="00DA2611" w:rsidRPr="000101A2">
        <w:rPr>
          <w:rFonts w:ascii="GHEA Grapalat" w:hAnsi="GHEA Grapalat" w:cs="GHEA Grapalat"/>
          <w:sz w:val="22"/>
          <w:szCs w:val="22"/>
          <w:lang w:val="hy-AM"/>
        </w:rPr>
        <w:t>ում են ունեցել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>:</w:t>
      </w:r>
    </w:p>
    <w:p w:rsidR="00ED649F" w:rsidRPr="000101A2" w:rsidRDefault="00ED649F" w:rsidP="00F570F2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F570F2">
        <w:rPr>
          <w:rFonts w:ascii="GHEA Grapalat" w:hAnsi="GHEA Grapalat" w:cs="GHEA Grapalat"/>
          <w:sz w:val="22"/>
          <w:szCs w:val="22"/>
          <w:lang w:val="hy-AM"/>
        </w:rPr>
        <w:t>Արդյունքում պետական բյուջեի պակասուրդը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>նվազել է 42%-ով: Այսպես 2017 թվականի առաջին եռամսյակում այն կազմել է 19.2 մլրդ դրամ</w:t>
      </w:r>
      <w:r w:rsidR="002D0E9D" w:rsidRPr="000101A2">
        <w:rPr>
          <w:rFonts w:ascii="GHEA Grapalat" w:hAnsi="GHEA Grapalat" w:cs="GHEA Grapalat"/>
          <w:sz w:val="22"/>
          <w:szCs w:val="22"/>
          <w:lang w:val="hy-AM"/>
        </w:rPr>
        <w:t>՝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 նախորդ տարվա նույն ժամանակահատվածում ձևավորված 33.2 մլրդ</w:t>
      </w:r>
      <w:r w:rsidR="0052097A">
        <w:rPr>
          <w:rFonts w:ascii="GHEA Grapalat" w:hAnsi="GHEA Grapalat" w:cs="GHEA Grapalat"/>
          <w:sz w:val="22"/>
          <w:szCs w:val="22"/>
          <w:lang w:val="hy-AM"/>
        </w:rPr>
        <w:t xml:space="preserve"> դրամի համեմատ:</w:t>
      </w:r>
    </w:p>
    <w:p w:rsidR="00ED649F" w:rsidRPr="00F570F2" w:rsidRDefault="00ED649F" w:rsidP="00F570F2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52097A">
        <w:rPr>
          <w:rFonts w:ascii="GHEA Grapalat" w:hAnsi="GHEA Grapalat" w:cs="GHEA Grapalat"/>
          <w:b/>
          <w:sz w:val="22"/>
          <w:szCs w:val="22"/>
          <w:lang w:val="hy-AM"/>
        </w:rPr>
        <w:t>Հարկաբյուջետային ազդակը: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 Համախառն պահանջարկի վրա հարկաբյուջետային քաղաքականություն</w:t>
      </w:r>
      <w:r w:rsidR="002D0E9D">
        <w:rPr>
          <w:rFonts w:ascii="GHEA Grapalat" w:hAnsi="GHEA Grapalat" w:cs="GHEA Grapalat"/>
          <w:sz w:val="22"/>
          <w:szCs w:val="22"/>
          <w:lang w:val="hy-AM"/>
        </w:rPr>
        <w:t>ը 2017 թվականի առաջին եռամսյակ</w:t>
      </w:r>
      <w:r w:rsidR="002D0E9D" w:rsidRPr="000101A2">
        <w:rPr>
          <w:rFonts w:ascii="GHEA Grapalat" w:hAnsi="GHEA Grapalat" w:cs="GHEA Grapalat"/>
          <w:sz w:val="22"/>
          <w:szCs w:val="22"/>
          <w:lang w:val="hy-AM"/>
        </w:rPr>
        <w:t>ում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 նախորդ տարվա նույն ժամանակահատվածի նկատմամբ ունեցել է 2.4 զսպող հարկաբյուջետային ազդեցություն` պայմանավորված և´ եկամուտների (1.0), և´ ծախսերի (1.4) զսպող ազդեցություններով: </w:t>
      </w:r>
    </w:p>
    <w:p w:rsidR="00ED649F" w:rsidRPr="00F570F2" w:rsidRDefault="00ED649F" w:rsidP="00F570F2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F570F2" w:rsidRDefault="00ED649F" w:rsidP="00BB7D73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BB7D73">
        <w:rPr>
          <w:rFonts w:ascii="GHEA Grapalat" w:hAnsi="GHEA Grapalat" w:cs="GHEA Grapalat"/>
          <w:b/>
          <w:sz w:val="22"/>
          <w:szCs w:val="22"/>
          <w:lang w:val="hy-AM"/>
        </w:rPr>
        <w:t>Գծապատկեր 8.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 Հարկաբյուջետային ազդակը 2013 թվականից եռամսյակային կտրվածքով</w:t>
      </w:r>
    </w:p>
    <w:p w:rsidR="002775D3" w:rsidRPr="000C5639" w:rsidRDefault="000E6C77" w:rsidP="00AD7976">
      <w:pPr>
        <w:jc w:val="center"/>
        <w:rPr>
          <w:rFonts w:ascii="GHEA Grapalat" w:hAnsi="GHEA Grapalat"/>
          <w:sz w:val="22"/>
          <w:szCs w:val="22"/>
          <w:lang w:val="hy-AM"/>
        </w:rPr>
      </w:pPr>
      <w:bookmarkStart w:id="0" w:name="_GoBack"/>
      <w:r w:rsidRPr="00ED649F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5934075" cy="2886075"/>
            <wp:effectExtent l="0" t="0" r="0" b="0"/>
            <wp:docPr id="11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sectPr w:rsidR="002775D3" w:rsidRPr="000C5639" w:rsidSect="009C41C6">
      <w:footerReference w:type="default" r:id="rId21"/>
      <w:pgSz w:w="11907" w:h="16840" w:code="9"/>
      <w:pgMar w:top="1134" w:right="567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48" w:rsidRDefault="006A4F48">
      <w:r>
        <w:separator/>
      </w:r>
    </w:p>
  </w:endnote>
  <w:endnote w:type="continuationSeparator" w:id="0">
    <w:p w:rsidR="006A4F48" w:rsidRDefault="006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39" w:rsidRPr="003106DC" w:rsidRDefault="000C5639">
    <w:pPr>
      <w:pStyle w:val="a5"/>
      <w:jc w:val="right"/>
      <w:rPr>
        <w:rFonts w:ascii="GHEA Grapalat" w:hAnsi="GHEA Grapalat"/>
        <w:sz w:val="22"/>
        <w:szCs w:val="22"/>
      </w:rPr>
    </w:pPr>
    <w:r w:rsidRPr="003106DC">
      <w:rPr>
        <w:rFonts w:ascii="GHEA Grapalat" w:hAnsi="GHEA Grapalat"/>
        <w:sz w:val="22"/>
        <w:szCs w:val="22"/>
      </w:rPr>
      <w:fldChar w:fldCharType="begin"/>
    </w:r>
    <w:r w:rsidRPr="003106DC">
      <w:rPr>
        <w:rFonts w:ascii="GHEA Grapalat" w:hAnsi="GHEA Grapalat"/>
        <w:sz w:val="22"/>
        <w:szCs w:val="22"/>
      </w:rPr>
      <w:instrText xml:space="preserve"> PAGE   \* MERGEFORMAT </w:instrText>
    </w:r>
    <w:r w:rsidRPr="003106DC">
      <w:rPr>
        <w:rFonts w:ascii="GHEA Grapalat" w:hAnsi="GHEA Grapalat"/>
        <w:sz w:val="22"/>
        <w:szCs w:val="22"/>
      </w:rPr>
      <w:fldChar w:fldCharType="separate"/>
    </w:r>
    <w:r w:rsidR="00AD7976">
      <w:rPr>
        <w:rFonts w:ascii="GHEA Grapalat" w:hAnsi="GHEA Grapalat"/>
        <w:noProof/>
        <w:sz w:val="22"/>
        <w:szCs w:val="22"/>
      </w:rPr>
      <w:t>1</w:t>
    </w:r>
    <w:r w:rsidRPr="003106DC">
      <w:rPr>
        <w:rFonts w:ascii="GHEA Grapalat" w:hAnsi="GHEA Grapalat"/>
        <w:noProof/>
        <w:sz w:val="22"/>
        <w:szCs w:val="22"/>
      </w:rPr>
      <w:fldChar w:fldCharType="end"/>
    </w:r>
  </w:p>
  <w:p w:rsidR="000C5639" w:rsidRDefault="000C5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48" w:rsidRDefault="006A4F48">
      <w:r>
        <w:separator/>
      </w:r>
    </w:p>
  </w:footnote>
  <w:footnote w:type="continuationSeparator" w:id="0">
    <w:p w:rsidR="006A4F48" w:rsidRDefault="006A4F48">
      <w:r>
        <w:continuationSeparator/>
      </w:r>
    </w:p>
  </w:footnote>
  <w:footnote w:id="1">
    <w:p w:rsidR="00ED649F" w:rsidRPr="002E3C80" w:rsidRDefault="00ED649F" w:rsidP="00642172">
      <w:pPr>
        <w:pStyle w:val="ac"/>
        <w:jc w:val="both"/>
        <w:rPr>
          <w:rFonts w:ascii="GHEA Grapalat" w:hAnsi="GHEA Grapalat"/>
          <w:sz w:val="18"/>
          <w:szCs w:val="18"/>
        </w:rPr>
      </w:pPr>
      <w:r w:rsidRPr="002E3C80">
        <w:rPr>
          <w:rStyle w:val="ae"/>
          <w:rFonts w:ascii="GHEA Grapalat" w:hAnsi="GHEA Grapalat"/>
          <w:sz w:val="18"/>
          <w:szCs w:val="18"/>
        </w:rPr>
        <w:footnoteRef/>
      </w:r>
      <w:r w:rsidRPr="002E3C80">
        <w:rPr>
          <w:rFonts w:ascii="GHEA Grapalat" w:hAnsi="GHEA Grapalat"/>
          <w:sz w:val="18"/>
          <w:szCs w:val="18"/>
        </w:rPr>
        <w:t xml:space="preserve"> </w:t>
      </w:r>
      <w:r w:rsidRPr="002E3C80">
        <w:rPr>
          <w:rFonts w:ascii="GHEA Grapalat" w:hAnsi="GHEA Grapalat" w:cs="Sylfaen"/>
          <w:sz w:val="18"/>
          <w:szCs w:val="18"/>
        </w:rPr>
        <w:t>Այսուհետ ներկայացված են ճյուղերի համախառն թողարկումների ցուցանիշները:</w:t>
      </w:r>
    </w:p>
  </w:footnote>
  <w:footnote w:id="2">
    <w:p w:rsidR="00ED649F" w:rsidRPr="000031B4" w:rsidRDefault="00ED649F" w:rsidP="000031B4">
      <w:pPr>
        <w:pStyle w:val="ac"/>
        <w:jc w:val="both"/>
        <w:rPr>
          <w:rFonts w:ascii="GHEA Grapalat" w:hAnsi="GHEA Grapalat"/>
          <w:sz w:val="18"/>
          <w:szCs w:val="18"/>
        </w:rPr>
      </w:pPr>
      <w:r w:rsidRPr="000031B4">
        <w:rPr>
          <w:rStyle w:val="ae"/>
          <w:rFonts w:ascii="GHEA Grapalat" w:hAnsi="GHEA Grapalat"/>
          <w:sz w:val="18"/>
          <w:szCs w:val="18"/>
        </w:rPr>
        <w:footnoteRef/>
      </w:r>
      <w:r w:rsidRPr="000031B4">
        <w:rPr>
          <w:rFonts w:ascii="GHEA Grapalat" w:hAnsi="GHEA Grapalat"/>
          <w:sz w:val="18"/>
          <w:szCs w:val="18"/>
        </w:rPr>
        <w:t xml:space="preserve"> Հիմք են ընդունվել ՀՀ ԱՎԾ կապիտալ շինարարության ցուցանիշները:</w:t>
      </w:r>
    </w:p>
  </w:footnote>
  <w:footnote w:id="3">
    <w:p w:rsidR="00ED649F" w:rsidRPr="00AC2267" w:rsidRDefault="00ED649F" w:rsidP="000031B4">
      <w:pPr>
        <w:pStyle w:val="ac"/>
        <w:jc w:val="both"/>
        <w:rPr>
          <w:rFonts w:ascii="GHEA Grapalat" w:hAnsi="GHEA Grapalat"/>
          <w:sz w:val="18"/>
          <w:szCs w:val="18"/>
        </w:rPr>
      </w:pPr>
      <w:r w:rsidRPr="00AC2267">
        <w:rPr>
          <w:rStyle w:val="ae"/>
          <w:rFonts w:ascii="GHEA Grapalat" w:hAnsi="GHEA Grapalat"/>
          <w:sz w:val="18"/>
          <w:szCs w:val="18"/>
        </w:rPr>
        <w:footnoteRef/>
      </w:r>
      <w:r w:rsidRPr="00AC2267">
        <w:rPr>
          <w:rFonts w:ascii="GHEA Grapalat" w:hAnsi="GHEA Grapalat"/>
          <w:sz w:val="18"/>
          <w:szCs w:val="18"/>
        </w:rPr>
        <w:t xml:space="preserve"> </w:t>
      </w:r>
      <w:r w:rsidRPr="00AC2267">
        <w:rPr>
          <w:rFonts w:ascii="GHEA Grapalat" w:hAnsi="GHEA Grapalat"/>
          <w:sz w:val="18"/>
          <w:szCs w:val="18"/>
          <w:lang w:val="af-ZA"/>
        </w:rPr>
        <w:t>201</w:t>
      </w:r>
      <w:r w:rsidRPr="00AC2267">
        <w:rPr>
          <w:rFonts w:ascii="GHEA Grapalat" w:hAnsi="GHEA Grapalat"/>
          <w:sz w:val="18"/>
          <w:szCs w:val="18"/>
        </w:rPr>
        <w:t>7</w:t>
      </w:r>
      <w:r w:rsidRPr="00AC2267">
        <w:rPr>
          <w:rFonts w:ascii="GHEA Grapalat" w:hAnsi="GHEA Grapalat"/>
          <w:sz w:val="18"/>
          <w:szCs w:val="18"/>
          <w:lang w:val="af-ZA"/>
        </w:rPr>
        <w:t>թ. միջին ամսական անվանական աշխատավարձի ցուցանիշները նախնական են: Ներառված չեն փոքր և գերփոքր կազմակերպությունների ցուցանիշները:</w:t>
      </w:r>
    </w:p>
  </w:footnote>
  <w:footnote w:id="4">
    <w:p w:rsidR="00ED649F" w:rsidRPr="00AC2267" w:rsidRDefault="00ED649F" w:rsidP="000031B4">
      <w:pPr>
        <w:pStyle w:val="ac"/>
        <w:jc w:val="both"/>
        <w:rPr>
          <w:rFonts w:ascii="GHEA Grapalat" w:hAnsi="GHEA Grapalat" w:cs="Sylfaen"/>
          <w:sz w:val="18"/>
          <w:szCs w:val="18"/>
        </w:rPr>
      </w:pPr>
      <w:r w:rsidRPr="00AC2267">
        <w:rPr>
          <w:rStyle w:val="ae"/>
          <w:rFonts w:ascii="GHEA Grapalat" w:hAnsi="GHEA Grapalat"/>
          <w:sz w:val="18"/>
          <w:szCs w:val="18"/>
        </w:rPr>
        <w:footnoteRef/>
      </w:r>
      <w:r w:rsidRPr="00AC2267">
        <w:rPr>
          <w:rFonts w:ascii="GHEA Grapalat" w:hAnsi="GHEA Grapalat"/>
          <w:sz w:val="18"/>
          <w:szCs w:val="18"/>
        </w:rPr>
        <w:t xml:space="preserve"> </w:t>
      </w:r>
      <w:r w:rsidRPr="00AC2267">
        <w:rPr>
          <w:rFonts w:ascii="GHEA Grapalat" w:hAnsi="GHEA Grapalat" w:cs="Sylfaen"/>
          <w:sz w:val="18"/>
          <w:szCs w:val="18"/>
        </w:rPr>
        <w:t>Համախառն պահանջարկի ցուցանիշները ՀՀ Ֆինանսների նախարարության գնահատականներն են:</w:t>
      </w:r>
    </w:p>
  </w:footnote>
  <w:footnote w:id="5">
    <w:p w:rsidR="00ED649F" w:rsidRPr="000031B4" w:rsidRDefault="00ED649F" w:rsidP="000031B4">
      <w:pPr>
        <w:pStyle w:val="ac"/>
        <w:jc w:val="both"/>
        <w:rPr>
          <w:rFonts w:ascii="GHEA Grapalat" w:hAnsi="GHEA Grapalat" w:cs="Sylfaen"/>
          <w:sz w:val="18"/>
          <w:szCs w:val="18"/>
        </w:rPr>
      </w:pPr>
      <w:r w:rsidRPr="000031B4">
        <w:rPr>
          <w:rStyle w:val="ae"/>
          <w:rFonts w:ascii="GHEA Grapalat" w:hAnsi="GHEA Grapalat"/>
          <w:sz w:val="18"/>
          <w:szCs w:val="18"/>
        </w:rPr>
        <w:footnoteRef/>
      </w:r>
      <w:r w:rsidRPr="000031B4">
        <w:rPr>
          <w:rFonts w:ascii="GHEA Grapalat" w:hAnsi="GHEA Grapalat"/>
          <w:sz w:val="18"/>
          <w:szCs w:val="18"/>
        </w:rPr>
        <w:t xml:space="preserve"> </w:t>
      </w:r>
      <w:r w:rsidRPr="000031B4">
        <w:rPr>
          <w:rFonts w:ascii="GHEA Grapalat" w:hAnsi="GHEA Grapalat" w:cs="Sylfaen"/>
          <w:sz w:val="18"/>
          <w:szCs w:val="18"/>
        </w:rPr>
        <w:t>Ներդրումների ճյուղային կառուցվածքի ցուցանիշները վերաբերում են ներդրումների կապիտալ շինարարությանն ուղղվող մասին: Ավելի մանրամասն տե</w:t>
      </w:r>
      <w:r w:rsidR="006A171E">
        <w:rPr>
          <w:rFonts w:ascii="GHEA Grapalat" w:hAnsi="GHEA Grapalat" w:cs="Sylfaen"/>
          <w:sz w:val="18"/>
          <w:szCs w:val="18"/>
        </w:rPr>
        <w:t>´</w:t>
      </w:r>
      <w:r w:rsidRPr="000031B4">
        <w:rPr>
          <w:rFonts w:ascii="GHEA Grapalat" w:hAnsi="GHEA Grapalat" w:cs="Sylfaen"/>
          <w:sz w:val="18"/>
          <w:szCs w:val="18"/>
        </w:rPr>
        <w:t>ս Շինարարություն հատվածում:</w:t>
      </w:r>
    </w:p>
  </w:footnote>
  <w:footnote w:id="6">
    <w:p w:rsidR="00ED649F" w:rsidRPr="000031B4" w:rsidRDefault="00ED649F" w:rsidP="000031B4">
      <w:pPr>
        <w:pStyle w:val="ac"/>
        <w:jc w:val="both"/>
        <w:rPr>
          <w:rFonts w:ascii="GHEA Grapalat" w:hAnsi="GHEA Grapalat"/>
          <w:sz w:val="18"/>
          <w:szCs w:val="18"/>
        </w:rPr>
      </w:pPr>
      <w:r w:rsidRPr="000031B4">
        <w:rPr>
          <w:rStyle w:val="ae"/>
          <w:rFonts w:ascii="GHEA Grapalat" w:hAnsi="GHEA Grapalat"/>
          <w:sz w:val="18"/>
          <w:szCs w:val="18"/>
        </w:rPr>
        <w:footnoteRef/>
      </w:r>
      <w:r w:rsidRPr="000031B4">
        <w:rPr>
          <w:rFonts w:ascii="GHEA Grapalat" w:hAnsi="GHEA Grapalat" w:cs="Sylfaen"/>
          <w:sz w:val="18"/>
          <w:szCs w:val="18"/>
        </w:rPr>
        <w:t xml:space="preserve"> Արտանահումը</w:t>
      </w:r>
      <w:r w:rsidR="006A171E">
        <w:rPr>
          <w:rFonts w:ascii="GHEA Grapalat" w:hAnsi="GHEA Grapalat" w:cs="Sylfaen"/>
          <w:sz w:val="18"/>
          <w:szCs w:val="18"/>
        </w:rPr>
        <w:t>՝</w:t>
      </w:r>
      <w:r w:rsidRPr="000031B4">
        <w:rPr>
          <w:rFonts w:ascii="GHEA Grapalat" w:hAnsi="GHEA Grapalat" w:cs="Sylfaen"/>
          <w:sz w:val="18"/>
          <w:szCs w:val="18"/>
        </w:rPr>
        <w:t xml:space="preserve"> ՖՕԲ, ներմուծումը` ՍԻՖ գներով: </w:t>
      </w:r>
    </w:p>
  </w:footnote>
  <w:footnote w:id="7">
    <w:p w:rsidR="00ED649F" w:rsidRPr="000031B4" w:rsidRDefault="00ED649F" w:rsidP="00ED649F">
      <w:pPr>
        <w:pStyle w:val="ac"/>
        <w:jc w:val="both"/>
        <w:rPr>
          <w:rFonts w:ascii="GHEA Grapalat" w:hAnsi="GHEA Grapalat"/>
          <w:sz w:val="18"/>
          <w:szCs w:val="18"/>
        </w:rPr>
      </w:pPr>
      <w:r w:rsidRPr="000031B4">
        <w:rPr>
          <w:rStyle w:val="ae"/>
          <w:rFonts w:ascii="GHEA Grapalat" w:hAnsi="GHEA Grapalat"/>
          <w:sz w:val="18"/>
          <w:szCs w:val="18"/>
        </w:rPr>
        <w:footnoteRef/>
      </w:r>
      <w:r w:rsidRPr="000031B4">
        <w:rPr>
          <w:rFonts w:ascii="GHEA Grapalat" w:hAnsi="GHEA Grapalat" w:cs="Sylfaen"/>
          <w:sz w:val="18"/>
          <w:szCs w:val="18"/>
        </w:rPr>
        <w:t xml:space="preserve"> Ապրանքների լայն տնտեսական դասակարգմամբ (BEC) խմբավորումները ՀՀ ֆինանսների նախարարության գնահատականներն են:</w:t>
      </w:r>
    </w:p>
  </w:footnote>
  <w:footnote w:id="8">
    <w:p w:rsidR="00ED649F" w:rsidRPr="006B03A0" w:rsidRDefault="00ED649F" w:rsidP="00ED649F">
      <w:pPr>
        <w:pStyle w:val="ac"/>
        <w:jc w:val="both"/>
        <w:rPr>
          <w:rFonts w:ascii="GHEA Grapalat" w:hAnsi="GHEA Grapalat"/>
          <w:sz w:val="18"/>
          <w:szCs w:val="18"/>
        </w:rPr>
      </w:pPr>
      <w:r w:rsidRPr="006B03A0">
        <w:rPr>
          <w:rStyle w:val="ae"/>
          <w:rFonts w:ascii="GHEA Grapalat" w:hAnsi="GHEA Grapalat"/>
          <w:sz w:val="18"/>
          <w:szCs w:val="18"/>
        </w:rPr>
        <w:footnoteRef/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Հիմնականում պայմանավորվել է խմբում ներառված` «Այլ արտադրատեսակներ թանկարժեք մետաղներից կամ թանկարժեք մետաղներով երեսապատված մետաղներից» ապրանքատեսակի նախորդ տարվա առաջին կիսամյակի ընթացքում մեծ ծավալներով արտահանման մեկանգամյա բազային էֆեկտով:</w:t>
      </w:r>
    </w:p>
  </w:footnote>
  <w:footnote w:id="9">
    <w:p w:rsidR="00ED649F" w:rsidRPr="006B03A0" w:rsidRDefault="00ED649F" w:rsidP="00ED649F">
      <w:pPr>
        <w:pStyle w:val="ac"/>
        <w:jc w:val="both"/>
        <w:rPr>
          <w:rFonts w:ascii="GHEA Grapalat" w:hAnsi="GHEA Grapalat" w:cs="Sylfaen"/>
          <w:sz w:val="18"/>
          <w:szCs w:val="18"/>
        </w:rPr>
      </w:pPr>
      <w:r w:rsidRPr="006B03A0">
        <w:rPr>
          <w:rStyle w:val="ae"/>
          <w:rFonts w:ascii="GHEA Grapalat" w:hAnsi="GHEA Grapalat"/>
          <w:sz w:val="18"/>
          <w:szCs w:val="18"/>
        </w:rPr>
        <w:footnoteRef/>
      </w:r>
      <w:r w:rsidRPr="006B03A0">
        <w:rPr>
          <w:rFonts w:ascii="GHEA Grapalat" w:hAnsi="GHEA Grapalat"/>
          <w:sz w:val="18"/>
          <w:szCs w:val="18"/>
        </w:rPr>
        <w:t xml:space="preserve"> Ը</w:t>
      </w:r>
      <w:r w:rsidRPr="006B03A0">
        <w:rPr>
          <w:rFonts w:ascii="GHEA Grapalat" w:hAnsi="GHEA Grapalat" w:cs="Sylfaen"/>
          <w:sz w:val="18"/>
          <w:szCs w:val="18"/>
        </w:rPr>
        <w:t>նթացիկ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տարվա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առաջին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եռամսյակի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ծառայությունների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մասին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տեղեկատվության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բացակայության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պատճառով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ողջ շարքը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ներկայացված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է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ապրանքների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արտահանման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և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ներմուծման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հարաբերակցությամբ (ՖՕԲ գներով,</w:t>
      </w:r>
      <w:r w:rsidR="00DA2611">
        <w:rPr>
          <w:rFonts w:ascii="GHEA Grapalat" w:hAnsi="GHEA Grapalat" w:cs="Sylfaen"/>
          <w:sz w:val="18"/>
          <w:szCs w:val="18"/>
        </w:rPr>
        <w:t xml:space="preserve"> </w:t>
      </w:r>
      <w:r w:rsidR="00CB5CD2">
        <w:rPr>
          <w:rFonts w:ascii="GHEA Grapalat" w:hAnsi="GHEA Grapalat" w:cs="Sylfaen"/>
          <w:sz w:val="18"/>
          <w:szCs w:val="18"/>
        </w:rPr>
        <w:t>«</w:t>
      </w:r>
      <w:r w:rsidRPr="006B03A0">
        <w:rPr>
          <w:rFonts w:ascii="GHEA Grapalat" w:hAnsi="GHEA Grapalat" w:cs="Sylfaen"/>
          <w:sz w:val="18"/>
          <w:szCs w:val="18"/>
        </w:rPr>
        <w:t>Ապրանքների առևտու</w:t>
      </w:r>
      <w:r w:rsidR="00CB5CD2">
        <w:rPr>
          <w:rFonts w:ascii="GHEA Grapalat" w:hAnsi="GHEA Grapalat" w:cs="Sylfaen"/>
          <w:sz w:val="18"/>
          <w:szCs w:val="18"/>
        </w:rPr>
        <w:t>րն ըստ վճարային հաշվեկշռի հիմքի»</w:t>
      </w:r>
      <w:r w:rsidRPr="006B03A0">
        <w:rPr>
          <w:rFonts w:ascii="GHEA Grapalat" w:hAnsi="GHEA Grapalat" w:cs="Sylfaen"/>
          <w:sz w:val="18"/>
          <w:szCs w:val="18"/>
        </w:rPr>
        <w:t xml:space="preserve"> հոդված): 2017 թվականի առաջին եռամսյակի ցուցանիշը նախնական գնահատական է:</w:t>
      </w:r>
    </w:p>
  </w:footnote>
  <w:footnote w:id="10">
    <w:p w:rsidR="00ED649F" w:rsidRPr="00C51BA1" w:rsidRDefault="00ED649F" w:rsidP="00ED649F">
      <w:pPr>
        <w:pStyle w:val="ac"/>
        <w:tabs>
          <w:tab w:val="left" w:pos="180"/>
          <w:tab w:val="left" w:pos="360"/>
        </w:tabs>
        <w:jc w:val="both"/>
        <w:rPr>
          <w:rFonts w:ascii="GHEA Grapalat" w:hAnsi="GHEA Grapalat" w:cs="Sylfaen"/>
          <w:sz w:val="18"/>
          <w:szCs w:val="18"/>
        </w:rPr>
      </w:pPr>
      <w:r w:rsidRPr="00C51BA1">
        <w:rPr>
          <w:rStyle w:val="ae"/>
          <w:rFonts w:ascii="GHEA Grapalat" w:hAnsi="GHEA Grapalat"/>
          <w:sz w:val="18"/>
          <w:szCs w:val="18"/>
        </w:rPr>
        <w:footnoteRef/>
      </w:r>
      <w:r w:rsidRPr="00C51BA1">
        <w:rPr>
          <w:rFonts w:ascii="GHEA Grapalat" w:hAnsi="GHEA Grapalat"/>
          <w:sz w:val="18"/>
          <w:szCs w:val="18"/>
        </w:rPr>
        <w:t xml:space="preserve"> </w:t>
      </w:r>
      <w:r w:rsidRPr="00C51BA1">
        <w:rPr>
          <w:rFonts w:ascii="GHEA Grapalat" w:hAnsi="GHEA Grapalat" w:cs="Sylfaen"/>
          <w:sz w:val="18"/>
          <w:szCs w:val="18"/>
        </w:rPr>
        <w:t>Ընդգրկված չեն կուտակված տոկոսները: Վարկերի մեջ ներառված են նաև ֆակտորինգային, լիզինգային գործառնությունները և ռեպո համաձայնագրերը: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3C060A"/>
    <w:lvl w:ilvl="0">
      <w:numFmt w:val="bullet"/>
      <w:lvlText w:val="*"/>
      <w:lvlJc w:val="left"/>
    </w:lvl>
  </w:abstractNum>
  <w:abstractNum w:abstractNumId="1" w15:restartNumberingAfterBreak="0">
    <w:nsid w:val="02B758A9"/>
    <w:multiLevelType w:val="multilevel"/>
    <w:tmpl w:val="9C7A8AB2"/>
    <w:lvl w:ilvl="0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" w15:restartNumberingAfterBreak="0">
    <w:nsid w:val="05151E95"/>
    <w:multiLevelType w:val="hybridMultilevel"/>
    <w:tmpl w:val="1EBEABC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764142"/>
    <w:multiLevelType w:val="hybridMultilevel"/>
    <w:tmpl w:val="9B441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C018E"/>
    <w:multiLevelType w:val="hybridMultilevel"/>
    <w:tmpl w:val="97F89A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85748"/>
    <w:multiLevelType w:val="hybridMultilevel"/>
    <w:tmpl w:val="4C803EB0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 w15:restartNumberingAfterBreak="0">
    <w:nsid w:val="0E6B42CA"/>
    <w:multiLevelType w:val="hybridMultilevel"/>
    <w:tmpl w:val="F052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2B34"/>
    <w:multiLevelType w:val="hybridMultilevel"/>
    <w:tmpl w:val="E6C4B22E"/>
    <w:lvl w:ilvl="0" w:tplc="6A2475C8">
      <w:numFmt w:val="bullet"/>
      <w:lvlText w:val=""/>
      <w:lvlJc w:val="left"/>
      <w:pPr>
        <w:ind w:left="1353" w:hanging="360"/>
      </w:pPr>
      <w:rPr>
        <w:rFonts w:ascii="Symbol" w:eastAsia="Times New Roman" w:hAnsi="Symbol" w:cs="Sylfae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3A95E19"/>
    <w:multiLevelType w:val="multilevel"/>
    <w:tmpl w:val="E97496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070BC"/>
    <w:multiLevelType w:val="hybridMultilevel"/>
    <w:tmpl w:val="559258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1B494E"/>
    <w:multiLevelType w:val="multilevel"/>
    <w:tmpl w:val="E6C00A3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AD10020"/>
    <w:multiLevelType w:val="hybridMultilevel"/>
    <w:tmpl w:val="19E83366"/>
    <w:lvl w:ilvl="0" w:tplc="7ABAC81E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D841A35"/>
    <w:multiLevelType w:val="hybridMultilevel"/>
    <w:tmpl w:val="B344B1DA"/>
    <w:lvl w:ilvl="0" w:tplc="04090011">
      <w:start w:val="1"/>
      <w:numFmt w:val="decimal"/>
      <w:lvlText w:val="%1)"/>
      <w:lvlJc w:val="left"/>
      <w:pPr>
        <w:tabs>
          <w:tab w:val="num" w:pos="1546"/>
        </w:tabs>
        <w:ind w:left="1546" w:hanging="360"/>
      </w:pPr>
    </w:lvl>
    <w:lvl w:ilvl="1" w:tplc="A634883E">
      <w:start w:val="1"/>
      <w:numFmt w:val="decimal"/>
      <w:lvlText w:val="%2."/>
      <w:lvlJc w:val="left"/>
      <w:pPr>
        <w:tabs>
          <w:tab w:val="num" w:pos="2266"/>
        </w:tabs>
        <w:ind w:left="2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6"/>
        </w:tabs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6"/>
        </w:tabs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6"/>
        </w:tabs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6"/>
        </w:tabs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6"/>
        </w:tabs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6"/>
        </w:tabs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6"/>
        </w:tabs>
        <w:ind w:left="7306" w:hanging="180"/>
      </w:pPr>
    </w:lvl>
  </w:abstractNum>
  <w:abstractNum w:abstractNumId="13" w15:restartNumberingAfterBreak="0">
    <w:nsid w:val="1F536F98"/>
    <w:multiLevelType w:val="hybridMultilevel"/>
    <w:tmpl w:val="CE6A5C8C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52D73"/>
    <w:multiLevelType w:val="hybridMultilevel"/>
    <w:tmpl w:val="817E5F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40E7182"/>
    <w:multiLevelType w:val="hybridMultilevel"/>
    <w:tmpl w:val="D0D4E2F6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6" w15:restartNumberingAfterBreak="0">
    <w:nsid w:val="24550F6D"/>
    <w:multiLevelType w:val="hybridMultilevel"/>
    <w:tmpl w:val="1124D8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C63ADB"/>
    <w:multiLevelType w:val="hybridMultilevel"/>
    <w:tmpl w:val="371464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48171C"/>
    <w:multiLevelType w:val="hybridMultilevel"/>
    <w:tmpl w:val="FB207E32"/>
    <w:lvl w:ilvl="0" w:tplc="26D2A334">
      <w:start w:val="1"/>
      <w:numFmt w:val="decimal"/>
      <w:lvlText w:val="%1)"/>
      <w:lvlJc w:val="left"/>
      <w:pPr>
        <w:tabs>
          <w:tab w:val="num" w:pos="1077"/>
        </w:tabs>
        <w:ind w:left="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F04467"/>
    <w:multiLevelType w:val="hybridMultilevel"/>
    <w:tmpl w:val="A784F9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8A4B9F"/>
    <w:multiLevelType w:val="hybridMultilevel"/>
    <w:tmpl w:val="98463C20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665539"/>
    <w:multiLevelType w:val="hybridMultilevel"/>
    <w:tmpl w:val="7F6E18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24C442C"/>
    <w:multiLevelType w:val="hybridMultilevel"/>
    <w:tmpl w:val="3E8A9B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C3084A"/>
    <w:multiLevelType w:val="hybridMultilevel"/>
    <w:tmpl w:val="3F46E32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4" w15:restartNumberingAfterBreak="0">
    <w:nsid w:val="39FC2790"/>
    <w:multiLevelType w:val="hybridMultilevel"/>
    <w:tmpl w:val="ADE24898"/>
    <w:lvl w:ilvl="0" w:tplc="66A8CD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351FFF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A90ED7"/>
    <w:multiLevelType w:val="hybridMultilevel"/>
    <w:tmpl w:val="E9CE21A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443AE5"/>
    <w:multiLevelType w:val="hybridMultilevel"/>
    <w:tmpl w:val="3AB6D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7C725D"/>
    <w:multiLevelType w:val="hybridMultilevel"/>
    <w:tmpl w:val="6FC66D56"/>
    <w:lvl w:ilvl="0" w:tplc="F15E51D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9" w15:restartNumberingAfterBreak="0">
    <w:nsid w:val="4AF96D59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951032"/>
    <w:multiLevelType w:val="hybridMultilevel"/>
    <w:tmpl w:val="F31C1B2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D23E91"/>
    <w:multiLevelType w:val="hybridMultilevel"/>
    <w:tmpl w:val="28968C04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C4FCC"/>
    <w:multiLevelType w:val="hybridMultilevel"/>
    <w:tmpl w:val="272650D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AE4217A"/>
    <w:multiLevelType w:val="hybridMultilevel"/>
    <w:tmpl w:val="060E948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D87728"/>
    <w:multiLevelType w:val="hybridMultilevel"/>
    <w:tmpl w:val="CEC87DBC"/>
    <w:lvl w:ilvl="0" w:tplc="DECAA6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CB358B"/>
    <w:multiLevelType w:val="hybridMultilevel"/>
    <w:tmpl w:val="C0B0A8B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6" w15:restartNumberingAfterBreak="0">
    <w:nsid w:val="680F46E6"/>
    <w:multiLevelType w:val="hybridMultilevel"/>
    <w:tmpl w:val="8EEA2F80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C73E2"/>
    <w:multiLevelType w:val="hybridMultilevel"/>
    <w:tmpl w:val="FB5CC5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309A7"/>
    <w:multiLevelType w:val="hybridMultilevel"/>
    <w:tmpl w:val="E256B99C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FB6FD5"/>
    <w:multiLevelType w:val="hybridMultilevel"/>
    <w:tmpl w:val="2EEECAF0"/>
    <w:lvl w:ilvl="0" w:tplc="26D2A334">
      <w:start w:val="1"/>
      <w:numFmt w:val="decimal"/>
      <w:lvlText w:val="%1)"/>
      <w:lvlJc w:val="left"/>
      <w:pPr>
        <w:tabs>
          <w:tab w:val="num" w:pos="2337"/>
        </w:tabs>
        <w:ind w:left="126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4DD0A1E"/>
    <w:multiLevelType w:val="hybridMultilevel"/>
    <w:tmpl w:val="94702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25DB7"/>
    <w:multiLevelType w:val="hybridMultilevel"/>
    <w:tmpl w:val="E9749634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767AF"/>
    <w:multiLevelType w:val="hybridMultilevel"/>
    <w:tmpl w:val="E47ABC80"/>
    <w:lvl w:ilvl="0" w:tplc="B7C8214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3172D"/>
    <w:multiLevelType w:val="hybridMultilevel"/>
    <w:tmpl w:val="9C7A8AB2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4" w15:restartNumberingAfterBreak="0">
    <w:nsid w:val="7D161651"/>
    <w:multiLevelType w:val="multilevel"/>
    <w:tmpl w:val="E256B99C"/>
    <w:lvl w:ilvl="0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5F5C6D"/>
    <w:multiLevelType w:val="hybridMultilevel"/>
    <w:tmpl w:val="0CD6EA2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35"/>
  </w:num>
  <w:num w:numId="5">
    <w:abstractNumId w:val="22"/>
  </w:num>
  <w:num w:numId="6">
    <w:abstractNumId w:val="15"/>
  </w:num>
  <w:num w:numId="7">
    <w:abstractNumId w:val="20"/>
  </w:num>
  <w:num w:numId="8">
    <w:abstractNumId w:val="39"/>
  </w:num>
  <w:num w:numId="9">
    <w:abstractNumId w:val="28"/>
  </w:num>
  <w:num w:numId="10">
    <w:abstractNumId w:val="42"/>
  </w:num>
  <w:num w:numId="11">
    <w:abstractNumId w:val="36"/>
  </w:num>
  <w:num w:numId="12">
    <w:abstractNumId w:val="24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3"/>
  </w:num>
  <w:num w:numId="17">
    <w:abstractNumId w:val="38"/>
  </w:num>
  <w:num w:numId="18">
    <w:abstractNumId w:val="27"/>
  </w:num>
  <w:num w:numId="19">
    <w:abstractNumId w:val="40"/>
  </w:num>
  <w:num w:numId="20">
    <w:abstractNumId w:val="14"/>
  </w:num>
  <w:num w:numId="21">
    <w:abstractNumId w:val="44"/>
  </w:num>
  <w:num w:numId="22">
    <w:abstractNumId w:val="31"/>
  </w:num>
  <w:num w:numId="23">
    <w:abstractNumId w:val="7"/>
  </w:num>
  <w:num w:numId="24">
    <w:abstractNumId w:val="43"/>
  </w:num>
  <w:num w:numId="25">
    <w:abstractNumId w:val="26"/>
  </w:num>
  <w:num w:numId="26">
    <w:abstractNumId w:val="1"/>
  </w:num>
  <w:num w:numId="27">
    <w:abstractNumId w:val="16"/>
  </w:num>
  <w:num w:numId="28">
    <w:abstractNumId w:val="33"/>
  </w:num>
  <w:num w:numId="29">
    <w:abstractNumId w:val="25"/>
  </w:num>
  <w:num w:numId="30">
    <w:abstractNumId w:val="29"/>
  </w:num>
  <w:num w:numId="31">
    <w:abstractNumId w:val="2"/>
  </w:num>
  <w:num w:numId="32">
    <w:abstractNumId w:val="9"/>
  </w:num>
  <w:num w:numId="33">
    <w:abstractNumId w:val="34"/>
  </w:num>
  <w:num w:numId="34">
    <w:abstractNumId w:val="32"/>
  </w:num>
  <w:num w:numId="35">
    <w:abstractNumId w:val="6"/>
  </w:num>
  <w:num w:numId="36">
    <w:abstractNumId w:val="4"/>
  </w:num>
  <w:num w:numId="37">
    <w:abstractNumId w:val="10"/>
  </w:num>
  <w:num w:numId="38">
    <w:abstractNumId w:val="13"/>
  </w:num>
  <w:num w:numId="39">
    <w:abstractNumId w:val="41"/>
  </w:num>
  <w:num w:numId="40">
    <w:abstractNumId w:val="8"/>
  </w:num>
  <w:num w:numId="41">
    <w:abstractNumId w:val="21"/>
  </w:num>
  <w:num w:numId="42">
    <w:abstractNumId w:val="30"/>
  </w:num>
  <w:num w:numId="43">
    <w:abstractNumId w:val="37"/>
  </w:num>
  <w:num w:numId="44">
    <w:abstractNumId w:val="11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19"/>
  </w:num>
  <w:num w:numId="47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C"/>
    <w:rsid w:val="00000B8F"/>
    <w:rsid w:val="00000CC6"/>
    <w:rsid w:val="00000D27"/>
    <w:rsid w:val="00001056"/>
    <w:rsid w:val="000011F1"/>
    <w:rsid w:val="00001662"/>
    <w:rsid w:val="00002068"/>
    <w:rsid w:val="000022D8"/>
    <w:rsid w:val="000029AF"/>
    <w:rsid w:val="00002ABD"/>
    <w:rsid w:val="00002F7E"/>
    <w:rsid w:val="000031B4"/>
    <w:rsid w:val="00003D93"/>
    <w:rsid w:val="00003E0C"/>
    <w:rsid w:val="00003E67"/>
    <w:rsid w:val="000043EC"/>
    <w:rsid w:val="000046E0"/>
    <w:rsid w:val="00004782"/>
    <w:rsid w:val="0000488C"/>
    <w:rsid w:val="000049ED"/>
    <w:rsid w:val="00004BF5"/>
    <w:rsid w:val="00004EB7"/>
    <w:rsid w:val="000051A1"/>
    <w:rsid w:val="000062A7"/>
    <w:rsid w:val="00006BE1"/>
    <w:rsid w:val="00006C8E"/>
    <w:rsid w:val="00006D44"/>
    <w:rsid w:val="00006F51"/>
    <w:rsid w:val="00007B4C"/>
    <w:rsid w:val="00007B80"/>
    <w:rsid w:val="00007D4B"/>
    <w:rsid w:val="00007FBA"/>
    <w:rsid w:val="000101A2"/>
    <w:rsid w:val="0001038E"/>
    <w:rsid w:val="00011CB7"/>
    <w:rsid w:val="00012BCB"/>
    <w:rsid w:val="00013BAF"/>
    <w:rsid w:val="0001467A"/>
    <w:rsid w:val="000158E4"/>
    <w:rsid w:val="00015A48"/>
    <w:rsid w:val="00015E17"/>
    <w:rsid w:val="000164D9"/>
    <w:rsid w:val="00017218"/>
    <w:rsid w:val="00017681"/>
    <w:rsid w:val="00020C2C"/>
    <w:rsid w:val="000217F0"/>
    <w:rsid w:val="00021C51"/>
    <w:rsid w:val="000222C5"/>
    <w:rsid w:val="00022F8E"/>
    <w:rsid w:val="00023C80"/>
    <w:rsid w:val="00023E03"/>
    <w:rsid w:val="00024BE3"/>
    <w:rsid w:val="000257DD"/>
    <w:rsid w:val="00027266"/>
    <w:rsid w:val="00027310"/>
    <w:rsid w:val="000303D1"/>
    <w:rsid w:val="00030471"/>
    <w:rsid w:val="00030A56"/>
    <w:rsid w:val="00032DE1"/>
    <w:rsid w:val="00033EE1"/>
    <w:rsid w:val="00034CDA"/>
    <w:rsid w:val="000354DA"/>
    <w:rsid w:val="00035AF2"/>
    <w:rsid w:val="00035D8C"/>
    <w:rsid w:val="00035E1E"/>
    <w:rsid w:val="00035EFF"/>
    <w:rsid w:val="00036A8B"/>
    <w:rsid w:val="000373AC"/>
    <w:rsid w:val="00037C39"/>
    <w:rsid w:val="00040A33"/>
    <w:rsid w:val="00040CBC"/>
    <w:rsid w:val="00041D39"/>
    <w:rsid w:val="000423AB"/>
    <w:rsid w:val="0004241C"/>
    <w:rsid w:val="00042CB7"/>
    <w:rsid w:val="0004304A"/>
    <w:rsid w:val="00043219"/>
    <w:rsid w:val="00043303"/>
    <w:rsid w:val="00043415"/>
    <w:rsid w:val="00043CDF"/>
    <w:rsid w:val="0004424A"/>
    <w:rsid w:val="00044C1D"/>
    <w:rsid w:val="00045097"/>
    <w:rsid w:val="00045922"/>
    <w:rsid w:val="00046182"/>
    <w:rsid w:val="0005023D"/>
    <w:rsid w:val="000506B4"/>
    <w:rsid w:val="00051632"/>
    <w:rsid w:val="00051A9F"/>
    <w:rsid w:val="00051FE6"/>
    <w:rsid w:val="00051FF3"/>
    <w:rsid w:val="00052132"/>
    <w:rsid w:val="000523C5"/>
    <w:rsid w:val="000526B3"/>
    <w:rsid w:val="00052F1B"/>
    <w:rsid w:val="000530E1"/>
    <w:rsid w:val="00053338"/>
    <w:rsid w:val="00053A90"/>
    <w:rsid w:val="00055D6A"/>
    <w:rsid w:val="00056A1B"/>
    <w:rsid w:val="00057195"/>
    <w:rsid w:val="0005720C"/>
    <w:rsid w:val="0005787B"/>
    <w:rsid w:val="00057EEB"/>
    <w:rsid w:val="00060244"/>
    <w:rsid w:val="000604D1"/>
    <w:rsid w:val="0006080B"/>
    <w:rsid w:val="00060974"/>
    <w:rsid w:val="00061ADF"/>
    <w:rsid w:val="00062294"/>
    <w:rsid w:val="00062E70"/>
    <w:rsid w:val="00063FE2"/>
    <w:rsid w:val="000647F8"/>
    <w:rsid w:val="00064CED"/>
    <w:rsid w:val="00064E9F"/>
    <w:rsid w:val="00065ADB"/>
    <w:rsid w:val="00066648"/>
    <w:rsid w:val="000677FB"/>
    <w:rsid w:val="00067916"/>
    <w:rsid w:val="000702B1"/>
    <w:rsid w:val="00070ED4"/>
    <w:rsid w:val="000710A9"/>
    <w:rsid w:val="00071BFB"/>
    <w:rsid w:val="00071EF6"/>
    <w:rsid w:val="000722F9"/>
    <w:rsid w:val="00072933"/>
    <w:rsid w:val="00073EEA"/>
    <w:rsid w:val="00074F9B"/>
    <w:rsid w:val="00075484"/>
    <w:rsid w:val="00075682"/>
    <w:rsid w:val="00075BBB"/>
    <w:rsid w:val="000763A2"/>
    <w:rsid w:val="00076548"/>
    <w:rsid w:val="000769F7"/>
    <w:rsid w:val="00077AB6"/>
    <w:rsid w:val="00080A6A"/>
    <w:rsid w:val="0008143C"/>
    <w:rsid w:val="00082E2B"/>
    <w:rsid w:val="000831EF"/>
    <w:rsid w:val="0008492F"/>
    <w:rsid w:val="00084FA9"/>
    <w:rsid w:val="0008542D"/>
    <w:rsid w:val="0008647B"/>
    <w:rsid w:val="000864B8"/>
    <w:rsid w:val="000869F5"/>
    <w:rsid w:val="00086FAB"/>
    <w:rsid w:val="00087656"/>
    <w:rsid w:val="00087A97"/>
    <w:rsid w:val="00090551"/>
    <w:rsid w:val="00090896"/>
    <w:rsid w:val="00091207"/>
    <w:rsid w:val="00092206"/>
    <w:rsid w:val="00092CDA"/>
    <w:rsid w:val="00092DFE"/>
    <w:rsid w:val="0009304F"/>
    <w:rsid w:val="0009326E"/>
    <w:rsid w:val="000935B0"/>
    <w:rsid w:val="00093A0E"/>
    <w:rsid w:val="00093F78"/>
    <w:rsid w:val="0009531A"/>
    <w:rsid w:val="0009536E"/>
    <w:rsid w:val="000959EB"/>
    <w:rsid w:val="00095B5B"/>
    <w:rsid w:val="00096C25"/>
    <w:rsid w:val="00097145"/>
    <w:rsid w:val="000A0910"/>
    <w:rsid w:val="000A0F70"/>
    <w:rsid w:val="000A1454"/>
    <w:rsid w:val="000A1873"/>
    <w:rsid w:val="000A1C94"/>
    <w:rsid w:val="000A1D13"/>
    <w:rsid w:val="000A1EF0"/>
    <w:rsid w:val="000A25DD"/>
    <w:rsid w:val="000A310C"/>
    <w:rsid w:val="000A4E32"/>
    <w:rsid w:val="000A512A"/>
    <w:rsid w:val="000A54A3"/>
    <w:rsid w:val="000A5961"/>
    <w:rsid w:val="000A5BEC"/>
    <w:rsid w:val="000A5D74"/>
    <w:rsid w:val="000A67FF"/>
    <w:rsid w:val="000A6ACE"/>
    <w:rsid w:val="000A6FCA"/>
    <w:rsid w:val="000B20BF"/>
    <w:rsid w:val="000B27D3"/>
    <w:rsid w:val="000B2944"/>
    <w:rsid w:val="000B2B5C"/>
    <w:rsid w:val="000B2CE5"/>
    <w:rsid w:val="000B3222"/>
    <w:rsid w:val="000B3BE7"/>
    <w:rsid w:val="000B45C7"/>
    <w:rsid w:val="000B4CEC"/>
    <w:rsid w:val="000B4D60"/>
    <w:rsid w:val="000B522D"/>
    <w:rsid w:val="000B6458"/>
    <w:rsid w:val="000B67DC"/>
    <w:rsid w:val="000B7B4F"/>
    <w:rsid w:val="000C1290"/>
    <w:rsid w:val="000C210B"/>
    <w:rsid w:val="000C2743"/>
    <w:rsid w:val="000C29A3"/>
    <w:rsid w:val="000C30AD"/>
    <w:rsid w:val="000C3B9A"/>
    <w:rsid w:val="000C3F37"/>
    <w:rsid w:val="000C4A2C"/>
    <w:rsid w:val="000C4F9A"/>
    <w:rsid w:val="000C5213"/>
    <w:rsid w:val="000C5639"/>
    <w:rsid w:val="000C59C4"/>
    <w:rsid w:val="000C6364"/>
    <w:rsid w:val="000C6513"/>
    <w:rsid w:val="000C779C"/>
    <w:rsid w:val="000D0217"/>
    <w:rsid w:val="000D0331"/>
    <w:rsid w:val="000D0556"/>
    <w:rsid w:val="000D17F2"/>
    <w:rsid w:val="000D1EF9"/>
    <w:rsid w:val="000D2A95"/>
    <w:rsid w:val="000D2B9B"/>
    <w:rsid w:val="000D2BB2"/>
    <w:rsid w:val="000D3122"/>
    <w:rsid w:val="000D4325"/>
    <w:rsid w:val="000D4EA0"/>
    <w:rsid w:val="000D51D6"/>
    <w:rsid w:val="000D5498"/>
    <w:rsid w:val="000D5C17"/>
    <w:rsid w:val="000D6201"/>
    <w:rsid w:val="000D6397"/>
    <w:rsid w:val="000D6848"/>
    <w:rsid w:val="000D6918"/>
    <w:rsid w:val="000D7A77"/>
    <w:rsid w:val="000D7D4C"/>
    <w:rsid w:val="000E02B5"/>
    <w:rsid w:val="000E08E0"/>
    <w:rsid w:val="000E1AE6"/>
    <w:rsid w:val="000E2CB0"/>
    <w:rsid w:val="000E2D89"/>
    <w:rsid w:val="000E3EEF"/>
    <w:rsid w:val="000E440D"/>
    <w:rsid w:val="000E459E"/>
    <w:rsid w:val="000E50D7"/>
    <w:rsid w:val="000E561C"/>
    <w:rsid w:val="000E5AAC"/>
    <w:rsid w:val="000E5AC9"/>
    <w:rsid w:val="000E5C16"/>
    <w:rsid w:val="000E607C"/>
    <w:rsid w:val="000E6593"/>
    <w:rsid w:val="000E65BD"/>
    <w:rsid w:val="000E6C77"/>
    <w:rsid w:val="000F010A"/>
    <w:rsid w:val="000F01B4"/>
    <w:rsid w:val="000F04EB"/>
    <w:rsid w:val="000F0A76"/>
    <w:rsid w:val="000F0DD9"/>
    <w:rsid w:val="000F1737"/>
    <w:rsid w:val="000F2986"/>
    <w:rsid w:val="000F3719"/>
    <w:rsid w:val="000F382C"/>
    <w:rsid w:val="000F4239"/>
    <w:rsid w:val="000F479F"/>
    <w:rsid w:val="000F47F8"/>
    <w:rsid w:val="000F5481"/>
    <w:rsid w:val="000F5647"/>
    <w:rsid w:val="000F589E"/>
    <w:rsid w:val="000F5F7A"/>
    <w:rsid w:val="000F75DD"/>
    <w:rsid w:val="000F7F2A"/>
    <w:rsid w:val="0010015A"/>
    <w:rsid w:val="001009B9"/>
    <w:rsid w:val="00101080"/>
    <w:rsid w:val="00101608"/>
    <w:rsid w:val="001019D8"/>
    <w:rsid w:val="00101E99"/>
    <w:rsid w:val="00101EC2"/>
    <w:rsid w:val="00102838"/>
    <w:rsid w:val="0010292C"/>
    <w:rsid w:val="00102BD7"/>
    <w:rsid w:val="00102FAB"/>
    <w:rsid w:val="00104D90"/>
    <w:rsid w:val="0010537C"/>
    <w:rsid w:val="00105703"/>
    <w:rsid w:val="00105FE9"/>
    <w:rsid w:val="001066F3"/>
    <w:rsid w:val="001068A5"/>
    <w:rsid w:val="00107170"/>
    <w:rsid w:val="00107584"/>
    <w:rsid w:val="00107689"/>
    <w:rsid w:val="00107A4D"/>
    <w:rsid w:val="00110073"/>
    <w:rsid w:val="001103F4"/>
    <w:rsid w:val="00110B8E"/>
    <w:rsid w:val="0011104F"/>
    <w:rsid w:val="00111352"/>
    <w:rsid w:val="001113B4"/>
    <w:rsid w:val="001116D2"/>
    <w:rsid w:val="001127E7"/>
    <w:rsid w:val="00112950"/>
    <w:rsid w:val="00112A79"/>
    <w:rsid w:val="00112F5E"/>
    <w:rsid w:val="00113B42"/>
    <w:rsid w:val="00113E7E"/>
    <w:rsid w:val="0011473D"/>
    <w:rsid w:val="00115B85"/>
    <w:rsid w:val="001161C7"/>
    <w:rsid w:val="00116295"/>
    <w:rsid w:val="00116618"/>
    <w:rsid w:val="00120218"/>
    <w:rsid w:val="00120584"/>
    <w:rsid w:val="00121052"/>
    <w:rsid w:val="00121233"/>
    <w:rsid w:val="00121DDF"/>
    <w:rsid w:val="00123FD7"/>
    <w:rsid w:val="001243F3"/>
    <w:rsid w:val="0012480D"/>
    <w:rsid w:val="00125BA3"/>
    <w:rsid w:val="00125F18"/>
    <w:rsid w:val="001264B5"/>
    <w:rsid w:val="00126ADD"/>
    <w:rsid w:val="00126D79"/>
    <w:rsid w:val="001273D3"/>
    <w:rsid w:val="0012784B"/>
    <w:rsid w:val="00127878"/>
    <w:rsid w:val="00127F83"/>
    <w:rsid w:val="0013020B"/>
    <w:rsid w:val="00131D35"/>
    <w:rsid w:val="00131E5E"/>
    <w:rsid w:val="001321BC"/>
    <w:rsid w:val="00132486"/>
    <w:rsid w:val="00132AA0"/>
    <w:rsid w:val="0013337D"/>
    <w:rsid w:val="0013434A"/>
    <w:rsid w:val="00134E08"/>
    <w:rsid w:val="00135268"/>
    <w:rsid w:val="00135D72"/>
    <w:rsid w:val="00136E60"/>
    <w:rsid w:val="00137970"/>
    <w:rsid w:val="0014012C"/>
    <w:rsid w:val="001402CF"/>
    <w:rsid w:val="00140A82"/>
    <w:rsid w:val="001415E8"/>
    <w:rsid w:val="00142B12"/>
    <w:rsid w:val="00142DA1"/>
    <w:rsid w:val="001430CF"/>
    <w:rsid w:val="0014333B"/>
    <w:rsid w:val="00143704"/>
    <w:rsid w:val="00143939"/>
    <w:rsid w:val="00143C1C"/>
    <w:rsid w:val="001445A4"/>
    <w:rsid w:val="00144B31"/>
    <w:rsid w:val="001450E0"/>
    <w:rsid w:val="00146010"/>
    <w:rsid w:val="0014778B"/>
    <w:rsid w:val="00150057"/>
    <w:rsid w:val="0015008A"/>
    <w:rsid w:val="00150F4B"/>
    <w:rsid w:val="00151124"/>
    <w:rsid w:val="001513D7"/>
    <w:rsid w:val="00152F82"/>
    <w:rsid w:val="00154249"/>
    <w:rsid w:val="00154C36"/>
    <w:rsid w:val="00154F69"/>
    <w:rsid w:val="00155346"/>
    <w:rsid w:val="001565B4"/>
    <w:rsid w:val="0015714D"/>
    <w:rsid w:val="00157776"/>
    <w:rsid w:val="00157941"/>
    <w:rsid w:val="0016068D"/>
    <w:rsid w:val="001609FD"/>
    <w:rsid w:val="001616B6"/>
    <w:rsid w:val="00161C6D"/>
    <w:rsid w:val="001628A4"/>
    <w:rsid w:val="00162E64"/>
    <w:rsid w:val="00164845"/>
    <w:rsid w:val="00166002"/>
    <w:rsid w:val="00166018"/>
    <w:rsid w:val="0016645C"/>
    <w:rsid w:val="001673D8"/>
    <w:rsid w:val="00167518"/>
    <w:rsid w:val="00170134"/>
    <w:rsid w:val="00170AC8"/>
    <w:rsid w:val="0017111D"/>
    <w:rsid w:val="00171AC0"/>
    <w:rsid w:val="0017289D"/>
    <w:rsid w:val="00173196"/>
    <w:rsid w:val="0017386F"/>
    <w:rsid w:val="00173D47"/>
    <w:rsid w:val="001745CE"/>
    <w:rsid w:val="00174654"/>
    <w:rsid w:val="001748EE"/>
    <w:rsid w:val="00174906"/>
    <w:rsid w:val="001763F3"/>
    <w:rsid w:val="001764E1"/>
    <w:rsid w:val="0017695C"/>
    <w:rsid w:val="001800AF"/>
    <w:rsid w:val="00180101"/>
    <w:rsid w:val="001807D6"/>
    <w:rsid w:val="00180C80"/>
    <w:rsid w:val="001821E6"/>
    <w:rsid w:val="00182384"/>
    <w:rsid w:val="001833C0"/>
    <w:rsid w:val="001841EF"/>
    <w:rsid w:val="00184E74"/>
    <w:rsid w:val="0018564D"/>
    <w:rsid w:val="001863FA"/>
    <w:rsid w:val="00187045"/>
    <w:rsid w:val="00187CC5"/>
    <w:rsid w:val="00192104"/>
    <w:rsid w:val="0019240F"/>
    <w:rsid w:val="00192CB6"/>
    <w:rsid w:val="00193655"/>
    <w:rsid w:val="0019441D"/>
    <w:rsid w:val="00194E77"/>
    <w:rsid w:val="00194E8C"/>
    <w:rsid w:val="001970F5"/>
    <w:rsid w:val="001976FC"/>
    <w:rsid w:val="00197719"/>
    <w:rsid w:val="001A0BCE"/>
    <w:rsid w:val="001A11DA"/>
    <w:rsid w:val="001A207D"/>
    <w:rsid w:val="001A2152"/>
    <w:rsid w:val="001A231A"/>
    <w:rsid w:val="001A249E"/>
    <w:rsid w:val="001A2504"/>
    <w:rsid w:val="001A2D35"/>
    <w:rsid w:val="001A363A"/>
    <w:rsid w:val="001A37FE"/>
    <w:rsid w:val="001A3AED"/>
    <w:rsid w:val="001A418B"/>
    <w:rsid w:val="001A43B3"/>
    <w:rsid w:val="001A4D02"/>
    <w:rsid w:val="001A6EC8"/>
    <w:rsid w:val="001A7942"/>
    <w:rsid w:val="001A7B88"/>
    <w:rsid w:val="001B0247"/>
    <w:rsid w:val="001B1688"/>
    <w:rsid w:val="001B1890"/>
    <w:rsid w:val="001B1D38"/>
    <w:rsid w:val="001B2302"/>
    <w:rsid w:val="001B262C"/>
    <w:rsid w:val="001B369A"/>
    <w:rsid w:val="001B36B3"/>
    <w:rsid w:val="001B3917"/>
    <w:rsid w:val="001B4E84"/>
    <w:rsid w:val="001B59FD"/>
    <w:rsid w:val="001B6807"/>
    <w:rsid w:val="001B6CF6"/>
    <w:rsid w:val="001B7566"/>
    <w:rsid w:val="001B7881"/>
    <w:rsid w:val="001B7FDA"/>
    <w:rsid w:val="001C05B7"/>
    <w:rsid w:val="001C05FE"/>
    <w:rsid w:val="001C0D1F"/>
    <w:rsid w:val="001C0D8B"/>
    <w:rsid w:val="001C0DB1"/>
    <w:rsid w:val="001C1A31"/>
    <w:rsid w:val="001C2633"/>
    <w:rsid w:val="001C2B59"/>
    <w:rsid w:val="001C3187"/>
    <w:rsid w:val="001C3737"/>
    <w:rsid w:val="001C3EBB"/>
    <w:rsid w:val="001C49C9"/>
    <w:rsid w:val="001C4F78"/>
    <w:rsid w:val="001C5318"/>
    <w:rsid w:val="001C5B5A"/>
    <w:rsid w:val="001C5D64"/>
    <w:rsid w:val="001C62F7"/>
    <w:rsid w:val="001C74A1"/>
    <w:rsid w:val="001C7F7C"/>
    <w:rsid w:val="001D086A"/>
    <w:rsid w:val="001D0939"/>
    <w:rsid w:val="001D0C5D"/>
    <w:rsid w:val="001D1571"/>
    <w:rsid w:val="001D24CF"/>
    <w:rsid w:val="001D2867"/>
    <w:rsid w:val="001D432F"/>
    <w:rsid w:val="001D495D"/>
    <w:rsid w:val="001D4F3B"/>
    <w:rsid w:val="001D5619"/>
    <w:rsid w:val="001D57E6"/>
    <w:rsid w:val="001D60A1"/>
    <w:rsid w:val="001D646D"/>
    <w:rsid w:val="001D6865"/>
    <w:rsid w:val="001D6C20"/>
    <w:rsid w:val="001D7277"/>
    <w:rsid w:val="001D798A"/>
    <w:rsid w:val="001D7A09"/>
    <w:rsid w:val="001E006C"/>
    <w:rsid w:val="001E056A"/>
    <w:rsid w:val="001E13A1"/>
    <w:rsid w:val="001E220B"/>
    <w:rsid w:val="001E2410"/>
    <w:rsid w:val="001E27E4"/>
    <w:rsid w:val="001E284B"/>
    <w:rsid w:val="001E3392"/>
    <w:rsid w:val="001E33A0"/>
    <w:rsid w:val="001E3944"/>
    <w:rsid w:val="001E3999"/>
    <w:rsid w:val="001E4393"/>
    <w:rsid w:val="001E5A18"/>
    <w:rsid w:val="001E6F9F"/>
    <w:rsid w:val="001F0C79"/>
    <w:rsid w:val="001F1381"/>
    <w:rsid w:val="001F184A"/>
    <w:rsid w:val="001F1971"/>
    <w:rsid w:val="001F1E67"/>
    <w:rsid w:val="001F222D"/>
    <w:rsid w:val="001F22D2"/>
    <w:rsid w:val="001F2349"/>
    <w:rsid w:val="001F2A93"/>
    <w:rsid w:val="001F349C"/>
    <w:rsid w:val="001F401C"/>
    <w:rsid w:val="001F4A87"/>
    <w:rsid w:val="001F53DC"/>
    <w:rsid w:val="001F58C4"/>
    <w:rsid w:val="001F5A85"/>
    <w:rsid w:val="001F6E53"/>
    <w:rsid w:val="001F6E8C"/>
    <w:rsid w:val="001F76F5"/>
    <w:rsid w:val="001F7839"/>
    <w:rsid w:val="001F7B05"/>
    <w:rsid w:val="001F7D18"/>
    <w:rsid w:val="00200648"/>
    <w:rsid w:val="00200654"/>
    <w:rsid w:val="0020122A"/>
    <w:rsid w:val="002013E5"/>
    <w:rsid w:val="00203011"/>
    <w:rsid w:val="0020317D"/>
    <w:rsid w:val="00203ACE"/>
    <w:rsid w:val="00204364"/>
    <w:rsid w:val="00204C21"/>
    <w:rsid w:val="00206281"/>
    <w:rsid w:val="002065CF"/>
    <w:rsid w:val="0020672B"/>
    <w:rsid w:val="00206803"/>
    <w:rsid w:val="00207AE1"/>
    <w:rsid w:val="00210D0E"/>
    <w:rsid w:val="00211DFB"/>
    <w:rsid w:val="00211E93"/>
    <w:rsid w:val="00211F41"/>
    <w:rsid w:val="00211FB6"/>
    <w:rsid w:val="00212520"/>
    <w:rsid w:val="002127B3"/>
    <w:rsid w:val="0021352E"/>
    <w:rsid w:val="00214DD2"/>
    <w:rsid w:val="002157F2"/>
    <w:rsid w:val="00216631"/>
    <w:rsid w:val="00216C49"/>
    <w:rsid w:val="00217093"/>
    <w:rsid w:val="002174A2"/>
    <w:rsid w:val="00217FCC"/>
    <w:rsid w:val="002206A9"/>
    <w:rsid w:val="00220A7B"/>
    <w:rsid w:val="002215EF"/>
    <w:rsid w:val="00221717"/>
    <w:rsid w:val="00221B80"/>
    <w:rsid w:val="00222134"/>
    <w:rsid w:val="002222A2"/>
    <w:rsid w:val="00222654"/>
    <w:rsid w:val="002227AD"/>
    <w:rsid w:val="00222A67"/>
    <w:rsid w:val="00222D67"/>
    <w:rsid w:val="00223225"/>
    <w:rsid w:val="002235C9"/>
    <w:rsid w:val="00223B7E"/>
    <w:rsid w:val="00223D5E"/>
    <w:rsid w:val="00224350"/>
    <w:rsid w:val="002247AB"/>
    <w:rsid w:val="002259F3"/>
    <w:rsid w:val="00226890"/>
    <w:rsid w:val="00226D15"/>
    <w:rsid w:val="002271CE"/>
    <w:rsid w:val="00231C62"/>
    <w:rsid w:val="00232E1C"/>
    <w:rsid w:val="00232EBE"/>
    <w:rsid w:val="00233363"/>
    <w:rsid w:val="00233522"/>
    <w:rsid w:val="0023358F"/>
    <w:rsid w:val="002337B8"/>
    <w:rsid w:val="00233E24"/>
    <w:rsid w:val="002347B4"/>
    <w:rsid w:val="00234F33"/>
    <w:rsid w:val="00234F72"/>
    <w:rsid w:val="002357F2"/>
    <w:rsid w:val="00235E50"/>
    <w:rsid w:val="00236CD9"/>
    <w:rsid w:val="00237706"/>
    <w:rsid w:val="00237A24"/>
    <w:rsid w:val="00237E40"/>
    <w:rsid w:val="00240397"/>
    <w:rsid w:val="002406D6"/>
    <w:rsid w:val="0024098D"/>
    <w:rsid w:val="0024163D"/>
    <w:rsid w:val="00241D23"/>
    <w:rsid w:val="00241F1A"/>
    <w:rsid w:val="00242931"/>
    <w:rsid w:val="00243684"/>
    <w:rsid w:val="00244258"/>
    <w:rsid w:val="00244862"/>
    <w:rsid w:val="00245F22"/>
    <w:rsid w:val="00246494"/>
    <w:rsid w:val="00246841"/>
    <w:rsid w:val="00246AFD"/>
    <w:rsid w:val="0025043C"/>
    <w:rsid w:val="00250F94"/>
    <w:rsid w:val="002511C4"/>
    <w:rsid w:val="002521B4"/>
    <w:rsid w:val="00252B7D"/>
    <w:rsid w:val="0025359D"/>
    <w:rsid w:val="00253B05"/>
    <w:rsid w:val="00253D18"/>
    <w:rsid w:val="00255484"/>
    <w:rsid w:val="002555FF"/>
    <w:rsid w:val="002564A4"/>
    <w:rsid w:val="00257126"/>
    <w:rsid w:val="00257B86"/>
    <w:rsid w:val="00257BB1"/>
    <w:rsid w:val="00257D74"/>
    <w:rsid w:val="0026072E"/>
    <w:rsid w:val="002619EC"/>
    <w:rsid w:val="00262564"/>
    <w:rsid w:val="002628D7"/>
    <w:rsid w:val="002631D1"/>
    <w:rsid w:val="002633CA"/>
    <w:rsid w:val="002634CA"/>
    <w:rsid w:val="00263967"/>
    <w:rsid w:val="00263F2C"/>
    <w:rsid w:val="0026517F"/>
    <w:rsid w:val="00265189"/>
    <w:rsid w:val="002655DA"/>
    <w:rsid w:val="002672E0"/>
    <w:rsid w:val="002678A7"/>
    <w:rsid w:val="00267ABB"/>
    <w:rsid w:val="00267B02"/>
    <w:rsid w:val="00270EC8"/>
    <w:rsid w:val="00270FB6"/>
    <w:rsid w:val="00271241"/>
    <w:rsid w:val="002715B2"/>
    <w:rsid w:val="002716DF"/>
    <w:rsid w:val="00271EC3"/>
    <w:rsid w:val="00272196"/>
    <w:rsid w:val="00272621"/>
    <w:rsid w:val="00272E64"/>
    <w:rsid w:val="00273354"/>
    <w:rsid w:val="0027412C"/>
    <w:rsid w:val="00274DF0"/>
    <w:rsid w:val="00275B55"/>
    <w:rsid w:val="002768B3"/>
    <w:rsid w:val="00276E5F"/>
    <w:rsid w:val="00276FC8"/>
    <w:rsid w:val="002770E5"/>
    <w:rsid w:val="002775D3"/>
    <w:rsid w:val="002778BF"/>
    <w:rsid w:val="002804EF"/>
    <w:rsid w:val="00280992"/>
    <w:rsid w:val="00280B74"/>
    <w:rsid w:val="0028125D"/>
    <w:rsid w:val="0028133F"/>
    <w:rsid w:val="00281A4A"/>
    <w:rsid w:val="00281E0E"/>
    <w:rsid w:val="0028256D"/>
    <w:rsid w:val="002829FE"/>
    <w:rsid w:val="00283369"/>
    <w:rsid w:val="00283A52"/>
    <w:rsid w:val="00283F17"/>
    <w:rsid w:val="00284349"/>
    <w:rsid w:val="00284592"/>
    <w:rsid w:val="00284DD7"/>
    <w:rsid w:val="00284E4E"/>
    <w:rsid w:val="00285209"/>
    <w:rsid w:val="002858E1"/>
    <w:rsid w:val="00285EFB"/>
    <w:rsid w:val="00285F32"/>
    <w:rsid w:val="00285F79"/>
    <w:rsid w:val="00286400"/>
    <w:rsid w:val="00286575"/>
    <w:rsid w:val="00286595"/>
    <w:rsid w:val="002865AD"/>
    <w:rsid w:val="0029065E"/>
    <w:rsid w:val="00290BF8"/>
    <w:rsid w:val="00291387"/>
    <w:rsid w:val="00291511"/>
    <w:rsid w:val="0029236F"/>
    <w:rsid w:val="00292A1A"/>
    <w:rsid w:val="002935FE"/>
    <w:rsid w:val="0029404A"/>
    <w:rsid w:val="00294340"/>
    <w:rsid w:val="0029445E"/>
    <w:rsid w:val="00294C3C"/>
    <w:rsid w:val="00294EA2"/>
    <w:rsid w:val="0029561F"/>
    <w:rsid w:val="00295841"/>
    <w:rsid w:val="00295CE0"/>
    <w:rsid w:val="00296738"/>
    <w:rsid w:val="0029724A"/>
    <w:rsid w:val="002977AF"/>
    <w:rsid w:val="00297983"/>
    <w:rsid w:val="002979B4"/>
    <w:rsid w:val="00297E6B"/>
    <w:rsid w:val="002A4FA1"/>
    <w:rsid w:val="002A61CA"/>
    <w:rsid w:val="002A6B26"/>
    <w:rsid w:val="002A6DC1"/>
    <w:rsid w:val="002A76B2"/>
    <w:rsid w:val="002B01D5"/>
    <w:rsid w:val="002B0EC5"/>
    <w:rsid w:val="002B1011"/>
    <w:rsid w:val="002B1082"/>
    <w:rsid w:val="002B11F7"/>
    <w:rsid w:val="002B1343"/>
    <w:rsid w:val="002B184F"/>
    <w:rsid w:val="002B2433"/>
    <w:rsid w:val="002B319E"/>
    <w:rsid w:val="002B3603"/>
    <w:rsid w:val="002B3AF3"/>
    <w:rsid w:val="002B53AB"/>
    <w:rsid w:val="002B5A4C"/>
    <w:rsid w:val="002B702F"/>
    <w:rsid w:val="002B76C1"/>
    <w:rsid w:val="002B7718"/>
    <w:rsid w:val="002C00C4"/>
    <w:rsid w:val="002C049B"/>
    <w:rsid w:val="002C087B"/>
    <w:rsid w:val="002C15CF"/>
    <w:rsid w:val="002C1EA7"/>
    <w:rsid w:val="002C2145"/>
    <w:rsid w:val="002C26CD"/>
    <w:rsid w:val="002C3257"/>
    <w:rsid w:val="002C329A"/>
    <w:rsid w:val="002C3C8E"/>
    <w:rsid w:val="002C461A"/>
    <w:rsid w:val="002C4C43"/>
    <w:rsid w:val="002C56C2"/>
    <w:rsid w:val="002D0CA9"/>
    <w:rsid w:val="002D0E9D"/>
    <w:rsid w:val="002D1D80"/>
    <w:rsid w:val="002D1DC8"/>
    <w:rsid w:val="002D2AC3"/>
    <w:rsid w:val="002D3048"/>
    <w:rsid w:val="002D3DF4"/>
    <w:rsid w:val="002D3F25"/>
    <w:rsid w:val="002D3F27"/>
    <w:rsid w:val="002D42F2"/>
    <w:rsid w:val="002D46DD"/>
    <w:rsid w:val="002D4B6E"/>
    <w:rsid w:val="002D4BC2"/>
    <w:rsid w:val="002D4BE7"/>
    <w:rsid w:val="002D598D"/>
    <w:rsid w:val="002D5C50"/>
    <w:rsid w:val="002D756C"/>
    <w:rsid w:val="002E10E9"/>
    <w:rsid w:val="002E1A29"/>
    <w:rsid w:val="002E1F67"/>
    <w:rsid w:val="002E2329"/>
    <w:rsid w:val="002E246C"/>
    <w:rsid w:val="002E2FC7"/>
    <w:rsid w:val="002E31E4"/>
    <w:rsid w:val="002E3C80"/>
    <w:rsid w:val="002E4BF6"/>
    <w:rsid w:val="002E5BFB"/>
    <w:rsid w:val="002E6E68"/>
    <w:rsid w:val="002E76E4"/>
    <w:rsid w:val="002E7AA7"/>
    <w:rsid w:val="002E7B63"/>
    <w:rsid w:val="002F026B"/>
    <w:rsid w:val="002F04E8"/>
    <w:rsid w:val="002F0F92"/>
    <w:rsid w:val="002F11BC"/>
    <w:rsid w:val="002F17C3"/>
    <w:rsid w:val="002F2E44"/>
    <w:rsid w:val="002F3E8F"/>
    <w:rsid w:val="002F41C8"/>
    <w:rsid w:val="002F466B"/>
    <w:rsid w:val="002F492A"/>
    <w:rsid w:val="002F5144"/>
    <w:rsid w:val="002F5609"/>
    <w:rsid w:val="002F5853"/>
    <w:rsid w:val="002F5D4C"/>
    <w:rsid w:val="002F65F6"/>
    <w:rsid w:val="002F6EA7"/>
    <w:rsid w:val="00300AFD"/>
    <w:rsid w:val="003014BD"/>
    <w:rsid w:val="0030157D"/>
    <w:rsid w:val="003024DE"/>
    <w:rsid w:val="003027A0"/>
    <w:rsid w:val="003028D4"/>
    <w:rsid w:val="00302D5E"/>
    <w:rsid w:val="00302D61"/>
    <w:rsid w:val="0030428E"/>
    <w:rsid w:val="003043E6"/>
    <w:rsid w:val="00304A61"/>
    <w:rsid w:val="00304FB6"/>
    <w:rsid w:val="00305D8D"/>
    <w:rsid w:val="0030619A"/>
    <w:rsid w:val="00306BFA"/>
    <w:rsid w:val="00306C0E"/>
    <w:rsid w:val="003070BE"/>
    <w:rsid w:val="00307C5B"/>
    <w:rsid w:val="00307D3D"/>
    <w:rsid w:val="0031019C"/>
    <w:rsid w:val="003106DC"/>
    <w:rsid w:val="00310801"/>
    <w:rsid w:val="003108EC"/>
    <w:rsid w:val="00311085"/>
    <w:rsid w:val="00311360"/>
    <w:rsid w:val="00311945"/>
    <w:rsid w:val="003123D5"/>
    <w:rsid w:val="00312412"/>
    <w:rsid w:val="00312BF8"/>
    <w:rsid w:val="00313320"/>
    <w:rsid w:val="00313621"/>
    <w:rsid w:val="00314326"/>
    <w:rsid w:val="00315982"/>
    <w:rsid w:val="00316095"/>
    <w:rsid w:val="0031686F"/>
    <w:rsid w:val="0031750D"/>
    <w:rsid w:val="003177CE"/>
    <w:rsid w:val="003178E0"/>
    <w:rsid w:val="00320553"/>
    <w:rsid w:val="00320AA6"/>
    <w:rsid w:val="00320DB1"/>
    <w:rsid w:val="0032103F"/>
    <w:rsid w:val="00322801"/>
    <w:rsid w:val="003229A2"/>
    <w:rsid w:val="00322D2B"/>
    <w:rsid w:val="0032328F"/>
    <w:rsid w:val="003234F4"/>
    <w:rsid w:val="00323556"/>
    <w:rsid w:val="00323771"/>
    <w:rsid w:val="003237A8"/>
    <w:rsid w:val="00323B5A"/>
    <w:rsid w:val="00323CC3"/>
    <w:rsid w:val="0032469C"/>
    <w:rsid w:val="00324F2F"/>
    <w:rsid w:val="00325899"/>
    <w:rsid w:val="00326189"/>
    <w:rsid w:val="00326DB4"/>
    <w:rsid w:val="00326DF2"/>
    <w:rsid w:val="003270A1"/>
    <w:rsid w:val="0032768E"/>
    <w:rsid w:val="00327939"/>
    <w:rsid w:val="00327C5B"/>
    <w:rsid w:val="00327F92"/>
    <w:rsid w:val="0033039D"/>
    <w:rsid w:val="003306F4"/>
    <w:rsid w:val="00330D13"/>
    <w:rsid w:val="003319FE"/>
    <w:rsid w:val="00331C5C"/>
    <w:rsid w:val="00332C58"/>
    <w:rsid w:val="00332FAB"/>
    <w:rsid w:val="00333209"/>
    <w:rsid w:val="003336AF"/>
    <w:rsid w:val="00334C7F"/>
    <w:rsid w:val="00335577"/>
    <w:rsid w:val="00335F53"/>
    <w:rsid w:val="00337534"/>
    <w:rsid w:val="0033753F"/>
    <w:rsid w:val="0033782A"/>
    <w:rsid w:val="003404D0"/>
    <w:rsid w:val="00340F52"/>
    <w:rsid w:val="00341E42"/>
    <w:rsid w:val="003426FA"/>
    <w:rsid w:val="00343BF1"/>
    <w:rsid w:val="00343C2C"/>
    <w:rsid w:val="00343EE1"/>
    <w:rsid w:val="00343FFD"/>
    <w:rsid w:val="00344490"/>
    <w:rsid w:val="00344B7A"/>
    <w:rsid w:val="00345499"/>
    <w:rsid w:val="00345968"/>
    <w:rsid w:val="00345C07"/>
    <w:rsid w:val="00345DAB"/>
    <w:rsid w:val="0034605D"/>
    <w:rsid w:val="003465A4"/>
    <w:rsid w:val="0034665D"/>
    <w:rsid w:val="00347356"/>
    <w:rsid w:val="00347C5F"/>
    <w:rsid w:val="0035068B"/>
    <w:rsid w:val="003516D5"/>
    <w:rsid w:val="0035201F"/>
    <w:rsid w:val="00352144"/>
    <w:rsid w:val="00352625"/>
    <w:rsid w:val="00352FB1"/>
    <w:rsid w:val="00353295"/>
    <w:rsid w:val="003536C4"/>
    <w:rsid w:val="003537BD"/>
    <w:rsid w:val="0035433F"/>
    <w:rsid w:val="00354AE7"/>
    <w:rsid w:val="00355E0C"/>
    <w:rsid w:val="00355E87"/>
    <w:rsid w:val="00355FFA"/>
    <w:rsid w:val="00356653"/>
    <w:rsid w:val="003602B7"/>
    <w:rsid w:val="00360453"/>
    <w:rsid w:val="00360B39"/>
    <w:rsid w:val="00360DCB"/>
    <w:rsid w:val="00360E40"/>
    <w:rsid w:val="0036274B"/>
    <w:rsid w:val="00362895"/>
    <w:rsid w:val="00362B53"/>
    <w:rsid w:val="00363087"/>
    <w:rsid w:val="0036346B"/>
    <w:rsid w:val="00363839"/>
    <w:rsid w:val="00363C24"/>
    <w:rsid w:val="003640E9"/>
    <w:rsid w:val="00364A58"/>
    <w:rsid w:val="00364F6E"/>
    <w:rsid w:val="00364F97"/>
    <w:rsid w:val="003650D2"/>
    <w:rsid w:val="00365206"/>
    <w:rsid w:val="00365353"/>
    <w:rsid w:val="003654D0"/>
    <w:rsid w:val="00365774"/>
    <w:rsid w:val="00365807"/>
    <w:rsid w:val="00365D66"/>
    <w:rsid w:val="00366436"/>
    <w:rsid w:val="00367CAC"/>
    <w:rsid w:val="00367F81"/>
    <w:rsid w:val="00367FAC"/>
    <w:rsid w:val="00370C94"/>
    <w:rsid w:val="00371E28"/>
    <w:rsid w:val="00373251"/>
    <w:rsid w:val="00373A12"/>
    <w:rsid w:val="00373AAD"/>
    <w:rsid w:val="00373E50"/>
    <w:rsid w:val="00373F7F"/>
    <w:rsid w:val="00374F09"/>
    <w:rsid w:val="00375103"/>
    <w:rsid w:val="0037524F"/>
    <w:rsid w:val="00375DC0"/>
    <w:rsid w:val="00375F4A"/>
    <w:rsid w:val="0037612B"/>
    <w:rsid w:val="00377301"/>
    <w:rsid w:val="00377A7A"/>
    <w:rsid w:val="00377C21"/>
    <w:rsid w:val="00377D7C"/>
    <w:rsid w:val="00381146"/>
    <w:rsid w:val="00381981"/>
    <w:rsid w:val="003819D4"/>
    <w:rsid w:val="003824A7"/>
    <w:rsid w:val="003831C3"/>
    <w:rsid w:val="0038343A"/>
    <w:rsid w:val="0038438D"/>
    <w:rsid w:val="0038476B"/>
    <w:rsid w:val="003848F6"/>
    <w:rsid w:val="00384E95"/>
    <w:rsid w:val="0038509A"/>
    <w:rsid w:val="00385FFC"/>
    <w:rsid w:val="00386441"/>
    <w:rsid w:val="003869A8"/>
    <w:rsid w:val="00386B50"/>
    <w:rsid w:val="00386F05"/>
    <w:rsid w:val="00387755"/>
    <w:rsid w:val="00387D69"/>
    <w:rsid w:val="003904F5"/>
    <w:rsid w:val="00390C28"/>
    <w:rsid w:val="00391791"/>
    <w:rsid w:val="00391B22"/>
    <w:rsid w:val="003925E0"/>
    <w:rsid w:val="00392AA3"/>
    <w:rsid w:val="00392E3E"/>
    <w:rsid w:val="00393257"/>
    <w:rsid w:val="0039338A"/>
    <w:rsid w:val="00393496"/>
    <w:rsid w:val="003936F8"/>
    <w:rsid w:val="0039381C"/>
    <w:rsid w:val="00393AB5"/>
    <w:rsid w:val="003941F1"/>
    <w:rsid w:val="00395C73"/>
    <w:rsid w:val="00395E11"/>
    <w:rsid w:val="003967EF"/>
    <w:rsid w:val="00397535"/>
    <w:rsid w:val="00397873"/>
    <w:rsid w:val="00397A45"/>
    <w:rsid w:val="00397FBF"/>
    <w:rsid w:val="003A001A"/>
    <w:rsid w:val="003A0325"/>
    <w:rsid w:val="003A0C66"/>
    <w:rsid w:val="003A0E92"/>
    <w:rsid w:val="003A274F"/>
    <w:rsid w:val="003A2E35"/>
    <w:rsid w:val="003A410B"/>
    <w:rsid w:val="003A52D2"/>
    <w:rsid w:val="003A7A33"/>
    <w:rsid w:val="003A7E6E"/>
    <w:rsid w:val="003B0222"/>
    <w:rsid w:val="003B038A"/>
    <w:rsid w:val="003B08D6"/>
    <w:rsid w:val="003B0955"/>
    <w:rsid w:val="003B1019"/>
    <w:rsid w:val="003B2991"/>
    <w:rsid w:val="003B3026"/>
    <w:rsid w:val="003B329B"/>
    <w:rsid w:val="003B36DC"/>
    <w:rsid w:val="003B3C86"/>
    <w:rsid w:val="003B476F"/>
    <w:rsid w:val="003B5727"/>
    <w:rsid w:val="003B665C"/>
    <w:rsid w:val="003B715A"/>
    <w:rsid w:val="003B7372"/>
    <w:rsid w:val="003B7397"/>
    <w:rsid w:val="003B78FE"/>
    <w:rsid w:val="003C03A2"/>
    <w:rsid w:val="003C090E"/>
    <w:rsid w:val="003C0CEF"/>
    <w:rsid w:val="003C1A13"/>
    <w:rsid w:val="003C1C96"/>
    <w:rsid w:val="003C1DF7"/>
    <w:rsid w:val="003C25DC"/>
    <w:rsid w:val="003C263F"/>
    <w:rsid w:val="003C4063"/>
    <w:rsid w:val="003C43CF"/>
    <w:rsid w:val="003C4E38"/>
    <w:rsid w:val="003C50A2"/>
    <w:rsid w:val="003C5CD2"/>
    <w:rsid w:val="003C6855"/>
    <w:rsid w:val="003C6E28"/>
    <w:rsid w:val="003C780E"/>
    <w:rsid w:val="003D00E9"/>
    <w:rsid w:val="003D081B"/>
    <w:rsid w:val="003D11E4"/>
    <w:rsid w:val="003D13D3"/>
    <w:rsid w:val="003D1F3C"/>
    <w:rsid w:val="003D2639"/>
    <w:rsid w:val="003D27F8"/>
    <w:rsid w:val="003D4057"/>
    <w:rsid w:val="003D49D1"/>
    <w:rsid w:val="003D57E9"/>
    <w:rsid w:val="003D6258"/>
    <w:rsid w:val="003D6274"/>
    <w:rsid w:val="003D6634"/>
    <w:rsid w:val="003D68A0"/>
    <w:rsid w:val="003D73B3"/>
    <w:rsid w:val="003D7A35"/>
    <w:rsid w:val="003E075A"/>
    <w:rsid w:val="003E081A"/>
    <w:rsid w:val="003E240D"/>
    <w:rsid w:val="003E2AED"/>
    <w:rsid w:val="003E2CA3"/>
    <w:rsid w:val="003E38FC"/>
    <w:rsid w:val="003E4B27"/>
    <w:rsid w:val="003E53F2"/>
    <w:rsid w:val="003F018F"/>
    <w:rsid w:val="003F06F3"/>
    <w:rsid w:val="003F07DF"/>
    <w:rsid w:val="003F12A1"/>
    <w:rsid w:val="003F230E"/>
    <w:rsid w:val="003F3323"/>
    <w:rsid w:val="003F3AF7"/>
    <w:rsid w:val="003F5571"/>
    <w:rsid w:val="003F67CC"/>
    <w:rsid w:val="003F6C6C"/>
    <w:rsid w:val="003F799C"/>
    <w:rsid w:val="003F7F23"/>
    <w:rsid w:val="004004D2"/>
    <w:rsid w:val="00400D2A"/>
    <w:rsid w:val="00401083"/>
    <w:rsid w:val="0040218D"/>
    <w:rsid w:val="004025A2"/>
    <w:rsid w:val="00402F55"/>
    <w:rsid w:val="004034E9"/>
    <w:rsid w:val="00403527"/>
    <w:rsid w:val="00403662"/>
    <w:rsid w:val="00404E02"/>
    <w:rsid w:val="004062D0"/>
    <w:rsid w:val="0040635D"/>
    <w:rsid w:val="00406C39"/>
    <w:rsid w:val="0040764B"/>
    <w:rsid w:val="0041017A"/>
    <w:rsid w:val="004111E0"/>
    <w:rsid w:val="00411CA7"/>
    <w:rsid w:val="00412251"/>
    <w:rsid w:val="00412882"/>
    <w:rsid w:val="00413766"/>
    <w:rsid w:val="004140DA"/>
    <w:rsid w:val="00414A5B"/>
    <w:rsid w:val="004152F2"/>
    <w:rsid w:val="00415514"/>
    <w:rsid w:val="00415A03"/>
    <w:rsid w:val="00416E29"/>
    <w:rsid w:val="00417F3A"/>
    <w:rsid w:val="0042069D"/>
    <w:rsid w:val="00420C93"/>
    <w:rsid w:val="00421073"/>
    <w:rsid w:val="00421B68"/>
    <w:rsid w:val="004230E3"/>
    <w:rsid w:val="00423290"/>
    <w:rsid w:val="004235EA"/>
    <w:rsid w:val="00424556"/>
    <w:rsid w:val="0042539B"/>
    <w:rsid w:val="004253EB"/>
    <w:rsid w:val="0042557B"/>
    <w:rsid w:val="00425732"/>
    <w:rsid w:val="00425DDB"/>
    <w:rsid w:val="00425E65"/>
    <w:rsid w:val="00426078"/>
    <w:rsid w:val="0042682D"/>
    <w:rsid w:val="00426DCE"/>
    <w:rsid w:val="004270E9"/>
    <w:rsid w:val="0042722F"/>
    <w:rsid w:val="004275E8"/>
    <w:rsid w:val="004276F1"/>
    <w:rsid w:val="00427F03"/>
    <w:rsid w:val="00431166"/>
    <w:rsid w:val="0043179D"/>
    <w:rsid w:val="004320A4"/>
    <w:rsid w:val="00432132"/>
    <w:rsid w:val="0043215B"/>
    <w:rsid w:val="00432D72"/>
    <w:rsid w:val="00433646"/>
    <w:rsid w:val="00436104"/>
    <w:rsid w:val="00436CE4"/>
    <w:rsid w:val="00437690"/>
    <w:rsid w:val="004377C4"/>
    <w:rsid w:val="00437BB1"/>
    <w:rsid w:val="00437BE1"/>
    <w:rsid w:val="00437C9F"/>
    <w:rsid w:val="00440452"/>
    <w:rsid w:val="00440733"/>
    <w:rsid w:val="004409B3"/>
    <w:rsid w:val="00440A66"/>
    <w:rsid w:val="004438E6"/>
    <w:rsid w:val="00443BF5"/>
    <w:rsid w:val="00443F22"/>
    <w:rsid w:val="00444373"/>
    <w:rsid w:val="004448BE"/>
    <w:rsid w:val="00444990"/>
    <w:rsid w:val="00445F86"/>
    <w:rsid w:val="00446AF7"/>
    <w:rsid w:val="00446B4F"/>
    <w:rsid w:val="00446F61"/>
    <w:rsid w:val="00447455"/>
    <w:rsid w:val="00447C75"/>
    <w:rsid w:val="00450441"/>
    <w:rsid w:val="00450509"/>
    <w:rsid w:val="004507CD"/>
    <w:rsid w:val="00451268"/>
    <w:rsid w:val="004517AD"/>
    <w:rsid w:val="0045227C"/>
    <w:rsid w:val="00452813"/>
    <w:rsid w:val="00453FDA"/>
    <w:rsid w:val="004544AB"/>
    <w:rsid w:val="004548BD"/>
    <w:rsid w:val="00454FC9"/>
    <w:rsid w:val="0045547A"/>
    <w:rsid w:val="00455732"/>
    <w:rsid w:val="00455AE4"/>
    <w:rsid w:val="00455C5F"/>
    <w:rsid w:val="00455EB2"/>
    <w:rsid w:val="00456744"/>
    <w:rsid w:val="00456CF3"/>
    <w:rsid w:val="00456D8C"/>
    <w:rsid w:val="00457563"/>
    <w:rsid w:val="00457BFC"/>
    <w:rsid w:val="004601A3"/>
    <w:rsid w:val="004624C0"/>
    <w:rsid w:val="00462B8F"/>
    <w:rsid w:val="00463DCF"/>
    <w:rsid w:val="00463E1A"/>
    <w:rsid w:val="00464BE4"/>
    <w:rsid w:val="00464F92"/>
    <w:rsid w:val="00465DCA"/>
    <w:rsid w:val="00466129"/>
    <w:rsid w:val="00466231"/>
    <w:rsid w:val="00466316"/>
    <w:rsid w:val="0046632A"/>
    <w:rsid w:val="0046647B"/>
    <w:rsid w:val="00466724"/>
    <w:rsid w:val="004667E8"/>
    <w:rsid w:val="00467C77"/>
    <w:rsid w:val="00467D51"/>
    <w:rsid w:val="00471F00"/>
    <w:rsid w:val="00471F49"/>
    <w:rsid w:val="00472769"/>
    <w:rsid w:val="00472AE9"/>
    <w:rsid w:val="004735D6"/>
    <w:rsid w:val="00473EBB"/>
    <w:rsid w:val="0047469E"/>
    <w:rsid w:val="00474883"/>
    <w:rsid w:val="00474E67"/>
    <w:rsid w:val="004761DB"/>
    <w:rsid w:val="004771E3"/>
    <w:rsid w:val="004775FD"/>
    <w:rsid w:val="00477A96"/>
    <w:rsid w:val="00480664"/>
    <w:rsid w:val="00481C4D"/>
    <w:rsid w:val="00483524"/>
    <w:rsid w:val="00483A4F"/>
    <w:rsid w:val="00483F59"/>
    <w:rsid w:val="0048462D"/>
    <w:rsid w:val="004848B7"/>
    <w:rsid w:val="00485462"/>
    <w:rsid w:val="00485D99"/>
    <w:rsid w:val="0048614B"/>
    <w:rsid w:val="0048668C"/>
    <w:rsid w:val="00486711"/>
    <w:rsid w:val="00486734"/>
    <w:rsid w:val="0048754B"/>
    <w:rsid w:val="004904DE"/>
    <w:rsid w:val="00490A8A"/>
    <w:rsid w:val="00491280"/>
    <w:rsid w:val="00491851"/>
    <w:rsid w:val="00491A1E"/>
    <w:rsid w:val="00491C0F"/>
    <w:rsid w:val="00491E9E"/>
    <w:rsid w:val="0049233C"/>
    <w:rsid w:val="00492A7D"/>
    <w:rsid w:val="00492C99"/>
    <w:rsid w:val="00492FC7"/>
    <w:rsid w:val="00494C6A"/>
    <w:rsid w:val="0049555D"/>
    <w:rsid w:val="00495FBE"/>
    <w:rsid w:val="00497F56"/>
    <w:rsid w:val="00497FFA"/>
    <w:rsid w:val="004A111F"/>
    <w:rsid w:val="004A14AA"/>
    <w:rsid w:val="004A3240"/>
    <w:rsid w:val="004A4743"/>
    <w:rsid w:val="004A4AD5"/>
    <w:rsid w:val="004A5232"/>
    <w:rsid w:val="004A6370"/>
    <w:rsid w:val="004A68AE"/>
    <w:rsid w:val="004A6FBF"/>
    <w:rsid w:val="004A7B83"/>
    <w:rsid w:val="004B0578"/>
    <w:rsid w:val="004B0A6E"/>
    <w:rsid w:val="004B0DA4"/>
    <w:rsid w:val="004B1222"/>
    <w:rsid w:val="004B126B"/>
    <w:rsid w:val="004B12D7"/>
    <w:rsid w:val="004B1CD6"/>
    <w:rsid w:val="004B1DD5"/>
    <w:rsid w:val="004B1FF4"/>
    <w:rsid w:val="004B27A9"/>
    <w:rsid w:val="004B338C"/>
    <w:rsid w:val="004B33F5"/>
    <w:rsid w:val="004B3C43"/>
    <w:rsid w:val="004B3D51"/>
    <w:rsid w:val="004B48C8"/>
    <w:rsid w:val="004B578C"/>
    <w:rsid w:val="004B6196"/>
    <w:rsid w:val="004B698A"/>
    <w:rsid w:val="004B75CF"/>
    <w:rsid w:val="004B7FD8"/>
    <w:rsid w:val="004C0AD4"/>
    <w:rsid w:val="004C10C8"/>
    <w:rsid w:val="004C12ED"/>
    <w:rsid w:val="004C2786"/>
    <w:rsid w:val="004C2C4D"/>
    <w:rsid w:val="004C3BB5"/>
    <w:rsid w:val="004C4040"/>
    <w:rsid w:val="004C4B3D"/>
    <w:rsid w:val="004C51B6"/>
    <w:rsid w:val="004C52BD"/>
    <w:rsid w:val="004C6038"/>
    <w:rsid w:val="004C666A"/>
    <w:rsid w:val="004D0E12"/>
    <w:rsid w:val="004D18DE"/>
    <w:rsid w:val="004D2061"/>
    <w:rsid w:val="004D2758"/>
    <w:rsid w:val="004D2B8B"/>
    <w:rsid w:val="004D30DE"/>
    <w:rsid w:val="004D39D5"/>
    <w:rsid w:val="004D4D3F"/>
    <w:rsid w:val="004D5476"/>
    <w:rsid w:val="004D55FD"/>
    <w:rsid w:val="004D5834"/>
    <w:rsid w:val="004D5C6A"/>
    <w:rsid w:val="004D5C91"/>
    <w:rsid w:val="004D6237"/>
    <w:rsid w:val="004D6925"/>
    <w:rsid w:val="004E07D2"/>
    <w:rsid w:val="004E11C7"/>
    <w:rsid w:val="004E15AA"/>
    <w:rsid w:val="004E1B1C"/>
    <w:rsid w:val="004E24FF"/>
    <w:rsid w:val="004E36B1"/>
    <w:rsid w:val="004E38CA"/>
    <w:rsid w:val="004E39E5"/>
    <w:rsid w:val="004E3C1A"/>
    <w:rsid w:val="004E3F0A"/>
    <w:rsid w:val="004E3FD6"/>
    <w:rsid w:val="004E49BC"/>
    <w:rsid w:val="004E4CEF"/>
    <w:rsid w:val="004E543C"/>
    <w:rsid w:val="004E54E4"/>
    <w:rsid w:val="004E5DD6"/>
    <w:rsid w:val="004E65AE"/>
    <w:rsid w:val="004E666B"/>
    <w:rsid w:val="004E69FC"/>
    <w:rsid w:val="004E6AF3"/>
    <w:rsid w:val="004E6E32"/>
    <w:rsid w:val="004E7CDC"/>
    <w:rsid w:val="004F03F8"/>
    <w:rsid w:val="004F0DB3"/>
    <w:rsid w:val="004F1B2E"/>
    <w:rsid w:val="004F2AA7"/>
    <w:rsid w:val="004F3FF4"/>
    <w:rsid w:val="004F4637"/>
    <w:rsid w:val="004F49A4"/>
    <w:rsid w:val="004F4AB3"/>
    <w:rsid w:val="004F6F8D"/>
    <w:rsid w:val="004F7454"/>
    <w:rsid w:val="005004D9"/>
    <w:rsid w:val="005013D9"/>
    <w:rsid w:val="005017CA"/>
    <w:rsid w:val="00501BF6"/>
    <w:rsid w:val="00501E76"/>
    <w:rsid w:val="00502140"/>
    <w:rsid w:val="00502F09"/>
    <w:rsid w:val="005030D5"/>
    <w:rsid w:val="0050380D"/>
    <w:rsid w:val="00503921"/>
    <w:rsid w:val="00504566"/>
    <w:rsid w:val="005047BC"/>
    <w:rsid w:val="005056F5"/>
    <w:rsid w:val="00505815"/>
    <w:rsid w:val="00505C8C"/>
    <w:rsid w:val="005074C1"/>
    <w:rsid w:val="00507520"/>
    <w:rsid w:val="005077EE"/>
    <w:rsid w:val="00510038"/>
    <w:rsid w:val="0051026C"/>
    <w:rsid w:val="00511582"/>
    <w:rsid w:val="005115AE"/>
    <w:rsid w:val="00511B07"/>
    <w:rsid w:val="00511B1A"/>
    <w:rsid w:val="00512A3D"/>
    <w:rsid w:val="00512C3B"/>
    <w:rsid w:val="00513750"/>
    <w:rsid w:val="00514031"/>
    <w:rsid w:val="0051455C"/>
    <w:rsid w:val="00514D5E"/>
    <w:rsid w:val="00514F44"/>
    <w:rsid w:val="00515614"/>
    <w:rsid w:val="00515EDB"/>
    <w:rsid w:val="005162BC"/>
    <w:rsid w:val="00516FBB"/>
    <w:rsid w:val="005173CB"/>
    <w:rsid w:val="0052097A"/>
    <w:rsid w:val="00521363"/>
    <w:rsid w:val="00523067"/>
    <w:rsid w:val="005233B2"/>
    <w:rsid w:val="005234AB"/>
    <w:rsid w:val="0052394A"/>
    <w:rsid w:val="005239AE"/>
    <w:rsid w:val="00523B2B"/>
    <w:rsid w:val="00523BA0"/>
    <w:rsid w:val="005244AC"/>
    <w:rsid w:val="005247AB"/>
    <w:rsid w:val="00524857"/>
    <w:rsid w:val="00524C7C"/>
    <w:rsid w:val="00524CB1"/>
    <w:rsid w:val="00525C59"/>
    <w:rsid w:val="00525EF0"/>
    <w:rsid w:val="005263F8"/>
    <w:rsid w:val="00526C4D"/>
    <w:rsid w:val="00526F6C"/>
    <w:rsid w:val="00527337"/>
    <w:rsid w:val="005274E4"/>
    <w:rsid w:val="00527D82"/>
    <w:rsid w:val="00527DD6"/>
    <w:rsid w:val="00530745"/>
    <w:rsid w:val="00530B42"/>
    <w:rsid w:val="00531F51"/>
    <w:rsid w:val="00533EEC"/>
    <w:rsid w:val="005349EB"/>
    <w:rsid w:val="00536176"/>
    <w:rsid w:val="005362D0"/>
    <w:rsid w:val="005402F6"/>
    <w:rsid w:val="00541103"/>
    <w:rsid w:val="0054173C"/>
    <w:rsid w:val="00542091"/>
    <w:rsid w:val="00542A4E"/>
    <w:rsid w:val="005441B0"/>
    <w:rsid w:val="0054447B"/>
    <w:rsid w:val="005446ED"/>
    <w:rsid w:val="00544C1A"/>
    <w:rsid w:val="00544CDC"/>
    <w:rsid w:val="005450CF"/>
    <w:rsid w:val="005455F9"/>
    <w:rsid w:val="00545EC1"/>
    <w:rsid w:val="00546368"/>
    <w:rsid w:val="005468BA"/>
    <w:rsid w:val="005469DC"/>
    <w:rsid w:val="00546ED2"/>
    <w:rsid w:val="00547024"/>
    <w:rsid w:val="00550C4E"/>
    <w:rsid w:val="005516B7"/>
    <w:rsid w:val="005522A2"/>
    <w:rsid w:val="0055255B"/>
    <w:rsid w:val="005526C7"/>
    <w:rsid w:val="00552A44"/>
    <w:rsid w:val="00553765"/>
    <w:rsid w:val="00553FF2"/>
    <w:rsid w:val="005550EB"/>
    <w:rsid w:val="005554BD"/>
    <w:rsid w:val="00555BAE"/>
    <w:rsid w:val="00555F21"/>
    <w:rsid w:val="0055604D"/>
    <w:rsid w:val="00557C26"/>
    <w:rsid w:val="005601F6"/>
    <w:rsid w:val="00560268"/>
    <w:rsid w:val="005603C6"/>
    <w:rsid w:val="00560AF3"/>
    <w:rsid w:val="00561737"/>
    <w:rsid w:val="00561C7E"/>
    <w:rsid w:val="00564352"/>
    <w:rsid w:val="00564A4B"/>
    <w:rsid w:val="00564BD6"/>
    <w:rsid w:val="0056525E"/>
    <w:rsid w:val="005652BE"/>
    <w:rsid w:val="0056588C"/>
    <w:rsid w:val="00565DC9"/>
    <w:rsid w:val="005660ED"/>
    <w:rsid w:val="00566285"/>
    <w:rsid w:val="00566529"/>
    <w:rsid w:val="00566858"/>
    <w:rsid w:val="00566A2F"/>
    <w:rsid w:val="00566BF6"/>
    <w:rsid w:val="00566CF2"/>
    <w:rsid w:val="00570A2E"/>
    <w:rsid w:val="00570D71"/>
    <w:rsid w:val="005710A6"/>
    <w:rsid w:val="005712D3"/>
    <w:rsid w:val="005715CF"/>
    <w:rsid w:val="00573118"/>
    <w:rsid w:val="0057404C"/>
    <w:rsid w:val="00574FCF"/>
    <w:rsid w:val="00575454"/>
    <w:rsid w:val="005755EF"/>
    <w:rsid w:val="00575889"/>
    <w:rsid w:val="00575A19"/>
    <w:rsid w:val="00576299"/>
    <w:rsid w:val="00576878"/>
    <w:rsid w:val="00576DF1"/>
    <w:rsid w:val="0057797B"/>
    <w:rsid w:val="00577BA6"/>
    <w:rsid w:val="00581E96"/>
    <w:rsid w:val="00581FB3"/>
    <w:rsid w:val="00582F40"/>
    <w:rsid w:val="00583C9B"/>
    <w:rsid w:val="00584690"/>
    <w:rsid w:val="00584B7A"/>
    <w:rsid w:val="0058501F"/>
    <w:rsid w:val="00585D44"/>
    <w:rsid w:val="00585E2D"/>
    <w:rsid w:val="00587331"/>
    <w:rsid w:val="005879DC"/>
    <w:rsid w:val="005902C6"/>
    <w:rsid w:val="00591C8D"/>
    <w:rsid w:val="00592E1E"/>
    <w:rsid w:val="00592F39"/>
    <w:rsid w:val="00593F6B"/>
    <w:rsid w:val="00595240"/>
    <w:rsid w:val="005959C6"/>
    <w:rsid w:val="0059640C"/>
    <w:rsid w:val="00596B35"/>
    <w:rsid w:val="005A01F2"/>
    <w:rsid w:val="005A048E"/>
    <w:rsid w:val="005A0807"/>
    <w:rsid w:val="005A0D10"/>
    <w:rsid w:val="005A0E5D"/>
    <w:rsid w:val="005A14E2"/>
    <w:rsid w:val="005A15F1"/>
    <w:rsid w:val="005A1699"/>
    <w:rsid w:val="005A2D73"/>
    <w:rsid w:val="005A363D"/>
    <w:rsid w:val="005A4664"/>
    <w:rsid w:val="005A513D"/>
    <w:rsid w:val="005A5BA5"/>
    <w:rsid w:val="005A5FD4"/>
    <w:rsid w:val="005A7292"/>
    <w:rsid w:val="005A7478"/>
    <w:rsid w:val="005A790B"/>
    <w:rsid w:val="005B1306"/>
    <w:rsid w:val="005B15E6"/>
    <w:rsid w:val="005B1CC5"/>
    <w:rsid w:val="005B2634"/>
    <w:rsid w:val="005B29C8"/>
    <w:rsid w:val="005B31CB"/>
    <w:rsid w:val="005B39E5"/>
    <w:rsid w:val="005B39EA"/>
    <w:rsid w:val="005B3ED7"/>
    <w:rsid w:val="005B4635"/>
    <w:rsid w:val="005B46BE"/>
    <w:rsid w:val="005B4832"/>
    <w:rsid w:val="005B4A10"/>
    <w:rsid w:val="005B4A84"/>
    <w:rsid w:val="005B5393"/>
    <w:rsid w:val="005B59FB"/>
    <w:rsid w:val="005B5AA3"/>
    <w:rsid w:val="005B6639"/>
    <w:rsid w:val="005B78D6"/>
    <w:rsid w:val="005B7FBA"/>
    <w:rsid w:val="005C182F"/>
    <w:rsid w:val="005C2A11"/>
    <w:rsid w:val="005C30E9"/>
    <w:rsid w:val="005C372E"/>
    <w:rsid w:val="005C43BB"/>
    <w:rsid w:val="005C533A"/>
    <w:rsid w:val="005C5F39"/>
    <w:rsid w:val="005C65BA"/>
    <w:rsid w:val="005C69DF"/>
    <w:rsid w:val="005C6A8A"/>
    <w:rsid w:val="005C718E"/>
    <w:rsid w:val="005C7C4F"/>
    <w:rsid w:val="005C7CA4"/>
    <w:rsid w:val="005D0A64"/>
    <w:rsid w:val="005D0B0A"/>
    <w:rsid w:val="005D1198"/>
    <w:rsid w:val="005D12FC"/>
    <w:rsid w:val="005D1876"/>
    <w:rsid w:val="005D18C7"/>
    <w:rsid w:val="005D19C9"/>
    <w:rsid w:val="005D35BE"/>
    <w:rsid w:val="005D46D3"/>
    <w:rsid w:val="005D5154"/>
    <w:rsid w:val="005D5353"/>
    <w:rsid w:val="005D5BAC"/>
    <w:rsid w:val="005D5DBD"/>
    <w:rsid w:val="005D5F0B"/>
    <w:rsid w:val="005D6D1C"/>
    <w:rsid w:val="005D6DDA"/>
    <w:rsid w:val="005D72A7"/>
    <w:rsid w:val="005E05E5"/>
    <w:rsid w:val="005E0A23"/>
    <w:rsid w:val="005E0C53"/>
    <w:rsid w:val="005E1721"/>
    <w:rsid w:val="005E245A"/>
    <w:rsid w:val="005E25D0"/>
    <w:rsid w:val="005E2631"/>
    <w:rsid w:val="005E3D13"/>
    <w:rsid w:val="005E4467"/>
    <w:rsid w:val="005E5306"/>
    <w:rsid w:val="005E554A"/>
    <w:rsid w:val="005E5B16"/>
    <w:rsid w:val="005E5F52"/>
    <w:rsid w:val="005E6311"/>
    <w:rsid w:val="005E65D7"/>
    <w:rsid w:val="005E677E"/>
    <w:rsid w:val="005E6895"/>
    <w:rsid w:val="005E767B"/>
    <w:rsid w:val="005E7A15"/>
    <w:rsid w:val="005E7BF0"/>
    <w:rsid w:val="005E7DEA"/>
    <w:rsid w:val="005F0258"/>
    <w:rsid w:val="005F0433"/>
    <w:rsid w:val="005F0451"/>
    <w:rsid w:val="005F080A"/>
    <w:rsid w:val="005F0DE1"/>
    <w:rsid w:val="005F18CA"/>
    <w:rsid w:val="005F21AE"/>
    <w:rsid w:val="005F2254"/>
    <w:rsid w:val="005F2BBD"/>
    <w:rsid w:val="005F3248"/>
    <w:rsid w:val="005F34F3"/>
    <w:rsid w:val="005F35D9"/>
    <w:rsid w:val="005F4211"/>
    <w:rsid w:val="005F46E7"/>
    <w:rsid w:val="005F60DE"/>
    <w:rsid w:val="005F70BD"/>
    <w:rsid w:val="005F7A86"/>
    <w:rsid w:val="00601370"/>
    <w:rsid w:val="0060146C"/>
    <w:rsid w:val="00601524"/>
    <w:rsid w:val="00601701"/>
    <w:rsid w:val="00601B9A"/>
    <w:rsid w:val="00603097"/>
    <w:rsid w:val="006042A2"/>
    <w:rsid w:val="00604A88"/>
    <w:rsid w:val="00604BC2"/>
    <w:rsid w:val="00604ED1"/>
    <w:rsid w:val="00605A14"/>
    <w:rsid w:val="0060614A"/>
    <w:rsid w:val="006065FA"/>
    <w:rsid w:val="00606AF9"/>
    <w:rsid w:val="006070D1"/>
    <w:rsid w:val="006077D9"/>
    <w:rsid w:val="006103F2"/>
    <w:rsid w:val="006105D3"/>
    <w:rsid w:val="00610646"/>
    <w:rsid w:val="00610DA4"/>
    <w:rsid w:val="00611099"/>
    <w:rsid w:val="00611BBE"/>
    <w:rsid w:val="00611EA9"/>
    <w:rsid w:val="0061242A"/>
    <w:rsid w:val="006124EF"/>
    <w:rsid w:val="0061331C"/>
    <w:rsid w:val="00614115"/>
    <w:rsid w:val="0061414B"/>
    <w:rsid w:val="00614306"/>
    <w:rsid w:val="006148DB"/>
    <w:rsid w:val="0061565F"/>
    <w:rsid w:val="006157E3"/>
    <w:rsid w:val="0061590B"/>
    <w:rsid w:val="0061606D"/>
    <w:rsid w:val="0061715D"/>
    <w:rsid w:val="00617330"/>
    <w:rsid w:val="00617B26"/>
    <w:rsid w:val="00617F64"/>
    <w:rsid w:val="0062146F"/>
    <w:rsid w:val="0062243B"/>
    <w:rsid w:val="0062271A"/>
    <w:rsid w:val="00623FD1"/>
    <w:rsid w:val="00623FD3"/>
    <w:rsid w:val="00624E98"/>
    <w:rsid w:val="00625AF4"/>
    <w:rsid w:val="00625C99"/>
    <w:rsid w:val="0062636F"/>
    <w:rsid w:val="0062710A"/>
    <w:rsid w:val="006276D0"/>
    <w:rsid w:val="00627773"/>
    <w:rsid w:val="006301C7"/>
    <w:rsid w:val="0063121A"/>
    <w:rsid w:val="00631414"/>
    <w:rsid w:val="006315E7"/>
    <w:rsid w:val="0063241C"/>
    <w:rsid w:val="0063266C"/>
    <w:rsid w:val="00632CA7"/>
    <w:rsid w:val="0063449E"/>
    <w:rsid w:val="00634562"/>
    <w:rsid w:val="006346F8"/>
    <w:rsid w:val="00634CB6"/>
    <w:rsid w:val="00634DBC"/>
    <w:rsid w:val="006357AD"/>
    <w:rsid w:val="00635AD3"/>
    <w:rsid w:val="00635AEC"/>
    <w:rsid w:val="00636A8E"/>
    <w:rsid w:val="00636ACC"/>
    <w:rsid w:val="006379EF"/>
    <w:rsid w:val="00640262"/>
    <w:rsid w:val="00640703"/>
    <w:rsid w:val="00641036"/>
    <w:rsid w:val="00641359"/>
    <w:rsid w:val="00641365"/>
    <w:rsid w:val="0064157F"/>
    <w:rsid w:val="00642172"/>
    <w:rsid w:val="00642400"/>
    <w:rsid w:val="00642AAF"/>
    <w:rsid w:val="006433C5"/>
    <w:rsid w:val="00643DE1"/>
    <w:rsid w:val="00643DE6"/>
    <w:rsid w:val="00644A55"/>
    <w:rsid w:val="006453F7"/>
    <w:rsid w:val="00645C58"/>
    <w:rsid w:val="006463A6"/>
    <w:rsid w:val="0064739A"/>
    <w:rsid w:val="00647D51"/>
    <w:rsid w:val="006500F6"/>
    <w:rsid w:val="006505E8"/>
    <w:rsid w:val="00650871"/>
    <w:rsid w:val="006515DC"/>
    <w:rsid w:val="006524FA"/>
    <w:rsid w:val="00652785"/>
    <w:rsid w:val="006529D3"/>
    <w:rsid w:val="00652B24"/>
    <w:rsid w:val="00652F1C"/>
    <w:rsid w:val="00652FA5"/>
    <w:rsid w:val="006531FB"/>
    <w:rsid w:val="00653BBB"/>
    <w:rsid w:val="006541A2"/>
    <w:rsid w:val="0065484F"/>
    <w:rsid w:val="00654FCF"/>
    <w:rsid w:val="00655236"/>
    <w:rsid w:val="006553C9"/>
    <w:rsid w:val="00655DB3"/>
    <w:rsid w:val="0065621A"/>
    <w:rsid w:val="0065639B"/>
    <w:rsid w:val="0065780D"/>
    <w:rsid w:val="00657EA9"/>
    <w:rsid w:val="0066003A"/>
    <w:rsid w:val="00660235"/>
    <w:rsid w:val="00660638"/>
    <w:rsid w:val="0066085A"/>
    <w:rsid w:val="00660984"/>
    <w:rsid w:val="00660F9F"/>
    <w:rsid w:val="006610FD"/>
    <w:rsid w:val="00661382"/>
    <w:rsid w:val="00661E41"/>
    <w:rsid w:val="00662956"/>
    <w:rsid w:val="00662DB1"/>
    <w:rsid w:val="00663060"/>
    <w:rsid w:val="006640D6"/>
    <w:rsid w:val="00664568"/>
    <w:rsid w:val="00664FA3"/>
    <w:rsid w:val="00665EF8"/>
    <w:rsid w:val="006669DD"/>
    <w:rsid w:val="00666AA0"/>
    <w:rsid w:val="00667241"/>
    <w:rsid w:val="006674F2"/>
    <w:rsid w:val="00667D9D"/>
    <w:rsid w:val="00667F55"/>
    <w:rsid w:val="00670308"/>
    <w:rsid w:val="00670771"/>
    <w:rsid w:val="00670BFE"/>
    <w:rsid w:val="00670EAE"/>
    <w:rsid w:val="006711F7"/>
    <w:rsid w:val="00672D19"/>
    <w:rsid w:val="00673061"/>
    <w:rsid w:val="0067328E"/>
    <w:rsid w:val="00674286"/>
    <w:rsid w:val="006742E0"/>
    <w:rsid w:val="00674B02"/>
    <w:rsid w:val="00675650"/>
    <w:rsid w:val="00675E41"/>
    <w:rsid w:val="00676562"/>
    <w:rsid w:val="006772B9"/>
    <w:rsid w:val="00677552"/>
    <w:rsid w:val="00677A92"/>
    <w:rsid w:val="00677BBD"/>
    <w:rsid w:val="006806E1"/>
    <w:rsid w:val="00680ECE"/>
    <w:rsid w:val="00681022"/>
    <w:rsid w:val="00681EFF"/>
    <w:rsid w:val="00681FDC"/>
    <w:rsid w:val="00682379"/>
    <w:rsid w:val="00683AFE"/>
    <w:rsid w:val="0068459B"/>
    <w:rsid w:val="00685230"/>
    <w:rsid w:val="00686142"/>
    <w:rsid w:val="00686ABA"/>
    <w:rsid w:val="00686E60"/>
    <w:rsid w:val="0068758F"/>
    <w:rsid w:val="00687C45"/>
    <w:rsid w:val="00687F0E"/>
    <w:rsid w:val="00690572"/>
    <w:rsid w:val="00690B4E"/>
    <w:rsid w:val="00691C7A"/>
    <w:rsid w:val="00691EA4"/>
    <w:rsid w:val="00692B34"/>
    <w:rsid w:val="006938EE"/>
    <w:rsid w:val="006946EC"/>
    <w:rsid w:val="00696B8E"/>
    <w:rsid w:val="00696EE3"/>
    <w:rsid w:val="006A0136"/>
    <w:rsid w:val="006A01B6"/>
    <w:rsid w:val="006A0759"/>
    <w:rsid w:val="006A0F57"/>
    <w:rsid w:val="006A1094"/>
    <w:rsid w:val="006A1467"/>
    <w:rsid w:val="006A14DF"/>
    <w:rsid w:val="006A171E"/>
    <w:rsid w:val="006A1DE2"/>
    <w:rsid w:val="006A3080"/>
    <w:rsid w:val="006A35F0"/>
    <w:rsid w:val="006A3C41"/>
    <w:rsid w:val="006A4414"/>
    <w:rsid w:val="006A4F48"/>
    <w:rsid w:val="006A5251"/>
    <w:rsid w:val="006A52E1"/>
    <w:rsid w:val="006A53EA"/>
    <w:rsid w:val="006A5521"/>
    <w:rsid w:val="006A60E5"/>
    <w:rsid w:val="006A6724"/>
    <w:rsid w:val="006A7429"/>
    <w:rsid w:val="006A7774"/>
    <w:rsid w:val="006B0046"/>
    <w:rsid w:val="006B019D"/>
    <w:rsid w:val="006B03A0"/>
    <w:rsid w:val="006B1B23"/>
    <w:rsid w:val="006B2BAA"/>
    <w:rsid w:val="006B300C"/>
    <w:rsid w:val="006B360F"/>
    <w:rsid w:val="006B3EC2"/>
    <w:rsid w:val="006B426F"/>
    <w:rsid w:val="006B4D7E"/>
    <w:rsid w:val="006B504C"/>
    <w:rsid w:val="006B56D5"/>
    <w:rsid w:val="006B6CBA"/>
    <w:rsid w:val="006B7387"/>
    <w:rsid w:val="006C008E"/>
    <w:rsid w:val="006C00A1"/>
    <w:rsid w:val="006C0FE6"/>
    <w:rsid w:val="006C171E"/>
    <w:rsid w:val="006C1D6C"/>
    <w:rsid w:val="006C1D84"/>
    <w:rsid w:val="006C235F"/>
    <w:rsid w:val="006C2790"/>
    <w:rsid w:val="006C2867"/>
    <w:rsid w:val="006C28EC"/>
    <w:rsid w:val="006C4489"/>
    <w:rsid w:val="006C48A6"/>
    <w:rsid w:val="006C49E0"/>
    <w:rsid w:val="006C4E54"/>
    <w:rsid w:val="006C525C"/>
    <w:rsid w:val="006C52E2"/>
    <w:rsid w:val="006C530A"/>
    <w:rsid w:val="006C598A"/>
    <w:rsid w:val="006C5AFE"/>
    <w:rsid w:val="006C5B5D"/>
    <w:rsid w:val="006C5EFC"/>
    <w:rsid w:val="006C5F2B"/>
    <w:rsid w:val="006C623D"/>
    <w:rsid w:val="006C65E0"/>
    <w:rsid w:val="006C67B3"/>
    <w:rsid w:val="006C7C00"/>
    <w:rsid w:val="006C7CCD"/>
    <w:rsid w:val="006D0306"/>
    <w:rsid w:val="006D0518"/>
    <w:rsid w:val="006D088B"/>
    <w:rsid w:val="006D178C"/>
    <w:rsid w:val="006D1B10"/>
    <w:rsid w:val="006D2C7B"/>
    <w:rsid w:val="006D30F1"/>
    <w:rsid w:val="006D3A9C"/>
    <w:rsid w:val="006D45A3"/>
    <w:rsid w:val="006D499D"/>
    <w:rsid w:val="006D4E2A"/>
    <w:rsid w:val="006D5275"/>
    <w:rsid w:val="006D53E0"/>
    <w:rsid w:val="006D56FD"/>
    <w:rsid w:val="006D5D1C"/>
    <w:rsid w:val="006D5DD6"/>
    <w:rsid w:val="006D66C4"/>
    <w:rsid w:val="006D6784"/>
    <w:rsid w:val="006E01D7"/>
    <w:rsid w:val="006E0582"/>
    <w:rsid w:val="006E0803"/>
    <w:rsid w:val="006E1061"/>
    <w:rsid w:val="006E11ED"/>
    <w:rsid w:val="006E26BF"/>
    <w:rsid w:val="006E366C"/>
    <w:rsid w:val="006E3DFB"/>
    <w:rsid w:val="006E3F65"/>
    <w:rsid w:val="006E44C5"/>
    <w:rsid w:val="006E4AF8"/>
    <w:rsid w:val="006E4EA4"/>
    <w:rsid w:val="006E51B5"/>
    <w:rsid w:val="006E589B"/>
    <w:rsid w:val="006E645E"/>
    <w:rsid w:val="006E647C"/>
    <w:rsid w:val="006E6F61"/>
    <w:rsid w:val="006E6F8E"/>
    <w:rsid w:val="006E771F"/>
    <w:rsid w:val="006E79B7"/>
    <w:rsid w:val="006F0492"/>
    <w:rsid w:val="006F07FC"/>
    <w:rsid w:val="006F1884"/>
    <w:rsid w:val="006F1984"/>
    <w:rsid w:val="006F2468"/>
    <w:rsid w:val="006F2DAB"/>
    <w:rsid w:val="006F2DFA"/>
    <w:rsid w:val="006F4130"/>
    <w:rsid w:val="006F4989"/>
    <w:rsid w:val="006F4B84"/>
    <w:rsid w:val="006F580D"/>
    <w:rsid w:val="006F6939"/>
    <w:rsid w:val="006F7036"/>
    <w:rsid w:val="006F7393"/>
    <w:rsid w:val="006F76DF"/>
    <w:rsid w:val="006F76EA"/>
    <w:rsid w:val="0070259B"/>
    <w:rsid w:val="007035BD"/>
    <w:rsid w:val="0070385C"/>
    <w:rsid w:val="00703AA2"/>
    <w:rsid w:val="00705429"/>
    <w:rsid w:val="0070643D"/>
    <w:rsid w:val="007067BB"/>
    <w:rsid w:val="00707D37"/>
    <w:rsid w:val="00710FEC"/>
    <w:rsid w:val="00711D71"/>
    <w:rsid w:val="0071227E"/>
    <w:rsid w:val="0071233A"/>
    <w:rsid w:val="007134B2"/>
    <w:rsid w:val="00714093"/>
    <w:rsid w:val="007141C4"/>
    <w:rsid w:val="007145FB"/>
    <w:rsid w:val="00714B52"/>
    <w:rsid w:val="00714CDD"/>
    <w:rsid w:val="0071624E"/>
    <w:rsid w:val="00716B4F"/>
    <w:rsid w:val="00717414"/>
    <w:rsid w:val="00717447"/>
    <w:rsid w:val="00722048"/>
    <w:rsid w:val="0072244E"/>
    <w:rsid w:val="00722855"/>
    <w:rsid w:val="0072314F"/>
    <w:rsid w:val="0072349A"/>
    <w:rsid w:val="00723C1D"/>
    <w:rsid w:val="0072512D"/>
    <w:rsid w:val="00726A40"/>
    <w:rsid w:val="007277EE"/>
    <w:rsid w:val="00727902"/>
    <w:rsid w:val="00727A4D"/>
    <w:rsid w:val="00727FA5"/>
    <w:rsid w:val="0073006E"/>
    <w:rsid w:val="0073012E"/>
    <w:rsid w:val="007308C6"/>
    <w:rsid w:val="007315EB"/>
    <w:rsid w:val="007319D8"/>
    <w:rsid w:val="007327C6"/>
    <w:rsid w:val="00732A62"/>
    <w:rsid w:val="00732DC1"/>
    <w:rsid w:val="00732E82"/>
    <w:rsid w:val="007336EB"/>
    <w:rsid w:val="007340EC"/>
    <w:rsid w:val="00734D1F"/>
    <w:rsid w:val="00736687"/>
    <w:rsid w:val="007368AE"/>
    <w:rsid w:val="00737893"/>
    <w:rsid w:val="00737A98"/>
    <w:rsid w:val="007400EF"/>
    <w:rsid w:val="00740FA3"/>
    <w:rsid w:val="00741AC4"/>
    <w:rsid w:val="00741B22"/>
    <w:rsid w:val="00743556"/>
    <w:rsid w:val="00743627"/>
    <w:rsid w:val="00743D03"/>
    <w:rsid w:val="00743E93"/>
    <w:rsid w:val="00744E3C"/>
    <w:rsid w:val="00745EE5"/>
    <w:rsid w:val="007509AB"/>
    <w:rsid w:val="007510A7"/>
    <w:rsid w:val="00751A20"/>
    <w:rsid w:val="00752128"/>
    <w:rsid w:val="0075224B"/>
    <w:rsid w:val="00753104"/>
    <w:rsid w:val="0075472C"/>
    <w:rsid w:val="00754DCC"/>
    <w:rsid w:val="00754E31"/>
    <w:rsid w:val="0075515A"/>
    <w:rsid w:val="007553FB"/>
    <w:rsid w:val="007558E9"/>
    <w:rsid w:val="00755E27"/>
    <w:rsid w:val="0075772C"/>
    <w:rsid w:val="00760100"/>
    <w:rsid w:val="007604BE"/>
    <w:rsid w:val="007606C6"/>
    <w:rsid w:val="00760C96"/>
    <w:rsid w:val="00760E1B"/>
    <w:rsid w:val="00760F8E"/>
    <w:rsid w:val="0076137F"/>
    <w:rsid w:val="00761C44"/>
    <w:rsid w:val="00762773"/>
    <w:rsid w:val="007629B7"/>
    <w:rsid w:val="007629F7"/>
    <w:rsid w:val="00762A44"/>
    <w:rsid w:val="0076318C"/>
    <w:rsid w:val="00764128"/>
    <w:rsid w:val="00764510"/>
    <w:rsid w:val="0076499A"/>
    <w:rsid w:val="00764D5C"/>
    <w:rsid w:val="00766324"/>
    <w:rsid w:val="00766995"/>
    <w:rsid w:val="00767670"/>
    <w:rsid w:val="00767B5C"/>
    <w:rsid w:val="00767B5D"/>
    <w:rsid w:val="00767C90"/>
    <w:rsid w:val="00767ECF"/>
    <w:rsid w:val="00770552"/>
    <w:rsid w:val="00772124"/>
    <w:rsid w:val="007725D7"/>
    <w:rsid w:val="0077289F"/>
    <w:rsid w:val="007728B6"/>
    <w:rsid w:val="007730DD"/>
    <w:rsid w:val="00773617"/>
    <w:rsid w:val="0077391D"/>
    <w:rsid w:val="00773AE1"/>
    <w:rsid w:val="0077456D"/>
    <w:rsid w:val="0077598C"/>
    <w:rsid w:val="00776070"/>
    <w:rsid w:val="00776346"/>
    <w:rsid w:val="007763C8"/>
    <w:rsid w:val="00776476"/>
    <w:rsid w:val="0077652A"/>
    <w:rsid w:val="007768E7"/>
    <w:rsid w:val="00777192"/>
    <w:rsid w:val="00777A04"/>
    <w:rsid w:val="00777DF8"/>
    <w:rsid w:val="007805AC"/>
    <w:rsid w:val="007805CF"/>
    <w:rsid w:val="00781860"/>
    <w:rsid w:val="007818CF"/>
    <w:rsid w:val="00782B8E"/>
    <w:rsid w:val="00782D1C"/>
    <w:rsid w:val="007831D7"/>
    <w:rsid w:val="0078359E"/>
    <w:rsid w:val="00783715"/>
    <w:rsid w:val="00783871"/>
    <w:rsid w:val="00783EC3"/>
    <w:rsid w:val="0078414A"/>
    <w:rsid w:val="00784655"/>
    <w:rsid w:val="00784ABF"/>
    <w:rsid w:val="00786A41"/>
    <w:rsid w:val="00786D61"/>
    <w:rsid w:val="00787241"/>
    <w:rsid w:val="007877A6"/>
    <w:rsid w:val="00790D48"/>
    <w:rsid w:val="007925A9"/>
    <w:rsid w:val="007925EE"/>
    <w:rsid w:val="00792AC0"/>
    <w:rsid w:val="00792BB5"/>
    <w:rsid w:val="00793410"/>
    <w:rsid w:val="007936F1"/>
    <w:rsid w:val="0079382D"/>
    <w:rsid w:val="007942B9"/>
    <w:rsid w:val="00795315"/>
    <w:rsid w:val="0079688F"/>
    <w:rsid w:val="00796918"/>
    <w:rsid w:val="007969C5"/>
    <w:rsid w:val="00796B79"/>
    <w:rsid w:val="00796DBB"/>
    <w:rsid w:val="00797660"/>
    <w:rsid w:val="007A0208"/>
    <w:rsid w:val="007A029E"/>
    <w:rsid w:val="007A043A"/>
    <w:rsid w:val="007A152A"/>
    <w:rsid w:val="007A1D5A"/>
    <w:rsid w:val="007A1F8C"/>
    <w:rsid w:val="007A3000"/>
    <w:rsid w:val="007A3F47"/>
    <w:rsid w:val="007A4296"/>
    <w:rsid w:val="007A4A38"/>
    <w:rsid w:val="007A4B86"/>
    <w:rsid w:val="007A6960"/>
    <w:rsid w:val="007A72AC"/>
    <w:rsid w:val="007A778F"/>
    <w:rsid w:val="007A7BF5"/>
    <w:rsid w:val="007A7F93"/>
    <w:rsid w:val="007B0871"/>
    <w:rsid w:val="007B120F"/>
    <w:rsid w:val="007B134D"/>
    <w:rsid w:val="007B1442"/>
    <w:rsid w:val="007B1EA3"/>
    <w:rsid w:val="007B2B23"/>
    <w:rsid w:val="007B2E82"/>
    <w:rsid w:val="007B3CEC"/>
    <w:rsid w:val="007B3E31"/>
    <w:rsid w:val="007B470B"/>
    <w:rsid w:val="007B5B45"/>
    <w:rsid w:val="007B5CBF"/>
    <w:rsid w:val="007B60BC"/>
    <w:rsid w:val="007B6780"/>
    <w:rsid w:val="007B7085"/>
    <w:rsid w:val="007B745D"/>
    <w:rsid w:val="007B74DD"/>
    <w:rsid w:val="007B75D0"/>
    <w:rsid w:val="007B7CE9"/>
    <w:rsid w:val="007C0221"/>
    <w:rsid w:val="007C0DCD"/>
    <w:rsid w:val="007C0E9E"/>
    <w:rsid w:val="007C23B8"/>
    <w:rsid w:val="007C2C50"/>
    <w:rsid w:val="007C2CF1"/>
    <w:rsid w:val="007C37CE"/>
    <w:rsid w:val="007C397E"/>
    <w:rsid w:val="007C3A40"/>
    <w:rsid w:val="007C3C6C"/>
    <w:rsid w:val="007C46CC"/>
    <w:rsid w:val="007C47DE"/>
    <w:rsid w:val="007C4A78"/>
    <w:rsid w:val="007C4D34"/>
    <w:rsid w:val="007C5ACB"/>
    <w:rsid w:val="007C5CAC"/>
    <w:rsid w:val="007C6085"/>
    <w:rsid w:val="007C62C0"/>
    <w:rsid w:val="007C63CB"/>
    <w:rsid w:val="007C680D"/>
    <w:rsid w:val="007C7CB9"/>
    <w:rsid w:val="007D04C9"/>
    <w:rsid w:val="007D0B47"/>
    <w:rsid w:val="007D2467"/>
    <w:rsid w:val="007D29AA"/>
    <w:rsid w:val="007D32C2"/>
    <w:rsid w:val="007D379D"/>
    <w:rsid w:val="007D5153"/>
    <w:rsid w:val="007D629D"/>
    <w:rsid w:val="007D6651"/>
    <w:rsid w:val="007D69F9"/>
    <w:rsid w:val="007D77BD"/>
    <w:rsid w:val="007D7DFA"/>
    <w:rsid w:val="007E0642"/>
    <w:rsid w:val="007E0D73"/>
    <w:rsid w:val="007E1D78"/>
    <w:rsid w:val="007E1D90"/>
    <w:rsid w:val="007E1E93"/>
    <w:rsid w:val="007E202B"/>
    <w:rsid w:val="007E2709"/>
    <w:rsid w:val="007E2F19"/>
    <w:rsid w:val="007E3070"/>
    <w:rsid w:val="007E460F"/>
    <w:rsid w:val="007E4A40"/>
    <w:rsid w:val="007E4CAD"/>
    <w:rsid w:val="007E5311"/>
    <w:rsid w:val="007E55B2"/>
    <w:rsid w:val="007E707F"/>
    <w:rsid w:val="007E7342"/>
    <w:rsid w:val="007E735A"/>
    <w:rsid w:val="007E74B3"/>
    <w:rsid w:val="007E791F"/>
    <w:rsid w:val="007E7B40"/>
    <w:rsid w:val="007E7DE6"/>
    <w:rsid w:val="007F063F"/>
    <w:rsid w:val="007F0752"/>
    <w:rsid w:val="007F0949"/>
    <w:rsid w:val="007F099A"/>
    <w:rsid w:val="007F241F"/>
    <w:rsid w:val="007F30FF"/>
    <w:rsid w:val="007F32F4"/>
    <w:rsid w:val="007F33BD"/>
    <w:rsid w:val="007F3A67"/>
    <w:rsid w:val="007F3C40"/>
    <w:rsid w:val="007F50A0"/>
    <w:rsid w:val="007F53E8"/>
    <w:rsid w:val="007F55D3"/>
    <w:rsid w:val="007F56F9"/>
    <w:rsid w:val="007F62F9"/>
    <w:rsid w:val="007F64F7"/>
    <w:rsid w:val="007F6BC6"/>
    <w:rsid w:val="007F6FAF"/>
    <w:rsid w:val="007F779D"/>
    <w:rsid w:val="008000AC"/>
    <w:rsid w:val="0080061C"/>
    <w:rsid w:val="008007C5"/>
    <w:rsid w:val="00802998"/>
    <w:rsid w:val="00803A09"/>
    <w:rsid w:val="00804781"/>
    <w:rsid w:val="00804823"/>
    <w:rsid w:val="008054CA"/>
    <w:rsid w:val="00805521"/>
    <w:rsid w:val="00805685"/>
    <w:rsid w:val="008061B2"/>
    <w:rsid w:val="00806770"/>
    <w:rsid w:val="00807F57"/>
    <w:rsid w:val="00810931"/>
    <w:rsid w:val="00810A7D"/>
    <w:rsid w:val="0081130A"/>
    <w:rsid w:val="00811424"/>
    <w:rsid w:val="008118A8"/>
    <w:rsid w:val="0081275A"/>
    <w:rsid w:val="00812AB2"/>
    <w:rsid w:val="00812E92"/>
    <w:rsid w:val="00812EB8"/>
    <w:rsid w:val="0081323D"/>
    <w:rsid w:val="008132BC"/>
    <w:rsid w:val="00813496"/>
    <w:rsid w:val="00814516"/>
    <w:rsid w:val="00814B10"/>
    <w:rsid w:val="00814F00"/>
    <w:rsid w:val="00815088"/>
    <w:rsid w:val="008153F4"/>
    <w:rsid w:val="008165E4"/>
    <w:rsid w:val="00816B7D"/>
    <w:rsid w:val="00816D02"/>
    <w:rsid w:val="00817588"/>
    <w:rsid w:val="00817D5B"/>
    <w:rsid w:val="00820E02"/>
    <w:rsid w:val="008214E8"/>
    <w:rsid w:val="0082309E"/>
    <w:rsid w:val="008241BC"/>
    <w:rsid w:val="00824AA5"/>
    <w:rsid w:val="0082563D"/>
    <w:rsid w:val="00826BD5"/>
    <w:rsid w:val="008271E2"/>
    <w:rsid w:val="00827A32"/>
    <w:rsid w:val="008304DB"/>
    <w:rsid w:val="0083070F"/>
    <w:rsid w:val="00830991"/>
    <w:rsid w:val="00830AA9"/>
    <w:rsid w:val="00830F7C"/>
    <w:rsid w:val="00830FE0"/>
    <w:rsid w:val="00831186"/>
    <w:rsid w:val="008317A3"/>
    <w:rsid w:val="00831A89"/>
    <w:rsid w:val="00831B8E"/>
    <w:rsid w:val="00831B99"/>
    <w:rsid w:val="00831BD3"/>
    <w:rsid w:val="00832068"/>
    <w:rsid w:val="008328B3"/>
    <w:rsid w:val="00832DB8"/>
    <w:rsid w:val="008345A4"/>
    <w:rsid w:val="0083476E"/>
    <w:rsid w:val="00834DC3"/>
    <w:rsid w:val="00834F7C"/>
    <w:rsid w:val="008350CC"/>
    <w:rsid w:val="008355BB"/>
    <w:rsid w:val="0083596C"/>
    <w:rsid w:val="00835D00"/>
    <w:rsid w:val="00836431"/>
    <w:rsid w:val="008367F4"/>
    <w:rsid w:val="008371B8"/>
    <w:rsid w:val="008371C5"/>
    <w:rsid w:val="008374B7"/>
    <w:rsid w:val="00840555"/>
    <w:rsid w:val="008427D0"/>
    <w:rsid w:val="008427D6"/>
    <w:rsid w:val="00843354"/>
    <w:rsid w:val="008435BA"/>
    <w:rsid w:val="00843B45"/>
    <w:rsid w:val="00843CC0"/>
    <w:rsid w:val="00844093"/>
    <w:rsid w:val="0084448A"/>
    <w:rsid w:val="00844739"/>
    <w:rsid w:val="00844965"/>
    <w:rsid w:val="008450D1"/>
    <w:rsid w:val="008453CE"/>
    <w:rsid w:val="00845871"/>
    <w:rsid w:val="00845D18"/>
    <w:rsid w:val="008463A8"/>
    <w:rsid w:val="00847343"/>
    <w:rsid w:val="0084753E"/>
    <w:rsid w:val="00847560"/>
    <w:rsid w:val="00850658"/>
    <w:rsid w:val="00850745"/>
    <w:rsid w:val="00851895"/>
    <w:rsid w:val="00851A48"/>
    <w:rsid w:val="00851B13"/>
    <w:rsid w:val="00854898"/>
    <w:rsid w:val="00854E3F"/>
    <w:rsid w:val="00855B72"/>
    <w:rsid w:val="00855CBB"/>
    <w:rsid w:val="0085747B"/>
    <w:rsid w:val="008576C0"/>
    <w:rsid w:val="00857798"/>
    <w:rsid w:val="0085780E"/>
    <w:rsid w:val="00860100"/>
    <w:rsid w:val="00862859"/>
    <w:rsid w:val="008629AD"/>
    <w:rsid w:val="008647DB"/>
    <w:rsid w:val="008649D9"/>
    <w:rsid w:val="00864ACB"/>
    <w:rsid w:val="00865E8E"/>
    <w:rsid w:val="00865FCE"/>
    <w:rsid w:val="0086611B"/>
    <w:rsid w:val="008661F3"/>
    <w:rsid w:val="00866B2D"/>
    <w:rsid w:val="00866CE2"/>
    <w:rsid w:val="00866F78"/>
    <w:rsid w:val="00867110"/>
    <w:rsid w:val="0086765C"/>
    <w:rsid w:val="00867DFD"/>
    <w:rsid w:val="008702D5"/>
    <w:rsid w:val="0087043A"/>
    <w:rsid w:val="00871592"/>
    <w:rsid w:val="00872291"/>
    <w:rsid w:val="0087251A"/>
    <w:rsid w:val="00872C4D"/>
    <w:rsid w:val="00873493"/>
    <w:rsid w:val="00874AFD"/>
    <w:rsid w:val="00874EA8"/>
    <w:rsid w:val="00874ED0"/>
    <w:rsid w:val="00875C47"/>
    <w:rsid w:val="00875D54"/>
    <w:rsid w:val="008805EC"/>
    <w:rsid w:val="0088099A"/>
    <w:rsid w:val="00880CFF"/>
    <w:rsid w:val="0088191E"/>
    <w:rsid w:val="00885193"/>
    <w:rsid w:val="00885900"/>
    <w:rsid w:val="008867D9"/>
    <w:rsid w:val="00886EA3"/>
    <w:rsid w:val="00887817"/>
    <w:rsid w:val="00887BC1"/>
    <w:rsid w:val="00887D55"/>
    <w:rsid w:val="00887DE9"/>
    <w:rsid w:val="00887F5E"/>
    <w:rsid w:val="00890356"/>
    <w:rsid w:val="00890718"/>
    <w:rsid w:val="00891259"/>
    <w:rsid w:val="008915C6"/>
    <w:rsid w:val="00891DA2"/>
    <w:rsid w:val="00892165"/>
    <w:rsid w:val="0089362B"/>
    <w:rsid w:val="00893700"/>
    <w:rsid w:val="00893E03"/>
    <w:rsid w:val="00893F65"/>
    <w:rsid w:val="00893FBA"/>
    <w:rsid w:val="00894247"/>
    <w:rsid w:val="008944D8"/>
    <w:rsid w:val="00894A46"/>
    <w:rsid w:val="00894D98"/>
    <w:rsid w:val="00895E36"/>
    <w:rsid w:val="00896882"/>
    <w:rsid w:val="00897C5E"/>
    <w:rsid w:val="008A01E9"/>
    <w:rsid w:val="008A08D6"/>
    <w:rsid w:val="008A0E6B"/>
    <w:rsid w:val="008A0EB6"/>
    <w:rsid w:val="008A1726"/>
    <w:rsid w:val="008A17BB"/>
    <w:rsid w:val="008A342A"/>
    <w:rsid w:val="008A36A3"/>
    <w:rsid w:val="008A373D"/>
    <w:rsid w:val="008A3741"/>
    <w:rsid w:val="008A3A6F"/>
    <w:rsid w:val="008A3C33"/>
    <w:rsid w:val="008A3EF1"/>
    <w:rsid w:val="008A418B"/>
    <w:rsid w:val="008A422A"/>
    <w:rsid w:val="008A57A5"/>
    <w:rsid w:val="008A5A32"/>
    <w:rsid w:val="008A651D"/>
    <w:rsid w:val="008A656A"/>
    <w:rsid w:val="008A67D0"/>
    <w:rsid w:val="008A6940"/>
    <w:rsid w:val="008A7768"/>
    <w:rsid w:val="008A79BC"/>
    <w:rsid w:val="008B041F"/>
    <w:rsid w:val="008B14C7"/>
    <w:rsid w:val="008B155A"/>
    <w:rsid w:val="008B1765"/>
    <w:rsid w:val="008B27A9"/>
    <w:rsid w:val="008B44E0"/>
    <w:rsid w:val="008B4753"/>
    <w:rsid w:val="008B4994"/>
    <w:rsid w:val="008B4B3A"/>
    <w:rsid w:val="008B5A6D"/>
    <w:rsid w:val="008B5ECF"/>
    <w:rsid w:val="008B6169"/>
    <w:rsid w:val="008B66FA"/>
    <w:rsid w:val="008B6BBE"/>
    <w:rsid w:val="008B7050"/>
    <w:rsid w:val="008B738A"/>
    <w:rsid w:val="008B73B5"/>
    <w:rsid w:val="008B7CB3"/>
    <w:rsid w:val="008C0359"/>
    <w:rsid w:val="008C36D7"/>
    <w:rsid w:val="008C3E5C"/>
    <w:rsid w:val="008C4799"/>
    <w:rsid w:val="008C549B"/>
    <w:rsid w:val="008C5C15"/>
    <w:rsid w:val="008C60D8"/>
    <w:rsid w:val="008C6A84"/>
    <w:rsid w:val="008C6BA6"/>
    <w:rsid w:val="008C7930"/>
    <w:rsid w:val="008D02EB"/>
    <w:rsid w:val="008D0E58"/>
    <w:rsid w:val="008D0EA0"/>
    <w:rsid w:val="008D0F79"/>
    <w:rsid w:val="008D125D"/>
    <w:rsid w:val="008D2428"/>
    <w:rsid w:val="008D2AEC"/>
    <w:rsid w:val="008D315C"/>
    <w:rsid w:val="008D3215"/>
    <w:rsid w:val="008D4BDB"/>
    <w:rsid w:val="008D54C2"/>
    <w:rsid w:val="008D5B4C"/>
    <w:rsid w:val="008D6239"/>
    <w:rsid w:val="008D64A2"/>
    <w:rsid w:val="008D6801"/>
    <w:rsid w:val="008D6F6B"/>
    <w:rsid w:val="008D71D1"/>
    <w:rsid w:val="008D7317"/>
    <w:rsid w:val="008D77F0"/>
    <w:rsid w:val="008E0600"/>
    <w:rsid w:val="008E0BFD"/>
    <w:rsid w:val="008E2A4B"/>
    <w:rsid w:val="008E2E27"/>
    <w:rsid w:val="008E3EB6"/>
    <w:rsid w:val="008E4566"/>
    <w:rsid w:val="008E47F8"/>
    <w:rsid w:val="008E49E5"/>
    <w:rsid w:val="008E4B82"/>
    <w:rsid w:val="008E5F4F"/>
    <w:rsid w:val="008E6B65"/>
    <w:rsid w:val="008F040E"/>
    <w:rsid w:val="008F050B"/>
    <w:rsid w:val="008F0E13"/>
    <w:rsid w:val="008F1186"/>
    <w:rsid w:val="008F140A"/>
    <w:rsid w:val="008F2061"/>
    <w:rsid w:val="008F2738"/>
    <w:rsid w:val="008F28B7"/>
    <w:rsid w:val="008F2BB7"/>
    <w:rsid w:val="008F3099"/>
    <w:rsid w:val="008F347C"/>
    <w:rsid w:val="008F37CB"/>
    <w:rsid w:val="008F3B19"/>
    <w:rsid w:val="008F4686"/>
    <w:rsid w:val="008F55A4"/>
    <w:rsid w:val="008F58FC"/>
    <w:rsid w:val="008F6749"/>
    <w:rsid w:val="008F690B"/>
    <w:rsid w:val="008F743A"/>
    <w:rsid w:val="008F7B7C"/>
    <w:rsid w:val="008F7BFC"/>
    <w:rsid w:val="008F7F68"/>
    <w:rsid w:val="009006FA"/>
    <w:rsid w:val="00900789"/>
    <w:rsid w:val="0090082B"/>
    <w:rsid w:val="00900EC5"/>
    <w:rsid w:val="00901CBF"/>
    <w:rsid w:val="009023DA"/>
    <w:rsid w:val="0090288C"/>
    <w:rsid w:val="009036B7"/>
    <w:rsid w:val="00903C24"/>
    <w:rsid w:val="00903D85"/>
    <w:rsid w:val="00903FF5"/>
    <w:rsid w:val="00904326"/>
    <w:rsid w:val="009047DA"/>
    <w:rsid w:val="0090523A"/>
    <w:rsid w:val="009059A1"/>
    <w:rsid w:val="00905AA5"/>
    <w:rsid w:val="00906402"/>
    <w:rsid w:val="009064A3"/>
    <w:rsid w:val="00906A3D"/>
    <w:rsid w:val="0090716A"/>
    <w:rsid w:val="00907AB5"/>
    <w:rsid w:val="00907BE0"/>
    <w:rsid w:val="00907C06"/>
    <w:rsid w:val="009104D8"/>
    <w:rsid w:val="00911941"/>
    <w:rsid w:val="0091278B"/>
    <w:rsid w:val="00913444"/>
    <w:rsid w:val="0091400E"/>
    <w:rsid w:val="00914D99"/>
    <w:rsid w:val="0091532C"/>
    <w:rsid w:val="00915443"/>
    <w:rsid w:val="009154F6"/>
    <w:rsid w:val="009157A6"/>
    <w:rsid w:val="00915AB4"/>
    <w:rsid w:val="0091635F"/>
    <w:rsid w:val="00916379"/>
    <w:rsid w:val="0091752B"/>
    <w:rsid w:val="00917DA9"/>
    <w:rsid w:val="00920779"/>
    <w:rsid w:val="00920D4D"/>
    <w:rsid w:val="00921220"/>
    <w:rsid w:val="009212CF"/>
    <w:rsid w:val="00921D25"/>
    <w:rsid w:val="009225CF"/>
    <w:rsid w:val="00922650"/>
    <w:rsid w:val="009227DF"/>
    <w:rsid w:val="00922DD2"/>
    <w:rsid w:val="00922FB2"/>
    <w:rsid w:val="0092332F"/>
    <w:rsid w:val="0092369E"/>
    <w:rsid w:val="00924619"/>
    <w:rsid w:val="009247A6"/>
    <w:rsid w:val="00924C1B"/>
    <w:rsid w:val="00924D68"/>
    <w:rsid w:val="00924DE7"/>
    <w:rsid w:val="00925256"/>
    <w:rsid w:val="00925ACB"/>
    <w:rsid w:val="0092712A"/>
    <w:rsid w:val="00930328"/>
    <w:rsid w:val="00930558"/>
    <w:rsid w:val="0093059B"/>
    <w:rsid w:val="00930C55"/>
    <w:rsid w:val="00931120"/>
    <w:rsid w:val="0093139B"/>
    <w:rsid w:val="0093187B"/>
    <w:rsid w:val="00932068"/>
    <w:rsid w:val="009321B0"/>
    <w:rsid w:val="009324AA"/>
    <w:rsid w:val="009325F5"/>
    <w:rsid w:val="00932622"/>
    <w:rsid w:val="009329A8"/>
    <w:rsid w:val="009355A7"/>
    <w:rsid w:val="00936502"/>
    <w:rsid w:val="009376A2"/>
    <w:rsid w:val="00937737"/>
    <w:rsid w:val="00937BD5"/>
    <w:rsid w:val="009406E4"/>
    <w:rsid w:val="0094075B"/>
    <w:rsid w:val="0094092E"/>
    <w:rsid w:val="00940966"/>
    <w:rsid w:val="00940CA3"/>
    <w:rsid w:val="00942D69"/>
    <w:rsid w:val="00943240"/>
    <w:rsid w:val="00943F29"/>
    <w:rsid w:val="00943F52"/>
    <w:rsid w:val="0094437C"/>
    <w:rsid w:val="00944464"/>
    <w:rsid w:val="00944BD7"/>
    <w:rsid w:val="009457A8"/>
    <w:rsid w:val="00945987"/>
    <w:rsid w:val="00946073"/>
    <w:rsid w:val="00946CC9"/>
    <w:rsid w:val="009471B3"/>
    <w:rsid w:val="00947588"/>
    <w:rsid w:val="00947C1C"/>
    <w:rsid w:val="00947F56"/>
    <w:rsid w:val="00950149"/>
    <w:rsid w:val="009503E1"/>
    <w:rsid w:val="009504D7"/>
    <w:rsid w:val="00950728"/>
    <w:rsid w:val="009511E0"/>
    <w:rsid w:val="00951A91"/>
    <w:rsid w:val="0095226F"/>
    <w:rsid w:val="009522B0"/>
    <w:rsid w:val="0095247A"/>
    <w:rsid w:val="009526AF"/>
    <w:rsid w:val="009547CA"/>
    <w:rsid w:val="0095571D"/>
    <w:rsid w:val="00955CF3"/>
    <w:rsid w:val="00956720"/>
    <w:rsid w:val="00957001"/>
    <w:rsid w:val="00957279"/>
    <w:rsid w:val="009579C9"/>
    <w:rsid w:val="0096022D"/>
    <w:rsid w:val="00961451"/>
    <w:rsid w:val="00961809"/>
    <w:rsid w:val="00961B6E"/>
    <w:rsid w:val="009624AA"/>
    <w:rsid w:val="009624D8"/>
    <w:rsid w:val="009625F5"/>
    <w:rsid w:val="009629A3"/>
    <w:rsid w:val="00962CD5"/>
    <w:rsid w:val="009631E8"/>
    <w:rsid w:val="00963589"/>
    <w:rsid w:val="009644BF"/>
    <w:rsid w:val="009656B8"/>
    <w:rsid w:val="00966699"/>
    <w:rsid w:val="00966DE5"/>
    <w:rsid w:val="00966E08"/>
    <w:rsid w:val="009677EE"/>
    <w:rsid w:val="0096783C"/>
    <w:rsid w:val="00970A2B"/>
    <w:rsid w:val="009712A5"/>
    <w:rsid w:val="00971CC4"/>
    <w:rsid w:val="00971D96"/>
    <w:rsid w:val="00971F0A"/>
    <w:rsid w:val="00971FEE"/>
    <w:rsid w:val="00972076"/>
    <w:rsid w:val="009726CB"/>
    <w:rsid w:val="009737F2"/>
    <w:rsid w:val="00973A76"/>
    <w:rsid w:val="00973F5F"/>
    <w:rsid w:val="0097401A"/>
    <w:rsid w:val="009740D9"/>
    <w:rsid w:val="00974346"/>
    <w:rsid w:val="009746CC"/>
    <w:rsid w:val="0097510D"/>
    <w:rsid w:val="009758D5"/>
    <w:rsid w:val="009761DB"/>
    <w:rsid w:val="00976866"/>
    <w:rsid w:val="00977FB7"/>
    <w:rsid w:val="009807DE"/>
    <w:rsid w:val="00980F03"/>
    <w:rsid w:val="0098113F"/>
    <w:rsid w:val="00981E96"/>
    <w:rsid w:val="0098213C"/>
    <w:rsid w:val="00982739"/>
    <w:rsid w:val="00983671"/>
    <w:rsid w:val="009847B1"/>
    <w:rsid w:val="009847F9"/>
    <w:rsid w:val="009864C2"/>
    <w:rsid w:val="00987035"/>
    <w:rsid w:val="00987881"/>
    <w:rsid w:val="00987A50"/>
    <w:rsid w:val="00987EF1"/>
    <w:rsid w:val="00990099"/>
    <w:rsid w:val="00991509"/>
    <w:rsid w:val="00992B56"/>
    <w:rsid w:val="00992CE5"/>
    <w:rsid w:val="0099329F"/>
    <w:rsid w:val="009940F9"/>
    <w:rsid w:val="00995369"/>
    <w:rsid w:val="0099545D"/>
    <w:rsid w:val="00995BD2"/>
    <w:rsid w:val="0099667A"/>
    <w:rsid w:val="00996C43"/>
    <w:rsid w:val="00996C80"/>
    <w:rsid w:val="009A0C84"/>
    <w:rsid w:val="009A0E9C"/>
    <w:rsid w:val="009A1113"/>
    <w:rsid w:val="009A17B4"/>
    <w:rsid w:val="009A1849"/>
    <w:rsid w:val="009A1EC6"/>
    <w:rsid w:val="009A20A6"/>
    <w:rsid w:val="009A2174"/>
    <w:rsid w:val="009A221E"/>
    <w:rsid w:val="009A27C1"/>
    <w:rsid w:val="009A2881"/>
    <w:rsid w:val="009A367A"/>
    <w:rsid w:val="009A5287"/>
    <w:rsid w:val="009A563A"/>
    <w:rsid w:val="009A64A5"/>
    <w:rsid w:val="009A6776"/>
    <w:rsid w:val="009A7209"/>
    <w:rsid w:val="009A732A"/>
    <w:rsid w:val="009A759C"/>
    <w:rsid w:val="009B13C7"/>
    <w:rsid w:val="009B1A54"/>
    <w:rsid w:val="009B1EDA"/>
    <w:rsid w:val="009B2BDD"/>
    <w:rsid w:val="009B2E3C"/>
    <w:rsid w:val="009B315D"/>
    <w:rsid w:val="009B383C"/>
    <w:rsid w:val="009B3C99"/>
    <w:rsid w:val="009B4442"/>
    <w:rsid w:val="009B55DC"/>
    <w:rsid w:val="009B5B2E"/>
    <w:rsid w:val="009B6D0B"/>
    <w:rsid w:val="009C0538"/>
    <w:rsid w:val="009C1357"/>
    <w:rsid w:val="009C1B8D"/>
    <w:rsid w:val="009C25E2"/>
    <w:rsid w:val="009C27C8"/>
    <w:rsid w:val="009C2838"/>
    <w:rsid w:val="009C41C6"/>
    <w:rsid w:val="009C4C99"/>
    <w:rsid w:val="009C5595"/>
    <w:rsid w:val="009C569A"/>
    <w:rsid w:val="009C6BB2"/>
    <w:rsid w:val="009C7A52"/>
    <w:rsid w:val="009C7ED5"/>
    <w:rsid w:val="009D0150"/>
    <w:rsid w:val="009D02C0"/>
    <w:rsid w:val="009D03E9"/>
    <w:rsid w:val="009D1097"/>
    <w:rsid w:val="009D1EE0"/>
    <w:rsid w:val="009D2AF0"/>
    <w:rsid w:val="009D2BED"/>
    <w:rsid w:val="009D2C27"/>
    <w:rsid w:val="009D2C3A"/>
    <w:rsid w:val="009D48BA"/>
    <w:rsid w:val="009D5831"/>
    <w:rsid w:val="009D6909"/>
    <w:rsid w:val="009D79E8"/>
    <w:rsid w:val="009E01E4"/>
    <w:rsid w:val="009E08EC"/>
    <w:rsid w:val="009E0A77"/>
    <w:rsid w:val="009E1087"/>
    <w:rsid w:val="009E2350"/>
    <w:rsid w:val="009E2919"/>
    <w:rsid w:val="009E42F5"/>
    <w:rsid w:val="009E4400"/>
    <w:rsid w:val="009E48B9"/>
    <w:rsid w:val="009E4ECB"/>
    <w:rsid w:val="009E4FA5"/>
    <w:rsid w:val="009E51FD"/>
    <w:rsid w:val="009E7041"/>
    <w:rsid w:val="009E774B"/>
    <w:rsid w:val="009F0367"/>
    <w:rsid w:val="009F0F38"/>
    <w:rsid w:val="009F15CB"/>
    <w:rsid w:val="009F17E6"/>
    <w:rsid w:val="009F1992"/>
    <w:rsid w:val="009F2DF6"/>
    <w:rsid w:val="009F35A7"/>
    <w:rsid w:val="009F467D"/>
    <w:rsid w:val="009F4744"/>
    <w:rsid w:val="009F506A"/>
    <w:rsid w:val="009F51C7"/>
    <w:rsid w:val="009F51F9"/>
    <w:rsid w:val="009F5969"/>
    <w:rsid w:val="009F6203"/>
    <w:rsid w:val="009F69C9"/>
    <w:rsid w:val="009F6D12"/>
    <w:rsid w:val="009F76AC"/>
    <w:rsid w:val="009F7E6E"/>
    <w:rsid w:val="00A00055"/>
    <w:rsid w:val="00A00B25"/>
    <w:rsid w:val="00A02315"/>
    <w:rsid w:val="00A02502"/>
    <w:rsid w:val="00A03EF4"/>
    <w:rsid w:val="00A04409"/>
    <w:rsid w:val="00A05258"/>
    <w:rsid w:val="00A0528A"/>
    <w:rsid w:val="00A05743"/>
    <w:rsid w:val="00A05F4D"/>
    <w:rsid w:val="00A06DAC"/>
    <w:rsid w:val="00A07EA2"/>
    <w:rsid w:val="00A1039D"/>
    <w:rsid w:val="00A1238C"/>
    <w:rsid w:val="00A123F7"/>
    <w:rsid w:val="00A125D4"/>
    <w:rsid w:val="00A1436A"/>
    <w:rsid w:val="00A15225"/>
    <w:rsid w:val="00A15314"/>
    <w:rsid w:val="00A16277"/>
    <w:rsid w:val="00A1628C"/>
    <w:rsid w:val="00A1628F"/>
    <w:rsid w:val="00A16BD0"/>
    <w:rsid w:val="00A16D04"/>
    <w:rsid w:val="00A20705"/>
    <w:rsid w:val="00A20A52"/>
    <w:rsid w:val="00A21CD6"/>
    <w:rsid w:val="00A22463"/>
    <w:rsid w:val="00A2420E"/>
    <w:rsid w:val="00A2473A"/>
    <w:rsid w:val="00A251AD"/>
    <w:rsid w:val="00A25274"/>
    <w:rsid w:val="00A25752"/>
    <w:rsid w:val="00A25A7A"/>
    <w:rsid w:val="00A25ECD"/>
    <w:rsid w:val="00A2642A"/>
    <w:rsid w:val="00A26638"/>
    <w:rsid w:val="00A26793"/>
    <w:rsid w:val="00A27897"/>
    <w:rsid w:val="00A30044"/>
    <w:rsid w:val="00A30080"/>
    <w:rsid w:val="00A30143"/>
    <w:rsid w:val="00A30B5E"/>
    <w:rsid w:val="00A31EDC"/>
    <w:rsid w:val="00A32004"/>
    <w:rsid w:val="00A320F9"/>
    <w:rsid w:val="00A321CC"/>
    <w:rsid w:val="00A32897"/>
    <w:rsid w:val="00A32D83"/>
    <w:rsid w:val="00A32F8B"/>
    <w:rsid w:val="00A33981"/>
    <w:rsid w:val="00A33D72"/>
    <w:rsid w:val="00A341E5"/>
    <w:rsid w:val="00A3493E"/>
    <w:rsid w:val="00A34D9B"/>
    <w:rsid w:val="00A35798"/>
    <w:rsid w:val="00A35B65"/>
    <w:rsid w:val="00A36383"/>
    <w:rsid w:val="00A36D63"/>
    <w:rsid w:val="00A37131"/>
    <w:rsid w:val="00A3759B"/>
    <w:rsid w:val="00A3776B"/>
    <w:rsid w:val="00A37C6A"/>
    <w:rsid w:val="00A4045B"/>
    <w:rsid w:val="00A4158B"/>
    <w:rsid w:val="00A416D9"/>
    <w:rsid w:val="00A41D73"/>
    <w:rsid w:val="00A43218"/>
    <w:rsid w:val="00A43D06"/>
    <w:rsid w:val="00A43E50"/>
    <w:rsid w:val="00A43EC5"/>
    <w:rsid w:val="00A43F0C"/>
    <w:rsid w:val="00A441B7"/>
    <w:rsid w:val="00A444DE"/>
    <w:rsid w:val="00A446F5"/>
    <w:rsid w:val="00A44827"/>
    <w:rsid w:val="00A44950"/>
    <w:rsid w:val="00A453C1"/>
    <w:rsid w:val="00A4630B"/>
    <w:rsid w:val="00A47A01"/>
    <w:rsid w:val="00A50CDA"/>
    <w:rsid w:val="00A51099"/>
    <w:rsid w:val="00A51197"/>
    <w:rsid w:val="00A51520"/>
    <w:rsid w:val="00A52352"/>
    <w:rsid w:val="00A52952"/>
    <w:rsid w:val="00A529B6"/>
    <w:rsid w:val="00A52CF5"/>
    <w:rsid w:val="00A52D2F"/>
    <w:rsid w:val="00A52F10"/>
    <w:rsid w:val="00A53117"/>
    <w:rsid w:val="00A53283"/>
    <w:rsid w:val="00A532CD"/>
    <w:rsid w:val="00A532EE"/>
    <w:rsid w:val="00A5364A"/>
    <w:rsid w:val="00A542BF"/>
    <w:rsid w:val="00A552CB"/>
    <w:rsid w:val="00A55566"/>
    <w:rsid w:val="00A557B7"/>
    <w:rsid w:val="00A55985"/>
    <w:rsid w:val="00A55A34"/>
    <w:rsid w:val="00A563BC"/>
    <w:rsid w:val="00A569EB"/>
    <w:rsid w:val="00A56CB4"/>
    <w:rsid w:val="00A572B9"/>
    <w:rsid w:val="00A601B2"/>
    <w:rsid w:val="00A6050F"/>
    <w:rsid w:val="00A6176F"/>
    <w:rsid w:val="00A61CEB"/>
    <w:rsid w:val="00A62822"/>
    <w:rsid w:val="00A63264"/>
    <w:rsid w:val="00A644F3"/>
    <w:rsid w:val="00A64C98"/>
    <w:rsid w:val="00A64D6B"/>
    <w:rsid w:val="00A65007"/>
    <w:rsid w:val="00A659B6"/>
    <w:rsid w:val="00A65F29"/>
    <w:rsid w:val="00A66326"/>
    <w:rsid w:val="00A66498"/>
    <w:rsid w:val="00A66657"/>
    <w:rsid w:val="00A6673D"/>
    <w:rsid w:val="00A66E13"/>
    <w:rsid w:val="00A6729E"/>
    <w:rsid w:val="00A674B1"/>
    <w:rsid w:val="00A67A2E"/>
    <w:rsid w:val="00A67C33"/>
    <w:rsid w:val="00A67F98"/>
    <w:rsid w:val="00A700A5"/>
    <w:rsid w:val="00A70334"/>
    <w:rsid w:val="00A705EF"/>
    <w:rsid w:val="00A71284"/>
    <w:rsid w:val="00A71446"/>
    <w:rsid w:val="00A715CE"/>
    <w:rsid w:val="00A717A5"/>
    <w:rsid w:val="00A71A9C"/>
    <w:rsid w:val="00A72B28"/>
    <w:rsid w:val="00A7502A"/>
    <w:rsid w:val="00A761E2"/>
    <w:rsid w:val="00A762A2"/>
    <w:rsid w:val="00A7634B"/>
    <w:rsid w:val="00A76687"/>
    <w:rsid w:val="00A76C49"/>
    <w:rsid w:val="00A773BC"/>
    <w:rsid w:val="00A776DF"/>
    <w:rsid w:val="00A7777E"/>
    <w:rsid w:val="00A77F76"/>
    <w:rsid w:val="00A80227"/>
    <w:rsid w:val="00A82372"/>
    <w:rsid w:val="00A82B8B"/>
    <w:rsid w:val="00A82E68"/>
    <w:rsid w:val="00A835CE"/>
    <w:rsid w:val="00A8398C"/>
    <w:rsid w:val="00A83D83"/>
    <w:rsid w:val="00A83FAC"/>
    <w:rsid w:val="00A84BB7"/>
    <w:rsid w:val="00A85DAE"/>
    <w:rsid w:val="00A85F0F"/>
    <w:rsid w:val="00A8602A"/>
    <w:rsid w:val="00A867A4"/>
    <w:rsid w:val="00A867B5"/>
    <w:rsid w:val="00A8762E"/>
    <w:rsid w:val="00A9082F"/>
    <w:rsid w:val="00A91341"/>
    <w:rsid w:val="00A91422"/>
    <w:rsid w:val="00A919D2"/>
    <w:rsid w:val="00A92D2C"/>
    <w:rsid w:val="00A93D55"/>
    <w:rsid w:val="00A956BA"/>
    <w:rsid w:val="00A97081"/>
    <w:rsid w:val="00A972ED"/>
    <w:rsid w:val="00AA0892"/>
    <w:rsid w:val="00AA1332"/>
    <w:rsid w:val="00AA2109"/>
    <w:rsid w:val="00AA25E2"/>
    <w:rsid w:val="00AA285F"/>
    <w:rsid w:val="00AA30AA"/>
    <w:rsid w:val="00AA3276"/>
    <w:rsid w:val="00AA3601"/>
    <w:rsid w:val="00AA3898"/>
    <w:rsid w:val="00AA4394"/>
    <w:rsid w:val="00AA441C"/>
    <w:rsid w:val="00AA4A3A"/>
    <w:rsid w:val="00AA4A91"/>
    <w:rsid w:val="00AA5382"/>
    <w:rsid w:val="00AA5C5C"/>
    <w:rsid w:val="00AA5D12"/>
    <w:rsid w:val="00AA69E0"/>
    <w:rsid w:val="00AA7BBD"/>
    <w:rsid w:val="00AB0789"/>
    <w:rsid w:val="00AB0D59"/>
    <w:rsid w:val="00AB0EDC"/>
    <w:rsid w:val="00AB11B3"/>
    <w:rsid w:val="00AB1F24"/>
    <w:rsid w:val="00AB230C"/>
    <w:rsid w:val="00AB2596"/>
    <w:rsid w:val="00AB27DE"/>
    <w:rsid w:val="00AB2FFE"/>
    <w:rsid w:val="00AB30A9"/>
    <w:rsid w:val="00AB3A4B"/>
    <w:rsid w:val="00AB4CEE"/>
    <w:rsid w:val="00AB546E"/>
    <w:rsid w:val="00AB5CDA"/>
    <w:rsid w:val="00AB6864"/>
    <w:rsid w:val="00AB68A1"/>
    <w:rsid w:val="00AB7B2F"/>
    <w:rsid w:val="00AC20A0"/>
    <w:rsid w:val="00AC2267"/>
    <w:rsid w:val="00AC2728"/>
    <w:rsid w:val="00AC402F"/>
    <w:rsid w:val="00AC45DD"/>
    <w:rsid w:val="00AC48E2"/>
    <w:rsid w:val="00AC496D"/>
    <w:rsid w:val="00AC4CF3"/>
    <w:rsid w:val="00AC50A1"/>
    <w:rsid w:val="00AC5100"/>
    <w:rsid w:val="00AC5209"/>
    <w:rsid w:val="00AC5C3E"/>
    <w:rsid w:val="00AC61DC"/>
    <w:rsid w:val="00AC64AF"/>
    <w:rsid w:val="00AC6737"/>
    <w:rsid w:val="00AC6D0B"/>
    <w:rsid w:val="00AC6E55"/>
    <w:rsid w:val="00AC74EE"/>
    <w:rsid w:val="00AD0448"/>
    <w:rsid w:val="00AD0BD5"/>
    <w:rsid w:val="00AD11D9"/>
    <w:rsid w:val="00AD1C4B"/>
    <w:rsid w:val="00AD239D"/>
    <w:rsid w:val="00AD2850"/>
    <w:rsid w:val="00AD337C"/>
    <w:rsid w:val="00AD37CF"/>
    <w:rsid w:val="00AD4591"/>
    <w:rsid w:val="00AD48D2"/>
    <w:rsid w:val="00AD5581"/>
    <w:rsid w:val="00AD5EDC"/>
    <w:rsid w:val="00AD66BF"/>
    <w:rsid w:val="00AD699A"/>
    <w:rsid w:val="00AD69C3"/>
    <w:rsid w:val="00AD72B4"/>
    <w:rsid w:val="00AD7528"/>
    <w:rsid w:val="00AD7976"/>
    <w:rsid w:val="00AE064E"/>
    <w:rsid w:val="00AE1451"/>
    <w:rsid w:val="00AE1C04"/>
    <w:rsid w:val="00AE2079"/>
    <w:rsid w:val="00AE26A4"/>
    <w:rsid w:val="00AE29C5"/>
    <w:rsid w:val="00AE29E8"/>
    <w:rsid w:val="00AE2EB9"/>
    <w:rsid w:val="00AE2F8A"/>
    <w:rsid w:val="00AE3764"/>
    <w:rsid w:val="00AE3928"/>
    <w:rsid w:val="00AE3C5C"/>
    <w:rsid w:val="00AE54E9"/>
    <w:rsid w:val="00AE68FF"/>
    <w:rsid w:val="00AE6BEB"/>
    <w:rsid w:val="00AE7064"/>
    <w:rsid w:val="00AE7593"/>
    <w:rsid w:val="00AE7758"/>
    <w:rsid w:val="00AF009F"/>
    <w:rsid w:val="00AF0265"/>
    <w:rsid w:val="00AF0846"/>
    <w:rsid w:val="00AF0D3E"/>
    <w:rsid w:val="00AF2014"/>
    <w:rsid w:val="00AF21BA"/>
    <w:rsid w:val="00AF2AAE"/>
    <w:rsid w:val="00AF2AEE"/>
    <w:rsid w:val="00AF2B4E"/>
    <w:rsid w:val="00AF38A5"/>
    <w:rsid w:val="00AF3CA2"/>
    <w:rsid w:val="00AF4FDC"/>
    <w:rsid w:val="00AF5951"/>
    <w:rsid w:val="00AF596A"/>
    <w:rsid w:val="00AF5A09"/>
    <w:rsid w:val="00AF5C0D"/>
    <w:rsid w:val="00AF5DB8"/>
    <w:rsid w:val="00AF67D7"/>
    <w:rsid w:val="00AF68D2"/>
    <w:rsid w:val="00AF6A2D"/>
    <w:rsid w:val="00AF7A20"/>
    <w:rsid w:val="00AF7BB6"/>
    <w:rsid w:val="00B0017D"/>
    <w:rsid w:val="00B00986"/>
    <w:rsid w:val="00B00CEB"/>
    <w:rsid w:val="00B0164B"/>
    <w:rsid w:val="00B01C7D"/>
    <w:rsid w:val="00B02B5D"/>
    <w:rsid w:val="00B030F9"/>
    <w:rsid w:val="00B03875"/>
    <w:rsid w:val="00B03B51"/>
    <w:rsid w:val="00B04963"/>
    <w:rsid w:val="00B0528A"/>
    <w:rsid w:val="00B0567C"/>
    <w:rsid w:val="00B06792"/>
    <w:rsid w:val="00B0707C"/>
    <w:rsid w:val="00B07DBE"/>
    <w:rsid w:val="00B107AC"/>
    <w:rsid w:val="00B1082D"/>
    <w:rsid w:val="00B109B4"/>
    <w:rsid w:val="00B122E6"/>
    <w:rsid w:val="00B12C72"/>
    <w:rsid w:val="00B13107"/>
    <w:rsid w:val="00B1330F"/>
    <w:rsid w:val="00B13938"/>
    <w:rsid w:val="00B14065"/>
    <w:rsid w:val="00B144D1"/>
    <w:rsid w:val="00B14E01"/>
    <w:rsid w:val="00B1767B"/>
    <w:rsid w:val="00B1787D"/>
    <w:rsid w:val="00B17FD0"/>
    <w:rsid w:val="00B20097"/>
    <w:rsid w:val="00B209EA"/>
    <w:rsid w:val="00B20FA4"/>
    <w:rsid w:val="00B241C7"/>
    <w:rsid w:val="00B24CAB"/>
    <w:rsid w:val="00B26993"/>
    <w:rsid w:val="00B27BF9"/>
    <w:rsid w:val="00B27EE6"/>
    <w:rsid w:val="00B3069A"/>
    <w:rsid w:val="00B3069C"/>
    <w:rsid w:val="00B30B4D"/>
    <w:rsid w:val="00B3108D"/>
    <w:rsid w:val="00B3170F"/>
    <w:rsid w:val="00B317B7"/>
    <w:rsid w:val="00B318C6"/>
    <w:rsid w:val="00B31AF8"/>
    <w:rsid w:val="00B31EF0"/>
    <w:rsid w:val="00B3257C"/>
    <w:rsid w:val="00B3340A"/>
    <w:rsid w:val="00B3480E"/>
    <w:rsid w:val="00B34ABB"/>
    <w:rsid w:val="00B356C1"/>
    <w:rsid w:val="00B35C7E"/>
    <w:rsid w:val="00B36145"/>
    <w:rsid w:val="00B36529"/>
    <w:rsid w:val="00B36DEA"/>
    <w:rsid w:val="00B370AB"/>
    <w:rsid w:val="00B3773B"/>
    <w:rsid w:val="00B37A4C"/>
    <w:rsid w:val="00B37E07"/>
    <w:rsid w:val="00B402EF"/>
    <w:rsid w:val="00B403C5"/>
    <w:rsid w:val="00B40ED1"/>
    <w:rsid w:val="00B41D84"/>
    <w:rsid w:val="00B41E18"/>
    <w:rsid w:val="00B422DC"/>
    <w:rsid w:val="00B4250A"/>
    <w:rsid w:val="00B4298F"/>
    <w:rsid w:val="00B42A8F"/>
    <w:rsid w:val="00B43325"/>
    <w:rsid w:val="00B4537F"/>
    <w:rsid w:val="00B45B4F"/>
    <w:rsid w:val="00B45EC0"/>
    <w:rsid w:val="00B46E27"/>
    <w:rsid w:val="00B471B6"/>
    <w:rsid w:val="00B47B5A"/>
    <w:rsid w:val="00B501AF"/>
    <w:rsid w:val="00B50375"/>
    <w:rsid w:val="00B50426"/>
    <w:rsid w:val="00B50595"/>
    <w:rsid w:val="00B5113A"/>
    <w:rsid w:val="00B51358"/>
    <w:rsid w:val="00B51974"/>
    <w:rsid w:val="00B54709"/>
    <w:rsid w:val="00B55654"/>
    <w:rsid w:val="00B55B7F"/>
    <w:rsid w:val="00B56219"/>
    <w:rsid w:val="00B562BD"/>
    <w:rsid w:val="00B5640A"/>
    <w:rsid w:val="00B5675B"/>
    <w:rsid w:val="00B56A31"/>
    <w:rsid w:val="00B56F56"/>
    <w:rsid w:val="00B575F4"/>
    <w:rsid w:val="00B57EEF"/>
    <w:rsid w:val="00B61459"/>
    <w:rsid w:val="00B61C06"/>
    <w:rsid w:val="00B62556"/>
    <w:rsid w:val="00B63B44"/>
    <w:rsid w:val="00B63D84"/>
    <w:rsid w:val="00B63FE7"/>
    <w:rsid w:val="00B64058"/>
    <w:rsid w:val="00B64425"/>
    <w:rsid w:val="00B6501F"/>
    <w:rsid w:val="00B664B6"/>
    <w:rsid w:val="00B66797"/>
    <w:rsid w:val="00B66828"/>
    <w:rsid w:val="00B66D4B"/>
    <w:rsid w:val="00B66E22"/>
    <w:rsid w:val="00B67CAE"/>
    <w:rsid w:val="00B67DD1"/>
    <w:rsid w:val="00B703B3"/>
    <w:rsid w:val="00B710E1"/>
    <w:rsid w:val="00B7147F"/>
    <w:rsid w:val="00B71CFF"/>
    <w:rsid w:val="00B72C0A"/>
    <w:rsid w:val="00B72F2B"/>
    <w:rsid w:val="00B731CE"/>
    <w:rsid w:val="00B73A4C"/>
    <w:rsid w:val="00B73E7F"/>
    <w:rsid w:val="00B75886"/>
    <w:rsid w:val="00B75906"/>
    <w:rsid w:val="00B766D0"/>
    <w:rsid w:val="00B76B3C"/>
    <w:rsid w:val="00B772B3"/>
    <w:rsid w:val="00B778E3"/>
    <w:rsid w:val="00B8057B"/>
    <w:rsid w:val="00B811B5"/>
    <w:rsid w:val="00B81BEE"/>
    <w:rsid w:val="00B81C28"/>
    <w:rsid w:val="00B82456"/>
    <w:rsid w:val="00B82460"/>
    <w:rsid w:val="00B82694"/>
    <w:rsid w:val="00B832E1"/>
    <w:rsid w:val="00B83E2C"/>
    <w:rsid w:val="00B84011"/>
    <w:rsid w:val="00B854A8"/>
    <w:rsid w:val="00B85D0D"/>
    <w:rsid w:val="00B86144"/>
    <w:rsid w:val="00B869DA"/>
    <w:rsid w:val="00B86B70"/>
    <w:rsid w:val="00B87BA1"/>
    <w:rsid w:val="00B87CEB"/>
    <w:rsid w:val="00B90529"/>
    <w:rsid w:val="00B90BDB"/>
    <w:rsid w:val="00B918AD"/>
    <w:rsid w:val="00B92678"/>
    <w:rsid w:val="00B92C44"/>
    <w:rsid w:val="00B93292"/>
    <w:rsid w:val="00B935CD"/>
    <w:rsid w:val="00B93706"/>
    <w:rsid w:val="00B93ADB"/>
    <w:rsid w:val="00B93B11"/>
    <w:rsid w:val="00B94999"/>
    <w:rsid w:val="00B94EE3"/>
    <w:rsid w:val="00B95FA2"/>
    <w:rsid w:val="00B969B7"/>
    <w:rsid w:val="00B96E2C"/>
    <w:rsid w:val="00B97353"/>
    <w:rsid w:val="00B97466"/>
    <w:rsid w:val="00B9797D"/>
    <w:rsid w:val="00BA0259"/>
    <w:rsid w:val="00BA025A"/>
    <w:rsid w:val="00BA0949"/>
    <w:rsid w:val="00BA0E0C"/>
    <w:rsid w:val="00BA13EB"/>
    <w:rsid w:val="00BA1750"/>
    <w:rsid w:val="00BA17B6"/>
    <w:rsid w:val="00BA18DD"/>
    <w:rsid w:val="00BA1A5C"/>
    <w:rsid w:val="00BA23A3"/>
    <w:rsid w:val="00BA264F"/>
    <w:rsid w:val="00BA2BFD"/>
    <w:rsid w:val="00BA3044"/>
    <w:rsid w:val="00BA3F29"/>
    <w:rsid w:val="00BA41D6"/>
    <w:rsid w:val="00BA4EF6"/>
    <w:rsid w:val="00BA56A2"/>
    <w:rsid w:val="00BA6050"/>
    <w:rsid w:val="00BA615C"/>
    <w:rsid w:val="00BA65BD"/>
    <w:rsid w:val="00BA6C66"/>
    <w:rsid w:val="00BA792E"/>
    <w:rsid w:val="00BA7AD3"/>
    <w:rsid w:val="00BB010F"/>
    <w:rsid w:val="00BB067C"/>
    <w:rsid w:val="00BB0C24"/>
    <w:rsid w:val="00BB0CD2"/>
    <w:rsid w:val="00BB1811"/>
    <w:rsid w:val="00BB2E17"/>
    <w:rsid w:val="00BB3AE2"/>
    <w:rsid w:val="00BB4E1B"/>
    <w:rsid w:val="00BB5250"/>
    <w:rsid w:val="00BB5998"/>
    <w:rsid w:val="00BB732D"/>
    <w:rsid w:val="00BB7802"/>
    <w:rsid w:val="00BB7D73"/>
    <w:rsid w:val="00BC0549"/>
    <w:rsid w:val="00BC074D"/>
    <w:rsid w:val="00BC0E25"/>
    <w:rsid w:val="00BC1025"/>
    <w:rsid w:val="00BC1676"/>
    <w:rsid w:val="00BC1A14"/>
    <w:rsid w:val="00BC2192"/>
    <w:rsid w:val="00BC2C17"/>
    <w:rsid w:val="00BC4D7A"/>
    <w:rsid w:val="00BC55CB"/>
    <w:rsid w:val="00BC560A"/>
    <w:rsid w:val="00BC59A7"/>
    <w:rsid w:val="00BC6607"/>
    <w:rsid w:val="00BC6BBA"/>
    <w:rsid w:val="00BC6D53"/>
    <w:rsid w:val="00BD03F1"/>
    <w:rsid w:val="00BD0959"/>
    <w:rsid w:val="00BD0BAE"/>
    <w:rsid w:val="00BD0D23"/>
    <w:rsid w:val="00BD1408"/>
    <w:rsid w:val="00BD1C72"/>
    <w:rsid w:val="00BD259C"/>
    <w:rsid w:val="00BD27EF"/>
    <w:rsid w:val="00BD34FD"/>
    <w:rsid w:val="00BD3F94"/>
    <w:rsid w:val="00BD409C"/>
    <w:rsid w:val="00BD51BD"/>
    <w:rsid w:val="00BD51DF"/>
    <w:rsid w:val="00BD5C64"/>
    <w:rsid w:val="00BD6038"/>
    <w:rsid w:val="00BD6CEF"/>
    <w:rsid w:val="00BD73F6"/>
    <w:rsid w:val="00BD7767"/>
    <w:rsid w:val="00BD7D8E"/>
    <w:rsid w:val="00BE003B"/>
    <w:rsid w:val="00BE0AA1"/>
    <w:rsid w:val="00BE0D81"/>
    <w:rsid w:val="00BE129B"/>
    <w:rsid w:val="00BE16D7"/>
    <w:rsid w:val="00BE1979"/>
    <w:rsid w:val="00BE380C"/>
    <w:rsid w:val="00BE40E2"/>
    <w:rsid w:val="00BE4D20"/>
    <w:rsid w:val="00BE582D"/>
    <w:rsid w:val="00BE625F"/>
    <w:rsid w:val="00BE6639"/>
    <w:rsid w:val="00BE70CA"/>
    <w:rsid w:val="00BF041A"/>
    <w:rsid w:val="00BF080C"/>
    <w:rsid w:val="00BF22F1"/>
    <w:rsid w:val="00BF2606"/>
    <w:rsid w:val="00BF30AC"/>
    <w:rsid w:val="00BF33BB"/>
    <w:rsid w:val="00BF38F0"/>
    <w:rsid w:val="00BF4916"/>
    <w:rsid w:val="00BF4A1B"/>
    <w:rsid w:val="00BF5804"/>
    <w:rsid w:val="00BF5CBF"/>
    <w:rsid w:val="00BF63D9"/>
    <w:rsid w:val="00BF7CF6"/>
    <w:rsid w:val="00C00575"/>
    <w:rsid w:val="00C00B2E"/>
    <w:rsid w:val="00C02BC3"/>
    <w:rsid w:val="00C03003"/>
    <w:rsid w:val="00C0359F"/>
    <w:rsid w:val="00C035B0"/>
    <w:rsid w:val="00C036C7"/>
    <w:rsid w:val="00C04508"/>
    <w:rsid w:val="00C04856"/>
    <w:rsid w:val="00C050C8"/>
    <w:rsid w:val="00C05B9F"/>
    <w:rsid w:val="00C05E28"/>
    <w:rsid w:val="00C05E69"/>
    <w:rsid w:val="00C05FEE"/>
    <w:rsid w:val="00C06D7A"/>
    <w:rsid w:val="00C07585"/>
    <w:rsid w:val="00C07DB2"/>
    <w:rsid w:val="00C10739"/>
    <w:rsid w:val="00C11047"/>
    <w:rsid w:val="00C11DBF"/>
    <w:rsid w:val="00C12DD5"/>
    <w:rsid w:val="00C14099"/>
    <w:rsid w:val="00C146EB"/>
    <w:rsid w:val="00C157FA"/>
    <w:rsid w:val="00C15A7F"/>
    <w:rsid w:val="00C15C02"/>
    <w:rsid w:val="00C16E7B"/>
    <w:rsid w:val="00C17B21"/>
    <w:rsid w:val="00C20768"/>
    <w:rsid w:val="00C208DA"/>
    <w:rsid w:val="00C209D3"/>
    <w:rsid w:val="00C210A4"/>
    <w:rsid w:val="00C210B8"/>
    <w:rsid w:val="00C212BB"/>
    <w:rsid w:val="00C215F3"/>
    <w:rsid w:val="00C21731"/>
    <w:rsid w:val="00C2206D"/>
    <w:rsid w:val="00C2334E"/>
    <w:rsid w:val="00C23450"/>
    <w:rsid w:val="00C24353"/>
    <w:rsid w:val="00C249DF"/>
    <w:rsid w:val="00C24CED"/>
    <w:rsid w:val="00C24FE3"/>
    <w:rsid w:val="00C252B3"/>
    <w:rsid w:val="00C256D0"/>
    <w:rsid w:val="00C25867"/>
    <w:rsid w:val="00C265E7"/>
    <w:rsid w:val="00C269CB"/>
    <w:rsid w:val="00C26EF7"/>
    <w:rsid w:val="00C27442"/>
    <w:rsid w:val="00C27E76"/>
    <w:rsid w:val="00C31972"/>
    <w:rsid w:val="00C31D58"/>
    <w:rsid w:val="00C32FAF"/>
    <w:rsid w:val="00C331E9"/>
    <w:rsid w:val="00C333DE"/>
    <w:rsid w:val="00C3363A"/>
    <w:rsid w:val="00C33994"/>
    <w:rsid w:val="00C33A92"/>
    <w:rsid w:val="00C3467F"/>
    <w:rsid w:val="00C34FF9"/>
    <w:rsid w:val="00C36102"/>
    <w:rsid w:val="00C365C2"/>
    <w:rsid w:val="00C36A14"/>
    <w:rsid w:val="00C36E60"/>
    <w:rsid w:val="00C3768E"/>
    <w:rsid w:val="00C379FD"/>
    <w:rsid w:val="00C40589"/>
    <w:rsid w:val="00C40AC9"/>
    <w:rsid w:val="00C40DB7"/>
    <w:rsid w:val="00C42E50"/>
    <w:rsid w:val="00C4372C"/>
    <w:rsid w:val="00C438F3"/>
    <w:rsid w:val="00C43AF7"/>
    <w:rsid w:val="00C447EB"/>
    <w:rsid w:val="00C44D0E"/>
    <w:rsid w:val="00C45475"/>
    <w:rsid w:val="00C464D8"/>
    <w:rsid w:val="00C46F64"/>
    <w:rsid w:val="00C502A2"/>
    <w:rsid w:val="00C5030C"/>
    <w:rsid w:val="00C50382"/>
    <w:rsid w:val="00C508C3"/>
    <w:rsid w:val="00C50C99"/>
    <w:rsid w:val="00C5132D"/>
    <w:rsid w:val="00C514D8"/>
    <w:rsid w:val="00C51BA1"/>
    <w:rsid w:val="00C53A7B"/>
    <w:rsid w:val="00C53AFB"/>
    <w:rsid w:val="00C53B61"/>
    <w:rsid w:val="00C53C2D"/>
    <w:rsid w:val="00C53CDB"/>
    <w:rsid w:val="00C547D9"/>
    <w:rsid w:val="00C54D63"/>
    <w:rsid w:val="00C55267"/>
    <w:rsid w:val="00C55284"/>
    <w:rsid w:val="00C552C8"/>
    <w:rsid w:val="00C553D5"/>
    <w:rsid w:val="00C555EE"/>
    <w:rsid w:val="00C55B0B"/>
    <w:rsid w:val="00C55D4B"/>
    <w:rsid w:val="00C57379"/>
    <w:rsid w:val="00C57912"/>
    <w:rsid w:val="00C606F8"/>
    <w:rsid w:val="00C60867"/>
    <w:rsid w:val="00C60B5A"/>
    <w:rsid w:val="00C60F1B"/>
    <w:rsid w:val="00C62275"/>
    <w:rsid w:val="00C62A8A"/>
    <w:rsid w:val="00C62AB5"/>
    <w:rsid w:val="00C62C79"/>
    <w:rsid w:val="00C62E3B"/>
    <w:rsid w:val="00C632FD"/>
    <w:rsid w:val="00C66753"/>
    <w:rsid w:val="00C6699E"/>
    <w:rsid w:val="00C66A2D"/>
    <w:rsid w:val="00C66FCA"/>
    <w:rsid w:val="00C6712F"/>
    <w:rsid w:val="00C6727A"/>
    <w:rsid w:val="00C67AC0"/>
    <w:rsid w:val="00C70050"/>
    <w:rsid w:val="00C70799"/>
    <w:rsid w:val="00C7098A"/>
    <w:rsid w:val="00C7098C"/>
    <w:rsid w:val="00C70A60"/>
    <w:rsid w:val="00C71C39"/>
    <w:rsid w:val="00C71DAF"/>
    <w:rsid w:val="00C71FA7"/>
    <w:rsid w:val="00C72437"/>
    <w:rsid w:val="00C72909"/>
    <w:rsid w:val="00C72E60"/>
    <w:rsid w:val="00C73340"/>
    <w:rsid w:val="00C734A0"/>
    <w:rsid w:val="00C736C0"/>
    <w:rsid w:val="00C73AD9"/>
    <w:rsid w:val="00C73B7F"/>
    <w:rsid w:val="00C73D4D"/>
    <w:rsid w:val="00C7402D"/>
    <w:rsid w:val="00C744F4"/>
    <w:rsid w:val="00C749EA"/>
    <w:rsid w:val="00C74EA7"/>
    <w:rsid w:val="00C75003"/>
    <w:rsid w:val="00C755F4"/>
    <w:rsid w:val="00C763EA"/>
    <w:rsid w:val="00C764E7"/>
    <w:rsid w:val="00C7689C"/>
    <w:rsid w:val="00C76CF8"/>
    <w:rsid w:val="00C77614"/>
    <w:rsid w:val="00C77CD8"/>
    <w:rsid w:val="00C8008C"/>
    <w:rsid w:val="00C808E1"/>
    <w:rsid w:val="00C828A4"/>
    <w:rsid w:val="00C82FBA"/>
    <w:rsid w:val="00C83679"/>
    <w:rsid w:val="00C84E9D"/>
    <w:rsid w:val="00C850E7"/>
    <w:rsid w:val="00C8666B"/>
    <w:rsid w:val="00C8696A"/>
    <w:rsid w:val="00C906E1"/>
    <w:rsid w:val="00C90CBA"/>
    <w:rsid w:val="00C90F3C"/>
    <w:rsid w:val="00C9120D"/>
    <w:rsid w:val="00C92088"/>
    <w:rsid w:val="00C926DA"/>
    <w:rsid w:val="00C93318"/>
    <w:rsid w:val="00C93645"/>
    <w:rsid w:val="00C937A8"/>
    <w:rsid w:val="00C93A8A"/>
    <w:rsid w:val="00C94108"/>
    <w:rsid w:val="00C94FF0"/>
    <w:rsid w:val="00C9536E"/>
    <w:rsid w:val="00C9587F"/>
    <w:rsid w:val="00C963FC"/>
    <w:rsid w:val="00C96849"/>
    <w:rsid w:val="00C977F0"/>
    <w:rsid w:val="00C97C45"/>
    <w:rsid w:val="00C97D88"/>
    <w:rsid w:val="00CA038A"/>
    <w:rsid w:val="00CA06E1"/>
    <w:rsid w:val="00CA0FA2"/>
    <w:rsid w:val="00CA1DBE"/>
    <w:rsid w:val="00CA25C0"/>
    <w:rsid w:val="00CA33A0"/>
    <w:rsid w:val="00CA35BE"/>
    <w:rsid w:val="00CA4BC4"/>
    <w:rsid w:val="00CA51BF"/>
    <w:rsid w:val="00CA5361"/>
    <w:rsid w:val="00CA57C1"/>
    <w:rsid w:val="00CA5E1F"/>
    <w:rsid w:val="00CA653A"/>
    <w:rsid w:val="00CA69F9"/>
    <w:rsid w:val="00CA6B4B"/>
    <w:rsid w:val="00CA733A"/>
    <w:rsid w:val="00CA785D"/>
    <w:rsid w:val="00CA78B1"/>
    <w:rsid w:val="00CB0A1B"/>
    <w:rsid w:val="00CB1EEF"/>
    <w:rsid w:val="00CB2302"/>
    <w:rsid w:val="00CB24A3"/>
    <w:rsid w:val="00CB2583"/>
    <w:rsid w:val="00CB3638"/>
    <w:rsid w:val="00CB402C"/>
    <w:rsid w:val="00CB4E0C"/>
    <w:rsid w:val="00CB4EE9"/>
    <w:rsid w:val="00CB5519"/>
    <w:rsid w:val="00CB5CD2"/>
    <w:rsid w:val="00CB5EEE"/>
    <w:rsid w:val="00CB6C59"/>
    <w:rsid w:val="00CB7004"/>
    <w:rsid w:val="00CB72E8"/>
    <w:rsid w:val="00CB7A44"/>
    <w:rsid w:val="00CC0059"/>
    <w:rsid w:val="00CC00A3"/>
    <w:rsid w:val="00CC0AD1"/>
    <w:rsid w:val="00CC0B00"/>
    <w:rsid w:val="00CC0B67"/>
    <w:rsid w:val="00CC0D6F"/>
    <w:rsid w:val="00CC116A"/>
    <w:rsid w:val="00CC24A6"/>
    <w:rsid w:val="00CC2AD7"/>
    <w:rsid w:val="00CC321F"/>
    <w:rsid w:val="00CC460C"/>
    <w:rsid w:val="00CC47E3"/>
    <w:rsid w:val="00CC57EF"/>
    <w:rsid w:val="00CC665E"/>
    <w:rsid w:val="00CD02C7"/>
    <w:rsid w:val="00CD1180"/>
    <w:rsid w:val="00CD19E4"/>
    <w:rsid w:val="00CD2142"/>
    <w:rsid w:val="00CD275E"/>
    <w:rsid w:val="00CD2860"/>
    <w:rsid w:val="00CD2E50"/>
    <w:rsid w:val="00CD3C4B"/>
    <w:rsid w:val="00CD3C71"/>
    <w:rsid w:val="00CD3DFF"/>
    <w:rsid w:val="00CD43E4"/>
    <w:rsid w:val="00CD4C90"/>
    <w:rsid w:val="00CD6ED6"/>
    <w:rsid w:val="00CD732E"/>
    <w:rsid w:val="00CD7F55"/>
    <w:rsid w:val="00CE08CF"/>
    <w:rsid w:val="00CE2AEF"/>
    <w:rsid w:val="00CE2C7A"/>
    <w:rsid w:val="00CE3153"/>
    <w:rsid w:val="00CE438A"/>
    <w:rsid w:val="00CE4599"/>
    <w:rsid w:val="00CE473E"/>
    <w:rsid w:val="00CE5533"/>
    <w:rsid w:val="00CE553C"/>
    <w:rsid w:val="00CE66F1"/>
    <w:rsid w:val="00CE7119"/>
    <w:rsid w:val="00CE77CE"/>
    <w:rsid w:val="00CF0715"/>
    <w:rsid w:val="00CF0768"/>
    <w:rsid w:val="00CF0EC0"/>
    <w:rsid w:val="00CF1324"/>
    <w:rsid w:val="00CF1D4C"/>
    <w:rsid w:val="00CF1E98"/>
    <w:rsid w:val="00CF20BE"/>
    <w:rsid w:val="00CF21D0"/>
    <w:rsid w:val="00CF2388"/>
    <w:rsid w:val="00CF2418"/>
    <w:rsid w:val="00CF2597"/>
    <w:rsid w:val="00CF396E"/>
    <w:rsid w:val="00CF3CD9"/>
    <w:rsid w:val="00CF4788"/>
    <w:rsid w:val="00CF49DC"/>
    <w:rsid w:val="00CF560B"/>
    <w:rsid w:val="00CF6051"/>
    <w:rsid w:val="00CF736E"/>
    <w:rsid w:val="00CF7389"/>
    <w:rsid w:val="00CF75B9"/>
    <w:rsid w:val="00CF760E"/>
    <w:rsid w:val="00CF77B7"/>
    <w:rsid w:val="00D00984"/>
    <w:rsid w:val="00D01399"/>
    <w:rsid w:val="00D01710"/>
    <w:rsid w:val="00D01DAF"/>
    <w:rsid w:val="00D020C8"/>
    <w:rsid w:val="00D02CF3"/>
    <w:rsid w:val="00D033FA"/>
    <w:rsid w:val="00D047A8"/>
    <w:rsid w:val="00D04E3B"/>
    <w:rsid w:val="00D06651"/>
    <w:rsid w:val="00D06B1C"/>
    <w:rsid w:val="00D07C40"/>
    <w:rsid w:val="00D103EE"/>
    <w:rsid w:val="00D107EB"/>
    <w:rsid w:val="00D11727"/>
    <w:rsid w:val="00D11E08"/>
    <w:rsid w:val="00D11E58"/>
    <w:rsid w:val="00D12CD5"/>
    <w:rsid w:val="00D131E0"/>
    <w:rsid w:val="00D13ABA"/>
    <w:rsid w:val="00D13C9A"/>
    <w:rsid w:val="00D13EEC"/>
    <w:rsid w:val="00D1420A"/>
    <w:rsid w:val="00D14737"/>
    <w:rsid w:val="00D1488F"/>
    <w:rsid w:val="00D1493B"/>
    <w:rsid w:val="00D14AED"/>
    <w:rsid w:val="00D14B46"/>
    <w:rsid w:val="00D15547"/>
    <w:rsid w:val="00D17B7C"/>
    <w:rsid w:val="00D17E16"/>
    <w:rsid w:val="00D17FCA"/>
    <w:rsid w:val="00D20553"/>
    <w:rsid w:val="00D20B4A"/>
    <w:rsid w:val="00D2172B"/>
    <w:rsid w:val="00D21C66"/>
    <w:rsid w:val="00D221C3"/>
    <w:rsid w:val="00D22BF9"/>
    <w:rsid w:val="00D23BA9"/>
    <w:rsid w:val="00D23DCE"/>
    <w:rsid w:val="00D23E7A"/>
    <w:rsid w:val="00D24E08"/>
    <w:rsid w:val="00D26115"/>
    <w:rsid w:val="00D26E5C"/>
    <w:rsid w:val="00D2737D"/>
    <w:rsid w:val="00D27488"/>
    <w:rsid w:val="00D27A56"/>
    <w:rsid w:val="00D308FA"/>
    <w:rsid w:val="00D30ACC"/>
    <w:rsid w:val="00D31500"/>
    <w:rsid w:val="00D31820"/>
    <w:rsid w:val="00D32128"/>
    <w:rsid w:val="00D32FA1"/>
    <w:rsid w:val="00D33BA7"/>
    <w:rsid w:val="00D344E9"/>
    <w:rsid w:val="00D34634"/>
    <w:rsid w:val="00D3540A"/>
    <w:rsid w:val="00D35B27"/>
    <w:rsid w:val="00D35CD8"/>
    <w:rsid w:val="00D364FC"/>
    <w:rsid w:val="00D36B92"/>
    <w:rsid w:val="00D37480"/>
    <w:rsid w:val="00D37C79"/>
    <w:rsid w:val="00D37D92"/>
    <w:rsid w:val="00D37DEB"/>
    <w:rsid w:val="00D37F43"/>
    <w:rsid w:val="00D40628"/>
    <w:rsid w:val="00D40BF9"/>
    <w:rsid w:val="00D40C80"/>
    <w:rsid w:val="00D410D4"/>
    <w:rsid w:val="00D41C9B"/>
    <w:rsid w:val="00D420A7"/>
    <w:rsid w:val="00D45016"/>
    <w:rsid w:val="00D459D0"/>
    <w:rsid w:val="00D45ADA"/>
    <w:rsid w:val="00D47073"/>
    <w:rsid w:val="00D4727B"/>
    <w:rsid w:val="00D47B88"/>
    <w:rsid w:val="00D501A1"/>
    <w:rsid w:val="00D52342"/>
    <w:rsid w:val="00D52C6D"/>
    <w:rsid w:val="00D533BE"/>
    <w:rsid w:val="00D53731"/>
    <w:rsid w:val="00D541AD"/>
    <w:rsid w:val="00D542F4"/>
    <w:rsid w:val="00D546EF"/>
    <w:rsid w:val="00D55E5C"/>
    <w:rsid w:val="00D571EB"/>
    <w:rsid w:val="00D57718"/>
    <w:rsid w:val="00D57F48"/>
    <w:rsid w:val="00D601BD"/>
    <w:rsid w:val="00D604E7"/>
    <w:rsid w:val="00D6055A"/>
    <w:rsid w:val="00D61461"/>
    <w:rsid w:val="00D62418"/>
    <w:rsid w:val="00D6367A"/>
    <w:rsid w:val="00D63ADE"/>
    <w:rsid w:val="00D63C25"/>
    <w:rsid w:val="00D63E38"/>
    <w:rsid w:val="00D6417C"/>
    <w:rsid w:val="00D6417F"/>
    <w:rsid w:val="00D64213"/>
    <w:rsid w:val="00D6449B"/>
    <w:rsid w:val="00D6454D"/>
    <w:rsid w:val="00D64E55"/>
    <w:rsid w:val="00D656CC"/>
    <w:rsid w:val="00D65994"/>
    <w:rsid w:val="00D65EF7"/>
    <w:rsid w:val="00D6637B"/>
    <w:rsid w:val="00D663CA"/>
    <w:rsid w:val="00D6694A"/>
    <w:rsid w:val="00D66DC6"/>
    <w:rsid w:val="00D672CA"/>
    <w:rsid w:val="00D70FEA"/>
    <w:rsid w:val="00D721A2"/>
    <w:rsid w:val="00D7234C"/>
    <w:rsid w:val="00D7275D"/>
    <w:rsid w:val="00D7299D"/>
    <w:rsid w:val="00D72AA4"/>
    <w:rsid w:val="00D733F5"/>
    <w:rsid w:val="00D734A5"/>
    <w:rsid w:val="00D745E6"/>
    <w:rsid w:val="00D7468C"/>
    <w:rsid w:val="00D755D3"/>
    <w:rsid w:val="00D758C6"/>
    <w:rsid w:val="00D764E0"/>
    <w:rsid w:val="00D77263"/>
    <w:rsid w:val="00D77B14"/>
    <w:rsid w:val="00D77C9F"/>
    <w:rsid w:val="00D77E61"/>
    <w:rsid w:val="00D807FF"/>
    <w:rsid w:val="00D8114F"/>
    <w:rsid w:val="00D811CB"/>
    <w:rsid w:val="00D81B9E"/>
    <w:rsid w:val="00D83BE9"/>
    <w:rsid w:val="00D83BEC"/>
    <w:rsid w:val="00D84627"/>
    <w:rsid w:val="00D84944"/>
    <w:rsid w:val="00D85E68"/>
    <w:rsid w:val="00D85E72"/>
    <w:rsid w:val="00D865AA"/>
    <w:rsid w:val="00D874A5"/>
    <w:rsid w:val="00D87B4D"/>
    <w:rsid w:val="00D925A9"/>
    <w:rsid w:val="00D92935"/>
    <w:rsid w:val="00D9395A"/>
    <w:rsid w:val="00D93A6E"/>
    <w:rsid w:val="00D93AE0"/>
    <w:rsid w:val="00D9400C"/>
    <w:rsid w:val="00D95278"/>
    <w:rsid w:val="00D95C58"/>
    <w:rsid w:val="00D95DE0"/>
    <w:rsid w:val="00D960E8"/>
    <w:rsid w:val="00D97435"/>
    <w:rsid w:val="00D9745C"/>
    <w:rsid w:val="00DA2611"/>
    <w:rsid w:val="00DA28FC"/>
    <w:rsid w:val="00DA3122"/>
    <w:rsid w:val="00DA3976"/>
    <w:rsid w:val="00DA3D51"/>
    <w:rsid w:val="00DA4389"/>
    <w:rsid w:val="00DA48B1"/>
    <w:rsid w:val="00DA55DF"/>
    <w:rsid w:val="00DA57E1"/>
    <w:rsid w:val="00DA5B48"/>
    <w:rsid w:val="00DA5D95"/>
    <w:rsid w:val="00DA60A4"/>
    <w:rsid w:val="00DA686B"/>
    <w:rsid w:val="00DA78BA"/>
    <w:rsid w:val="00DA7B2F"/>
    <w:rsid w:val="00DA7FA0"/>
    <w:rsid w:val="00DB13C7"/>
    <w:rsid w:val="00DB17DE"/>
    <w:rsid w:val="00DB1941"/>
    <w:rsid w:val="00DB1EAF"/>
    <w:rsid w:val="00DB2B71"/>
    <w:rsid w:val="00DB32D9"/>
    <w:rsid w:val="00DB355F"/>
    <w:rsid w:val="00DB3B7E"/>
    <w:rsid w:val="00DB41BD"/>
    <w:rsid w:val="00DB5393"/>
    <w:rsid w:val="00DB5D1A"/>
    <w:rsid w:val="00DB5D71"/>
    <w:rsid w:val="00DB617E"/>
    <w:rsid w:val="00DB6794"/>
    <w:rsid w:val="00DB679B"/>
    <w:rsid w:val="00DB7167"/>
    <w:rsid w:val="00DB7BA7"/>
    <w:rsid w:val="00DB7D65"/>
    <w:rsid w:val="00DC0707"/>
    <w:rsid w:val="00DC0A33"/>
    <w:rsid w:val="00DC0DCE"/>
    <w:rsid w:val="00DC0FCD"/>
    <w:rsid w:val="00DC0FF6"/>
    <w:rsid w:val="00DC1514"/>
    <w:rsid w:val="00DC1634"/>
    <w:rsid w:val="00DC1A15"/>
    <w:rsid w:val="00DC20C5"/>
    <w:rsid w:val="00DC24E9"/>
    <w:rsid w:val="00DC269F"/>
    <w:rsid w:val="00DC2C96"/>
    <w:rsid w:val="00DC31FE"/>
    <w:rsid w:val="00DC32B5"/>
    <w:rsid w:val="00DC35F6"/>
    <w:rsid w:val="00DC379A"/>
    <w:rsid w:val="00DC40D8"/>
    <w:rsid w:val="00DC4481"/>
    <w:rsid w:val="00DC45E5"/>
    <w:rsid w:val="00DC4CF3"/>
    <w:rsid w:val="00DC4F2F"/>
    <w:rsid w:val="00DC5747"/>
    <w:rsid w:val="00DC610E"/>
    <w:rsid w:val="00DC612D"/>
    <w:rsid w:val="00DC6F9C"/>
    <w:rsid w:val="00DC7D3B"/>
    <w:rsid w:val="00DC7DDC"/>
    <w:rsid w:val="00DD04C8"/>
    <w:rsid w:val="00DD0AD9"/>
    <w:rsid w:val="00DD15C2"/>
    <w:rsid w:val="00DD1E81"/>
    <w:rsid w:val="00DD2207"/>
    <w:rsid w:val="00DD228D"/>
    <w:rsid w:val="00DD35FA"/>
    <w:rsid w:val="00DD373B"/>
    <w:rsid w:val="00DD42B3"/>
    <w:rsid w:val="00DD4E79"/>
    <w:rsid w:val="00DD524A"/>
    <w:rsid w:val="00DD60CB"/>
    <w:rsid w:val="00DD7A34"/>
    <w:rsid w:val="00DE00E4"/>
    <w:rsid w:val="00DE072B"/>
    <w:rsid w:val="00DE2E10"/>
    <w:rsid w:val="00DE37A1"/>
    <w:rsid w:val="00DE3B95"/>
    <w:rsid w:val="00DE4E42"/>
    <w:rsid w:val="00DE525E"/>
    <w:rsid w:val="00DE6135"/>
    <w:rsid w:val="00DE6A95"/>
    <w:rsid w:val="00DE75D9"/>
    <w:rsid w:val="00DE7765"/>
    <w:rsid w:val="00DF0D68"/>
    <w:rsid w:val="00DF1445"/>
    <w:rsid w:val="00DF15ED"/>
    <w:rsid w:val="00DF162F"/>
    <w:rsid w:val="00DF2054"/>
    <w:rsid w:val="00DF34E1"/>
    <w:rsid w:val="00DF579D"/>
    <w:rsid w:val="00DF6638"/>
    <w:rsid w:val="00DF69B6"/>
    <w:rsid w:val="00DF6DA4"/>
    <w:rsid w:val="00DF7296"/>
    <w:rsid w:val="00DF7A5D"/>
    <w:rsid w:val="00E00434"/>
    <w:rsid w:val="00E0151B"/>
    <w:rsid w:val="00E019B8"/>
    <w:rsid w:val="00E01E77"/>
    <w:rsid w:val="00E02CEB"/>
    <w:rsid w:val="00E03EA4"/>
    <w:rsid w:val="00E0420F"/>
    <w:rsid w:val="00E04644"/>
    <w:rsid w:val="00E04B97"/>
    <w:rsid w:val="00E04DC9"/>
    <w:rsid w:val="00E04E20"/>
    <w:rsid w:val="00E04E2E"/>
    <w:rsid w:val="00E04F5D"/>
    <w:rsid w:val="00E05130"/>
    <w:rsid w:val="00E0561A"/>
    <w:rsid w:val="00E05DC3"/>
    <w:rsid w:val="00E06859"/>
    <w:rsid w:val="00E07954"/>
    <w:rsid w:val="00E106AB"/>
    <w:rsid w:val="00E11098"/>
    <w:rsid w:val="00E115C9"/>
    <w:rsid w:val="00E12392"/>
    <w:rsid w:val="00E12D23"/>
    <w:rsid w:val="00E133D9"/>
    <w:rsid w:val="00E137E6"/>
    <w:rsid w:val="00E14032"/>
    <w:rsid w:val="00E142CB"/>
    <w:rsid w:val="00E14880"/>
    <w:rsid w:val="00E149D2"/>
    <w:rsid w:val="00E14FB0"/>
    <w:rsid w:val="00E153AA"/>
    <w:rsid w:val="00E1559B"/>
    <w:rsid w:val="00E15DB0"/>
    <w:rsid w:val="00E15EE6"/>
    <w:rsid w:val="00E1602A"/>
    <w:rsid w:val="00E165E6"/>
    <w:rsid w:val="00E16B76"/>
    <w:rsid w:val="00E16E96"/>
    <w:rsid w:val="00E172BA"/>
    <w:rsid w:val="00E20D02"/>
    <w:rsid w:val="00E20D91"/>
    <w:rsid w:val="00E215BE"/>
    <w:rsid w:val="00E21C8E"/>
    <w:rsid w:val="00E21F18"/>
    <w:rsid w:val="00E22206"/>
    <w:rsid w:val="00E24D00"/>
    <w:rsid w:val="00E2523C"/>
    <w:rsid w:val="00E25305"/>
    <w:rsid w:val="00E25879"/>
    <w:rsid w:val="00E25BE4"/>
    <w:rsid w:val="00E26057"/>
    <w:rsid w:val="00E26DD3"/>
    <w:rsid w:val="00E3029A"/>
    <w:rsid w:val="00E30D26"/>
    <w:rsid w:val="00E331BD"/>
    <w:rsid w:val="00E34323"/>
    <w:rsid w:val="00E347B2"/>
    <w:rsid w:val="00E354BF"/>
    <w:rsid w:val="00E354E3"/>
    <w:rsid w:val="00E360EB"/>
    <w:rsid w:val="00E363BF"/>
    <w:rsid w:val="00E3673A"/>
    <w:rsid w:val="00E40E46"/>
    <w:rsid w:val="00E41A9C"/>
    <w:rsid w:val="00E41C19"/>
    <w:rsid w:val="00E429F0"/>
    <w:rsid w:val="00E42A6C"/>
    <w:rsid w:val="00E42B58"/>
    <w:rsid w:val="00E42B90"/>
    <w:rsid w:val="00E432E4"/>
    <w:rsid w:val="00E440E7"/>
    <w:rsid w:val="00E45738"/>
    <w:rsid w:val="00E45CC8"/>
    <w:rsid w:val="00E4630F"/>
    <w:rsid w:val="00E46B43"/>
    <w:rsid w:val="00E50AE1"/>
    <w:rsid w:val="00E513D1"/>
    <w:rsid w:val="00E51425"/>
    <w:rsid w:val="00E51FBE"/>
    <w:rsid w:val="00E5283B"/>
    <w:rsid w:val="00E5292F"/>
    <w:rsid w:val="00E52ED1"/>
    <w:rsid w:val="00E531E4"/>
    <w:rsid w:val="00E54260"/>
    <w:rsid w:val="00E55A08"/>
    <w:rsid w:val="00E55ACB"/>
    <w:rsid w:val="00E563C4"/>
    <w:rsid w:val="00E578CF"/>
    <w:rsid w:val="00E57CEC"/>
    <w:rsid w:val="00E61780"/>
    <w:rsid w:val="00E6182D"/>
    <w:rsid w:val="00E61A03"/>
    <w:rsid w:val="00E61B02"/>
    <w:rsid w:val="00E61D89"/>
    <w:rsid w:val="00E61F6B"/>
    <w:rsid w:val="00E62D23"/>
    <w:rsid w:val="00E62DA1"/>
    <w:rsid w:val="00E62E0A"/>
    <w:rsid w:val="00E63147"/>
    <w:rsid w:val="00E64F73"/>
    <w:rsid w:val="00E65CAF"/>
    <w:rsid w:val="00E6656C"/>
    <w:rsid w:val="00E67711"/>
    <w:rsid w:val="00E67AE6"/>
    <w:rsid w:val="00E70136"/>
    <w:rsid w:val="00E715F5"/>
    <w:rsid w:val="00E71B90"/>
    <w:rsid w:val="00E720A6"/>
    <w:rsid w:val="00E72308"/>
    <w:rsid w:val="00E7249E"/>
    <w:rsid w:val="00E7276B"/>
    <w:rsid w:val="00E747DE"/>
    <w:rsid w:val="00E7491C"/>
    <w:rsid w:val="00E74D2C"/>
    <w:rsid w:val="00E754EB"/>
    <w:rsid w:val="00E759CD"/>
    <w:rsid w:val="00E75C95"/>
    <w:rsid w:val="00E76225"/>
    <w:rsid w:val="00E76283"/>
    <w:rsid w:val="00E76712"/>
    <w:rsid w:val="00E76AB7"/>
    <w:rsid w:val="00E7764D"/>
    <w:rsid w:val="00E7773E"/>
    <w:rsid w:val="00E778E1"/>
    <w:rsid w:val="00E778F9"/>
    <w:rsid w:val="00E7792C"/>
    <w:rsid w:val="00E77BAD"/>
    <w:rsid w:val="00E77FCB"/>
    <w:rsid w:val="00E80523"/>
    <w:rsid w:val="00E809DE"/>
    <w:rsid w:val="00E80A95"/>
    <w:rsid w:val="00E81358"/>
    <w:rsid w:val="00E8153F"/>
    <w:rsid w:val="00E8167D"/>
    <w:rsid w:val="00E818F2"/>
    <w:rsid w:val="00E81945"/>
    <w:rsid w:val="00E81E2D"/>
    <w:rsid w:val="00E83797"/>
    <w:rsid w:val="00E83DF5"/>
    <w:rsid w:val="00E83EDE"/>
    <w:rsid w:val="00E84574"/>
    <w:rsid w:val="00E855F8"/>
    <w:rsid w:val="00E85818"/>
    <w:rsid w:val="00E90621"/>
    <w:rsid w:val="00E90C73"/>
    <w:rsid w:val="00E91099"/>
    <w:rsid w:val="00E917BC"/>
    <w:rsid w:val="00E917EB"/>
    <w:rsid w:val="00E92A5B"/>
    <w:rsid w:val="00E94039"/>
    <w:rsid w:val="00E944B7"/>
    <w:rsid w:val="00E94649"/>
    <w:rsid w:val="00E948AE"/>
    <w:rsid w:val="00E95197"/>
    <w:rsid w:val="00E95B8D"/>
    <w:rsid w:val="00E967D2"/>
    <w:rsid w:val="00E975C6"/>
    <w:rsid w:val="00E97662"/>
    <w:rsid w:val="00E979CE"/>
    <w:rsid w:val="00EA0137"/>
    <w:rsid w:val="00EA04C2"/>
    <w:rsid w:val="00EA04CF"/>
    <w:rsid w:val="00EA2220"/>
    <w:rsid w:val="00EA373F"/>
    <w:rsid w:val="00EA3964"/>
    <w:rsid w:val="00EA3FF0"/>
    <w:rsid w:val="00EA40C3"/>
    <w:rsid w:val="00EA5C4A"/>
    <w:rsid w:val="00EA6634"/>
    <w:rsid w:val="00EA67BA"/>
    <w:rsid w:val="00EA744B"/>
    <w:rsid w:val="00EB040F"/>
    <w:rsid w:val="00EB1FEB"/>
    <w:rsid w:val="00EB20AD"/>
    <w:rsid w:val="00EB2204"/>
    <w:rsid w:val="00EB3094"/>
    <w:rsid w:val="00EB39E2"/>
    <w:rsid w:val="00EB41EB"/>
    <w:rsid w:val="00EB4876"/>
    <w:rsid w:val="00EB4D46"/>
    <w:rsid w:val="00EB4DC3"/>
    <w:rsid w:val="00EB5065"/>
    <w:rsid w:val="00EB595A"/>
    <w:rsid w:val="00EB5FFD"/>
    <w:rsid w:val="00EB6B12"/>
    <w:rsid w:val="00EB7C59"/>
    <w:rsid w:val="00EC00B9"/>
    <w:rsid w:val="00EC0947"/>
    <w:rsid w:val="00EC1243"/>
    <w:rsid w:val="00EC1767"/>
    <w:rsid w:val="00EC1B59"/>
    <w:rsid w:val="00EC1E4F"/>
    <w:rsid w:val="00EC2372"/>
    <w:rsid w:val="00EC2E2A"/>
    <w:rsid w:val="00EC2E47"/>
    <w:rsid w:val="00EC497D"/>
    <w:rsid w:val="00EC4B33"/>
    <w:rsid w:val="00EC658B"/>
    <w:rsid w:val="00EC6D2A"/>
    <w:rsid w:val="00EC773A"/>
    <w:rsid w:val="00ED03D6"/>
    <w:rsid w:val="00ED106B"/>
    <w:rsid w:val="00ED113E"/>
    <w:rsid w:val="00ED1D25"/>
    <w:rsid w:val="00ED27F7"/>
    <w:rsid w:val="00ED2DA0"/>
    <w:rsid w:val="00ED31AD"/>
    <w:rsid w:val="00ED3A33"/>
    <w:rsid w:val="00ED3D27"/>
    <w:rsid w:val="00ED49AE"/>
    <w:rsid w:val="00ED4FC7"/>
    <w:rsid w:val="00ED5569"/>
    <w:rsid w:val="00ED55F2"/>
    <w:rsid w:val="00ED563B"/>
    <w:rsid w:val="00ED5868"/>
    <w:rsid w:val="00ED5FD9"/>
    <w:rsid w:val="00ED6111"/>
    <w:rsid w:val="00ED649F"/>
    <w:rsid w:val="00ED6E86"/>
    <w:rsid w:val="00ED7C43"/>
    <w:rsid w:val="00EE0A27"/>
    <w:rsid w:val="00EE1CA5"/>
    <w:rsid w:val="00EE1F09"/>
    <w:rsid w:val="00EE2A1E"/>
    <w:rsid w:val="00EE3648"/>
    <w:rsid w:val="00EE3EA1"/>
    <w:rsid w:val="00EE4ACC"/>
    <w:rsid w:val="00EE4EF4"/>
    <w:rsid w:val="00EE6787"/>
    <w:rsid w:val="00EE68AC"/>
    <w:rsid w:val="00EE6C4B"/>
    <w:rsid w:val="00EE78FA"/>
    <w:rsid w:val="00EE7B2B"/>
    <w:rsid w:val="00EE7B6D"/>
    <w:rsid w:val="00EF0092"/>
    <w:rsid w:val="00EF0439"/>
    <w:rsid w:val="00EF0B07"/>
    <w:rsid w:val="00EF0ED4"/>
    <w:rsid w:val="00EF160B"/>
    <w:rsid w:val="00EF1C85"/>
    <w:rsid w:val="00EF2375"/>
    <w:rsid w:val="00EF285A"/>
    <w:rsid w:val="00EF2A6C"/>
    <w:rsid w:val="00EF3645"/>
    <w:rsid w:val="00EF3866"/>
    <w:rsid w:val="00EF3957"/>
    <w:rsid w:val="00EF3AF2"/>
    <w:rsid w:val="00EF4423"/>
    <w:rsid w:val="00EF46B6"/>
    <w:rsid w:val="00EF59CD"/>
    <w:rsid w:val="00EF5BD3"/>
    <w:rsid w:val="00EF5F85"/>
    <w:rsid w:val="00EF6081"/>
    <w:rsid w:val="00EF636C"/>
    <w:rsid w:val="00EF66FC"/>
    <w:rsid w:val="00EF6DDF"/>
    <w:rsid w:val="00EF706B"/>
    <w:rsid w:val="00EF712A"/>
    <w:rsid w:val="00EF7D3F"/>
    <w:rsid w:val="00F0015E"/>
    <w:rsid w:val="00F00382"/>
    <w:rsid w:val="00F00579"/>
    <w:rsid w:val="00F016E7"/>
    <w:rsid w:val="00F02638"/>
    <w:rsid w:val="00F02C23"/>
    <w:rsid w:val="00F0303F"/>
    <w:rsid w:val="00F031AE"/>
    <w:rsid w:val="00F03340"/>
    <w:rsid w:val="00F03394"/>
    <w:rsid w:val="00F052FD"/>
    <w:rsid w:val="00F057CC"/>
    <w:rsid w:val="00F064BD"/>
    <w:rsid w:val="00F06981"/>
    <w:rsid w:val="00F10B0F"/>
    <w:rsid w:val="00F11371"/>
    <w:rsid w:val="00F136DC"/>
    <w:rsid w:val="00F13FA2"/>
    <w:rsid w:val="00F14950"/>
    <w:rsid w:val="00F1497A"/>
    <w:rsid w:val="00F14A25"/>
    <w:rsid w:val="00F14CE5"/>
    <w:rsid w:val="00F15440"/>
    <w:rsid w:val="00F15F5B"/>
    <w:rsid w:val="00F160B7"/>
    <w:rsid w:val="00F1723B"/>
    <w:rsid w:val="00F17798"/>
    <w:rsid w:val="00F17A0C"/>
    <w:rsid w:val="00F17D39"/>
    <w:rsid w:val="00F2062B"/>
    <w:rsid w:val="00F21B8D"/>
    <w:rsid w:val="00F21CC2"/>
    <w:rsid w:val="00F21EEC"/>
    <w:rsid w:val="00F21F02"/>
    <w:rsid w:val="00F220D6"/>
    <w:rsid w:val="00F2294C"/>
    <w:rsid w:val="00F22C8D"/>
    <w:rsid w:val="00F23034"/>
    <w:rsid w:val="00F230E2"/>
    <w:rsid w:val="00F23462"/>
    <w:rsid w:val="00F23ED7"/>
    <w:rsid w:val="00F2465A"/>
    <w:rsid w:val="00F247E2"/>
    <w:rsid w:val="00F24969"/>
    <w:rsid w:val="00F24B9C"/>
    <w:rsid w:val="00F24BB6"/>
    <w:rsid w:val="00F24F92"/>
    <w:rsid w:val="00F2520D"/>
    <w:rsid w:val="00F258A7"/>
    <w:rsid w:val="00F26076"/>
    <w:rsid w:val="00F27617"/>
    <w:rsid w:val="00F27831"/>
    <w:rsid w:val="00F27BAB"/>
    <w:rsid w:val="00F27BDD"/>
    <w:rsid w:val="00F30084"/>
    <w:rsid w:val="00F30300"/>
    <w:rsid w:val="00F30E17"/>
    <w:rsid w:val="00F31096"/>
    <w:rsid w:val="00F318A5"/>
    <w:rsid w:val="00F31A5C"/>
    <w:rsid w:val="00F3214F"/>
    <w:rsid w:val="00F32478"/>
    <w:rsid w:val="00F32CD8"/>
    <w:rsid w:val="00F33687"/>
    <w:rsid w:val="00F337D8"/>
    <w:rsid w:val="00F36150"/>
    <w:rsid w:val="00F36544"/>
    <w:rsid w:val="00F37252"/>
    <w:rsid w:val="00F373B2"/>
    <w:rsid w:val="00F37432"/>
    <w:rsid w:val="00F374BF"/>
    <w:rsid w:val="00F375FC"/>
    <w:rsid w:val="00F37B2B"/>
    <w:rsid w:val="00F433CD"/>
    <w:rsid w:val="00F441EA"/>
    <w:rsid w:val="00F4516D"/>
    <w:rsid w:val="00F45F76"/>
    <w:rsid w:val="00F50730"/>
    <w:rsid w:val="00F50AC0"/>
    <w:rsid w:val="00F50DC8"/>
    <w:rsid w:val="00F51FD1"/>
    <w:rsid w:val="00F52140"/>
    <w:rsid w:val="00F52640"/>
    <w:rsid w:val="00F52F81"/>
    <w:rsid w:val="00F53506"/>
    <w:rsid w:val="00F5380C"/>
    <w:rsid w:val="00F53A57"/>
    <w:rsid w:val="00F54363"/>
    <w:rsid w:val="00F54744"/>
    <w:rsid w:val="00F54C8D"/>
    <w:rsid w:val="00F54D17"/>
    <w:rsid w:val="00F554E0"/>
    <w:rsid w:val="00F5566D"/>
    <w:rsid w:val="00F569CE"/>
    <w:rsid w:val="00F570F2"/>
    <w:rsid w:val="00F572E7"/>
    <w:rsid w:val="00F57614"/>
    <w:rsid w:val="00F57735"/>
    <w:rsid w:val="00F57B06"/>
    <w:rsid w:val="00F6014C"/>
    <w:rsid w:val="00F6176C"/>
    <w:rsid w:val="00F6211F"/>
    <w:rsid w:val="00F622B2"/>
    <w:rsid w:val="00F62300"/>
    <w:rsid w:val="00F626C7"/>
    <w:rsid w:val="00F64AAF"/>
    <w:rsid w:val="00F64AC4"/>
    <w:rsid w:val="00F650B6"/>
    <w:rsid w:val="00F655A6"/>
    <w:rsid w:val="00F657DB"/>
    <w:rsid w:val="00F65CC8"/>
    <w:rsid w:val="00F67292"/>
    <w:rsid w:val="00F67414"/>
    <w:rsid w:val="00F67B35"/>
    <w:rsid w:val="00F704D7"/>
    <w:rsid w:val="00F7052A"/>
    <w:rsid w:val="00F7080B"/>
    <w:rsid w:val="00F70966"/>
    <w:rsid w:val="00F70C28"/>
    <w:rsid w:val="00F70E0B"/>
    <w:rsid w:val="00F72B30"/>
    <w:rsid w:val="00F73006"/>
    <w:rsid w:val="00F73734"/>
    <w:rsid w:val="00F73790"/>
    <w:rsid w:val="00F73AE6"/>
    <w:rsid w:val="00F748B7"/>
    <w:rsid w:val="00F74C7B"/>
    <w:rsid w:val="00F75285"/>
    <w:rsid w:val="00F7666E"/>
    <w:rsid w:val="00F77947"/>
    <w:rsid w:val="00F77C3F"/>
    <w:rsid w:val="00F77F0C"/>
    <w:rsid w:val="00F801B5"/>
    <w:rsid w:val="00F8035B"/>
    <w:rsid w:val="00F80755"/>
    <w:rsid w:val="00F807E1"/>
    <w:rsid w:val="00F815F3"/>
    <w:rsid w:val="00F81638"/>
    <w:rsid w:val="00F82279"/>
    <w:rsid w:val="00F82756"/>
    <w:rsid w:val="00F82816"/>
    <w:rsid w:val="00F83005"/>
    <w:rsid w:val="00F8359C"/>
    <w:rsid w:val="00F83FF0"/>
    <w:rsid w:val="00F84704"/>
    <w:rsid w:val="00F84BE0"/>
    <w:rsid w:val="00F85FE3"/>
    <w:rsid w:val="00F86253"/>
    <w:rsid w:val="00F86823"/>
    <w:rsid w:val="00F868BF"/>
    <w:rsid w:val="00F86B59"/>
    <w:rsid w:val="00F87060"/>
    <w:rsid w:val="00F8790C"/>
    <w:rsid w:val="00F9013A"/>
    <w:rsid w:val="00F901BE"/>
    <w:rsid w:val="00F9055F"/>
    <w:rsid w:val="00F90703"/>
    <w:rsid w:val="00F90D39"/>
    <w:rsid w:val="00F9100B"/>
    <w:rsid w:val="00F91844"/>
    <w:rsid w:val="00F92C1F"/>
    <w:rsid w:val="00F93F1F"/>
    <w:rsid w:val="00F94588"/>
    <w:rsid w:val="00F96407"/>
    <w:rsid w:val="00F96CF6"/>
    <w:rsid w:val="00F97738"/>
    <w:rsid w:val="00FA0AFE"/>
    <w:rsid w:val="00FA0C0B"/>
    <w:rsid w:val="00FA10F6"/>
    <w:rsid w:val="00FA1967"/>
    <w:rsid w:val="00FA2306"/>
    <w:rsid w:val="00FA234E"/>
    <w:rsid w:val="00FA34F6"/>
    <w:rsid w:val="00FA3F99"/>
    <w:rsid w:val="00FA41FD"/>
    <w:rsid w:val="00FA47C7"/>
    <w:rsid w:val="00FA4BF5"/>
    <w:rsid w:val="00FA603E"/>
    <w:rsid w:val="00FA612A"/>
    <w:rsid w:val="00FA707D"/>
    <w:rsid w:val="00FB09F6"/>
    <w:rsid w:val="00FB0B64"/>
    <w:rsid w:val="00FB1945"/>
    <w:rsid w:val="00FB1DB3"/>
    <w:rsid w:val="00FB200A"/>
    <w:rsid w:val="00FB2073"/>
    <w:rsid w:val="00FB213A"/>
    <w:rsid w:val="00FB2803"/>
    <w:rsid w:val="00FB3058"/>
    <w:rsid w:val="00FB364E"/>
    <w:rsid w:val="00FB3A33"/>
    <w:rsid w:val="00FB3D86"/>
    <w:rsid w:val="00FB49BE"/>
    <w:rsid w:val="00FB4E76"/>
    <w:rsid w:val="00FB5576"/>
    <w:rsid w:val="00FB58C9"/>
    <w:rsid w:val="00FB6C54"/>
    <w:rsid w:val="00FB708E"/>
    <w:rsid w:val="00FB71E8"/>
    <w:rsid w:val="00FB71F3"/>
    <w:rsid w:val="00FB7811"/>
    <w:rsid w:val="00FC0256"/>
    <w:rsid w:val="00FC08B4"/>
    <w:rsid w:val="00FC16B8"/>
    <w:rsid w:val="00FC1FF6"/>
    <w:rsid w:val="00FC229A"/>
    <w:rsid w:val="00FC25B9"/>
    <w:rsid w:val="00FC2E67"/>
    <w:rsid w:val="00FC31BF"/>
    <w:rsid w:val="00FC33BC"/>
    <w:rsid w:val="00FC3838"/>
    <w:rsid w:val="00FC4A5C"/>
    <w:rsid w:val="00FC4EDF"/>
    <w:rsid w:val="00FC50DE"/>
    <w:rsid w:val="00FC5683"/>
    <w:rsid w:val="00FC5820"/>
    <w:rsid w:val="00FC624B"/>
    <w:rsid w:val="00FC714E"/>
    <w:rsid w:val="00FD0698"/>
    <w:rsid w:val="00FD1E52"/>
    <w:rsid w:val="00FD210C"/>
    <w:rsid w:val="00FD23CE"/>
    <w:rsid w:val="00FD34C0"/>
    <w:rsid w:val="00FD4032"/>
    <w:rsid w:val="00FD4202"/>
    <w:rsid w:val="00FD423F"/>
    <w:rsid w:val="00FD4F6E"/>
    <w:rsid w:val="00FD5130"/>
    <w:rsid w:val="00FD515D"/>
    <w:rsid w:val="00FD51D9"/>
    <w:rsid w:val="00FD5A05"/>
    <w:rsid w:val="00FD6406"/>
    <w:rsid w:val="00FD7084"/>
    <w:rsid w:val="00FD784B"/>
    <w:rsid w:val="00FE0348"/>
    <w:rsid w:val="00FE036A"/>
    <w:rsid w:val="00FE253F"/>
    <w:rsid w:val="00FE2826"/>
    <w:rsid w:val="00FE2A44"/>
    <w:rsid w:val="00FE35E5"/>
    <w:rsid w:val="00FE3716"/>
    <w:rsid w:val="00FE38A2"/>
    <w:rsid w:val="00FE3AE5"/>
    <w:rsid w:val="00FE45E1"/>
    <w:rsid w:val="00FE4686"/>
    <w:rsid w:val="00FE57A9"/>
    <w:rsid w:val="00FE6023"/>
    <w:rsid w:val="00FE6137"/>
    <w:rsid w:val="00FE6A17"/>
    <w:rsid w:val="00FE6DD3"/>
    <w:rsid w:val="00FE6EC3"/>
    <w:rsid w:val="00FE70B2"/>
    <w:rsid w:val="00FE7768"/>
    <w:rsid w:val="00FF0CAA"/>
    <w:rsid w:val="00FF0E3A"/>
    <w:rsid w:val="00FF1554"/>
    <w:rsid w:val="00FF16DE"/>
    <w:rsid w:val="00FF2475"/>
    <w:rsid w:val="00FF38DB"/>
    <w:rsid w:val="00FF3BD2"/>
    <w:rsid w:val="00FF42DF"/>
    <w:rsid w:val="00FF44A8"/>
    <w:rsid w:val="00FF494B"/>
    <w:rsid w:val="00FF4BCA"/>
    <w:rsid w:val="00FF59D5"/>
    <w:rsid w:val="00FF5A4E"/>
    <w:rsid w:val="00FF6221"/>
    <w:rsid w:val="00FF6863"/>
    <w:rsid w:val="00FF69D7"/>
    <w:rsid w:val="00FF72D4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E19F0-0FFA-40B2-8365-FBE6923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28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D1C4B"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0"/>
    </w:pPr>
    <w:rPr>
      <w:rFonts w:ascii="Times Armenian" w:hAnsi="Times Armeni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AD1C4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D1C4B"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2"/>
    </w:pPr>
    <w:rPr>
      <w:rFonts w:ascii="Times Armenian" w:hAnsi="Times Armenian"/>
      <w:b/>
      <w:i/>
      <w:sz w:val="28"/>
      <w:szCs w:val="20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AD1C4B"/>
    <w:pPr>
      <w:keepNext/>
      <w:jc w:val="center"/>
      <w:outlineLvl w:val="3"/>
    </w:pPr>
    <w:rPr>
      <w:rFonts w:ascii="Times Armenian" w:hAnsi="Times Armenian"/>
      <w:b/>
      <w:bCs/>
      <w:sz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AD1C4B"/>
    <w:pPr>
      <w:keepNext/>
      <w:spacing w:line="360" w:lineRule="auto"/>
      <w:ind w:firstLine="720"/>
      <w:jc w:val="both"/>
      <w:outlineLvl w:val="4"/>
    </w:pPr>
    <w:rPr>
      <w:rFonts w:ascii="Times Armenian" w:hAnsi="Times Armeni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184E74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360E40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712A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D1C4B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Armenian" w:hAnsi="Times Armenian"/>
      <w:b/>
      <w:i/>
      <w:szCs w:val="20"/>
      <w:lang w:val="x-none" w:eastAsia="x-none"/>
    </w:rPr>
  </w:style>
  <w:style w:type="paragraph" w:styleId="a5">
    <w:name w:val="footer"/>
    <w:basedOn w:val="a"/>
    <w:link w:val="a6"/>
    <w:rsid w:val="00AD1C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styleId="a7">
    <w:name w:val="page number"/>
    <w:basedOn w:val="a0"/>
    <w:rsid w:val="00AD1C4B"/>
  </w:style>
  <w:style w:type="paragraph" w:styleId="21">
    <w:name w:val="Body Text 2"/>
    <w:basedOn w:val="a"/>
    <w:link w:val="22"/>
    <w:rsid w:val="00AD1C4B"/>
    <w:pPr>
      <w:tabs>
        <w:tab w:val="left" w:pos="1418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/>
      <w:sz w:val="22"/>
      <w:szCs w:val="20"/>
    </w:rPr>
  </w:style>
  <w:style w:type="character" w:customStyle="1" w:styleId="22">
    <w:name w:val="Основной текст 2 Знак"/>
    <w:link w:val="21"/>
    <w:rsid w:val="00184E74"/>
    <w:rPr>
      <w:rFonts w:ascii="Times Armenian" w:hAnsi="Times Armenian"/>
      <w:sz w:val="22"/>
      <w:lang w:val="en-US" w:eastAsia="en-US" w:bidi="ar-SA"/>
    </w:rPr>
  </w:style>
  <w:style w:type="paragraph" w:styleId="a8">
    <w:name w:val="Body Text Indent"/>
    <w:aliases w:val=" (Table Source),(Table Source)"/>
    <w:basedOn w:val="a"/>
    <w:link w:val="a9"/>
    <w:rsid w:val="00AD1C4B"/>
    <w:pPr>
      <w:spacing w:line="360" w:lineRule="auto"/>
      <w:ind w:firstLine="720"/>
      <w:jc w:val="both"/>
    </w:pPr>
    <w:rPr>
      <w:rFonts w:ascii="Times Armenian" w:hAnsi="Times Armenian"/>
      <w:lang w:val="x-none" w:eastAsia="x-none"/>
    </w:rPr>
  </w:style>
  <w:style w:type="paragraph" w:styleId="31">
    <w:name w:val="Body Text Indent 3"/>
    <w:basedOn w:val="a"/>
    <w:link w:val="32"/>
    <w:rsid w:val="00AD1C4B"/>
    <w:pPr>
      <w:spacing w:line="360" w:lineRule="auto"/>
      <w:ind w:firstLine="720"/>
      <w:jc w:val="both"/>
    </w:pPr>
    <w:rPr>
      <w:rFonts w:ascii="Times Armenian" w:hAnsi="Times Armenian"/>
      <w:lang w:val="x-none" w:eastAsia="x-none"/>
    </w:rPr>
  </w:style>
  <w:style w:type="paragraph" w:styleId="aa">
    <w:name w:val="header"/>
    <w:basedOn w:val="a"/>
    <w:link w:val="ab"/>
    <w:rsid w:val="00AD1C4B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paragraph" w:styleId="ac">
    <w:name w:val="footnote text"/>
    <w:aliases w:val="fn,ADB,single space,footnote text Char,fn Char,ADB Char,single space Char Char,footnote text,FOOTNOTES Char,FOOTNOTES Char Char Char,FOOTNOTES,Footnote Text Char2 Char,Footnote Text Char1 Char Char,Footnote Text Char2 Char Char Char"/>
    <w:basedOn w:val="a"/>
    <w:link w:val="ad"/>
    <w:rsid w:val="00AD1C4B"/>
    <w:rPr>
      <w:sz w:val="20"/>
      <w:szCs w:val="20"/>
    </w:rPr>
  </w:style>
  <w:style w:type="character" w:customStyle="1" w:styleId="ad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"/>
    <w:link w:val="ac"/>
    <w:rsid w:val="00360E40"/>
    <w:rPr>
      <w:rFonts w:ascii="Arial Armenian" w:hAnsi="Arial Armenian"/>
      <w:lang w:val="en-US" w:eastAsia="en-US" w:bidi="ar-SA"/>
    </w:rPr>
  </w:style>
  <w:style w:type="character" w:styleId="ae">
    <w:name w:val="footnote reference"/>
    <w:aliases w:val="ftref,Footnote Reference Number,Footnote Reference_LVL6,Footnote Reference_LVL61,Footnote Reference_LVL62,Footnote Reference_LVL63,Footnote Reference_LVL64,16 Point,Superscript 6 Point,Знак сноски-FN"/>
    <w:uiPriority w:val="99"/>
    <w:rsid w:val="00AD1C4B"/>
    <w:rPr>
      <w:vertAlign w:val="superscript"/>
    </w:rPr>
  </w:style>
  <w:style w:type="paragraph" w:styleId="23">
    <w:name w:val="Body Text Indent 2"/>
    <w:basedOn w:val="a"/>
    <w:link w:val="24"/>
    <w:rsid w:val="00AD1C4B"/>
    <w:pPr>
      <w:spacing w:line="360" w:lineRule="auto"/>
      <w:ind w:firstLine="720"/>
      <w:jc w:val="both"/>
    </w:pPr>
    <w:rPr>
      <w:rFonts w:ascii="Times Armenian" w:hAnsi="Times Armenian"/>
      <w:lang w:val="x-none" w:eastAsia="x-none"/>
    </w:rPr>
  </w:style>
  <w:style w:type="paragraph" w:styleId="33">
    <w:name w:val="Body Text 3"/>
    <w:basedOn w:val="a"/>
    <w:link w:val="34"/>
    <w:rsid w:val="00AD1C4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Armenian" w:hAnsi="Times Armenian"/>
      <w:i/>
      <w:szCs w:val="20"/>
      <w:lang w:val="x-none" w:eastAsia="x-none"/>
    </w:rPr>
  </w:style>
  <w:style w:type="paragraph" w:styleId="af">
    <w:name w:val="Balloon Text"/>
    <w:basedOn w:val="a"/>
    <w:link w:val="af0"/>
    <w:semiHidden/>
    <w:rsid w:val="005D6DDA"/>
    <w:rPr>
      <w:rFonts w:ascii="Tahoma" w:hAnsi="Tahoma"/>
      <w:sz w:val="16"/>
      <w:szCs w:val="16"/>
      <w:lang w:val="x-none" w:eastAsia="x-none"/>
    </w:rPr>
  </w:style>
  <w:style w:type="table" w:styleId="af1">
    <w:name w:val="Table Grid"/>
    <w:basedOn w:val="a1"/>
    <w:rsid w:val="003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360E40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rsid w:val="00184E74"/>
    <w:rPr>
      <w:noProof/>
      <w:lang w:val="hy-AM" w:eastAsia="en-US" w:bidi="ar-SA"/>
    </w:rPr>
  </w:style>
  <w:style w:type="paragraph" w:customStyle="1" w:styleId="CharCharCharCharCharCharCharCharCharChar0">
    <w:name w:val="Char Char Char Char Char Char Char Char Char Char"/>
    <w:basedOn w:val="a"/>
    <w:rsid w:val="00184E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">
    <w:name w:val="Char Char4"/>
    <w:rsid w:val="00184E74"/>
    <w:rPr>
      <w:noProof/>
      <w:lang w:val="hy-AM" w:eastAsia="en-US" w:bidi="ar-SA"/>
    </w:rPr>
  </w:style>
  <w:style w:type="paragraph" w:customStyle="1" w:styleId="25">
    <w:name w:val="Знак Знак2"/>
    <w:basedOn w:val="a"/>
    <w:rsid w:val="00184E7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3CharCharChar">
    <w:name w:val="Char3 Char Char Char"/>
    <w:basedOn w:val="a"/>
    <w:next w:val="a"/>
    <w:semiHidden/>
    <w:rsid w:val="003B665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af2">
    <w:name w:val="Normal (Web)"/>
    <w:basedOn w:val="a"/>
    <w:rsid w:val="00F72B30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Strong"/>
    <w:qFormat/>
    <w:rsid w:val="00CC57EF"/>
    <w:rPr>
      <w:b/>
      <w:bCs/>
    </w:rPr>
  </w:style>
  <w:style w:type="paragraph" w:styleId="af4">
    <w:name w:val="annotation text"/>
    <w:basedOn w:val="a"/>
    <w:link w:val="af5"/>
    <w:semiHidden/>
    <w:rsid w:val="009D1097"/>
    <w:rPr>
      <w:rFonts w:ascii="Times New Roman" w:hAnsi="Times New Roman"/>
      <w:noProof/>
      <w:sz w:val="20"/>
      <w:szCs w:val="20"/>
      <w:lang w:val="hy-AM" w:eastAsia="x-none"/>
    </w:rPr>
  </w:style>
  <w:style w:type="paragraph" w:styleId="af6">
    <w:name w:val="annotation subject"/>
    <w:basedOn w:val="af4"/>
    <w:next w:val="af4"/>
    <w:link w:val="af7"/>
    <w:semiHidden/>
    <w:rsid w:val="009D1097"/>
    <w:rPr>
      <w:b/>
      <w:bCs/>
    </w:rPr>
  </w:style>
  <w:style w:type="character" w:customStyle="1" w:styleId="CharChar1">
    <w:name w:val="Char Char1"/>
    <w:rsid w:val="00BD51BD"/>
    <w:rPr>
      <w:rFonts w:ascii="Times Armenian" w:hAnsi="Times Armenian"/>
      <w:sz w:val="22"/>
      <w:lang w:val="en-US" w:eastAsia="en-US" w:bidi="ar-SA"/>
    </w:rPr>
  </w:style>
  <w:style w:type="character" w:customStyle="1" w:styleId="apple-converted-space">
    <w:name w:val="apple-converted-space"/>
    <w:basedOn w:val="a0"/>
    <w:rsid w:val="00BD51BD"/>
  </w:style>
  <w:style w:type="character" w:customStyle="1" w:styleId="fnChar3">
    <w:name w:val="fn Char3"/>
    <w:aliases w:val="ADB Char3,single space Char2,footnote text Char Char4,fn Char Char2,ADB Char Char2,single space Char Char Char2,footnote text Char Char5,footnote text Char1,FOOTNOTES Char Char,FOOTNOTES Char Char Char Char,FOOTNOTES Char Char1,FOOTNOTES Char2"/>
    <w:rsid w:val="00786D61"/>
    <w:rPr>
      <w:noProof/>
      <w:lang w:val="hy-AM" w:eastAsia="en-US" w:bidi="ar-SA"/>
    </w:rPr>
  </w:style>
  <w:style w:type="character" w:customStyle="1" w:styleId="fnChar2">
    <w:name w:val="fn Char2"/>
    <w:aliases w:val="ADB Char2,single space Char1,footnote text Char Char2,fn Char Char1,ADB Char Char1,single space Char Char Char1,footnote text Char Char3"/>
    <w:rsid w:val="00786D61"/>
    <w:rPr>
      <w:noProof/>
      <w:lang w:val="hy-AM" w:eastAsia="en-US" w:bidi="ar-SA"/>
    </w:rPr>
  </w:style>
  <w:style w:type="paragraph" w:styleId="af8">
    <w:name w:val="endnote text"/>
    <w:basedOn w:val="a"/>
    <w:link w:val="af9"/>
    <w:semiHidden/>
    <w:rsid w:val="001C4F78"/>
    <w:rPr>
      <w:sz w:val="20"/>
      <w:szCs w:val="20"/>
      <w:lang w:val="x-none" w:eastAsia="x-none"/>
    </w:rPr>
  </w:style>
  <w:style w:type="character" w:styleId="afa">
    <w:name w:val="endnote reference"/>
    <w:semiHidden/>
    <w:rsid w:val="001C4F78"/>
    <w:rPr>
      <w:vertAlign w:val="superscript"/>
    </w:rPr>
  </w:style>
  <w:style w:type="character" w:customStyle="1" w:styleId="10">
    <w:name w:val="Заголовок 1 Знак"/>
    <w:link w:val="1"/>
    <w:locked/>
    <w:rsid w:val="009D02C0"/>
    <w:rPr>
      <w:rFonts w:ascii="Times Armenian" w:hAnsi="Times Armenian"/>
      <w:b/>
      <w:i/>
      <w:sz w:val="26"/>
      <w:lang w:val="en-US" w:eastAsia="en-US" w:bidi="ar-SA"/>
    </w:rPr>
  </w:style>
  <w:style w:type="character" w:customStyle="1" w:styleId="20">
    <w:name w:val="Заголовок 2 Знак"/>
    <w:link w:val="2"/>
    <w:rsid w:val="00F64AC4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rsid w:val="00F64AC4"/>
    <w:rPr>
      <w:rFonts w:ascii="Times Armenian" w:hAnsi="Times Armenian"/>
      <w:b/>
      <w:i/>
      <w:sz w:val="28"/>
      <w:u w:val="single"/>
    </w:rPr>
  </w:style>
  <w:style w:type="character" w:customStyle="1" w:styleId="40">
    <w:name w:val="Заголовок 4 Знак"/>
    <w:link w:val="4"/>
    <w:rsid w:val="00F64AC4"/>
    <w:rPr>
      <w:rFonts w:ascii="Times Armenian" w:hAnsi="Times Armenian"/>
      <w:b/>
      <w:bCs/>
      <w:sz w:val="22"/>
      <w:szCs w:val="24"/>
    </w:rPr>
  </w:style>
  <w:style w:type="character" w:customStyle="1" w:styleId="50">
    <w:name w:val="Заголовок 5 Знак"/>
    <w:link w:val="5"/>
    <w:rsid w:val="00F64AC4"/>
    <w:rPr>
      <w:rFonts w:ascii="Times Armenian" w:hAnsi="Times Armenian"/>
      <w:b/>
      <w:bCs/>
      <w:sz w:val="24"/>
      <w:szCs w:val="24"/>
    </w:rPr>
  </w:style>
  <w:style w:type="character" w:customStyle="1" w:styleId="70">
    <w:name w:val="Заголовок 7 Знак"/>
    <w:link w:val="7"/>
    <w:rsid w:val="00F64AC4"/>
    <w:rPr>
      <w:sz w:val="24"/>
      <w:szCs w:val="24"/>
    </w:rPr>
  </w:style>
  <w:style w:type="character" w:customStyle="1" w:styleId="80">
    <w:name w:val="Заголовок 8 Знак"/>
    <w:link w:val="8"/>
    <w:rsid w:val="00F64AC4"/>
    <w:rPr>
      <w:i/>
      <w:iCs/>
      <w:sz w:val="24"/>
      <w:szCs w:val="24"/>
    </w:rPr>
  </w:style>
  <w:style w:type="character" w:customStyle="1" w:styleId="a4">
    <w:name w:val="Основной текст Знак"/>
    <w:link w:val="a3"/>
    <w:rsid w:val="00F64AC4"/>
    <w:rPr>
      <w:rFonts w:ascii="Times Armenian" w:hAnsi="Times Armenian"/>
      <w:b/>
      <w:i/>
      <w:sz w:val="24"/>
    </w:rPr>
  </w:style>
  <w:style w:type="character" w:customStyle="1" w:styleId="a6">
    <w:name w:val="Нижний колонтитул Знак"/>
    <w:link w:val="a5"/>
    <w:rsid w:val="00F64AC4"/>
    <w:rPr>
      <w:rFonts w:ascii="Arial Armenian" w:hAnsi="Arial Armenian"/>
      <w:sz w:val="24"/>
    </w:rPr>
  </w:style>
  <w:style w:type="character" w:customStyle="1" w:styleId="a9">
    <w:name w:val="Основной текст с отступом Знак"/>
    <w:aliases w:val=" (Table Source) Знак,(Table Source) Знак"/>
    <w:link w:val="a8"/>
    <w:rsid w:val="00F64AC4"/>
    <w:rPr>
      <w:rFonts w:ascii="Times Armenian" w:hAnsi="Times Armenian"/>
      <w:sz w:val="24"/>
      <w:szCs w:val="24"/>
    </w:rPr>
  </w:style>
  <w:style w:type="character" w:customStyle="1" w:styleId="32">
    <w:name w:val="Основной текст с отступом 3 Знак"/>
    <w:link w:val="31"/>
    <w:rsid w:val="00F64AC4"/>
    <w:rPr>
      <w:rFonts w:ascii="Times Armenian" w:hAnsi="Times Armenian"/>
      <w:sz w:val="24"/>
      <w:szCs w:val="24"/>
    </w:rPr>
  </w:style>
  <w:style w:type="character" w:customStyle="1" w:styleId="ab">
    <w:name w:val="Верхний колонтитул Знак"/>
    <w:link w:val="aa"/>
    <w:rsid w:val="00F64AC4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F64AC4"/>
    <w:rPr>
      <w:rFonts w:ascii="Times Armenian" w:hAnsi="Times Armenian"/>
      <w:sz w:val="24"/>
      <w:szCs w:val="24"/>
    </w:rPr>
  </w:style>
  <w:style w:type="character" w:customStyle="1" w:styleId="34">
    <w:name w:val="Основной текст 3 Знак"/>
    <w:link w:val="33"/>
    <w:rsid w:val="00F64AC4"/>
    <w:rPr>
      <w:rFonts w:ascii="Times Armenian" w:hAnsi="Times Armenian"/>
      <w:i/>
      <w:sz w:val="24"/>
    </w:rPr>
  </w:style>
  <w:style w:type="character" w:customStyle="1" w:styleId="af0">
    <w:name w:val="Текст выноски Знак"/>
    <w:link w:val="af"/>
    <w:semiHidden/>
    <w:rsid w:val="00F64AC4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F64AC4"/>
    <w:rPr>
      <w:noProof/>
      <w:lang w:val="hy-AM"/>
    </w:rPr>
  </w:style>
  <w:style w:type="character" w:customStyle="1" w:styleId="af7">
    <w:name w:val="Тема примечания Знак"/>
    <w:link w:val="af6"/>
    <w:semiHidden/>
    <w:rsid w:val="00F64AC4"/>
    <w:rPr>
      <w:b/>
      <w:bCs/>
      <w:noProof/>
      <w:lang w:val="hy-AM"/>
    </w:rPr>
  </w:style>
  <w:style w:type="character" w:customStyle="1" w:styleId="af9">
    <w:name w:val="Текст концевой сноски Знак"/>
    <w:link w:val="af8"/>
    <w:semiHidden/>
    <w:rsid w:val="00F64AC4"/>
    <w:rPr>
      <w:rFonts w:ascii="Arial Armenian" w:hAnsi="Arial Armenian"/>
    </w:rPr>
  </w:style>
  <w:style w:type="paragraph" w:styleId="afb">
    <w:name w:val="List Paragraph"/>
    <w:basedOn w:val="a"/>
    <w:qFormat/>
    <w:rsid w:val="003306F4"/>
    <w:pPr>
      <w:ind w:left="720"/>
      <w:contextualSpacing/>
    </w:pPr>
  </w:style>
  <w:style w:type="character" w:customStyle="1" w:styleId="news-content">
    <w:name w:val="news-content"/>
    <w:basedOn w:val="a0"/>
    <w:rsid w:val="0030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800"/>
              <a:t>201</a:t>
            </a:r>
            <a:r>
              <a:rPr lang="en-US" sz="800"/>
              <a:t>6</a:t>
            </a:r>
            <a:r>
              <a:rPr lang="hy-AM" sz="800"/>
              <a:t>թ</a:t>
            </a:r>
            <a:r>
              <a:rPr lang="en-US" sz="800"/>
              <a:t>.</a:t>
            </a:r>
            <a:r>
              <a:rPr lang="hy-AM" sz="800"/>
              <a:t> հունվար-մ</a:t>
            </a:r>
            <a:r>
              <a:rPr lang="ru-RU" sz="800"/>
              <a:t>արտին</a:t>
            </a:r>
            <a:r>
              <a:rPr lang="hy-AM" sz="800"/>
              <a:t> </a:t>
            </a:r>
            <a:r>
              <a:rPr lang="ru-RU" sz="800"/>
              <a:t>տ</a:t>
            </a:r>
            <a:r>
              <a:rPr lang="hy-AM" sz="800"/>
              <a:t>նտեսական ակտիվության ցուցանիշի </a:t>
            </a:r>
            <a:r>
              <a:rPr lang="en-US" sz="800"/>
              <a:t>6.1</a:t>
            </a:r>
            <a:r>
              <a:rPr lang="hy-AM" sz="800"/>
              <a:t>% աճին ճյուղերի նպաստումները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46268315559669E-3"/>
          <c:y val="0.3274138927579901"/>
          <c:w val="0.95959377447359129"/>
          <c:h val="0.466178859273239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2016թ հունվար-մարտին տնտեսական ակտիվության ցուցանիշի 6.1% աճին ճյուղերի նպաստումները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9.1941530898301579E-2"/>
                  <c:y val="5.159748801154950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892169692600766E-3"/>
                  <c:y val="-7.187086482723829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20952359503964E-2"/>
                  <c:y val="3.284760530148752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1.4</c:v>
                </c:pt>
                <c:pt idx="1">
                  <c:v>0.7</c:v>
                </c:pt>
                <c:pt idx="2">
                  <c:v>-0.2</c:v>
                </c:pt>
                <c:pt idx="3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1.1532185595444637E-2"/>
          <c:y val="0.83003293127684885"/>
          <c:w val="0.94372205169269097"/>
          <c:h val="0.14615746065449686"/>
        </c:manualLayout>
      </c:layout>
      <c:overlay val="0"/>
      <c:txPr>
        <a:bodyPr/>
        <a:lstStyle/>
        <a:p>
          <a:pPr>
            <a:defRPr sz="800">
              <a:latin typeface="GHEA Grapalat" pitchFamily="50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9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1099" b="1" i="0" baseline="0">
                <a:effectLst/>
                <a:latin typeface="GHEA Grapalat" pitchFamily="50" charset="0"/>
              </a:rPr>
              <a:t>Ավանդների ծավալների աճ, 2016թ. և 2017թ. մարտ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7827445881191456"/>
          <c:y val="6.369422572178477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7460317460317457E-2"/>
                  <c:y val="-8.49256900212322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Sheet1!$B$2:$B$13</c:f>
              <c:numCache>
                <c:formatCode>0.0</c:formatCode>
                <c:ptCount val="12"/>
                <c:pt idx="0">
                  <c:v>13.231277255231149</c:v>
                </c:pt>
                <c:pt idx="1">
                  <c:v>16.010156981245487</c:v>
                </c:pt>
                <c:pt idx="2">
                  <c:v>17.772799090814217</c:v>
                </c:pt>
                <c:pt idx="3">
                  <c:v>12.913876409932314</c:v>
                </c:pt>
                <c:pt idx="4">
                  <c:v>10.1404860947315</c:v>
                </c:pt>
                <c:pt idx="5">
                  <c:v>14.179008522284747</c:v>
                </c:pt>
                <c:pt idx="6">
                  <c:v>12.46272061397795</c:v>
                </c:pt>
                <c:pt idx="7">
                  <c:v>14.020671261063413</c:v>
                </c:pt>
                <c:pt idx="8">
                  <c:v>15.734204754056961</c:v>
                </c:pt>
                <c:pt idx="9">
                  <c:v>17.347046002852281</c:v>
                </c:pt>
                <c:pt idx="10">
                  <c:v>18.389253963190754</c:v>
                </c:pt>
                <c:pt idx="11">
                  <c:v>23.691871825037495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4282686273048681E-2"/>
                  <c:y val="1.05639843800012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Sheet1!$C$2:$C$13</c:f>
              <c:numCache>
                <c:formatCode>0.0</c:formatCode>
                <c:ptCount val="12"/>
                <c:pt idx="0">
                  <c:v>21.182353160577975</c:v>
                </c:pt>
                <c:pt idx="1">
                  <c:v>19.982672114592276</c:v>
                </c:pt>
                <c:pt idx="2">
                  <c:v>19.800573565454329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9415768"/>
        <c:axId val="429418904"/>
      </c:lineChart>
      <c:catAx>
        <c:axId val="429415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9418904"/>
        <c:crosses val="autoZero"/>
        <c:auto val="1"/>
        <c:lblAlgn val="ctr"/>
        <c:lblOffset val="100"/>
        <c:noMultiLvlLbl val="0"/>
      </c:catAx>
      <c:valAx>
        <c:axId val="4294189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429415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153846153846153"/>
          <c:y val="0.89072847682119205"/>
          <c:w val="0.38461538461538464"/>
          <c:h val="6.6225165562913912E-2"/>
        </c:manualLayout>
      </c:layout>
      <c:overlay val="0"/>
      <c:txPr>
        <a:bodyPr/>
        <a:lstStyle/>
        <a:p>
          <a:pPr>
            <a:defRPr sz="7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19"/>
            </a:pPr>
            <a:r>
              <a:rPr lang="en-US" sz="819">
                <a:latin typeface="GHEA Grapalat" pitchFamily="50" charset="0"/>
              </a:rPr>
              <a:t>2017</a:t>
            </a:r>
            <a:r>
              <a:rPr lang="ru-RU" sz="819">
                <a:latin typeface="GHEA Grapalat" pitchFamily="50" charset="0"/>
              </a:rPr>
              <a:t>թ</a:t>
            </a:r>
            <a:r>
              <a:rPr lang="en-US" sz="819">
                <a:latin typeface="GHEA Grapalat" pitchFamily="50" charset="0"/>
              </a:rPr>
              <a:t>.</a:t>
            </a:r>
            <a:r>
              <a:rPr lang="ru-RU" sz="819">
                <a:latin typeface="GHEA Grapalat" pitchFamily="50" charset="0"/>
              </a:rPr>
              <a:t> </a:t>
            </a:r>
            <a:r>
              <a:rPr lang="en-US" sz="819">
                <a:latin typeface="GHEA Grapalat" pitchFamily="50" charset="0"/>
              </a:rPr>
              <a:t>առաջին եռամսակի</a:t>
            </a:r>
            <a:r>
              <a:rPr lang="en-US" sz="819" baseline="0">
                <a:latin typeface="GHEA Grapalat" pitchFamily="50" charset="0"/>
              </a:rPr>
              <a:t> </a:t>
            </a:r>
            <a:r>
              <a:rPr lang="en-US" sz="819">
                <a:latin typeface="GHEA Grapalat" pitchFamily="50" charset="0"/>
              </a:rPr>
              <a:t>հարկերի</a:t>
            </a:r>
            <a:r>
              <a:rPr lang="en-US" sz="819" baseline="0">
                <a:latin typeface="GHEA Grapalat" pitchFamily="50" charset="0"/>
              </a:rPr>
              <a:t> և տուրքեր</a:t>
            </a:r>
            <a:r>
              <a:rPr lang="ru-RU" sz="819">
                <a:latin typeface="GHEA Grapalat" pitchFamily="50" charset="0"/>
              </a:rPr>
              <a:t>ի աճի  </a:t>
            </a:r>
            <a:r>
              <a:rPr lang="ru-RU" sz="819" baseline="0">
                <a:latin typeface="GHEA Grapalat" pitchFamily="50" charset="0"/>
              </a:rPr>
              <a:t>նպաստումները</a:t>
            </a:r>
            <a:r>
              <a:rPr lang="ru-RU" sz="819">
                <a:latin typeface="GHEA Grapalat" pitchFamily="50" charset="0"/>
              </a:rPr>
              <a:t> </a:t>
            </a:r>
            <a:endParaRPr lang="en-US" sz="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335144277178116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2017-Q1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Ներքին տնտեսությունից հավաքագրված հարկեր</c:v>
                </c:pt>
                <c:pt idx="1">
                  <c:v>Ներմուծման գծով հարկեր</c:v>
                </c:pt>
                <c:pt idx="2">
                  <c:v>Մաքսատուրքեր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5.9</c:v>
                </c:pt>
                <c:pt idx="1">
                  <c:v>3.8</c:v>
                </c:pt>
                <c:pt idx="2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6040">
          <a:noFill/>
        </a:ln>
      </c:spPr>
    </c:plotArea>
    <c:legend>
      <c:legendPos val="r"/>
      <c:layout>
        <c:manualLayout>
          <c:xMode val="edge"/>
          <c:yMode val="edge"/>
          <c:x val="2.7522935779816515E-2"/>
          <c:y val="0.75111111111111106"/>
          <c:w val="0.90825688073394495"/>
          <c:h val="0.21333333333333335"/>
        </c:manualLayout>
      </c:layout>
      <c:overlay val="0"/>
      <c:txPr>
        <a:bodyPr/>
        <a:lstStyle/>
        <a:p>
          <a:pPr>
            <a:defRPr sz="819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20"/>
            </a:pPr>
            <a:r>
              <a:rPr lang="en-US" sz="820">
                <a:latin typeface="GHEA Grapalat" pitchFamily="50" charset="0"/>
              </a:rPr>
              <a:t>2016</a:t>
            </a:r>
            <a:r>
              <a:rPr lang="ru-RU" sz="820">
                <a:latin typeface="GHEA Grapalat" pitchFamily="50" charset="0"/>
              </a:rPr>
              <a:t>թ</a:t>
            </a:r>
            <a:r>
              <a:rPr lang="en-US" sz="820">
                <a:latin typeface="GHEA Grapalat" pitchFamily="50" charset="0"/>
              </a:rPr>
              <a:t>.</a:t>
            </a:r>
            <a:r>
              <a:rPr lang="en-US" sz="820" baseline="0">
                <a:latin typeface="GHEA Grapalat" pitchFamily="50" charset="0"/>
              </a:rPr>
              <a:t> առաջին եռամսյակի հ</a:t>
            </a:r>
            <a:r>
              <a:rPr lang="en-US" sz="820">
                <a:latin typeface="GHEA Grapalat" pitchFamily="50" charset="0"/>
              </a:rPr>
              <a:t>արկերի</a:t>
            </a:r>
            <a:r>
              <a:rPr lang="en-US" sz="820" baseline="0">
                <a:latin typeface="GHEA Grapalat" pitchFamily="50" charset="0"/>
              </a:rPr>
              <a:t> և տուրքեր</a:t>
            </a:r>
            <a:r>
              <a:rPr lang="ru-RU" sz="820">
                <a:latin typeface="GHEA Grapalat" pitchFamily="50" charset="0"/>
              </a:rPr>
              <a:t>ի աճի  </a:t>
            </a:r>
            <a:r>
              <a:rPr lang="ru-RU" sz="820" baseline="0">
                <a:latin typeface="GHEA Grapalat" pitchFamily="50" charset="0"/>
              </a:rPr>
              <a:t>նպաստումները</a:t>
            </a:r>
            <a:r>
              <a:rPr lang="ru-RU" sz="820">
                <a:latin typeface="GHEA Grapalat" pitchFamily="50" charset="0"/>
              </a:rPr>
              <a:t> </a:t>
            </a:r>
            <a:endParaRPr lang="en-US" sz="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73332854669761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Ներքին տնտեսությունից հավաքագրված հարկեր</c:v>
                </c:pt>
                <c:pt idx="1">
                  <c:v>Ներմուծման գծով հարկեր</c:v>
                </c:pt>
                <c:pt idx="2">
                  <c:v>Մաքսատուրքեր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3.6</c:v>
                </c:pt>
                <c:pt idx="1">
                  <c:v>-2.9</c:v>
                </c:pt>
                <c:pt idx="2">
                  <c:v>-1.3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6085">
          <a:noFill/>
        </a:ln>
      </c:spPr>
    </c:plotArea>
    <c:legend>
      <c:legendPos val="r"/>
      <c:layout>
        <c:manualLayout>
          <c:xMode val="edge"/>
          <c:yMode val="edge"/>
          <c:x val="2.4464831804281346E-2"/>
          <c:y val="0.7466666666666667"/>
          <c:w val="0.91743119266055051"/>
          <c:h val="0.21333333333333335"/>
        </c:manualLayout>
      </c:layout>
      <c:overlay val="0"/>
      <c:txPr>
        <a:bodyPr/>
        <a:lstStyle/>
        <a:p>
          <a:pPr>
            <a:defRPr sz="82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86220472440945E-2"/>
          <c:y val="5.1191256830601092E-2"/>
          <c:w val="0.8507175624786032"/>
          <c:h val="0.743286433458112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եկամուտների ազդակ</c:v>
                </c:pt>
              </c:strCache>
            </c:strRef>
          </c:tx>
          <c:invertIfNegative val="0"/>
          <c:cat>
            <c:strRef>
              <c:f>Sheet1!$A$2:$A$18</c:f>
              <c:strCache>
                <c:ptCount val="17"/>
                <c:pt idx="0">
                  <c:v>2013Q1</c:v>
                </c:pt>
                <c:pt idx="1">
                  <c:v>2013Q2</c:v>
                </c:pt>
                <c:pt idx="2">
                  <c:v>2013Q3</c:v>
                </c:pt>
                <c:pt idx="3">
                  <c:v>2013Q4</c:v>
                </c:pt>
                <c:pt idx="4">
                  <c:v>2014Q1</c:v>
                </c:pt>
                <c:pt idx="5">
                  <c:v>2014Q2</c:v>
                </c:pt>
                <c:pt idx="6">
                  <c:v>2014Q3</c:v>
                </c:pt>
                <c:pt idx="7">
                  <c:v>2014Q4</c:v>
                </c:pt>
                <c:pt idx="8">
                  <c:v>2015Q1</c:v>
                </c:pt>
                <c:pt idx="9">
                  <c:v>2015Q2</c:v>
                </c:pt>
                <c:pt idx="10">
                  <c:v>2015Q3</c:v>
                </c:pt>
                <c:pt idx="11">
                  <c:v>2015Q4</c:v>
                </c:pt>
                <c:pt idx="12">
                  <c:v>2016Q1</c:v>
                </c:pt>
                <c:pt idx="13">
                  <c:v>2016Q2</c:v>
                </c:pt>
                <c:pt idx="14">
                  <c:v>2016Q3</c:v>
                </c:pt>
                <c:pt idx="15">
                  <c:v>2016Q4</c:v>
                </c:pt>
                <c:pt idx="16">
                  <c:v>2017Q1</c:v>
                </c:pt>
              </c:strCache>
            </c:strRef>
          </c:cat>
          <c:val>
            <c:numRef>
              <c:f>Sheet1!$B$2:$B$18</c:f>
              <c:numCache>
                <c:formatCode>0.0</c:formatCode>
                <c:ptCount val="17"/>
                <c:pt idx="0">
                  <c:v>-3.6851021753002504</c:v>
                </c:pt>
                <c:pt idx="1">
                  <c:v>-3.7477225690004148</c:v>
                </c:pt>
                <c:pt idx="2">
                  <c:v>-2.6264598828505235</c:v>
                </c:pt>
                <c:pt idx="3">
                  <c:v>-1.4895779183435898</c:v>
                </c:pt>
                <c:pt idx="4">
                  <c:v>-8.4374563551183075E-3</c:v>
                </c:pt>
                <c:pt idx="5">
                  <c:v>-0.19001942630653043</c:v>
                </c:pt>
                <c:pt idx="6">
                  <c:v>-0.13175358735650011</c:v>
                </c:pt>
                <c:pt idx="7">
                  <c:v>-0.11856503355887966</c:v>
                </c:pt>
                <c:pt idx="8">
                  <c:v>1.3677033675599468</c:v>
                </c:pt>
                <c:pt idx="9">
                  <c:v>1.865243535717668</c:v>
                </c:pt>
                <c:pt idx="10">
                  <c:v>1.2066590384392992</c:v>
                </c:pt>
                <c:pt idx="11">
                  <c:v>0.78447728831264629</c:v>
                </c:pt>
                <c:pt idx="12">
                  <c:v>1.2409772607496834</c:v>
                </c:pt>
                <c:pt idx="13">
                  <c:v>0.57265051616243712</c:v>
                </c:pt>
                <c:pt idx="14">
                  <c:v>0.60551444501668306</c:v>
                </c:pt>
                <c:pt idx="15">
                  <c:v>0.12487556291169775</c:v>
                </c:pt>
                <c:pt idx="16">
                  <c:v>-0.96468107667152991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ծախսերի ազդակ</c:v>
                </c:pt>
              </c:strCache>
            </c:strRef>
          </c:tx>
          <c:spPr>
            <a:pattFill prst="wdUpDiag">
              <a:fgClr>
                <a:srgbClr val="4F81BD"/>
              </a:fgClr>
              <a:bgClr>
                <a:sysClr val="window" lastClr="FFFFFF"/>
              </a:bgClr>
            </a:pattFill>
            <a:ln w="25300"/>
          </c:spPr>
          <c:invertIfNegative val="0"/>
          <c:cat>
            <c:strRef>
              <c:f>Sheet1!$A$2:$A$18</c:f>
              <c:strCache>
                <c:ptCount val="17"/>
                <c:pt idx="0">
                  <c:v>2013Q1</c:v>
                </c:pt>
                <c:pt idx="1">
                  <c:v>2013Q2</c:v>
                </c:pt>
                <c:pt idx="2">
                  <c:v>2013Q3</c:v>
                </c:pt>
                <c:pt idx="3">
                  <c:v>2013Q4</c:v>
                </c:pt>
                <c:pt idx="4">
                  <c:v>2014Q1</c:v>
                </c:pt>
                <c:pt idx="5">
                  <c:v>2014Q2</c:v>
                </c:pt>
                <c:pt idx="6">
                  <c:v>2014Q3</c:v>
                </c:pt>
                <c:pt idx="7">
                  <c:v>2014Q4</c:v>
                </c:pt>
                <c:pt idx="8">
                  <c:v>2015Q1</c:v>
                </c:pt>
                <c:pt idx="9">
                  <c:v>2015Q2</c:v>
                </c:pt>
                <c:pt idx="10">
                  <c:v>2015Q3</c:v>
                </c:pt>
                <c:pt idx="11">
                  <c:v>2015Q4</c:v>
                </c:pt>
                <c:pt idx="12">
                  <c:v>2016Q1</c:v>
                </c:pt>
                <c:pt idx="13">
                  <c:v>2016Q2</c:v>
                </c:pt>
                <c:pt idx="14">
                  <c:v>2016Q3</c:v>
                </c:pt>
                <c:pt idx="15">
                  <c:v>2016Q4</c:v>
                </c:pt>
                <c:pt idx="16">
                  <c:v>2017Q1</c:v>
                </c:pt>
              </c:strCache>
            </c:strRef>
          </c:cat>
          <c:val>
            <c:numRef>
              <c:f>Sheet1!$C$2:$C$18</c:f>
              <c:numCache>
                <c:formatCode>0.0</c:formatCode>
                <c:ptCount val="17"/>
                <c:pt idx="0">
                  <c:v>0.77163091484036095</c:v>
                </c:pt>
                <c:pt idx="1">
                  <c:v>0.28543910478846396</c:v>
                </c:pt>
                <c:pt idx="2">
                  <c:v>-0.38533530039018948</c:v>
                </c:pt>
                <c:pt idx="3">
                  <c:v>0.11071041957077664</c:v>
                </c:pt>
                <c:pt idx="4">
                  <c:v>1.0518180659774363</c:v>
                </c:pt>
                <c:pt idx="5">
                  <c:v>1.2046842216046394</c:v>
                </c:pt>
                <c:pt idx="6">
                  <c:v>1.4606382584306994</c:v>
                </c:pt>
                <c:pt idx="7">
                  <c:v>1.1200000000000001</c:v>
                </c:pt>
                <c:pt idx="8">
                  <c:v>1.0840918801550261</c:v>
                </c:pt>
                <c:pt idx="9">
                  <c:v>1.8040811834060939</c:v>
                </c:pt>
                <c:pt idx="10">
                  <c:v>1.8367817626382426</c:v>
                </c:pt>
                <c:pt idx="11">
                  <c:v>1.7999619267376188</c:v>
                </c:pt>
                <c:pt idx="12">
                  <c:v>8.5091876573595682E-2</c:v>
                </c:pt>
                <c:pt idx="13">
                  <c:v>0.45952713287629782</c:v>
                </c:pt>
                <c:pt idx="14">
                  <c:v>1.5873572944810444E-2</c:v>
                </c:pt>
                <c:pt idx="15">
                  <c:v>0.25719507567456851</c:v>
                </c:pt>
                <c:pt idx="16">
                  <c:v>-1.390037130204228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3929432"/>
        <c:axId val="54392551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հարկաբյուջետային ազդակ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2013Q1</c:v>
                </c:pt>
                <c:pt idx="1">
                  <c:v>2013Q2</c:v>
                </c:pt>
                <c:pt idx="2">
                  <c:v>2013Q3</c:v>
                </c:pt>
                <c:pt idx="3">
                  <c:v>2013Q4</c:v>
                </c:pt>
                <c:pt idx="4">
                  <c:v>2014Q1</c:v>
                </c:pt>
                <c:pt idx="5">
                  <c:v>2014Q2</c:v>
                </c:pt>
                <c:pt idx="6">
                  <c:v>2014Q3</c:v>
                </c:pt>
                <c:pt idx="7">
                  <c:v>2014Q4</c:v>
                </c:pt>
                <c:pt idx="8">
                  <c:v>2015Q1</c:v>
                </c:pt>
                <c:pt idx="9">
                  <c:v>2015Q2</c:v>
                </c:pt>
                <c:pt idx="10">
                  <c:v>2015Q3</c:v>
                </c:pt>
                <c:pt idx="11">
                  <c:v>2015Q4</c:v>
                </c:pt>
                <c:pt idx="12">
                  <c:v>2016Q1</c:v>
                </c:pt>
                <c:pt idx="13">
                  <c:v>2016Q2</c:v>
                </c:pt>
                <c:pt idx="14">
                  <c:v>2016Q3</c:v>
                </c:pt>
                <c:pt idx="15">
                  <c:v>2016Q4</c:v>
                </c:pt>
                <c:pt idx="16">
                  <c:v>2017Q1</c:v>
                </c:pt>
              </c:strCache>
            </c:strRef>
          </c:cat>
          <c:val>
            <c:numRef>
              <c:f>Sheet1!$D$2:$D$18</c:f>
              <c:numCache>
                <c:formatCode>0.0</c:formatCode>
                <c:ptCount val="17"/>
                <c:pt idx="0">
                  <c:v>-2.9134712604598896</c:v>
                </c:pt>
                <c:pt idx="1">
                  <c:v>-3.4622834642119509</c:v>
                </c:pt>
                <c:pt idx="2">
                  <c:v>-3.011795183240713</c:v>
                </c:pt>
                <c:pt idx="3">
                  <c:v>-1.3788674987728131</c:v>
                </c:pt>
                <c:pt idx="4">
                  <c:v>1.0433806096223179</c:v>
                </c:pt>
                <c:pt idx="5">
                  <c:v>1.0146647952981089</c:v>
                </c:pt>
                <c:pt idx="6">
                  <c:v>1.3288846710741993</c:v>
                </c:pt>
                <c:pt idx="7">
                  <c:v>1.0014349664411204</c:v>
                </c:pt>
                <c:pt idx="8">
                  <c:v>2.4517952477149727</c:v>
                </c:pt>
                <c:pt idx="9">
                  <c:v>3.6693247191237619</c:v>
                </c:pt>
                <c:pt idx="10">
                  <c:v>3.0434408010775416</c:v>
                </c:pt>
                <c:pt idx="11">
                  <c:v>2.5844392150502653</c:v>
                </c:pt>
                <c:pt idx="12">
                  <c:v>1.3260691373232791</c:v>
                </c:pt>
                <c:pt idx="13">
                  <c:v>1.0321776490387349</c:v>
                </c:pt>
                <c:pt idx="14">
                  <c:v>0.62138801796149346</c:v>
                </c:pt>
                <c:pt idx="15">
                  <c:v>0.38207063858626628</c:v>
                </c:pt>
                <c:pt idx="16">
                  <c:v>-2.3547182068757579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929432"/>
        <c:axId val="543925512"/>
      </c:lineChart>
      <c:catAx>
        <c:axId val="543929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ru-RU"/>
          </a:p>
        </c:txPr>
        <c:crossAx val="543925512"/>
        <c:crosses val="autoZero"/>
        <c:auto val="1"/>
        <c:lblAlgn val="ctr"/>
        <c:lblOffset val="100"/>
        <c:noMultiLvlLbl val="0"/>
      </c:catAx>
      <c:valAx>
        <c:axId val="54392551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ru-RU"/>
          </a:p>
        </c:txPr>
        <c:crossAx val="543929432"/>
        <c:crosses val="autoZero"/>
        <c:crossBetween val="between"/>
      </c:valAx>
      <c:spPr>
        <a:ln w="25300">
          <a:noFill/>
        </a:ln>
      </c:spPr>
    </c:plotArea>
    <c:legend>
      <c:legendPos val="r"/>
      <c:layout>
        <c:manualLayout>
          <c:xMode val="edge"/>
          <c:yMode val="edge"/>
          <c:x val="4.2414354506832307E-2"/>
          <c:y val="0.89508215582641204"/>
          <c:w val="0.89885811736708032"/>
          <c:h val="8.5245748391040155E-2"/>
        </c:manualLayout>
      </c:layout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994" b="0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800"/>
              <a:t>201</a:t>
            </a:r>
            <a:r>
              <a:rPr lang="en-US" sz="800"/>
              <a:t>7</a:t>
            </a:r>
            <a:r>
              <a:rPr lang="hy-AM" sz="800"/>
              <a:t>թ</a:t>
            </a:r>
            <a:r>
              <a:rPr lang="en-US" sz="800"/>
              <a:t>.</a:t>
            </a:r>
            <a:r>
              <a:rPr lang="hy-AM" sz="800"/>
              <a:t> հունվար-</a:t>
            </a:r>
            <a:r>
              <a:rPr lang="ru-RU" sz="800"/>
              <a:t>մարտ</a:t>
            </a:r>
            <a:r>
              <a:rPr lang="hy-AM" sz="800"/>
              <a:t>ին տնտեսական ակտիվության ցուցանիշի </a:t>
            </a:r>
            <a:r>
              <a:rPr lang="en-US" sz="800"/>
              <a:t>6.6</a:t>
            </a:r>
            <a:r>
              <a:rPr lang="hy-AM" sz="800"/>
              <a:t>% աճին ճյուղերի նպաստումները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1192248229246"/>
          <c:y val="0.31190456456100885"/>
          <c:w val="0.89318811981701285"/>
          <c:h val="0.461912151625032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2017թ հունվար-մարտին տնտեսական ակտիվության ցուցանիշի 6.6% աճին ճյուղերի նպաստումները2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2"/>
              <c:layout>
                <c:manualLayout>
                  <c:x val="4.8834101527199664E-2"/>
                  <c:y val="6.6084903007292389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487122114761637"/>
                  <c:y val="-3.81076000766486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2.8</c:v>
                </c:pt>
                <c:pt idx="1">
                  <c:v>-0.3</c:v>
                </c:pt>
                <c:pt idx="2">
                  <c:v>-1.4</c:v>
                </c:pt>
                <c:pt idx="3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067810016898572"/>
          <c:y val="0.83080062360625972"/>
          <c:w val="0.85800453025563583"/>
          <c:h val="0.13912418842381546"/>
        </c:manualLayout>
      </c:layout>
      <c:overlay val="0"/>
      <c:txPr>
        <a:bodyPr/>
        <a:lstStyle/>
        <a:p>
          <a:pPr>
            <a:defRPr sz="800">
              <a:latin typeface="GHEA Grapalat" pitchFamily="50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 sz="1000" b="1" i="0" baseline="0">
                <a:effectLst/>
                <a:latin typeface="GHEA Grapalat" pitchFamily="50" charset="0"/>
              </a:rPr>
              <a:t>201</a:t>
            </a:r>
            <a:r>
              <a:rPr lang="en-US" sz="1000" b="1" i="0" baseline="0">
                <a:effectLst/>
                <a:latin typeface="GHEA Grapalat" pitchFamily="50" charset="0"/>
              </a:rPr>
              <a:t>6</a:t>
            </a:r>
            <a:r>
              <a:rPr lang="hy-AM" sz="1000" b="1" i="0" baseline="0">
                <a:effectLst/>
                <a:latin typeface="GHEA Grapalat" pitchFamily="50" charset="0"/>
              </a:rPr>
              <a:t>թ</a:t>
            </a:r>
            <a:r>
              <a:rPr lang="en-US" sz="1000" b="1" i="0" baseline="0">
                <a:effectLst/>
                <a:latin typeface="GHEA Grapalat" pitchFamily="50" charset="0"/>
              </a:rPr>
              <a:t>.</a:t>
            </a:r>
            <a:r>
              <a:rPr lang="ru-RU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1.4%</a:t>
            </a:r>
            <a:r>
              <a:rPr lang="hy-AM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 միջին </a:t>
            </a:r>
            <a:r>
              <a:rPr lang="hy-AM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գնանկում  (նպաստումները  ապրանքախմբերով)</a:t>
            </a:r>
            <a:endParaRPr lang="en-US" sz="1000">
              <a:effectLst/>
              <a:latin typeface="GHEA Grapalat" pitchFamily="50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latin typeface="GHEA Grapalat" pitchFamily="50" charset="0"/>
              </a:rPr>
              <a:t> </a:t>
            </a:r>
            <a:endParaRPr lang="en-US" sz="10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9.5042793563847996E-2"/>
          <c:y val="1.8996448973290102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միջին գնաճ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Սննդամթերք և ոչ ալկոհոլային խմիչքներ</c:v>
                </c:pt>
                <c:pt idx="1">
                  <c:v>Ալկոհոլային խմիչքներ, ծխախոտային արտադրատեսակներ և թմրանյութեր</c:v>
                </c:pt>
                <c:pt idx="2">
                  <c:v>Ոչ պարենային ապրանքներ</c:v>
                </c:pt>
                <c:pt idx="3">
                  <c:v>Ծառայություններ 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-2.3911034851206274</c:v>
                </c:pt>
                <c:pt idx="1">
                  <c:v>-3.3781797091169026E-2</c:v>
                </c:pt>
                <c:pt idx="2">
                  <c:v>0</c:v>
                </c:pt>
                <c:pt idx="3">
                  <c:v>1.0248852822117906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1874999999999999E-2"/>
          <c:y val="0.74308300395256921"/>
          <c:w val="0.93437499999999996"/>
          <c:h val="0.24505928853754941"/>
        </c:manualLayout>
      </c:layout>
      <c:overlay val="0"/>
      <c:txPr>
        <a:bodyPr/>
        <a:lstStyle/>
        <a:p>
          <a:pPr>
            <a:defRPr sz="6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 sz="1000" b="1" i="0" baseline="0">
                <a:effectLst/>
                <a:latin typeface="GHEA Grapalat" pitchFamily="50" charset="0"/>
              </a:rPr>
              <a:t>201</a:t>
            </a:r>
            <a:r>
              <a:rPr lang="en-US" sz="1000" b="1" i="0" baseline="0">
                <a:effectLst/>
                <a:latin typeface="GHEA Grapalat" pitchFamily="50" charset="0"/>
              </a:rPr>
              <a:t>7</a:t>
            </a:r>
            <a:r>
              <a:rPr lang="hy-AM" sz="1000" b="1" i="0" baseline="0">
                <a:effectLst/>
                <a:latin typeface="GHEA Grapalat" pitchFamily="50" charset="0"/>
              </a:rPr>
              <a:t>թ</a:t>
            </a:r>
            <a:r>
              <a:rPr lang="en-US" sz="1000" b="1" i="0" baseline="0">
                <a:effectLst/>
                <a:latin typeface="GHEA Grapalat" pitchFamily="50" charset="0"/>
              </a:rPr>
              <a:t>. </a:t>
            </a:r>
            <a:r>
              <a:rPr lang="hy-AM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0.3</a:t>
            </a:r>
            <a:r>
              <a:rPr lang="ru-RU" sz="1000" b="1" i="0" baseline="0">
                <a:effectLst/>
                <a:latin typeface="GHEA Grapalat" pitchFamily="50" charset="0"/>
              </a:rPr>
              <a:t>%</a:t>
            </a:r>
            <a:r>
              <a:rPr lang="hy-AM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միջին</a:t>
            </a:r>
            <a:r>
              <a:rPr lang="ru-RU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գնանկում (նպաստումները ապրանքախմբերով)</a:t>
            </a:r>
            <a:endParaRPr lang="en-US" sz="1000">
              <a:effectLst/>
              <a:latin typeface="GHEA Grapalat" pitchFamily="50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latin typeface="GHEA Grapalat" pitchFamily="50" charset="0"/>
              </a:rPr>
              <a:t> </a:t>
            </a:r>
            <a:endParaRPr lang="en-US" sz="10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7.2607999471764134E-2"/>
          <c:y val="1.4771694394231849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579665246762188E-2"/>
          <c:y val="0.2718556847060784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միջին գնաճ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Սննդամթերք և ոչ ալկոհոլային խմիչքներ</c:v>
                </c:pt>
                <c:pt idx="1">
                  <c:v>Ալկոհոլային խմիչքներ, ծխախոտային արտադրատեսակներ և թմրանյութեր</c:v>
                </c:pt>
                <c:pt idx="2">
                  <c:v>Ոչ պարենային ապրանքներ</c:v>
                </c:pt>
                <c:pt idx="3">
                  <c:v>Ծառայություններ 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1.1515053876665682</c:v>
                </c:pt>
                <c:pt idx="1">
                  <c:v>7.4798941030880875E-2</c:v>
                </c:pt>
                <c:pt idx="2">
                  <c:v>-0.74167100978775335</c:v>
                </c:pt>
                <c:pt idx="3">
                  <c:v>-0.83210673989969985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74509803921568629"/>
          <c:w val="1"/>
          <c:h val="0.21176470588235294"/>
        </c:manualLayout>
      </c:layout>
      <c:overlay val="0"/>
      <c:txPr>
        <a:bodyPr/>
        <a:lstStyle/>
        <a:p>
          <a:pPr>
            <a:defRPr sz="6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298577873844201E-2"/>
          <c:y val="6.385951756030496E-2"/>
          <c:w val="0.89368770764119598"/>
          <c:h val="0.6830985915492957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Արտահանում</c:v>
                </c:pt>
              </c:strCache>
            </c:strRef>
          </c:tx>
          <c:invertIfNegative val="0"/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58.7</c:v>
                </c:pt>
                <c:pt idx="1">
                  <c:v>76.7</c:v>
                </c:pt>
                <c:pt idx="2">
                  <c:v>120.1</c:v>
                </c:pt>
                <c:pt idx="3">
                  <c:v>136.1</c:v>
                </c:pt>
                <c:pt idx="4">
                  <c:v>147.4</c:v>
                </c:pt>
                <c:pt idx="5">
                  <c:v>202.4</c:v>
                </c:pt>
                <c:pt idx="6">
                  <c:v>184.8</c:v>
                </c:pt>
                <c:pt idx="7">
                  <c:v>231.2</c:v>
                </c:pt>
                <c:pt idx="8">
                  <c:v>234</c:v>
                </c:pt>
                <c:pt idx="9">
                  <c:v>123.9</c:v>
                </c:pt>
                <c:pt idx="10">
                  <c:v>198.5</c:v>
                </c:pt>
                <c:pt idx="11">
                  <c:v>262.5</c:v>
                </c:pt>
                <c:pt idx="12">
                  <c:v>298.89999999999998</c:v>
                </c:pt>
                <c:pt idx="13">
                  <c:v>341.7</c:v>
                </c:pt>
                <c:pt idx="14">
                  <c:v>348</c:v>
                </c:pt>
                <c:pt idx="15">
                  <c:v>267.60000000000002</c:v>
                </c:pt>
                <c:pt idx="16" formatCode="0.0">
                  <c:v>380.48399999999998</c:v>
                </c:pt>
                <c:pt idx="17" formatCode="0.0">
                  <c:v>443.101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Ներմուծում (CIF)</c:v>
                </c:pt>
              </c:strCache>
            </c:strRef>
          </c:tx>
          <c:invertIfNegative val="0"/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-201.3</c:v>
                </c:pt>
                <c:pt idx="1">
                  <c:v>-178.7</c:v>
                </c:pt>
                <c:pt idx="2">
                  <c:v>-204.4</c:v>
                </c:pt>
                <c:pt idx="3">
                  <c:v>-251.7</c:v>
                </c:pt>
                <c:pt idx="4">
                  <c:v>-283.8</c:v>
                </c:pt>
                <c:pt idx="5">
                  <c:v>-371</c:v>
                </c:pt>
                <c:pt idx="6">
                  <c:v>-422</c:v>
                </c:pt>
                <c:pt idx="7">
                  <c:v>-645.20000000000005</c:v>
                </c:pt>
                <c:pt idx="8">
                  <c:v>-846.7</c:v>
                </c:pt>
                <c:pt idx="9">
                  <c:v>-665.3</c:v>
                </c:pt>
                <c:pt idx="10">
                  <c:v>-817.3</c:v>
                </c:pt>
                <c:pt idx="11">
                  <c:v>-871.1</c:v>
                </c:pt>
                <c:pt idx="12">
                  <c:v>-953.4</c:v>
                </c:pt>
                <c:pt idx="13">
                  <c:v>-972.5</c:v>
                </c:pt>
                <c:pt idx="14">
                  <c:v>-974.5</c:v>
                </c:pt>
                <c:pt idx="15">
                  <c:v>-677.5</c:v>
                </c:pt>
                <c:pt idx="16" formatCode="0.0">
                  <c:v>-681.755</c:v>
                </c:pt>
                <c:pt idx="17" formatCode="0.0">
                  <c:v>-803.73500000000001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Հաշվեկշիռ ապրանքների գծով</c:v>
                </c:pt>
              </c:strCache>
            </c:strRef>
          </c:tx>
          <c:invertIfNegative val="0"/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Sheet1!$B$4:$S$4</c:f>
              <c:numCache>
                <c:formatCode>General</c:formatCode>
                <c:ptCount val="18"/>
                <c:pt idx="0">
                  <c:v>-142.5</c:v>
                </c:pt>
                <c:pt idx="1">
                  <c:v>-102</c:v>
                </c:pt>
                <c:pt idx="2">
                  <c:v>-84.3</c:v>
                </c:pt>
                <c:pt idx="3">
                  <c:v>-115.6</c:v>
                </c:pt>
                <c:pt idx="4">
                  <c:v>-136.4</c:v>
                </c:pt>
                <c:pt idx="5">
                  <c:v>-168.6</c:v>
                </c:pt>
                <c:pt idx="6">
                  <c:v>-237.2</c:v>
                </c:pt>
                <c:pt idx="7">
                  <c:v>-413.9</c:v>
                </c:pt>
                <c:pt idx="8">
                  <c:v>-612.79999999999995</c:v>
                </c:pt>
                <c:pt idx="9">
                  <c:v>-541.4</c:v>
                </c:pt>
                <c:pt idx="10">
                  <c:v>-618.79999999999995</c:v>
                </c:pt>
                <c:pt idx="11">
                  <c:v>-608.6</c:v>
                </c:pt>
                <c:pt idx="12">
                  <c:v>-654.5</c:v>
                </c:pt>
                <c:pt idx="13">
                  <c:v>-630.79999999999995</c:v>
                </c:pt>
                <c:pt idx="14">
                  <c:v>-626.5</c:v>
                </c:pt>
                <c:pt idx="15">
                  <c:v>-409.9</c:v>
                </c:pt>
                <c:pt idx="16" formatCode="0.0">
                  <c:v>-301.27100000000002</c:v>
                </c:pt>
                <c:pt idx="17" formatCode="0.0">
                  <c:v>-360.63400000000001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410672"/>
        <c:axId val="429410280"/>
      </c:barChart>
      <c:catAx>
        <c:axId val="42941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4294102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29410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29410672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solidFill>
            <a:schemeClr val="bg1"/>
          </a:solidFill>
        </a:ln>
        <a:effectLst>
          <a:glow rad="127000">
            <a:schemeClr val="bg1"/>
          </a:glow>
          <a:outerShdw blurRad="50800" dist="50800" dir="5400000" algn="ctr" rotWithShape="0">
            <a:schemeClr val="bg1"/>
          </a:outerShdw>
        </a:effectLst>
      </c:spPr>
    </c:plotArea>
    <c:legend>
      <c:legendPos val="r"/>
      <c:layout>
        <c:manualLayout>
          <c:xMode val="edge"/>
          <c:yMode val="edge"/>
          <c:x val="0.17936507936507937"/>
          <c:y val="0.89679715302491103"/>
          <c:w val="0.78253968253968254"/>
          <c:h val="8.5409252669039148E-2"/>
        </c:manualLayout>
      </c:layout>
      <c:overlay val="0"/>
      <c:txPr>
        <a:bodyPr/>
        <a:lstStyle/>
        <a:p>
          <a:pPr>
            <a:defRPr baseline="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effectLst>
      <a:outerShdw blurRad="50800" dist="50800" dir="5400000" algn="ctr" rotWithShape="0">
        <a:schemeClr val="bg1"/>
      </a:outerShdw>
    </a:effectLst>
    <a:scene3d>
      <a:camera prst="orthographicFront"/>
      <a:lightRig rig="threePt" dir="t"/>
    </a:scene3d>
    <a:sp3d>
      <a:bevelB/>
    </a:sp3d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050847457627114E-2"/>
          <c:y val="4.4102056707195809E-2"/>
          <c:w val="0.90169491525423728"/>
          <c:h val="0.924447944006999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Ներմուծուման ծածկման գործակից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Sheet1!$B$1:$W$1</c:f>
              <c:strCache>
                <c:ptCount val="22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2017*</c:v>
                </c:pt>
              </c:strCache>
            </c:strRef>
          </c:cat>
          <c:val>
            <c:numRef>
              <c:f>Sheet1!$B$2:$W$2</c:f>
              <c:numCache>
                <c:formatCode>0.0</c:formatCode>
                <c:ptCount val="22"/>
                <c:pt idx="0">
                  <c:v>30.561846220209212</c:v>
                </c:pt>
                <c:pt idx="1">
                  <c:v>21.23529446314145</c:v>
                </c:pt>
                <c:pt idx="2">
                  <c:v>31.576804982508229</c:v>
                </c:pt>
                <c:pt idx="3">
                  <c:v>39.387016000067156</c:v>
                </c:pt>
                <c:pt idx="4">
                  <c:v>34.34813409275489</c:v>
                </c:pt>
                <c:pt idx="5">
                  <c:v>49.910984215111128</c:v>
                </c:pt>
                <c:pt idx="6">
                  <c:v>66.693993653806373</c:v>
                </c:pt>
                <c:pt idx="7">
                  <c:v>61.121347181054134</c:v>
                </c:pt>
                <c:pt idx="8">
                  <c:v>59.276738360693351</c:v>
                </c:pt>
                <c:pt idx="9">
                  <c:v>61.914197064709384</c:v>
                </c:pt>
                <c:pt idx="10">
                  <c:v>52.234180822165207</c:v>
                </c:pt>
                <c:pt idx="11">
                  <c:v>42.93235262897587</c:v>
                </c:pt>
                <c:pt idx="12">
                  <c:v>34.143208293620489</c:v>
                </c:pt>
                <c:pt idx="13">
                  <c:v>22.891566265060238</c:v>
                </c:pt>
                <c:pt idx="14">
                  <c:v>32.093462329831915</c:v>
                </c:pt>
                <c:pt idx="15">
                  <c:v>37.123343283015842</c:v>
                </c:pt>
                <c:pt idx="16">
                  <c:v>38.888329662954042</c:v>
                </c:pt>
                <c:pt idx="17">
                  <c:v>42.8</c:v>
                </c:pt>
                <c:pt idx="18">
                  <c:v>43.27399494344192</c:v>
                </c:pt>
                <c:pt idx="19">
                  <c:v>48.813358415336403</c:v>
                </c:pt>
                <c:pt idx="20">
                  <c:v>65.418280492005309</c:v>
                </c:pt>
                <c:pt idx="21">
                  <c:v>64.757186052315021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413416"/>
        <c:axId val="429415376"/>
      </c:barChart>
      <c:catAx>
        <c:axId val="429413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429415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9415376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429413416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98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1100" b="1" i="0" u="none" strike="noStrike" baseline="0">
                <a:effectLst/>
              </a:rPr>
              <a:t>2017թ. մարտին</a:t>
            </a:r>
            <a:r>
              <a:rPr lang="en-US" sz="1100">
                <a:effectLst/>
                <a:latin typeface="GHEA Grapalat" pitchFamily="50" charset="0"/>
              </a:rPr>
              <a:t> փողի զանգվածի 18.7</a:t>
            </a:r>
            <a:r>
              <a:rPr lang="hy-AM" sz="1100" b="1" i="0" u="none" strike="noStrike" baseline="0">
                <a:effectLst/>
                <a:latin typeface="GHEA Grapalat" pitchFamily="50" charset="0"/>
              </a:rPr>
              <a:t>%</a:t>
            </a:r>
            <a:r>
              <a:rPr lang="en-US" sz="1100" b="1" i="0" u="none" strike="noStrike" baseline="0">
                <a:effectLst/>
                <a:latin typeface="GHEA Grapalat" pitchFamily="50" charset="0"/>
              </a:rPr>
              <a:t> աճի նպաստման չափերը</a:t>
            </a:r>
            <a:r>
              <a:rPr lang="en-US" sz="1100" baseline="0">
                <a:effectLst/>
                <a:latin typeface="GHEA Grapalat" pitchFamily="50" charset="0"/>
              </a:rPr>
              <a:t> 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5431537724451111"/>
          <c:y val="4.004684029880880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 Շրջանառությունում կանխիկ դրամ</c:v>
                </c:pt>
                <c:pt idx="1">
                  <c:v> Դրամային դեպոզիտներ</c:v>
                </c:pt>
                <c:pt idx="2">
                  <c:v> Արտարժութային դեպոզիտներ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4.3857795653904885</c:v>
                </c:pt>
                <c:pt idx="1">
                  <c:v>8.8000000000000007</c:v>
                </c:pt>
                <c:pt idx="2">
                  <c:v>5.5407357900030778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1.5974440894568689E-2"/>
          <c:y val="0.84210526315789469"/>
          <c:w val="0.94249201277955275"/>
          <c:h val="0.14860681114551083"/>
        </c:manualLayout>
      </c:layout>
      <c:overlay val="0"/>
      <c:txPr>
        <a:bodyPr/>
        <a:lstStyle/>
        <a:p>
          <a:pPr>
            <a:defRPr sz="699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98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1100">
                <a:effectLst/>
                <a:latin typeface="GHEA Grapalat" pitchFamily="50" charset="0"/>
              </a:rPr>
              <a:t>201</a:t>
            </a:r>
            <a:r>
              <a:rPr lang="ru-RU" sz="1100">
                <a:effectLst/>
                <a:latin typeface="GHEA Grapalat" pitchFamily="50" charset="0"/>
              </a:rPr>
              <a:t>7</a:t>
            </a:r>
            <a:r>
              <a:rPr lang="en-US" sz="1100">
                <a:effectLst/>
                <a:latin typeface="GHEA Grapalat" pitchFamily="50" charset="0"/>
              </a:rPr>
              <a:t>թ. մարտին փողի բազայի</a:t>
            </a:r>
            <a:r>
              <a:rPr lang="en-US" sz="1100" baseline="0">
                <a:effectLst/>
                <a:latin typeface="GHEA Grapalat" pitchFamily="50" charset="0"/>
              </a:rPr>
              <a:t> 14.2</a:t>
            </a:r>
            <a:r>
              <a:rPr lang="hy-AM" sz="1100" b="1" i="0" u="none" strike="noStrike" baseline="0">
                <a:effectLst/>
                <a:latin typeface="GHEA Grapalat" pitchFamily="50" charset="0"/>
              </a:rPr>
              <a:t>%</a:t>
            </a:r>
            <a:r>
              <a:rPr lang="en-US" sz="1100" b="1" i="0" u="none" strike="noStrike" baseline="0">
                <a:effectLst/>
                <a:latin typeface="GHEA Grapalat" pitchFamily="50" charset="0"/>
              </a:rPr>
              <a:t> աճի նպաստման չափերը</a:t>
            </a:r>
            <a:r>
              <a:rPr lang="en-US" sz="1100" baseline="0">
                <a:effectLst/>
                <a:latin typeface="GHEA Grapalat" pitchFamily="50" charset="0"/>
              </a:rPr>
              <a:t> 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389494121453997"/>
          <c:y val="3.086291136684837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      ԿԲ-ից դուրս կանխիկ դրամ</c:v>
                </c:pt>
                <c:pt idx="1">
                  <c:v>      Թղթակցային հաշիվներ դրամով</c:v>
                </c:pt>
                <c:pt idx="2">
                  <c:v>      Թղթակցային հաշիվներ արտարժութով</c:v>
                </c:pt>
                <c:pt idx="3">
                  <c:v>       Այլ հաշիվներ 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9.920761944680498</c:v>
                </c:pt>
                <c:pt idx="1">
                  <c:v>-1.6524146751897779</c:v>
                </c:pt>
                <c:pt idx="2">
                  <c:v>4.9125143660392396</c:v>
                </c:pt>
                <c:pt idx="3">
                  <c:v>1.0171963069809451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1.3793103448275862E-2"/>
          <c:y val="0.83281733746130027"/>
          <c:w val="0.9517241379310345"/>
          <c:h val="0.16718266253869968"/>
        </c:manualLayout>
      </c:layout>
      <c:overlay val="0"/>
      <c:txPr>
        <a:bodyPr/>
        <a:lstStyle/>
        <a:p>
          <a:pPr>
            <a:defRPr sz="699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99" b="1" i="0" baseline="0">
                <a:effectLst/>
                <a:latin typeface="GHEA Grapalat" pitchFamily="50" charset="0"/>
              </a:rPr>
              <a:t> Վարկերի ծավալների աճ, 2016թ. և 2017թ. մարտ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981158311323937"/>
          <c:y val="6.369435608628391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464888974767725E-2"/>
          <c:y val="0.27185557902823121"/>
          <c:w val="0.83578516871854935"/>
          <c:h val="0.498028828363667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2"/>
              <c:layout>
                <c:manualLayout>
                  <c:x val="-4.4290630233158303E-2"/>
                  <c:y val="-5.09736672844381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4927394058860339E-3"/>
                  <c:y val="-8.416931657581264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Sheet1!$B$2:$B$13</c:f>
              <c:numCache>
                <c:formatCode>0.0</c:formatCode>
                <c:ptCount val="12"/>
                <c:pt idx="0">
                  <c:v>-0.77910986307325913</c:v>
                </c:pt>
                <c:pt idx="1">
                  <c:v>2.2530498606732579</c:v>
                </c:pt>
                <c:pt idx="2">
                  <c:v>3.47836035157047</c:v>
                </c:pt>
                <c:pt idx="3">
                  <c:v>3.2284094869394835</c:v>
                </c:pt>
                <c:pt idx="4">
                  <c:v>4.2495923468750334</c:v>
                </c:pt>
                <c:pt idx="5">
                  <c:v>6.0407700574337753</c:v>
                </c:pt>
                <c:pt idx="6">
                  <c:v>5.559168766141326</c:v>
                </c:pt>
                <c:pt idx="7">
                  <c:v>5.8852735125223035</c:v>
                </c:pt>
                <c:pt idx="8">
                  <c:v>7.1731849866813349</c:v>
                </c:pt>
                <c:pt idx="9">
                  <c:v>8.9164397853158448</c:v>
                </c:pt>
                <c:pt idx="10">
                  <c:v>10.448545061223811</c:v>
                </c:pt>
                <c:pt idx="11">
                  <c:v>14.935918052610248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3809523809523808E-2"/>
                  <c:y val="-3.82165605095541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Sheet1!$C$2:$C$13</c:f>
              <c:numCache>
                <c:formatCode>0.0</c:formatCode>
                <c:ptCount val="12"/>
                <c:pt idx="0">
                  <c:v>13.6</c:v>
                </c:pt>
                <c:pt idx="1">
                  <c:v>11.7</c:v>
                </c:pt>
                <c:pt idx="2">
                  <c:v>13.1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9412240"/>
        <c:axId val="429416160"/>
      </c:lineChart>
      <c:catAx>
        <c:axId val="42941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9416160"/>
        <c:crosses val="autoZero"/>
        <c:auto val="1"/>
        <c:lblAlgn val="ctr"/>
        <c:lblOffset val="100"/>
        <c:noMultiLvlLbl val="0"/>
      </c:catAx>
      <c:valAx>
        <c:axId val="42941616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429412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337539432176657"/>
          <c:y val="0.89"/>
          <c:w val="0.39116719242902209"/>
          <c:h val="7.0000000000000007E-2"/>
        </c:manualLayout>
      </c:layout>
      <c:overlay val="0"/>
      <c:txPr>
        <a:bodyPr/>
        <a:lstStyle/>
        <a:p>
          <a:pPr>
            <a:defRPr sz="7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9110-3427-4061-85FD-CFAA65AA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3401</Words>
  <Characters>19392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î º Ô º Î ² î ì àô Â Ú àô Ü</vt:lpstr>
      <vt:lpstr>î º Ô º Î ² î ì àô Â Ú àô Ü</vt:lpstr>
    </vt:vector>
  </TitlesOfParts>
  <Company>MoF</Company>
  <LinksUpToDate>false</LinksUpToDate>
  <CharactersWithSpaces>22748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º Ô º Î ² î ì àô Â Ú àô Ü</dc:title>
  <dc:subject/>
  <dc:creator>EMMA</dc:creator>
  <cp:keywords/>
  <cp:lastModifiedBy>user</cp:lastModifiedBy>
  <cp:revision>2</cp:revision>
  <cp:lastPrinted>2017-05-06T05:23:00Z</cp:lastPrinted>
  <dcterms:created xsi:type="dcterms:W3CDTF">2017-06-05T13:36:00Z</dcterms:created>
  <dcterms:modified xsi:type="dcterms:W3CDTF">2017-06-05T13:36:00Z</dcterms:modified>
</cp:coreProperties>
</file>