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3867C0" w14:textId="77777777" w:rsidR="00F27B78" w:rsidRPr="005A68E6" w:rsidRDefault="00F27B78" w:rsidP="00F27B78">
      <w:pPr>
        <w:pStyle w:val="mechtex"/>
        <w:ind w:left="6120" w:firstLine="0"/>
        <w:rPr>
          <w:rFonts w:cs="Arial"/>
          <w:iCs/>
          <w:u w:val="single"/>
        </w:rPr>
      </w:pPr>
      <w:bookmarkStart w:id="0" w:name="_Toc107052575"/>
      <w:r w:rsidRPr="005A68E6">
        <w:rPr>
          <w:rFonts w:cs="Arial"/>
          <w:iCs/>
          <w:u w:val="single"/>
        </w:rPr>
        <w:t>Non-official translation</w:t>
      </w:r>
    </w:p>
    <w:p w14:paraId="38F0F024" w14:textId="77777777" w:rsidR="00F27B78" w:rsidRPr="005A68E6" w:rsidRDefault="00F27B78" w:rsidP="00F27B78">
      <w:pPr>
        <w:pStyle w:val="mechtex"/>
        <w:ind w:left="6120" w:firstLine="0"/>
      </w:pPr>
    </w:p>
    <w:p w14:paraId="0E39622F" w14:textId="77777777" w:rsidR="00F27B78" w:rsidRPr="005A68E6" w:rsidRDefault="00F27B78" w:rsidP="00F27B78">
      <w:pPr>
        <w:pStyle w:val="mechtex"/>
        <w:ind w:left="6120" w:firstLine="0"/>
      </w:pPr>
      <w:r w:rsidRPr="005A68E6">
        <w:t>Appendix N 1</w:t>
      </w:r>
    </w:p>
    <w:p w14:paraId="4A785507" w14:textId="77777777" w:rsidR="00F27B78" w:rsidRPr="005A68E6" w:rsidRDefault="00F27B78" w:rsidP="00F27B78">
      <w:pPr>
        <w:pStyle w:val="mechtex"/>
        <w:ind w:left="6120" w:firstLine="0"/>
      </w:pPr>
      <w:r w:rsidRPr="005A68E6">
        <w:t>To the RA Government Decree N 1082-N</w:t>
      </w:r>
    </w:p>
    <w:p w14:paraId="0562D0FA" w14:textId="77777777" w:rsidR="00F27B78" w:rsidRPr="005A68E6" w:rsidRDefault="00F27B78" w:rsidP="00F27B78">
      <w:pPr>
        <w:pStyle w:val="mechtex"/>
        <w:ind w:left="6120" w:firstLine="0"/>
      </w:pPr>
      <w:r w:rsidRPr="005A68E6">
        <w:t>dated June 29, 2023</w:t>
      </w:r>
    </w:p>
    <w:p w14:paraId="33E2CC4D" w14:textId="77777777" w:rsidR="00F27B78" w:rsidRPr="005A68E6" w:rsidRDefault="00F27B78" w:rsidP="00E31CAF">
      <w:pPr>
        <w:pStyle w:val="mechtex"/>
        <w:ind w:left="6379" w:firstLine="0"/>
      </w:pPr>
    </w:p>
    <w:p w14:paraId="72EB1D09" w14:textId="77777777" w:rsidR="000F622B" w:rsidRPr="005A68E6" w:rsidRDefault="000F622B" w:rsidP="00E31CAF">
      <w:bookmarkStart w:id="1" w:name="_Toc456102860"/>
      <w:bookmarkStart w:id="2" w:name="_Toc296702416"/>
      <w:bookmarkEnd w:id="0"/>
    </w:p>
    <w:p w14:paraId="40C5E76B" w14:textId="20E4A659" w:rsidR="009058B7" w:rsidRPr="005A68E6" w:rsidRDefault="00941791" w:rsidP="00941791">
      <w:pPr>
        <w:pStyle w:val="Title"/>
        <w:tabs>
          <w:tab w:val="left" w:pos="7064"/>
        </w:tabs>
        <w:jc w:val="left"/>
        <w:rPr>
          <w:rFonts w:ascii="GHEA Grapalat" w:hAnsi="GHEA Grapalat"/>
        </w:rPr>
      </w:pPr>
      <w:r w:rsidRPr="005A68E6">
        <w:rPr>
          <w:rFonts w:ascii="GHEA Grapalat" w:hAnsi="GHEA Grapalat"/>
        </w:rPr>
        <w:tab/>
      </w:r>
    </w:p>
    <w:p w14:paraId="034BC52C" w14:textId="77777777" w:rsidR="009058B7" w:rsidRPr="005A68E6" w:rsidRDefault="009058B7" w:rsidP="00A1274B">
      <w:pPr>
        <w:pStyle w:val="Title"/>
        <w:rPr>
          <w:rFonts w:ascii="GHEA Grapalat" w:hAnsi="GHEA Grapalat"/>
        </w:rPr>
      </w:pPr>
    </w:p>
    <w:p w14:paraId="0CD7DF89" w14:textId="77777777" w:rsidR="009058B7" w:rsidRPr="005A68E6" w:rsidRDefault="009058B7" w:rsidP="00A1274B">
      <w:pPr>
        <w:pStyle w:val="Title"/>
        <w:rPr>
          <w:rFonts w:ascii="GHEA Grapalat" w:hAnsi="GHEA Grapalat"/>
        </w:rPr>
      </w:pPr>
    </w:p>
    <w:p w14:paraId="50A7473D" w14:textId="77777777" w:rsidR="009058B7" w:rsidRPr="005A68E6" w:rsidRDefault="009058B7" w:rsidP="00A1274B">
      <w:pPr>
        <w:pStyle w:val="Title"/>
        <w:rPr>
          <w:rFonts w:ascii="GHEA Grapalat" w:hAnsi="GHEA Grapalat"/>
        </w:rPr>
      </w:pPr>
    </w:p>
    <w:p w14:paraId="3C64D009" w14:textId="77777777" w:rsidR="009058B7" w:rsidRPr="005A68E6" w:rsidRDefault="009058B7" w:rsidP="00A1274B">
      <w:pPr>
        <w:pStyle w:val="Title"/>
        <w:rPr>
          <w:rFonts w:ascii="GHEA Grapalat" w:hAnsi="GHEA Grapalat"/>
        </w:rPr>
      </w:pPr>
    </w:p>
    <w:bookmarkEnd w:id="1"/>
    <w:p w14:paraId="121B2E2D" w14:textId="77777777" w:rsidR="00F27B78" w:rsidRPr="005A68E6" w:rsidRDefault="00F27B78" w:rsidP="00F27B78">
      <w:pPr>
        <w:pStyle w:val="Title"/>
        <w:rPr>
          <w:rFonts w:ascii="GHEA Grapalat" w:hAnsi="GHEA Grapalat" w:cs="Arial"/>
        </w:rPr>
      </w:pPr>
      <w:r w:rsidRPr="005A68E6">
        <w:rPr>
          <w:rFonts w:ascii="GHEA Grapalat" w:hAnsi="GHEA Grapalat" w:cs="Arial"/>
        </w:rPr>
        <w:t xml:space="preserve">2024-2026 GOVERNMENT DEBT MANAGEMENT STRATEGY OF THE REPUBLIC OF ARMENIA  </w:t>
      </w:r>
    </w:p>
    <w:p w14:paraId="1508E332" w14:textId="77777777" w:rsidR="00F27B78" w:rsidRPr="005A68E6" w:rsidRDefault="00F27B78" w:rsidP="00A1274B">
      <w:pPr>
        <w:sectPr w:rsidR="00F27B78" w:rsidRPr="005A68E6" w:rsidSect="008E36CD">
          <w:footerReference w:type="even" r:id="rId8"/>
          <w:pgSz w:w="11909" w:h="16834" w:code="9"/>
          <w:pgMar w:top="1134" w:right="567" w:bottom="567" w:left="1134" w:header="720" w:footer="284" w:gutter="0"/>
          <w:cols w:space="720"/>
          <w:docGrid w:linePitch="360"/>
        </w:sectPr>
      </w:pPr>
    </w:p>
    <w:p w14:paraId="207B86BA" w14:textId="2EF3095A" w:rsidR="00AD1FAE" w:rsidRPr="005A68E6" w:rsidRDefault="00192D3A" w:rsidP="00192D3A">
      <w:pPr>
        <w:pStyle w:val="Heading1"/>
        <w:numPr>
          <w:ilvl w:val="0"/>
          <w:numId w:val="0"/>
        </w:numPr>
        <w:ind w:left="357"/>
        <w:rPr>
          <w:color w:val="FF0000"/>
        </w:rPr>
      </w:pPr>
      <w:bookmarkStart w:id="3" w:name="_Toc150627815"/>
      <w:r w:rsidRPr="005A68E6">
        <w:lastRenderedPageBreak/>
        <w:t>Contents</w:t>
      </w:r>
      <w:bookmarkEnd w:id="3"/>
    </w:p>
    <w:p w14:paraId="13D6F73F" w14:textId="11951780" w:rsidR="00574A43" w:rsidRDefault="00C41C50">
      <w:pPr>
        <w:pStyle w:val="TOC1"/>
        <w:rPr>
          <w:rFonts w:asciiTheme="minorHAnsi" w:eastAsiaTheme="minorEastAsia" w:hAnsiTheme="minorHAnsi" w:cstheme="minorBidi"/>
          <w:b w:val="0"/>
          <w:color w:val="auto"/>
          <w:lang w:val="en-US"/>
        </w:rPr>
      </w:pPr>
      <w:r w:rsidRPr="005A68E6">
        <w:fldChar w:fldCharType="begin"/>
      </w:r>
      <w:r w:rsidRPr="005A68E6">
        <w:instrText xml:space="preserve"> TOC \o "1-3" \h \z \t "Subtitle;1" </w:instrText>
      </w:r>
      <w:r w:rsidRPr="005A68E6">
        <w:fldChar w:fldCharType="separate"/>
      </w:r>
      <w:hyperlink w:anchor="_Toc150627815" w:history="1">
        <w:r w:rsidR="00574A43" w:rsidRPr="00716B34">
          <w:rPr>
            <w:rStyle w:val="Hyperlink"/>
          </w:rPr>
          <w:t>Contents</w:t>
        </w:r>
        <w:r w:rsidR="00574A43">
          <w:rPr>
            <w:webHidden/>
          </w:rPr>
          <w:tab/>
        </w:r>
        <w:r w:rsidR="00574A43">
          <w:rPr>
            <w:webHidden/>
          </w:rPr>
          <w:fldChar w:fldCharType="begin"/>
        </w:r>
        <w:r w:rsidR="00574A43">
          <w:rPr>
            <w:webHidden/>
          </w:rPr>
          <w:instrText xml:space="preserve"> PAGEREF _Toc150627815 \h </w:instrText>
        </w:r>
        <w:r w:rsidR="00574A43">
          <w:rPr>
            <w:webHidden/>
          </w:rPr>
        </w:r>
        <w:r w:rsidR="00574A43">
          <w:rPr>
            <w:webHidden/>
          </w:rPr>
          <w:fldChar w:fldCharType="separate"/>
        </w:r>
        <w:r w:rsidR="00574A43">
          <w:rPr>
            <w:webHidden/>
          </w:rPr>
          <w:t>2</w:t>
        </w:r>
        <w:r w:rsidR="00574A43">
          <w:rPr>
            <w:webHidden/>
          </w:rPr>
          <w:fldChar w:fldCharType="end"/>
        </w:r>
      </w:hyperlink>
    </w:p>
    <w:p w14:paraId="38D7F817" w14:textId="7FFD6401" w:rsidR="00574A43" w:rsidRDefault="00574A43">
      <w:pPr>
        <w:pStyle w:val="TOC1"/>
        <w:rPr>
          <w:rFonts w:asciiTheme="minorHAnsi" w:eastAsiaTheme="minorEastAsia" w:hAnsiTheme="minorHAnsi" w:cstheme="minorBidi"/>
          <w:b w:val="0"/>
          <w:color w:val="auto"/>
          <w:lang w:val="en-US"/>
        </w:rPr>
      </w:pPr>
      <w:hyperlink w:anchor="_Toc150627816" w:history="1">
        <w:r w:rsidRPr="00716B34">
          <w:rPr>
            <w:rStyle w:val="Hyperlink"/>
          </w:rPr>
          <w:t>Introduction</w:t>
        </w:r>
        <w:r>
          <w:rPr>
            <w:webHidden/>
          </w:rPr>
          <w:tab/>
        </w:r>
        <w:r>
          <w:rPr>
            <w:webHidden/>
          </w:rPr>
          <w:fldChar w:fldCharType="begin"/>
        </w:r>
        <w:r>
          <w:rPr>
            <w:webHidden/>
          </w:rPr>
          <w:instrText xml:space="preserve"> PAGEREF _Toc150627816 \h </w:instrText>
        </w:r>
        <w:r>
          <w:rPr>
            <w:webHidden/>
          </w:rPr>
        </w:r>
        <w:r>
          <w:rPr>
            <w:webHidden/>
          </w:rPr>
          <w:fldChar w:fldCharType="separate"/>
        </w:r>
        <w:r>
          <w:rPr>
            <w:webHidden/>
          </w:rPr>
          <w:t>3</w:t>
        </w:r>
        <w:r>
          <w:rPr>
            <w:webHidden/>
          </w:rPr>
          <w:fldChar w:fldCharType="end"/>
        </w:r>
      </w:hyperlink>
    </w:p>
    <w:p w14:paraId="505559C7" w14:textId="345B6D89" w:rsidR="00574A43" w:rsidRDefault="00574A43">
      <w:pPr>
        <w:pStyle w:val="TOC1"/>
        <w:rPr>
          <w:rFonts w:asciiTheme="minorHAnsi" w:eastAsiaTheme="minorEastAsia" w:hAnsiTheme="minorHAnsi" w:cstheme="minorBidi"/>
          <w:b w:val="0"/>
          <w:color w:val="auto"/>
          <w:lang w:val="en-US"/>
        </w:rPr>
      </w:pPr>
      <w:hyperlink w:anchor="_Toc150627817" w:history="1">
        <w:r w:rsidRPr="00716B34">
          <w:rPr>
            <w:rStyle w:val="Hyperlink"/>
          </w:rPr>
          <w:t>1.</w:t>
        </w:r>
        <w:r>
          <w:rPr>
            <w:rFonts w:asciiTheme="minorHAnsi" w:eastAsiaTheme="minorEastAsia" w:hAnsiTheme="minorHAnsi" w:cstheme="minorBidi"/>
            <w:b w:val="0"/>
            <w:color w:val="auto"/>
            <w:lang w:val="en-US"/>
          </w:rPr>
          <w:tab/>
        </w:r>
        <w:r w:rsidRPr="00716B34">
          <w:rPr>
            <w:rStyle w:val="Hyperlink"/>
          </w:rPr>
          <w:t>Objectives and scope of the RA Government debt management strategy</w:t>
        </w:r>
        <w:r>
          <w:rPr>
            <w:webHidden/>
          </w:rPr>
          <w:tab/>
        </w:r>
        <w:r>
          <w:rPr>
            <w:webHidden/>
          </w:rPr>
          <w:fldChar w:fldCharType="begin"/>
        </w:r>
        <w:r>
          <w:rPr>
            <w:webHidden/>
          </w:rPr>
          <w:instrText xml:space="preserve"> PAGEREF _Toc150627817 \h </w:instrText>
        </w:r>
        <w:r>
          <w:rPr>
            <w:webHidden/>
          </w:rPr>
        </w:r>
        <w:r>
          <w:rPr>
            <w:webHidden/>
          </w:rPr>
          <w:fldChar w:fldCharType="separate"/>
        </w:r>
        <w:r>
          <w:rPr>
            <w:webHidden/>
          </w:rPr>
          <w:t>4</w:t>
        </w:r>
        <w:r>
          <w:rPr>
            <w:webHidden/>
          </w:rPr>
          <w:fldChar w:fldCharType="end"/>
        </w:r>
      </w:hyperlink>
    </w:p>
    <w:p w14:paraId="756215CF" w14:textId="63A27A36" w:rsidR="00574A43" w:rsidRDefault="00574A43">
      <w:pPr>
        <w:pStyle w:val="TOC1"/>
        <w:rPr>
          <w:rFonts w:asciiTheme="minorHAnsi" w:eastAsiaTheme="minorEastAsia" w:hAnsiTheme="minorHAnsi" w:cstheme="minorBidi"/>
          <w:b w:val="0"/>
          <w:color w:val="auto"/>
          <w:lang w:val="en-US"/>
        </w:rPr>
      </w:pPr>
      <w:hyperlink w:anchor="_Toc150627818" w:history="1">
        <w:r w:rsidRPr="00716B34">
          <w:rPr>
            <w:rStyle w:val="Hyperlink"/>
          </w:rPr>
          <w:t>2.</w:t>
        </w:r>
        <w:r>
          <w:rPr>
            <w:rFonts w:asciiTheme="minorHAnsi" w:eastAsiaTheme="minorEastAsia" w:hAnsiTheme="minorHAnsi" w:cstheme="minorBidi"/>
            <w:b w:val="0"/>
            <w:color w:val="auto"/>
            <w:lang w:val="en-US"/>
          </w:rPr>
          <w:tab/>
        </w:r>
        <w:r w:rsidRPr="00716B34">
          <w:rPr>
            <w:rStyle w:val="Hyperlink"/>
          </w:rPr>
          <w:t>Developments observed in the RA Government debt management since the beginning of 2022</w:t>
        </w:r>
        <w:r>
          <w:rPr>
            <w:webHidden/>
          </w:rPr>
          <w:tab/>
        </w:r>
        <w:r>
          <w:rPr>
            <w:webHidden/>
          </w:rPr>
          <w:fldChar w:fldCharType="begin"/>
        </w:r>
        <w:r>
          <w:rPr>
            <w:webHidden/>
          </w:rPr>
          <w:instrText xml:space="preserve"> PAGEREF _Toc150627818 \h </w:instrText>
        </w:r>
        <w:r>
          <w:rPr>
            <w:webHidden/>
          </w:rPr>
        </w:r>
        <w:r>
          <w:rPr>
            <w:webHidden/>
          </w:rPr>
          <w:fldChar w:fldCharType="separate"/>
        </w:r>
        <w:r>
          <w:rPr>
            <w:webHidden/>
          </w:rPr>
          <w:t>5</w:t>
        </w:r>
        <w:r>
          <w:rPr>
            <w:webHidden/>
          </w:rPr>
          <w:fldChar w:fldCharType="end"/>
        </w:r>
      </w:hyperlink>
    </w:p>
    <w:p w14:paraId="4EEBA354" w14:textId="21584987" w:rsidR="00574A43" w:rsidRDefault="00574A43">
      <w:pPr>
        <w:pStyle w:val="TOC1"/>
        <w:rPr>
          <w:rFonts w:asciiTheme="minorHAnsi" w:eastAsiaTheme="minorEastAsia" w:hAnsiTheme="minorHAnsi" w:cstheme="minorBidi"/>
          <w:b w:val="0"/>
          <w:color w:val="auto"/>
          <w:lang w:val="en-US"/>
        </w:rPr>
      </w:pPr>
      <w:hyperlink w:anchor="_Toc150627819" w:history="1">
        <w:r w:rsidRPr="00716B34">
          <w:rPr>
            <w:rStyle w:val="Hyperlink"/>
          </w:rPr>
          <w:t>3.</w:t>
        </w:r>
        <w:r>
          <w:rPr>
            <w:rFonts w:asciiTheme="minorHAnsi" w:eastAsiaTheme="minorEastAsia" w:hAnsiTheme="minorHAnsi" w:cstheme="minorBidi"/>
            <w:b w:val="0"/>
            <w:color w:val="auto"/>
            <w:lang w:val="en-US"/>
          </w:rPr>
          <w:tab/>
        </w:r>
        <w:r w:rsidRPr="00716B34">
          <w:rPr>
            <w:rStyle w:val="Hyperlink"/>
          </w:rPr>
          <w:t>Cost-at-risk decription of the RA Government debt portfolio</w:t>
        </w:r>
        <w:r>
          <w:rPr>
            <w:webHidden/>
          </w:rPr>
          <w:tab/>
        </w:r>
        <w:r>
          <w:rPr>
            <w:webHidden/>
          </w:rPr>
          <w:fldChar w:fldCharType="begin"/>
        </w:r>
        <w:r>
          <w:rPr>
            <w:webHidden/>
          </w:rPr>
          <w:instrText xml:space="preserve"> PAGEREF _Toc150627819 \h </w:instrText>
        </w:r>
        <w:r>
          <w:rPr>
            <w:webHidden/>
          </w:rPr>
        </w:r>
        <w:r>
          <w:rPr>
            <w:webHidden/>
          </w:rPr>
          <w:fldChar w:fldCharType="separate"/>
        </w:r>
        <w:r>
          <w:rPr>
            <w:webHidden/>
          </w:rPr>
          <w:t>7</w:t>
        </w:r>
        <w:r>
          <w:rPr>
            <w:webHidden/>
          </w:rPr>
          <w:fldChar w:fldCharType="end"/>
        </w:r>
      </w:hyperlink>
    </w:p>
    <w:p w14:paraId="40E5B48B" w14:textId="60D87B81" w:rsidR="00574A43" w:rsidRDefault="00574A43">
      <w:pPr>
        <w:pStyle w:val="TOC1"/>
        <w:rPr>
          <w:rFonts w:asciiTheme="minorHAnsi" w:eastAsiaTheme="minorEastAsia" w:hAnsiTheme="minorHAnsi" w:cstheme="minorBidi"/>
          <w:b w:val="0"/>
          <w:color w:val="auto"/>
          <w:lang w:val="en-US"/>
        </w:rPr>
      </w:pPr>
      <w:hyperlink w:anchor="_Toc150627820" w:history="1">
        <w:r w:rsidRPr="00716B34">
          <w:rPr>
            <w:rStyle w:val="Hyperlink"/>
          </w:rPr>
          <w:t>4.</w:t>
        </w:r>
        <w:r>
          <w:rPr>
            <w:rFonts w:asciiTheme="minorHAnsi" w:eastAsiaTheme="minorEastAsia" w:hAnsiTheme="minorHAnsi" w:cstheme="minorBidi"/>
            <w:b w:val="0"/>
            <w:color w:val="auto"/>
            <w:lang w:val="en-US"/>
          </w:rPr>
          <w:tab/>
        </w:r>
        <w:r w:rsidRPr="00716B34">
          <w:rPr>
            <w:rStyle w:val="Hyperlink"/>
          </w:rPr>
          <w:t>2024-2026 RA Government Debt Management Strategy</w:t>
        </w:r>
        <w:r>
          <w:rPr>
            <w:webHidden/>
          </w:rPr>
          <w:tab/>
        </w:r>
        <w:r>
          <w:rPr>
            <w:webHidden/>
          </w:rPr>
          <w:fldChar w:fldCharType="begin"/>
        </w:r>
        <w:r>
          <w:rPr>
            <w:webHidden/>
          </w:rPr>
          <w:instrText xml:space="preserve"> PAGEREF _Toc150627820 \h </w:instrText>
        </w:r>
        <w:r>
          <w:rPr>
            <w:webHidden/>
          </w:rPr>
        </w:r>
        <w:r>
          <w:rPr>
            <w:webHidden/>
          </w:rPr>
          <w:fldChar w:fldCharType="separate"/>
        </w:r>
        <w:r>
          <w:rPr>
            <w:webHidden/>
          </w:rPr>
          <w:t>13</w:t>
        </w:r>
        <w:r>
          <w:rPr>
            <w:webHidden/>
          </w:rPr>
          <w:fldChar w:fldCharType="end"/>
        </w:r>
      </w:hyperlink>
    </w:p>
    <w:p w14:paraId="474C08F8" w14:textId="2E15734C" w:rsidR="00574A43" w:rsidRDefault="00574A43">
      <w:pPr>
        <w:pStyle w:val="TOC2"/>
        <w:tabs>
          <w:tab w:val="left" w:pos="1200"/>
        </w:tabs>
        <w:rPr>
          <w:rFonts w:asciiTheme="minorHAnsi" w:eastAsiaTheme="minorEastAsia" w:hAnsiTheme="minorHAnsi" w:cstheme="minorBidi"/>
          <w:b w:val="0"/>
          <w:color w:val="auto"/>
          <w:lang w:val="en-US"/>
        </w:rPr>
      </w:pPr>
      <w:hyperlink w:anchor="_Toc150627821" w:history="1">
        <w:r w:rsidRPr="00716B34">
          <w:rPr>
            <w:rStyle w:val="Hyperlink"/>
          </w:rPr>
          <w:t>4.1.</w:t>
        </w:r>
        <w:r>
          <w:rPr>
            <w:rFonts w:asciiTheme="minorHAnsi" w:eastAsiaTheme="minorEastAsia" w:hAnsiTheme="minorHAnsi" w:cstheme="minorBidi"/>
            <w:b w:val="0"/>
            <w:color w:val="auto"/>
            <w:lang w:val="en-US"/>
          </w:rPr>
          <w:tab/>
        </w:r>
        <w:r w:rsidRPr="00716B34">
          <w:rPr>
            <w:rStyle w:val="Hyperlink"/>
          </w:rPr>
          <w:t>Macroeconomic developments and forecasts</w:t>
        </w:r>
        <w:r>
          <w:rPr>
            <w:webHidden/>
          </w:rPr>
          <w:tab/>
        </w:r>
        <w:r>
          <w:rPr>
            <w:webHidden/>
          </w:rPr>
          <w:fldChar w:fldCharType="begin"/>
        </w:r>
        <w:r>
          <w:rPr>
            <w:webHidden/>
          </w:rPr>
          <w:instrText xml:space="preserve"> PAGEREF _Toc150627821 \h </w:instrText>
        </w:r>
        <w:r>
          <w:rPr>
            <w:webHidden/>
          </w:rPr>
        </w:r>
        <w:r>
          <w:rPr>
            <w:webHidden/>
          </w:rPr>
          <w:fldChar w:fldCharType="separate"/>
        </w:r>
        <w:r>
          <w:rPr>
            <w:webHidden/>
          </w:rPr>
          <w:t>13</w:t>
        </w:r>
        <w:r>
          <w:rPr>
            <w:webHidden/>
          </w:rPr>
          <w:fldChar w:fldCharType="end"/>
        </w:r>
      </w:hyperlink>
    </w:p>
    <w:p w14:paraId="4B00EF14" w14:textId="020BA248" w:rsidR="00574A43" w:rsidRDefault="00574A43">
      <w:pPr>
        <w:pStyle w:val="TOC2"/>
        <w:tabs>
          <w:tab w:val="left" w:pos="1200"/>
        </w:tabs>
        <w:rPr>
          <w:rFonts w:asciiTheme="minorHAnsi" w:eastAsiaTheme="minorEastAsia" w:hAnsiTheme="minorHAnsi" w:cstheme="minorBidi"/>
          <w:b w:val="0"/>
          <w:color w:val="auto"/>
          <w:lang w:val="en-US"/>
        </w:rPr>
      </w:pPr>
      <w:hyperlink w:anchor="_Toc150627822" w:history="1">
        <w:r w:rsidRPr="00716B34">
          <w:rPr>
            <w:rStyle w:val="Hyperlink"/>
          </w:rPr>
          <w:t>4.2.</w:t>
        </w:r>
        <w:r>
          <w:rPr>
            <w:rFonts w:asciiTheme="minorHAnsi" w:eastAsiaTheme="minorEastAsia" w:hAnsiTheme="minorHAnsi" w:cstheme="minorBidi"/>
            <w:b w:val="0"/>
            <w:color w:val="auto"/>
            <w:lang w:val="en-US"/>
          </w:rPr>
          <w:tab/>
        </w:r>
        <w:r w:rsidRPr="00716B34">
          <w:rPr>
            <w:rStyle w:val="Hyperlink"/>
          </w:rPr>
          <w:t>Targets and measures to be implemented</w:t>
        </w:r>
        <w:r>
          <w:rPr>
            <w:webHidden/>
          </w:rPr>
          <w:tab/>
        </w:r>
        <w:r>
          <w:rPr>
            <w:webHidden/>
          </w:rPr>
          <w:fldChar w:fldCharType="begin"/>
        </w:r>
        <w:r>
          <w:rPr>
            <w:webHidden/>
          </w:rPr>
          <w:instrText xml:space="preserve"> PAGEREF _Toc150627822 \h </w:instrText>
        </w:r>
        <w:r>
          <w:rPr>
            <w:webHidden/>
          </w:rPr>
        </w:r>
        <w:r>
          <w:rPr>
            <w:webHidden/>
          </w:rPr>
          <w:fldChar w:fldCharType="separate"/>
        </w:r>
        <w:r>
          <w:rPr>
            <w:webHidden/>
          </w:rPr>
          <w:t>16</w:t>
        </w:r>
        <w:r>
          <w:rPr>
            <w:webHidden/>
          </w:rPr>
          <w:fldChar w:fldCharType="end"/>
        </w:r>
      </w:hyperlink>
    </w:p>
    <w:p w14:paraId="7DE0BC10" w14:textId="5CF60CEB" w:rsidR="00574A43" w:rsidRDefault="00574A43">
      <w:pPr>
        <w:pStyle w:val="TOC2"/>
        <w:tabs>
          <w:tab w:val="left" w:pos="1200"/>
        </w:tabs>
        <w:rPr>
          <w:rFonts w:asciiTheme="minorHAnsi" w:eastAsiaTheme="minorEastAsia" w:hAnsiTheme="minorHAnsi" w:cstheme="minorBidi"/>
          <w:b w:val="0"/>
          <w:color w:val="auto"/>
          <w:lang w:val="en-US"/>
        </w:rPr>
      </w:pPr>
      <w:hyperlink w:anchor="_Toc150627823" w:history="1">
        <w:r w:rsidRPr="00716B34">
          <w:rPr>
            <w:rStyle w:val="Hyperlink"/>
          </w:rPr>
          <w:t>4.3.</w:t>
        </w:r>
        <w:r>
          <w:rPr>
            <w:rFonts w:asciiTheme="minorHAnsi" w:eastAsiaTheme="minorEastAsia" w:hAnsiTheme="minorHAnsi" w:cstheme="minorBidi"/>
            <w:b w:val="0"/>
            <w:color w:val="auto"/>
            <w:lang w:val="en-US"/>
          </w:rPr>
          <w:tab/>
        </w:r>
        <w:r w:rsidRPr="00716B34">
          <w:rPr>
            <w:rStyle w:val="Hyperlink"/>
          </w:rPr>
          <w:t>Selection of the RA Government Debt Management Strategy</w:t>
        </w:r>
        <w:r>
          <w:rPr>
            <w:webHidden/>
          </w:rPr>
          <w:tab/>
        </w:r>
        <w:r>
          <w:rPr>
            <w:webHidden/>
          </w:rPr>
          <w:fldChar w:fldCharType="begin"/>
        </w:r>
        <w:r>
          <w:rPr>
            <w:webHidden/>
          </w:rPr>
          <w:instrText xml:space="preserve"> PAGEREF _Toc150627823 \h </w:instrText>
        </w:r>
        <w:r>
          <w:rPr>
            <w:webHidden/>
          </w:rPr>
        </w:r>
        <w:r>
          <w:rPr>
            <w:webHidden/>
          </w:rPr>
          <w:fldChar w:fldCharType="separate"/>
        </w:r>
        <w:r>
          <w:rPr>
            <w:webHidden/>
          </w:rPr>
          <w:t>18</w:t>
        </w:r>
        <w:r>
          <w:rPr>
            <w:webHidden/>
          </w:rPr>
          <w:fldChar w:fldCharType="end"/>
        </w:r>
      </w:hyperlink>
    </w:p>
    <w:p w14:paraId="319B9DEF" w14:textId="7CE04BD7" w:rsidR="00574A43" w:rsidRDefault="00574A43">
      <w:pPr>
        <w:pStyle w:val="TOC2"/>
        <w:tabs>
          <w:tab w:val="left" w:pos="1200"/>
        </w:tabs>
        <w:rPr>
          <w:rFonts w:asciiTheme="minorHAnsi" w:eastAsiaTheme="minorEastAsia" w:hAnsiTheme="minorHAnsi" w:cstheme="minorBidi"/>
          <w:b w:val="0"/>
          <w:color w:val="auto"/>
          <w:lang w:val="en-US"/>
        </w:rPr>
      </w:pPr>
      <w:hyperlink w:anchor="_Toc150627824" w:history="1">
        <w:r w:rsidRPr="00716B34">
          <w:rPr>
            <w:rStyle w:val="Hyperlink"/>
          </w:rPr>
          <w:t>4.4.</w:t>
        </w:r>
        <w:r>
          <w:rPr>
            <w:rFonts w:asciiTheme="minorHAnsi" w:eastAsiaTheme="minorEastAsia" w:hAnsiTheme="minorHAnsi" w:cstheme="minorBidi"/>
            <w:b w:val="0"/>
            <w:color w:val="auto"/>
            <w:lang w:val="en-US"/>
          </w:rPr>
          <w:tab/>
        </w:r>
        <w:r w:rsidRPr="00716B34">
          <w:rPr>
            <w:rStyle w:val="Hyperlink"/>
          </w:rPr>
          <w:t>Cost-at-risk analysis of the adopted strategy</w:t>
        </w:r>
        <w:r>
          <w:rPr>
            <w:webHidden/>
          </w:rPr>
          <w:tab/>
        </w:r>
        <w:r>
          <w:rPr>
            <w:webHidden/>
          </w:rPr>
          <w:fldChar w:fldCharType="begin"/>
        </w:r>
        <w:r>
          <w:rPr>
            <w:webHidden/>
          </w:rPr>
          <w:instrText xml:space="preserve"> PAGEREF _Toc150627824 \h </w:instrText>
        </w:r>
        <w:r>
          <w:rPr>
            <w:webHidden/>
          </w:rPr>
        </w:r>
        <w:r>
          <w:rPr>
            <w:webHidden/>
          </w:rPr>
          <w:fldChar w:fldCharType="separate"/>
        </w:r>
        <w:r>
          <w:rPr>
            <w:webHidden/>
          </w:rPr>
          <w:t>21</w:t>
        </w:r>
        <w:r>
          <w:rPr>
            <w:webHidden/>
          </w:rPr>
          <w:fldChar w:fldCharType="end"/>
        </w:r>
      </w:hyperlink>
    </w:p>
    <w:p w14:paraId="3A06B7DC" w14:textId="312E5FAC" w:rsidR="00574A43" w:rsidRDefault="00574A43">
      <w:pPr>
        <w:pStyle w:val="TOC2"/>
        <w:tabs>
          <w:tab w:val="left" w:pos="1200"/>
        </w:tabs>
        <w:rPr>
          <w:rFonts w:asciiTheme="minorHAnsi" w:eastAsiaTheme="minorEastAsia" w:hAnsiTheme="minorHAnsi" w:cstheme="minorBidi"/>
          <w:b w:val="0"/>
          <w:color w:val="auto"/>
          <w:lang w:val="en-US"/>
        </w:rPr>
      </w:pPr>
      <w:hyperlink w:anchor="_Toc150627825" w:history="1">
        <w:r w:rsidRPr="00716B34">
          <w:rPr>
            <w:rStyle w:val="Hyperlink"/>
          </w:rPr>
          <w:t>4.5.</w:t>
        </w:r>
        <w:r>
          <w:rPr>
            <w:rFonts w:asciiTheme="minorHAnsi" w:eastAsiaTheme="minorEastAsia" w:hAnsiTheme="minorHAnsi" w:cstheme="minorBidi"/>
            <w:b w:val="0"/>
            <w:color w:val="auto"/>
            <w:lang w:val="en-US"/>
          </w:rPr>
          <w:tab/>
        </w:r>
        <w:r w:rsidRPr="00716B34">
          <w:rPr>
            <w:rStyle w:val="Hyperlink"/>
          </w:rPr>
          <w:t>Benchmark indicators</w:t>
        </w:r>
        <w:r>
          <w:rPr>
            <w:webHidden/>
          </w:rPr>
          <w:tab/>
        </w:r>
        <w:r>
          <w:rPr>
            <w:webHidden/>
          </w:rPr>
          <w:fldChar w:fldCharType="begin"/>
        </w:r>
        <w:r>
          <w:rPr>
            <w:webHidden/>
          </w:rPr>
          <w:instrText xml:space="preserve"> PAGEREF _Toc150627825 \h </w:instrText>
        </w:r>
        <w:r>
          <w:rPr>
            <w:webHidden/>
          </w:rPr>
        </w:r>
        <w:r>
          <w:rPr>
            <w:webHidden/>
          </w:rPr>
          <w:fldChar w:fldCharType="separate"/>
        </w:r>
        <w:r>
          <w:rPr>
            <w:webHidden/>
          </w:rPr>
          <w:t>29</w:t>
        </w:r>
        <w:r>
          <w:rPr>
            <w:webHidden/>
          </w:rPr>
          <w:fldChar w:fldCharType="end"/>
        </w:r>
      </w:hyperlink>
    </w:p>
    <w:p w14:paraId="2EC84B30" w14:textId="2047AB38" w:rsidR="00574A43" w:rsidRDefault="00574A43">
      <w:pPr>
        <w:pStyle w:val="TOC2"/>
        <w:tabs>
          <w:tab w:val="left" w:pos="1200"/>
        </w:tabs>
        <w:rPr>
          <w:rFonts w:asciiTheme="minorHAnsi" w:eastAsiaTheme="minorEastAsia" w:hAnsiTheme="minorHAnsi" w:cstheme="minorBidi"/>
          <w:b w:val="0"/>
          <w:color w:val="auto"/>
          <w:lang w:val="en-US"/>
        </w:rPr>
      </w:pPr>
      <w:hyperlink w:anchor="_Toc150627826" w:history="1">
        <w:r w:rsidRPr="00716B34">
          <w:rPr>
            <w:rStyle w:val="Hyperlink"/>
          </w:rPr>
          <w:t>4.6.</w:t>
        </w:r>
        <w:r>
          <w:rPr>
            <w:rFonts w:asciiTheme="minorHAnsi" w:eastAsiaTheme="minorEastAsia" w:hAnsiTheme="minorHAnsi" w:cstheme="minorBidi"/>
            <w:b w:val="0"/>
            <w:color w:val="auto"/>
            <w:lang w:val="en-US"/>
          </w:rPr>
          <w:tab/>
        </w:r>
        <w:r w:rsidRPr="00716B34">
          <w:rPr>
            <w:rStyle w:val="Hyperlink"/>
          </w:rPr>
          <w:t>Sensitivity analysis</w:t>
        </w:r>
        <w:r>
          <w:rPr>
            <w:webHidden/>
          </w:rPr>
          <w:tab/>
        </w:r>
        <w:r>
          <w:rPr>
            <w:webHidden/>
          </w:rPr>
          <w:fldChar w:fldCharType="begin"/>
        </w:r>
        <w:r>
          <w:rPr>
            <w:webHidden/>
          </w:rPr>
          <w:instrText xml:space="preserve"> PAGEREF _Toc150627826 \h </w:instrText>
        </w:r>
        <w:r>
          <w:rPr>
            <w:webHidden/>
          </w:rPr>
        </w:r>
        <w:r>
          <w:rPr>
            <w:webHidden/>
          </w:rPr>
          <w:fldChar w:fldCharType="separate"/>
        </w:r>
        <w:r>
          <w:rPr>
            <w:webHidden/>
          </w:rPr>
          <w:t>30</w:t>
        </w:r>
        <w:r>
          <w:rPr>
            <w:webHidden/>
          </w:rPr>
          <w:fldChar w:fldCharType="end"/>
        </w:r>
      </w:hyperlink>
    </w:p>
    <w:p w14:paraId="54F9493A" w14:textId="7D4DA04D" w:rsidR="00574A43" w:rsidRDefault="00574A43">
      <w:pPr>
        <w:pStyle w:val="TOC2"/>
        <w:tabs>
          <w:tab w:val="left" w:pos="1200"/>
        </w:tabs>
        <w:rPr>
          <w:rFonts w:asciiTheme="minorHAnsi" w:eastAsiaTheme="minorEastAsia" w:hAnsiTheme="minorHAnsi" w:cstheme="minorBidi"/>
          <w:b w:val="0"/>
          <w:color w:val="auto"/>
          <w:lang w:val="en-US"/>
        </w:rPr>
      </w:pPr>
      <w:hyperlink w:anchor="_Toc150627827" w:history="1">
        <w:r w:rsidRPr="00716B34">
          <w:rPr>
            <w:rStyle w:val="Hyperlink"/>
          </w:rPr>
          <w:t>4.7.</w:t>
        </w:r>
        <w:r>
          <w:rPr>
            <w:rFonts w:asciiTheme="minorHAnsi" w:eastAsiaTheme="minorEastAsia" w:hAnsiTheme="minorHAnsi" w:cstheme="minorBidi"/>
            <w:b w:val="0"/>
            <w:color w:val="auto"/>
            <w:lang w:val="en-US"/>
          </w:rPr>
          <w:tab/>
        </w:r>
        <w:r w:rsidRPr="00716B34">
          <w:rPr>
            <w:rStyle w:val="Hyperlink"/>
          </w:rPr>
          <w:t>Conclusions</w:t>
        </w:r>
        <w:r>
          <w:rPr>
            <w:webHidden/>
          </w:rPr>
          <w:tab/>
        </w:r>
        <w:r>
          <w:rPr>
            <w:webHidden/>
          </w:rPr>
          <w:fldChar w:fldCharType="begin"/>
        </w:r>
        <w:r>
          <w:rPr>
            <w:webHidden/>
          </w:rPr>
          <w:instrText xml:space="preserve"> PAGEREF _Toc150627827 \h </w:instrText>
        </w:r>
        <w:r>
          <w:rPr>
            <w:webHidden/>
          </w:rPr>
        </w:r>
        <w:r>
          <w:rPr>
            <w:webHidden/>
          </w:rPr>
          <w:fldChar w:fldCharType="separate"/>
        </w:r>
        <w:r>
          <w:rPr>
            <w:webHidden/>
          </w:rPr>
          <w:t>33</w:t>
        </w:r>
        <w:r>
          <w:rPr>
            <w:webHidden/>
          </w:rPr>
          <w:fldChar w:fldCharType="end"/>
        </w:r>
      </w:hyperlink>
    </w:p>
    <w:p w14:paraId="7A7B1946" w14:textId="3EB64EE8" w:rsidR="00574A43" w:rsidRDefault="00574A43">
      <w:pPr>
        <w:pStyle w:val="TOC1"/>
        <w:rPr>
          <w:rFonts w:asciiTheme="minorHAnsi" w:eastAsiaTheme="minorEastAsia" w:hAnsiTheme="minorHAnsi" w:cstheme="minorBidi"/>
          <w:b w:val="0"/>
          <w:color w:val="auto"/>
          <w:lang w:val="en-US"/>
        </w:rPr>
      </w:pPr>
      <w:hyperlink w:anchor="_Toc150627828" w:history="1">
        <w:r w:rsidRPr="00716B34">
          <w:rPr>
            <w:rStyle w:val="Hyperlink"/>
          </w:rPr>
          <w:t>5.</w:t>
        </w:r>
        <w:r>
          <w:rPr>
            <w:rFonts w:asciiTheme="minorHAnsi" w:eastAsiaTheme="minorEastAsia" w:hAnsiTheme="minorHAnsi" w:cstheme="minorBidi"/>
            <w:b w:val="0"/>
            <w:color w:val="auto"/>
            <w:lang w:val="en-US"/>
          </w:rPr>
          <w:tab/>
        </w:r>
        <w:r w:rsidRPr="00716B34">
          <w:rPr>
            <w:rStyle w:val="Hyperlink"/>
          </w:rPr>
          <w:t>Appendix</w:t>
        </w:r>
        <w:r>
          <w:rPr>
            <w:webHidden/>
          </w:rPr>
          <w:tab/>
        </w:r>
        <w:r>
          <w:rPr>
            <w:webHidden/>
          </w:rPr>
          <w:fldChar w:fldCharType="begin"/>
        </w:r>
        <w:r>
          <w:rPr>
            <w:webHidden/>
          </w:rPr>
          <w:instrText xml:space="preserve"> PAGEREF _Toc150627828 \h </w:instrText>
        </w:r>
        <w:r>
          <w:rPr>
            <w:webHidden/>
          </w:rPr>
        </w:r>
        <w:r>
          <w:rPr>
            <w:webHidden/>
          </w:rPr>
          <w:fldChar w:fldCharType="separate"/>
        </w:r>
        <w:r>
          <w:rPr>
            <w:webHidden/>
          </w:rPr>
          <w:t>35</w:t>
        </w:r>
        <w:r>
          <w:rPr>
            <w:webHidden/>
          </w:rPr>
          <w:fldChar w:fldCharType="end"/>
        </w:r>
      </w:hyperlink>
    </w:p>
    <w:p w14:paraId="4DE5799A" w14:textId="7B194773" w:rsidR="00C41C50" w:rsidRPr="005A68E6" w:rsidRDefault="00C41C50" w:rsidP="00A1274B">
      <w:r w:rsidRPr="005A68E6">
        <w:rPr>
          <w:noProof/>
        </w:rPr>
        <w:fldChar w:fldCharType="end"/>
      </w:r>
    </w:p>
    <w:p w14:paraId="7776E16F" w14:textId="77777777" w:rsidR="00830BDD" w:rsidRPr="005A68E6" w:rsidRDefault="00830BDD" w:rsidP="00A1274B">
      <w:pPr>
        <w:sectPr w:rsidR="00830BDD" w:rsidRPr="005A68E6" w:rsidSect="008E36CD">
          <w:footerReference w:type="default" r:id="rId9"/>
          <w:pgSz w:w="11909" w:h="16834" w:code="9"/>
          <w:pgMar w:top="1134" w:right="567" w:bottom="567" w:left="1134" w:header="720" w:footer="284" w:gutter="0"/>
          <w:cols w:space="720"/>
          <w:docGrid w:linePitch="360"/>
        </w:sectPr>
      </w:pPr>
    </w:p>
    <w:p w14:paraId="26B34D05" w14:textId="0CC488A5" w:rsidR="00025E2D" w:rsidRPr="005A68E6" w:rsidRDefault="00F27B78" w:rsidP="00C1444D">
      <w:pPr>
        <w:pStyle w:val="Heading1"/>
        <w:numPr>
          <w:ilvl w:val="0"/>
          <w:numId w:val="0"/>
        </w:numPr>
        <w:ind w:left="357"/>
      </w:pPr>
      <w:bookmarkStart w:id="4" w:name="_Toc150627816"/>
      <w:r w:rsidRPr="005A68E6">
        <w:lastRenderedPageBreak/>
        <w:t>Introduction</w:t>
      </w:r>
      <w:bookmarkEnd w:id="4"/>
    </w:p>
    <w:p w14:paraId="2815A644" w14:textId="2EBF96F4" w:rsidR="00F27B78" w:rsidRPr="005A68E6" w:rsidRDefault="00F27B78" w:rsidP="00F27B78">
      <w:pPr>
        <w:rPr>
          <w:lang w:val="en-US"/>
        </w:rPr>
      </w:pPr>
      <w:r w:rsidRPr="005A68E6">
        <w:rPr>
          <w:lang w:val="en-US"/>
        </w:rPr>
        <w:t xml:space="preserve">The RA Government debt management strategy presents the strategy to raise the borrowings for the RA state budget deficit </w:t>
      </w:r>
      <w:r w:rsidR="000C2879" w:rsidRPr="005A68E6">
        <w:rPr>
          <w:lang w:val="en-US"/>
        </w:rPr>
        <w:t xml:space="preserve">financing </w:t>
      </w:r>
      <w:r w:rsidRPr="005A68E6">
        <w:rPr>
          <w:lang w:val="en-US"/>
        </w:rPr>
        <w:t xml:space="preserve">and debt refinancing, as well as the cost and risk management strategy for the RA Government debt portfolio. It is a three-year program that is reviewed and published annually, contributing to ensuring the predictable and transparent management of the Government debt. </w:t>
      </w:r>
    </w:p>
    <w:p w14:paraId="523072B8" w14:textId="4F43CD67" w:rsidR="00F27B78" w:rsidRPr="005A68E6" w:rsidRDefault="00F27B78" w:rsidP="00A1274B">
      <w:r w:rsidRPr="005A68E6">
        <w:rPr>
          <w:lang w:val="en-US"/>
        </w:rPr>
        <w:t>The RA Government debt management strategy clarifies the borrowing policy including the benchmark indicators for the Government debt management, identifies and assesses the risks associated with the Government debt portfolio management, as well as outlines the principles, targets and measures to be implemented in the medium-term.</w:t>
      </w:r>
    </w:p>
    <w:p w14:paraId="314E26A9" w14:textId="76BAB0EE" w:rsidR="00F27B78" w:rsidRPr="005A68E6" w:rsidRDefault="00F27B78" w:rsidP="00A1274B">
      <w:r w:rsidRPr="005A68E6">
        <w:rPr>
          <w:lang w:val="en-US"/>
        </w:rPr>
        <w:t>The RA Government debt management strategy is developed under the main targets of the fiscal policy outlined by the Medium-term expenditure framework</w:t>
      </w:r>
      <w:r w:rsidR="00A566B8" w:rsidRPr="005A68E6">
        <w:rPr>
          <w:lang w:val="en-US"/>
        </w:rPr>
        <w:t>,</w:t>
      </w:r>
      <w:r w:rsidRPr="005A68E6">
        <w:rPr>
          <w:lang w:val="en-US"/>
        </w:rPr>
        <w:t xml:space="preserve"> which assumes that the state budget will continue to be formed with a def</w:t>
      </w:r>
      <w:r w:rsidR="00A566B8" w:rsidRPr="005A68E6">
        <w:rPr>
          <w:lang w:val="en-US"/>
        </w:rPr>
        <w:t>icit in the medium-term horizon.</w:t>
      </w:r>
      <w:r w:rsidR="00A566B8" w:rsidRPr="005A68E6">
        <w:t xml:space="preserve"> </w:t>
      </w:r>
      <w:r w:rsidR="00577719">
        <w:rPr>
          <w:lang w:val="en-US"/>
        </w:rPr>
        <w:t>H</w:t>
      </w:r>
      <w:r w:rsidR="00A566B8" w:rsidRPr="005A68E6">
        <w:rPr>
          <w:lang w:val="en-US"/>
        </w:rPr>
        <w:t>owever,</w:t>
      </w:r>
      <w:r w:rsidRPr="005A68E6">
        <w:rPr>
          <w:lang w:val="en-US"/>
        </w:rPr>
        <w:t xml:space="preserve"> </w:t>
      </w:r>
      <w:r w:rsidR="00A566B8" w:rsidRPr="005A68E6">
        <w:rPr>
          <w:lang w:val="en-US"/>
        </w:rPr>
        <w:t xml:space="preserve">deficit </w:t>
      </w:r>
      <w:r w:rsidRPr="005A68E6">
        <w:rPr>
          <w:lang w:val="en-US"/>
        </w:rPr>
        <w:t xml:space="preserve">is programmed </w:t>
      </w:r>
      <w:r w:rsidR="00A566B8" w:rsidRPr="005A68E6">
        <w:rPr>
          <w:lang w:val="en-US"/>
        </w:rPr>
        <w:t xml:space="preserve">according to the fiscal rules and </w:t>
      </w:r>
      <w:r w:rsidRPr="005A68E6">
        <w:rPr>
          <w:lang w:val="en-US"/>
        </w:rPr>
        <w:t xml:space="preserve">at </w:t>
      </w:r>
      <w:r w:rsidR="00A566B8" w:rsidRPr="005A68E6">
        <w:rPr>
          <w:lang w:val="en-US"/>
        </w:rPr>
        <w:t xml:space="preserve">a </w:t>
      </w:r>
      <w:r w:rsidRPr="005A68E6">
        <w:rPr>
          <w:lang w:val="en-US"/>
        </w:rPr>
        <w:t xml:space="preserve">level </w:t>
      </w:r>
      <w:r w:rsidR="00A566B8" w:rsidRPr="005A68E6">
        <w:rPr>
          <w:lang w:val="en-US"/>
        </w:rPr>
        <w:t>that</w:t>
      </w:r>
      <w:r w:rsidRPr="005A68E6">
        <w:rPr>
          <w:lang w:val="en-US"/>
        </w:rPr>
        <w:t xml:space="preserve"> </w:t>
      </w:r>
      <w:r w:rsidR="00A566B8" w:rsidRPr="005A68E6">
        <w:rPr>
          <w:lang w:val="en-US"/>
        </w:rPr>
        <w:t>will</w:t>
      </w:r>
      <w:r w:rsidRPr="005A68E6">
        <w:rPr>
          <w:lang w:val="en-US"/>
        </w:rPr>
        <w:t xml:space="preserve"> guarantee the Government debt </w:t>
      </w:r>
      <w:r w:rsidR="00A566B8" w:rsidRPr="005A68E6">
        <w:rPr>
          <w:lang w:val="en-US"/>
        </w:rPr>
        <w:t>sustainability</w:t>
      </w:r>
      <w:r w:rsidRPr="005A68E6">
        <w:rPr>
          <w:lang w:val="en-US"/>
        </w:rPr>
        <w:t xml:space="preserve"> and manageability.</w:t>
      </w:r>
    </w:p>
    <w:p w14:paraId="693FD28F" w14:textId="079282C0" w:rsidR="00F27B78" w:rsidRPr="005A68E6" w:rsidRDefault="00F27B78" w:rsidP="00A1274B">
      <w:r w:rsidRPr="005A68E6">
        <w:rPr>
          <w:lang w:val="en-US"/>
        </w:rPr>
        <w:t>In order to form an acceptable RA Government debt portfolio</w:t>
      </w:r>
      <w:r w:rsidR="00577719">
        <w:rPr>
          <w:lang w:val="en-US"/>
        </w:rPr>
        <w:t>,</w:t>
      </w:r>
      <w:r w:rsidRPr="005A68E6">
        <w:t xml:space="preserve"> </w:t>
      </w:r>
      <w:r w:rsidRPr="005A68E6">
        <w:rPr>
          <w:lang w:val="en-US"/>
        </w:rPr>
        <w:t xml:space="preserve">the Ministry of Finance </w:t>
      </w:r>
      <w:r w:rsidR="00933677" w:rsidRPr="005A68E6">
        <w:rPr>
          <w:lang w:val="en-US"/>
        </w:rPr>
        <w:t xml:space="preserve">of the RA </w:t>
      </w:r>
      <w:r w:rsidRPr="005A68E6">
        <w:rPr>
          <w:lang w:val="en-US"/>
        </w:rPr>
        <w:t>carries out cost-at-risks analyses, also applying the approaches developed by reputable international financial institutions based on the best international practices. The analyses allow for assessing the cost and risk indicators of the RA Government debt portfolio and the effects of possible shocks on them. The RA Government debt management strategy presents and analyses the market risks, such as exchange rate and interest rate risks, as well as refinancing risk of the RA Government debt portfolio. The RA Government debt management constraints, such as the domestic market capacity or the access to external loans, have also been taken into consideration during the development of the strategy.</w:t>
      </w:r>
    </w:p>
    <w:p w14:paraId="54DE9321" w14:textId="3AED4264" w:rsidR="00F27B78" w:rsidRPr="005A68E6" w:rsidRDefault="00F27B78" w:rsidP="00F27B78">
      <w:r w:rsidRPr="005A68E6">
        <w:t>Generally, the RA Government debt management strategy</w:t>
      </w:r>
      <w:bookmarkStart w:id="5" w:name="_GoBack"/>
      <w:bookmarkEnd w:id="5"/>
      <w:r w:rsidRPr="005A68E6">
        <w:t xml:space="preserve"> presents the preferable option out of the possible cost-at-risks trade-offs, the selection of which is based on meeting financial needs at acceptable cost</w:t>
      </w:r>
      <w:r w:rsidR="00525516" w:rsidRPr="005A68E6">
        <w:rPr>
          <w:lang w:val="en-US"/>
        </w:rPr>
        <w:t xml:space="preserve"> and risk</w:t>
      </w:r>
      <w:r w:rsidRPr="005A68E6">
        <w:t>s.</w:t>
      </w:r>
    </w:p>
    <w:p w14:paraId="221A4099" w14:textId="77777777" w:rsidR="00F27B78" w:rsidRPr="005A68E6" w:rsidRDefault="00F27B78" w:rsidP="00A1274B"/>
    <w:p w14:paraId="2512A648" w14:textId="77777777" w:rsidR="0059454F" w:rsidRPr="005A68E6" w:rsidRDefault="0059454F" w:rsidP="00A1274B"/>
    <w:p w14:paraId="5781D479" w14:textId="77777777" w:rsidR="0059454F" w:rsidRPr="005A68E6" w:rsidRDefault="0059454F" w:rsidP="00A1274B">
      <w:pPr>
        <w:rPr>
          <w:b/>
        </w:rPr>
      </w:pPr>
    </w:p>
    <w:p w14:paraId="412BEDAA" w14:textId="77777777" w:rsidR="003D49C0" w:rsidRPr="005A68E6" w:rsidRDefault="003D49C0">
      <w:pPr>
        <w:spacing w:line="240" w:lineRule="auto"/>
        <w:ind w:firstLine="0"/>
        <w:jc w:val="left"/>
        <w:rPr>
          <w:b/>
          <w:bCs/>
          <w:color w:val="002060"/>
          <w:kern w:val="32"/>
          <w:sz w:val="28"/>
        </w:rPr>
      </w:pPr>
      <w:r w:rsidRPr="005A68E6">
        <w:br w:type="page"/>
      </w:r>
    </w:p>
    <w:p w14:paraId="2AC10844" w14:textId="1E29B5B0" w:rsidR="00025E2D" w:rsidRPr="005A68E6" w:rsidRDefault="008130DB" w:rsidP="00A1274B">
      <w:pPr>
        <w:pStyle w:val="Heading1"/>
      </w:pPr>
      <w:bookmarkStart w:id="6" w:name="_Toc150627817"/>
      <w:r w:rsidRPr="005A68E6">
        <w:lastRenderedPageBreak/>
        <w:t>Objectives and scope of the RA Government debt management strategy</w:t>
      </w:r>
      <w:bookmarkEnd w:id="6"/>
    </w:p>
    <w:p w14:paraId="5BD480AA" w14:textId="641DB662" w:rsidR="008130DB" w:rsidRPr="005A68E6" w:rsidRDefault="008130DB" w:rsidP="008130DB">
      <w:r w:rsidRPr="005A68E6">
        <w:t xml:space="preserve">The RA Government debt management strategy is developed in accordance with the provisions of the RA Law “On Public Debt” </w:t>
      </w:r>
      <w:r w:rsidRPr="005A68E6">
        <w:rPr>
          <w:lang w:val="en-US"/>
        </w:rPr>
        <w:t>adopted</w:t>
      </w:r>
      <w:r w:rsidRPr="005A68E6">
        <w:t xml:space="preserve"> in 2008.</w:t>
      </w:r>
    </w:p>
    <w:p w14:paraId="6CB82132" w14:textId="4E4CBF1C" w:rsidR="008130DB" w:rsidRPr="005A68E6" w:rsidDel="0018173E" w:rsidRDefault="008130DB" w:rsidP="008130DB">
      <w:pPr>
        <w:rPr>
          <w:lang w:val="en-US"/>
        </w:rPr>
      </w:pPr>
      <w:r w:rsidRPr="005A68E6">
        <w:t>According to the RA Law “On Public Debt”, the main objective of the RA Government debt management is the assurance of the permanent possibility of meeting the financial needs of the Government, together with the reduction of the debt service amount in the long</w:t>
      </w:r>
      <w:r w:rsidR="00941791" w:rsidRPr="005A68E6">
        <w:rPr>
          <w:lang w:val="en-US"/>
        </w:rPr>
        <w:t>-</w:t>
      </w:r>
      <w:r w:rsidRPr="005A68E6">
        <w:t xml:space="preserve">term. </w:t>
      </w:r>
      <w:r w:rsidRPr="005A68E6">
        <w:rPr>
          <w:lang w:val="en-US"/>
        </w:rPr>
        <w:t xml:space="preserve">Another </w:t>
      </w:r>
      <w:r w:rsidRPr="005A68E6">
        <w:t xml:space="preserve">objective of the RA Government debt management </w:t>
      </w:r>
      <w:r w:rsidRPr="005A68E6">
        <w:rPr>
          <w:lang w:val="en-US"/>
        </w:rPr>
        <w:t xml:space="preserve">is the formation of an optimal debt structure considering </w:t>
      </w:r>
      <w:r w:rsidRPr="005A68E6">
        <w:t>the potential risks</w:t>
      </w:r>
      <w:r w:rsidRPr="005A68E6">
        <w:rPr>
          <w:lang w:val="en-US"/>
        </w:rPr>
        <w:t>. In other words, the main objective of the Government debt management is to ensure the ability to meet the Government financial needs and the fulfillment of payment obligations in the medium and long</w:t>
      </w:r>
      <w:r w:rsidR="00941791" w:rsidRPr="005A68E6">
        <w:rPr>
          <w:lang w:val="en-US"/>
        </w:rPr>
        <w:t>-</w:t>
      </w:r>
      <w:r w:rsidRPr="005A68E6">
        <w:rPr>
          <w:lang w:val="en-US"/>
        </w:rPr>
        <w:t>term with the lowest possible costs and with the prudent level of debt portfolio risk</w:t>
      </w:r>
      <w:r w:rsidR="00C0644C" w:rsidRPr="005A68E6">
        <w:rPr>
          <w:lang w:val="en-US"/>
        </w:rPr>
        <w:t>s</w:t>
      </w:r>
      <w:r w:rsidRPr="005A68E6">
        <w:rPr>
          <w:lang w:val="en-US"/>
        </w:rPr>
        <w:t>.</w:t>
      </w:r>
    </w:p>
    <w:p w14:paraId="08D7B781" w14:textId="48EF22A0" w:rsidR="00D47959" w:rsidRPr="005A68E6" w:rsidRDefault="00D47959" w:rsidP="00D47959">
      <w:r w:rsidRPr="005A68E6">
        <w:t>The RA Law “On Public Debt” also defines the goals for raising public debt: financing the State budget deficit and ensuring current liquidity, maintaining and developing Government domestic debt market.</w:t>
      </w:r>
    </w:p>
    <w:p w14:paraId="72620487" w14:textId="2378C629" w:rsidR="00D47959" w:rsidRPr="005A68E6" w:rsidRDefault="00D47959" w:rsidP="00D47959">
      <w:r w:rsidRPr="005A68E6">
        <w:t>The strategy covers only the RA Government</w:t>
      </w:r>
      <w:r w:rsidRPr="005A68E6">
        <w:rPr>
          <w:lang w:val="en-US"/>
        </w:rPr>
        <w:t xml:space="preserve"> debt</w:t>
      </w:r>
      <w:r w:rsidRPr="005A68E6">
        <w:t xml:space="preserve">, and the analyses performed do not include the external debt of the CBA. The latter is taken on behalf and by the CBA. Moreover, </w:t>
      </w:r>
      <w:r w:rsidRPr="005A68E6">
        <w:rPr>
          <w:lang w:val="en-US"/>
        </w:rPr>
        <w:t>according to</w:t>
      </w:r>
      <w:r w:rsidRPr="005A68E6">
        <w:t xml:space="preserve"> the RA Law “On Public Debt”, the objectives of the CBA debt management are defined by the RA Law “On the Central Bank of </w:t>
      </w:r>
      <w:r w:rsidR="00AF02F9" w:rsidRPr="005A68E6">
        <w:rPr>
          <w:lang w:val="en-US"/>
        </w:rPr>
        <w:t xml:space="preserve">the </w:t>
      </w:r>
      <w:r w:rsidRPr="005A68E6">
        <w:t>RA”.</w:t>
      </w:r>
    </w:p>
    <w:p w14:paraId="71A6949E" w14:textId="77777777" w:rsidR="00F34155" w:rsidRPr="005A68E6" w:rsidRDefault="00F34155" w:rsidP="00A1274B"/>
    <w:p w14:paraId="1EA07174" w14:textId="77777777" w:rsidR="007B07A7" w:rsidRPr="005A68E6" w:rsidRDefault="007B07A7" w:rsidP="00A1274B"/>
    <w:p w14:paraId="0C2D32F4" w14:textId="3B681F6F" w:rsidR="00025E2D" w:rsidRPr="005A68E6" w:rsidRDefault="004A5795" w:rsidP="00A1274B">
      <w:pPr>
        <w:pStyle w:val="Heading1"/>
      </w:pPr>
      <w:r w:rsidRPr="005A68E6">
        <w:rPr>
          <w:sz w:val="22"/>
        </w:rPr>
        <w:br w:type="page"/>
      </w:r>
      <w:bookmarkStart w:id="7" w:name="_Toc150627818"/>
      <w:r w:rsidR="00216B10" w:rsidRPr="005A68E6">
        <w:lastRenderedPageBreak/>
        <w:t>Developments observed in the RA Government debt management since the beginning of 2022</w:t>
      </w:r>
      <w:bookmarkEnd w:id="7"/>
    </w:p>
    <w:p w14:paraId="6942DBED" w14:textId="24251ACA" w:rsidR="00AF2E7E" w:rsidRPr="005A68E6" w:rsidRDefault="00AF2E7E" w:rsidP="00AF2E7E">
      <w:pPr>
        <w:rPr>
          <w:color w:val="FF0000"/>
        </w:rPr>
      </w:pPr>
      <w:r w:rsidRPr="005A68E6">
        <w:t>At the end of 2022</w:t>
      </w:r>
      <w:r w:rsidRPr="005A68E6">
        <w:rPr>
          <w:lang w:val="en-US"/>
        </w:rPr>
        <w:t>,</w:t>
      </w:r>
      <w:r w:rsidRPr="005A68E6">
        <w:t xml:space="preserve"> the RA Government debt/GDP ratio </w:t>
      </w:r>
      <w:r w:rsidRPr="005A68E6">
        <w:rPr>
          <w:lang w:val="en-US"/>
        </w:rPr>
        <w:t>made up</w:t>
      </w:r>
      <w:r w:rsidRPr="005A68E6">
        <w:t xml:space="preserve"> 46.7%</w:t>
      </w:r>
      <w:r w:rsidRPr="005A68E6">
        <w:rPr>
          <w:lang w:val="en-US"/>
        </w:rPr>
        <w:t xml:space="preserve">, which is </w:t>
      </w:r>
      <w:r w:rsidR="00EC32EE" w:rsidRPr="005A68E6">
        <w:rPr>
          <w:lang w:val="en-US"/>
        </w:rPr>
        <w:t xml:space="preserve">less by </w:t>
      </w:r>
      <w:r w:rsidRPr="005A68E6">
        <w:rPr>
          <w:lang w:val="en-US"/>
        </w:rPr>
        <w:t xml:space="preserve">13.5 percentage points than the program </w:t>
      </w:r>
      <w:r w:rsidR="000D018C" w:rsidRPr="005A68E6">
        <w:rPr>
          <w:lang w:val="en-US"/>
        </w:rPr>
        <w:t>indicator</w:t>
      </w:r>
      <w:r w:rsidRPr="005A68E6">
        <w:rPr>
          <w:lang w:val="en-US"/>
        </w:rPr>
        <w:t xml:space="preserve">. It also dropped below 50% threshold set by </w:t>
      </w:r>
      <w:r w:rsidR="000D018C" w:rsidRPr="005A68E6">
        <w:rPr>
          <w:lang w:val="en-US"/>
        </w:rPr>
        <w:t xml:space="preserve">the fiscal </w:t>
      </w:r>
      <w:r w:rsidRPr="005A68E6">
        <w:rPr>
          <w:lang w:val="en-US"/>
        </w:rPr>
        <w:t xml:space="preserve">rules and moved to </w:t>
      </w:r>
      <w:r w:rsidR="000D018C" w:rsidRPr="005A68E6">
        <w:rPr>
          <w:lang w:val="en-US"/>
        </w:rPr>
        <w:t xml:space="preserve">a milder range of the spending restrictions or rule system </w:t>
      </w:r>
      <w:r w:rsidRPr="005A68E6">
        <w:rPr>
          <w:lang w:val="en-US"/>
        </w:rPr>
        <w:t>that apply when the 40% threshold is exceeded.</w:t>
      </w:r>
    </w:p>
    <w:p w14:paraId="2C69FD0E" w14:textId="39939D09" w:rsidR="00AF2E7E" w:rsidRPr="005A68E6" w:rsidRDefault="00AF2E7E" w:rsidP="00AF2E7E">
      <w:r w:rsidRPr="005A68E6">
        <w:t>All benchmark indicators defined by the 2023-20</w:t>
      </w:r>
      <w:r w:rsidR="00613F5C" w:rsidRPr="005A68E6">
        <w:rPr>
          <w:lang w:val="en-US"/>
        </w:rPr>
        <w:t xml:space="preserve"> </w:t>
      </w:r>
      <w:r w:rsidRPr="005A68E6">
        <w:t xml:space="preserve">25 strategy </w:t>
      </w:r>
      <w:r w:rsidR="00613F5C" w:rsidRPr="005A68E6">
        <w:rPr>
          <w:lang w:val="en-US"/>
        </w:rPr>
        <w:t xml:space="preserve">and actually attained in 2022 </w:t>
      </w:r>
      <w:r w:rsidRPr="005A68E6">
        <w:t xml:space="preserve">were within the </w:t>
      </w:r>
      <w:r w:rsidRPr="005A68E6">
        <w:rPr>
          <w:lang w:val="en-US"/>
        </w:rPr>
        <w:t>outlined</w:t>
      </w:r>
      <w:r w:rsidRPr="005A68E6">
        <w:t xml:space="preserve"> ranges.</w:t>
      </w:r>
    </w:p>
    <w:p w14:paraId="1550A4E4" w14:textId="54B9D8CA" w:rsidR="0009278B" w:rsidRPr="005A68E6" w:rsidRDefault="00AF2E7E" w:rsidP="0009278B">
      <w:pPr>
        <w:pStyle w:val="af6"/>
        <w:numPr>
          <w:ilvl w:val="0"/>
          <w:numId w:val="35"/>
        </w:numPr>
        <w:ind w:left="1276" w:hanging="1276"/>
      </w:pPr>
      <w:r w:rsidRPr="005A68E6">
        <w:t xml:space="preserve">The performance of benchmark indicators set by the 2023-2025 Government debt management strategy in 2022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3"/>
        <w:gridCol w:w="2115"/>
        <w:gridCol w:w="2127"/>
      </w:tblGrid>
      <w:tr w:rsidR="00855AAD" w:rsidRPr="005A68E6" w14:paraId="3DC653EB" w14:textId="77777777" w:rsidTr="007F12C5">
        <w:trPr>
          <w:tblHeader/>
          <w:jc w:val="center"/>
        </w:trPr>
        <w:tc>
          <w:tcPr>
            <w:tcW w:w="5893" w:type="dxa"/>
            <w:tcBorders>
              <w:top w:val="thinThickThinSmallGap" w:sz="24" w:space="0" w:color="auto"/>
              <w:left w:val="nil"/>
              <w:bottom w:val="thinThickSmallGap" w:sz="24" w:space="0" w:color="auto"/>
              <w:right w:val="nil"/>
            </w:tcBorders>
            <w:shd w:val="clear" w:color="auto" w:fill="5B9BD5"/>
          </w:tcPr>
          <w:p w14:paraId="3E61D2D4" w14:textId="77777777" w:rsidR="00855AAD" w:rsidRPr="005A68E6" w:rsidRDefault="00855AAD" w:rsidP="007F12C5"/>
        </w:tc>
        <w:tc>
          <w:tcPr>
            <w:tcW w:w="2115" w:type="dxa"/>
            <w:tcBorders>
              <w:top w:val="thinThickThinSmallGap" w:sz="24" w:space="0" w:color="auto"/>
              <w:left w:val="nil"/>
              <w:bottom w:val="thinThickSmallGap" w:sz="24" w:space="0" w:color="auto"/>
              <w:right w:val="nil"/>
            </w:tcBorders>
            <w:shd w:val="clear" w:color="auto" w:fill="5B9BD5"/>
            <w:vAlign w:val="center"/>
          </w:tcPr>
          <w:p w14:paraId="49E1F61E" w14:textId="649F4D2C" w:rsidR="00855AAD" w:rsidRPr="005A68E6" w:rsidRDefault="00855AAD" w:rsidP="007F12C5">
            <w:r w:rsidRPr="005A68E6">
              <w:rPr>
                <w:lang w:val="en-US"/>
              </w:rPr>
              <w:t>Benchmark</w:t>
            </w:r>
          </w:p>
        </w:tc>
        <w:tc>
          <w:tcPr>
            <w:tcW w:w="2127" w:type="dxa"/>
            <w:tcBorders>
              <w:top w:val="thinThickThinSmallGap" w:sz="24" w:space="0" w:color="auto"/>
              <w:left w:val="nil"/>
              <w:bottom w:val="thinThickSmallGap" w:sz="24" w:space="0" w:color="auto"/>
              <w:right w:val="nil"/>
            </w:tcBorders>
            <w:shd w:val="clear" w:color="auto" w:fill="5B9BD5"/>
          </w:tcPr>
          <w:p w14:paraId="7CABB456" w14:textId="77777777" w:rsidR="00855AAD" w:rsidRPr="005A68E6" w:rsidRDefault="00855AAD" w:rsidP="007F12C5">
            <w:pPr>
              <w:spacing w:line="240" w:lineRule="auto"/>
            </w:pPr>
            <w:r w:rsidRPr="005A68E6">
              <w:t>31.12.2022</w:t>
            </w:r>
          </w:p>
          <w:p w14:paraId="62324678" w14:textId="739152C5" w:rsidR="00855AAD" w:rsidRPr="005A68E6" w:rsidRDefault="00855AAD" w:rsidP="007F12C5">
            <w:pPr>
              <w:spacing w:line="240" w:lineRule="auto"/>
            </w:pPr>
            <w:r w:rsidRPr="005A68E6">
              <w:rPr>
                <w:lang w:val="en-US"/>
              </w:rPr>
              <w:t>Actual</w:t>
            </w:r>
          </w:p>
        </w:tc>
      </w:tr>
      <w:tr w:rsidR="00855AAD" w:rsidRPr="005A68E6" w14:paraId="13EEFA72" w14:textId="77777777" w:rsidTr="007F12C5">
        <w:trPr>
          <w:jc w:val="center"/>
        </w:trPr>
        <w:tc>
          <w:tcPr>
            <w:tcW w:w="5893" w:type="dxa"/>
            <w:tcBorders>
              <w:top w:val="thinThickSmallGap" w:sz="24" w:space="0" w:color="auto"/>
              <w:left w:val="nil"/>
              <w:right w:val="nil"/>
            </w:tcBorders>
          </w:tcPr>
          <w:p w14:paraId="7C8E2E8A" w14:textId="3104321E" w:rsidR="00855AAD" w:rsidRPr="005A68E6" w:rsidRDefault="00855AAD" w:rsidP="00855AAD">
            <w:pPr>
              <w:spacing w:line="240" w:lineRule="auto"/>
              <w:ind w:firstLine="559"/>
              <w:rPr>
                <w:b/>
              </w:rPr>
            </w:pPr>
            <w:r w:rsidRPr="005A68E6">
              <w:rPr>
                <w:b/>
                <w:lang w:val="en-US"/>
              </w:rPr>
              <w:t>Refinancing risk</w:t>
            </w:r>
          </w:p>
        </w:tc>
        <w:tc>
          <w:tcPr>
            <w:tcW w:w="2115" w:type="dxa"/>
            <w:tcBorders>
              <w:top w:val="thinThickSmallGap" w:sz="24" w:space="0" w:color="auto"/>
              <w:left w:val="nil"/>
              <w:right w:val="nil"/>
            </w:tcBorders>
            <w:vAlign w:val="center"/>
          </w:tcPr>
          <w:p w14:paraId="759C71F8" w14:textId="77777777" w:rsidR="00855AAD" w:rsidRPr="005A68E6" w:rsidRDefault="00855AAD" w:rsidP="00855AAD">
            <w:pPr>
              <w:ind w:firstLine="0"/>
              <w:jc w:val="center"/>
              <w:rPr>
                <w:b/>
              </w:rPr>
            </w:pPr>
          </w:p>
        </w:tc>
        <w:tc>
          <w:tcPr>
            <w:tcW w:w="2127" w:type="dxa"/>
            <w:tcBorders>
              <w:top w:val="thinThickSmallGap" w:sz="24" w:space="0" w:color="auto"/>
              <w:left w:val="nil"/>
              <w:right w:val="nil"/>
            </w:tcBorders>
            <w:vAlign w:val="center"/>
          </w:tcPr>
          <w:p w14:paraId="0DCD3174" w14:textId="77777777" w:rsidR="00855AAD" w:rsidRPr="005A68E6" w:rsidRDefault="00855AAD" w:rsidP="00855AAD">
            <w:pPr>
              <w:ind w:firstLine="0"/>
              <w:jc w:val="center"/>
              <w:rPr>
                <w:b/>
                <w:color w:val="FF0000"/>
              </w:rPr>
            </w:pPr>
          </w:p>
        </w:tc>
      </w:tr>
      <w:tr w:rsidR="00855AAD" w:rsidRPr="005A68E6" w14:paraId="32146B2F" w14:textId="77777777" w:rsidTr="007F12C5">
        <w:trPr>
          <w:jc w:val="center"/>
        </w:trPr>
        <w:tc>
          <w:tcPr>
            <w:tcW w:w="5893" w:type="dxa"/>
            <w:tcBorders>
              <w:left w:val="nil"/>
              <w:right w:val="nil"/>
            </w:tcBorders>
          </w:tcPr>
          <w:p w14:paraId="520AAFF2" w14:textId="656DED55" w:rsidR="00855AAD" w:rsidRPr="005A68E6" w:rsidRDefault="00855AAD" w:rsidP="00855AAD">
            <w:pPr>
              <w:spacing w:line="240" w:lineRule="auto"/>
              <w:ind w:firstLine="0"/>
            </w:pPr>
            <w:r w:rsidRPr="005A68E6">
              <w:rPr>
                <w:lang w:val="en-US"/>
              </w:rPr>
              <w:t>Average time to maturity</w:t>
            </w:r>
            <w:r w:rsidRPr="005A68E6">
              <w:t xml:space="preserve"> </w:t>
            </w:r>
          </w:p>
        </w:tc>
        <w:tc>
          <w:tcPr>
            <w:tcW w:w="2115" w:type="dxa"/>
            <w:tcBorders>
              <w:left w:val="nil"/>
              <w:right w:val="nil"/>
            </w:tcBorders>
            <w:vAlign w:val="center"/>
          </w:tcPr>
          <w:p w14:paraId="7F0CAA28" w14:textId="71DA6383" w:rsidR="00855AAD" w:rsidRPr="005A68E6" w:rsidRDefault="00855AAD" w:rsidP="00855AAD">
            <w:pPr>
              <w:ind w:firstLine="0"/>
              <w:jc w:val="center"/>
            </w:pPr>
            <w:r w:rsidRPr="005A68E6">
              <w:t xml:space="preserve">7 – 10 </w:t>
            </w:r>
            <w:r w:rsidRPr="005A68E6">
              <w:rPr>
                <w:lang w:val="en-US"/>
              </w:rPr>
              <w:t>years</w:t>
            </w:r>
          </w:p>
        </w:tc>
        <w:tc>
          <w:tcPr>
            <w:tcW w:w="2127" w:type="dxa"/>
            <w:tcBorders>
              <w:left w:val="nil"/>
              <w:right w:val="nil"/>
            </w:tcBorders>
            <w:vAlign w:val="center"/>
          </w:tcPr>
          <w:p w14:paraId="23E8B92B" w14:textId="77777777" w:rsidR="00855AAD" w:rsidRPr="005A68E6" w:rsidRDefault="00855AAD" w:rsidP="00855AAD">
            <w:pPr>
              <w:ind w:firstLine="0"/>
              <w:jc w:val="center"/>
              <w:rPr>
                <w:lang w:val="en-US"/>
              </w:rPr>
            </w:pPr>
            <w:r w:rsidRPr="005A68E6">
              <w:rPr>
                <w:lang w:val="en-US"/>
              </w:rPr>
              <w:t>7.7</w:t>
            </w:r>
          </w:p>
        </w:tc>
      </w:tr>
      <w:tr w:rsidR="00855AAD" w:rsidRPr="005A68E6" w14:paraId="4211BC3D" w14:textId="77777777" w:rsidTr="007F12C5">
        <w:trPr>
          <w:jc w:val="center"/>
        </w:trPr>
        <w:tc>
          <w:tcPr>
            <w:tcW w:w="5893" w:type="dxa"/>
            <w:tcBorders>
              <w:left w:val="nil"/>
              <w:right w:val="nil"/>
            </w:tcBorders>
          </w:tcPr>
          <w:p w14:paraId="5460A544" w14:textId="609519C5" w:rsidR="00855AAD" w:rsidRPr="005A68E6" w:rsidRDefault="00855AAD" w:rsidP="00855AAD">
            <w:pPr>
              <w:spacing w:line="240" w:lineRule="auto"/>
              <w:ind w:firstLine="0"/>
            </w:pPr>
            <w:r w:rsidRPr="005A68E6">
              <w:t>Share of the Government treasury bonds maturing within a year in the outstanding Government treasury bonds (at the end of the year)</w:t>
            </w:r>
          </w:p>
        </w:tc>
        <w:tc>
          <w:tcPr>
            <w:tcW w:w="2115" w:type="dxa"/>
            <w:tcBorders>
              <w:left w:val="nil"/>
              <w:right w:val="nil"/>
            </w:tcBorders>
            <w:vAlign w:val="center"/>
          </w:tcPr>
          <w:p w14:paraId="1AB10E94" w14:textId="13E6689A" w:rsidR="00855AAD" w:rsidRPr="005A68E6" w:rsidRDefault="00855AAD" w:rsidP="00855AAD">
            <w:pPr>
              <w:ind w:firstLine="0"/>
              <w:jc w:val="center"/>
            </w:pPr>
            <w:r w:rsidRPr="005A68E6">
              <w:rPr>
                <w:lang w:val="en-US"/>
              </w:rPr>
              <w:t>max</w:t>
            </w:r>
            <w:r w:rsidRPr="005A68E6">
              <w:t xml:space="preserve"> 20%</w:t>
            </w:r>
          </w:p>
        </w:tc>
        <w:tc>
          <w:tcPr>
            <w:tcW w:w="2127" w:type="dxa"/>
            <w:tcBorders>
              <w:left w:val="nil"/>
              <w:right w:val="nil"/>
            </w:tcBorders>
            <w:vAlign w:val="center"/>
          </w:tcPr>
          <w:p w14:paraId="1588F452" w14:textId="77777777" w:rsidR="00855AAD" w:rsidRPr="005A68E6" w:rsidRDefault="00855AAD" w:rsidP="00855AAD">
            <w:pPr>
              <w:ind w:firstLine="0"/>
              <w:jc w:val="center"/>
              <w:rPr>
                <w:lang w:val="en-US"/>
              </w:rPr>
            </w:pPr>
            <w:r w:rsidRPr="005A68E6">
              <w:rPr>
                <w:lang w:val="en-US"/>
              </w:rPr>
              <w:t>12.9</w:t>
            </w:r>
          </w:p>
        </w:tc>
      </w:tr>
      <w:tr w:rsidR="00855AAD" w:rsidRPr="005A68E6" w14:paraId="254A300E" w14:textId="77777777" w:rsidTr="007F12C5">
        <w:trPr>
          <w:jc w:val="center"/>
        </w:trPr>
        <w:tc>
          <w:tcPr>
            <w:tcW w:w="5893" w:type="dxa"/>
            <w:tcBorders>
              <w:left w:val="nil"/>
              <w:right w:val="nil"/>
            </w:tcBorders>
          </w:tcPr>
          <w:p w14:paraId="3D6F50D1" w14:textId="54BE78D4" w:rsidR="00855AAD" w:rsidRPr="005A68E6" w:rsidRDefault="00855AAD" w:rsidP="00855AAD">
            <w:pPr>
              <w:spacing w:line="240" w:lineRule="auto"/>
              <w:ind w:firstLine="559"/>
              <w:rPr>
                <w:b/>
              </w:rPr>
            </w:pPr>
            <w:r w:rsidRPr="005A68E6">
              <w:rPr>
                <w:b/>
                <w:lang w:val="en-US"/>
              </w:rPr>
              <w:t>Interest rate risk</w:t>
            </w:r>
          </w:p>
        </w:tc>
        <w:tc>
          <w:tcPr>
            <w:tcW w:w="2115" w:type="dxa"/>
            <w:tcBorders>
              <w:left w:val="nil"/>
              <w:right w:val="nil"/>
            </w:tcBorders>
            <w:vAlign w:val="center"/>
          </w:tcPr>
          <w:p w14:paraId="727C47E7" w14:textId="77777777" w:rsidR="00855AAD" w:rsidRPr="005A68E6" w:rsidRDefault="00855AAD" w:rsidP="00855AAD">
            <w:pPr>
              <w:ind w:firstLine="0"/>
              <w:jc w:val="center"/>
              <w:rPr>
                <w:b/>
              </w:rPr>
            </w:pPr>
          </w:p>
        </w:tc>
        <w:tc>
          <w:tcPr>
            <w:tcW w:w="2127" w:type="dxa"/>
            <w:tcBorders>
              <w:left w:val="nil"/>
              <w:right w:val="nil"/>
            </w:tcBorders>
            <w:vAlign w:val="center"/>
          </w:tcPr>
          <w:p w14:paraId="24DF4AED" w14:textId="77777777" w:rsidR="00855AAD" w:rsidRPr="005A68E6" w:rsidRDefault="00855AAD" w:rsidP="00855AAD">
            <w:pPr>
              <w:ind w:firstLine="0"/>
              <w:jc w:val="center"/>
              <w:rPr>
                <w:b/>
              </w:rPr>
            </w:pPr>
          </w:p>
        </w:tc>
      </w:tr>
      <w:tr w:rsidR="00855AAD" w:rsidRPr="005A68E6" w14:paraId="6A79B768" w14:textId="77777777" w:rsidTr="007F12C5">
        <w:trPr>
          <w:jc w:val="center"/>
        </w:trPr>
        <w:tc>
          <w:tcPr>
            <w:tcW w:w="5893" w:type="dxa"/>
            <w:tcBorders>
              <w:left w:val="nil"/>
              <w:right w:val="nil"/>
            </w:tcBorders>
          </w:tcPr>
          <w:p w14:paraId="2A224747" w14:textId="4CF7DED4" w:rsidR="00855AAD" w:rsidRPr="005A68E6" w:rsidRDefault="00855AAD" w:rsidP="00855AAD">
            <w:pPr>
              <w:spacing w:line="240" w:lineRule="auto"/>
              <w:ind w:firstLine="0"/>
            </w:pPr>
            <w:r w:rsidRPr="005A68E6">
              <w:t>Share of fixed rate debt in total debt</w:t>
            </w:r>
          </w:p>
        </w:tc>
        <w:tc>
          <w:tcPr>
            <w:tcW w:w="2115" w:type="dxa"/>
            <w:tcBorders>
              <w:left w:val="nil"/>
              <w:right w:val="nil"/>
            </w:tcBorders>
            <w:vAlign w:val="center"/>
          </w:tcPr>
          <w:p w14:paraId="00153F7F" w14:textId="40C39163" w:rsidR="00855AAD" w:rsidRPr="005A68E6" w:rsidRDefault="00855AAD" w:rsidP="00855AAD">
            <w:pPr>
              <w:ind w:firstLine="0"/>
              <w:jc w:val="center"/>
            </w:pPr>
            <w:r w:rsidRPr="005A68E6">
              <w:rPr>
                <w:lang w:val="en-US"/>
              </w:rPr>
              <w:t>min</w:t>
            </w:r>
            <w:r w:rsidRPr="005A68E6">
              <w:t xml:space="preserve"> 80%</w:t>
            </w:r>
          </w:p>
        </w:tc>
        <w:tc>
          <w:tcPr>
            <w:tcW w:w="2127" w:type="dxa"/>
            <w:tcBorders>
              <w:left w:val="nil"/>
              <w:right w:val="nil"/>
            </w:tcBorders>
            <w:vAlign w:val="center"/>
          </w:tcPr>
          <w:p w14:paraId="4A31904D" w14:textId="77777777" w:rsidR="00855AAD" w:rsidRPr="005A68E6" w:rsidRDefault="00855AAD" w:rsidP="00855AAD">
            <w:pPr>
              <w:ind w:firstLine="0"/>
              <w:jc w:val="center"/>
              <w:rPr>
                <w:lang w:val="en-US"/>
              </w:rPr>
            </w:pPr>
            <w:r w:rsidRPr="005A68E6">
              <w:rPr>
                <w:lang w:val="en-US"/>
              </w:rPr>
              <w:t>83.5</w:t>
            </w:r>
          </w:p>
        </w:tc>
      </w:tr>
      <w:tr w:rsidR="00855AAD" w:rsidRPr="005A68E6" w14:paraId="7D72321F" w14:textId="77777777" w:rsidTr="007F12C5">
        <w:trPr>
          <w:jc w:val="center"/>
        </w:trPr>
        <w:tc>
          <w:tcPr>
            <w:tcW w:w="5893" w:type="dxa"/>
            <w:tcBorders>
              <w:left w:val="nil"/>
              <w:right w:val="nil"/>
            </w:tcBorders>
          </w:tcPr>
          <w:p w14:paraId="5A7E0BAA" w14:textId="2BBBBBD1" w:rsidR="00855AAD" w:rsidRPr="005A68E6" w:rsidRDefault="00855AAD" w:rsidP="00855AAD">
            <w:pPr>
              <w:spacing w:line="240" w:lineRule="auto"/>
              <w:ind w:firstLine="559"/>
              <w:rPr>
                <w:b/>
              </w:rPr>
            </w:pPr>
            <w:r w:rsidRPr="005A68E6">
              <w:rPr>
                <w:b/>
                <w:lang w:val="en-US"/>
              </w:rPr>
              <w:t>Exchange rate risk</w:t>
            </w:r>
          </w:p>
        </w:tc>
        <w:tc>
          <w:tcPr>
            <w:tcW w:w="2115" w:type="dxa"/>
            <w:tcBorders>
              <w:left w:val="nil"/>
              <w:right w:val="nil"/>
            </w:tcBorders>
            <w:vAlign w:val="center"/>
          </w:tcPr>
          <w:p w14:paraId="30924E67" w14:textId="77777777" w:rsidR="00855AAD" w:rsidRPr="005A68E6" w:rsidRDefault="00855AAD" w:rsidP="00855AAD">
            <w:pPr>
              <w:ind w:firstLine="0"/>
              <w:jc w:val="center"/>
              <w:rPr>
                <w:b/>
              </w:rPr>
            </w:pPr>
          </w:p>
        </w:tc>
        <w:tc>
          <w:tcPr>
            <w:tcW w:w="2127" w:type="dxa"/>
            <w:tcBorders>
              <w:left w:val="nil"/>
              <w:right w:val="nil"/>
            </w:tcBorders>
            <w:vAlign w:val="center"/>
          </w:tcPr>
          <w:p w14:paraId="77D6907E" w14:textId="77777777" w:rsidR="00855AAD" w:rsidRPr="005A68E6" w:rsidRDefault="00855AAD" w:rsidP="00855AAD">
            <w:pPr>
              <w:ind w:firstLine="0"/>
              <w:jc w:val="center"/>
              <w:rPr>
                <w:b/>
              </w:rPr>
            </w:pPr>
          </w:p>
        </w:tc>
      </w:tr>
      <w:tr w:rsidR="00855AAD" w:rsidRPr="005A68E6" w14:paraId="27BF1AA2" w14:textId="77777777" w:rsidTr="007F12C5">
        <w:trPr>
          <w:jc w:val="center"/>
        </w:trPr>
        <w:tc>
          <w:tcPr>
            <w:tcW w:w="5893" w:type="dxa"/>
            <w:tcBorders>
              <w:left w:val="nil"/>
              <w:right w:val="nil"/>
            </w:tcBorders>
          </w:tcPr>
          <w:p w14:paraId="20F9D550" w14:textId="788916DC" w:rsidR="00855AAD" w:rsidRPr="005A68E6" w:rsidRDefault="00855AAD" w:rsidP="00855AAD">
            <w:pPr>
              <w:spacing w:line="240" w:lineRule="auto"/>
              <w:ind w:firstLine="0"/>
              <w:rPr>
                <w:b/>
              </w:rPr>
            </w:pPr>
            <w:r w:rsidRPr="005A68E6">
              <w:t>Share of domestic debt in total debt</w:t>
            </w:r>
          </w:p>
        </w:tc>
        <w:tc>
          <w:tcPr>
            <w:tcW w:w="2115" w:type="dxa"/>
            <w:tcBorders>
              <w:left w:val="nil"/>
              <w:right w:val="nil"/>
            </w:tcBorders>
            <w:vAlign w:val="center"/>
          </w:tcPr>
          <w:p w14:paraId="2B790FE4" w14:textId="1AC8C97B" w:rsidR="00855AAD" w:rsidRPr="005A68E6" w:rsidRDefault="00855AAD" w:rsidP="00855AAD">
            <w:pPr>
              <w:ind w:firstLine="0"/>
              <w:jc w:val="center"/>
              <w:rPr>
                <w:b/>
              </w:rPr>
            </w:pPr>
            <w:r w:rsidRPr="005A68E6">
              <w:rPr>
                <w:lang w:val="en-US"/>
              </w:rPr>
              <w:t>min</w:t>
            </w:r>
            <w:r w:rsidRPr="005A68E6">
              <w:t xml:space="preserve"> 30%</w:t>
            </w:r>
          </w:p>
        </w:tc>
        <w:tc>
          <w:tcPr>
            <w:tcW w:w="2127" w:type="dxa"/>
            <w:tcBorders>
              <w:left w:val="nil"/>
              <w:right w:val="nil"/>
            </w:tcBorders>
            <w:vAlign w:val="center"/>
          </w:tcPr>
          <w:p w14:paraId="5E636FA6" w14:textId="77777777" w:rsidR="00855AAD" w:rsidRPr="005A68E6" w:rsidRDefault="00855AAD" w:rsidP="00855AAD">
            <w:pPr>
              <w:ind w:firstLine="0"/>
              <w:jc w:val="center"/>
              <w:rPr>
                <w:lang w:val="en-US"/>
              </w:rPr>
            </w:pPr>
            <w:r w:rsidRPr="005A68E6">
              <w:rPr>
                <w:lang w:val="en-US"/>
              </w:rPr>
              <w:t>41.6</w:t>
            </w:r>
          </w:p>
        </w:tc>
      </w:tr>
      <w:tr w:rsidR="00855AAD" w:rsidRPr="005A68E6" w14:paraId="49CF5B53" w14:textId="77777777" w:rsidTr="007F12C5">
        <w:trPr>
          <w:jc w:val="center"/>
        </w:trPr>
        <w:tc>
          <w:tcPr>
            <w:tcW w:w="5893" w:type="dxa"/>
            <w:tcBorders>
              <w:left w:val="nil"/>
              <w:bottom w:val="thickThinSmallGap" w:sz="24" w:space="0" w:color="auto"/>
              <w:right w:val="nil"/>
            </w:tcBorders>
          </w:tcPr>
          <w:p w14:paraId="696D7ED5" w14:textId="1171EFFF" w:rsidR="00855AAD" w:rsidRPr="005A68E6" w:rsidRDefault="00855AAD" w:rsidP="00855AAD">
            <w:pPr>
              <w:spacing w:line="240" w:lineRule="auto"/>
              <w:ind w:firstLine="0"/>
            </w:pPr>
            <w:r w:rsidRPr="005A68E6">
              <w:t>Share of AMD denominated debt in total debt</w:t>
            </w:r>
          </w:p>
        </w:tc>
        <w:tc>
          <w:tcPr>
            <w:tcW w:w="2115" w:type="dxa"/>
            <w:tcBorders>
              <w:left w:val="nil"/>
              <w:bottom w:val="thickThinSmallGap" w:sz="24" w:space="0" w:color="auto"/>
              <w:right w:val="nil"/>
            </w:tcBorders>
            <w:vAlign w:val="center"/>
          </w:tcPr>
          <w:p w14:paraId="28A7A43F" w14:textId="0A5E0648" w:rsidR="00855AAD" w:rsidRPr="005A68E6" w:rsidRDefault="00855AAD" w:rsidP="00855AAD">
            <w:pPr>
              <w:ind w:firstLine="0"/>
              <w:jc w:val="center"/>
            </w:pPr>
            <w:r w:rsidRPr="005A68E6">
              <w:rPr>
                <w:lang w:val="en-US"/>
              </w:rPr>
              <w:t>min</w:t>
            </w:r>
            <w:r w:rsidRPr="005A68E6">
              <w:t xml:space="preserve"> 30%</w:t>
            </w:r>
          </w:p>
        </w:tc>
        <w:tc>
          <w:tcPr>
            <w:tcW w:w="2127" w:type="dxa"/>
            <w:tcBorders>
              <w:left w:val="nil"/>
              <w:bottom w:val="thickThinSmallGap" w:sz="24" w:space="0" w:color="auto"/>
              <w:right w:val="nil"/>
            </w:tcBorders>
            <w:vAlign w:val="center"/>
          </w:tcPr>
          <w:p w14:paraId="4254C9D2" w14:textId="77777777" w:rsidR="00855AAD" w:rsidRPr="005A68E6" w:rsidRDefault="00855AAD" w:rsidP="00855AAD">
            <w:pPr>
              <w:ind w:firstLine="0"/>
              <w:jc w:val="center"/>
              <w:rPr>
                <w:lang w:val="en-US"/>
              </w:rPr>
            </w:pPr>
            <w:r w:rsidRPr="005A68E6">
              <w:rPr>
                <w:lang w:val="en-US"/>
              </w:rPr>
              <w:t>37.9</w:t>
            </w:r>
          </w:p>
        </w:tc>
      </w:tr>
    </w:tbl>
    <w:p w14:paraId="0735100C" w14:textId="1140E68F" w:rsidR="00AF2E7E" w:rsidRPr="005A68E6" w:rsidRDefault="00AF2E7E" w:rsidP="00C45A7F">
      <w:pPr>
        <w:spacing w:before="120"/>
        <w:rPr>
          <w:color w:val="FF0000"/>
        </w:rPr>
      </w:pPr>
      <w:r w:rsidRPr="005A68E6">
        <w:rPr>
          <w:sz w:val="18"/>
        </w:rPr>
        <w:t xml:space="preserve">Source: RA MoF calculations </w:t>
      </w:r>
    </w:p>
    <w:p w14:paraId="13B243E7" w14:textId="25F57173" w:rsidR="00AF2E7E" w:rsidRPr="005A68E6" w:rsidRDefault="00AF2E7E" w:rsidP="00AF2E7E">
      <w:pPr>
        <w:shd w:val="clear" w:color="auto" w:fill="FFFFFF"/>
        <w:spacing w:before="120" w:after="120" w:line="312" w:lineRule="auto"/>
        <w:ind w:firstLine="720"/>
      </w:pPr>
      <w:r w:rsidRPr="005A68E6">
        <w:t>In 202</w:t>
      </w:r>
      <w:r w:rsidR="00AF02F9" w:rsidRPr="005A68E6">
        <w:rPr>
          <w:lang w:val="en-US"/>
        </w:rPr>
        <w:t>2</w:t>
      </w:r>
      <w:r w:rsidRPr="005A68E6">
        <w:t xml:space="preserve"> the deficit financing by domestic net borrowings (without promissory notes) amounted to AMD 252.</w:t>
      </w:r>
      <w:r w:rsidRPr="005A68E6">
        <w:rPr>
          <w:lang w:val="en-US"/>
        </w:rPr>
        <w:t>0</w:t>
      </w:r>
      <w:r w:rsidRPr="005A68E6">
        <w:t xml:space="preserve"> billion or 79.</w:t>
      </w:r>
      <w:r w:rsidRPr="005A68E6">
        <w:rPr>
          <w:lang w:val="en-US"/>
        </w:rPr>
        <w:t>2</w:t>
      </w:r>
      <w:r w:rsidRPr="005A68E6">
        <w:t>% of the total net borrowings for deficit financing. The deficit financing by external net borrowings amounted to AMD 66.</w:t>
      </w:r>
      <w:r w:rsidRPr="005A68E6">
        <w:rPr>
          <w:lang w:val="en-US"/>
        </w:rPr>
        <w:t>2</w:t>
      </w:r>
      <w:r w:rsidRPr="005A68E6">
        <w:t xml:space="preserve"> billion or 20.</w:t>
      </w:r>
      <w:r w:rsidRPr="005A68E6">
        <w:rPr>
          <w:lang w:val="en-US"/>
        </w:rPr>
        <w:t>8</w:t>
      </w:r>
      <w:r w:rsidRPr="005A68E6">
        <w:t>% of the total net borrowings for deficit financing.</w:t>
      </w:r>
      <w:r w:rsidRPr="005A68E6">
        <w:rPr>
          <w:lang w:val="en-US"/>
        </w:rPr>
        <w:t xml:space="preserve"> </w:t>
      </w:r>
      <w:r w:rsidRPr="005A68E6">
        <w:t xml:space="preserve">The </w:t>
      </w:r>
      <w:r w:rsidRPr="005A68E6">
        <w:rPr>
          <w:lang w:val="en-US"/>
        </w:rPr>
        <w:t>plan</w:t>
      </w:r>
      <w:r w:rsidRPr="005A68E6">
        <w:t xml:space="preserve"> for deficit financing </w:t>
      </w:r>
      <w:r w:rsidRPr="005A68E6">
        <w:rPr>
          <w:lang w:val="en-US"/>
        </w:rPr>
        <w:t>by domestic net borrowings</w:t>
      </w:r>
      <w:r w:rsidRPr="005A68E6">
        <w:t xml:space="preserve"> (without promissory notes) was fully implemented, and </w:t>
      </w:r>
      <w:r w:rsidRPr="005A68E6">
        <w:rPr>
          <w:lang w:val="en-US"/>
        </w:rPr>
        <w:t xml:space="preserve">the plan for deficit financing by </w:t>
      </w:r>
      <w:r w:rsidRPr="005A68E6">
        <w:t>external</w:t>
      </w:r>
      <w:r w:rsidRPr="005A68E6">
        <w:rPr>
          <w:lang w:val="en-US"/>
        </w:rPr>
        <w:t xml:space="preserve"> net</w:t>
      </w:r>
      <w:r w:rsidRPr="005A68E6">
        <w:t xml:space="preserve"> borrowings was </w:t>
      </w:r>
      <w:r w:rsidRPr="005A68E6">
        <w:rPr>
          <w:lang w:val="en-US"/>
        </w:rPr>
        <w:t>completed</w:t>
      </w:r>
      <w:r w:rsidRPr="005A68E6">
        <w:t xml:space="preserve"> by 67.4%, mainly due to the underperformance of programs related to </w:t>
      </w:r>
      <w:r w:rsidR="00AD4168" w:rsidRPr="005A68E6">
        <w:rPr>
          <w:lang w:val="en-US"/>
        </w:rPr>
        <w:t>project</w:t>
      </w:r>
      <w:r w:rsidRPr="005A68E6">
        <w:t xml:space="preserve"> loans.</w:t>
      </w:r>
    </w:p>
    <w:p w14:paraId="619CCBD7" w14:textId="73B94BF8" w:rsidR="00AF2E7E" w:rsidRPr="005A68E6" w:rsidRDefault="00AF2E7E" w:rsidP="00AF2E7E">
      <w:pPr>
        <w:shd w:val="clear" w:color="auto" w:fill="FFFFFF"/>
        <w:spacing w:before="120" w:after="120" w:line="312" w:lineRule="auto"/>
        <w:ind w:firstLine="720"/>
      </w:pPr>
      <w:r w:rsidRPr="005A68E6">
        <w:rPr>
          <w:lang w:val="en-US"/>
        </w:rPr>
        <w:t>During 2022 Government treasury bonds ha</w:t>
      </w:r>
      <w:r w:rsidR="00AD4168" w:rsidRPr="005A68E6">
        <w:rPr>
          <w:lang w:val="en-US"/>
        </w:rPr>
        <w:t>d</w:t>
      </w:r>
      <w:r w:rsidRPr="005A68E6">
        <w:rPr>
          <w:lang w:val="en-US"/>
        </w:rPr>
        <w:t xml:space="preserve"> significant weight in the debt operations of the RA Government.</w:t>
      </w:r>
    </w:p>
    <w:p w14:paraId="0BF0258B" w14:textId="5E47801B" w:rsidR="004D52E6" w:rsidRPr="005A68E6" w:rsidRDefault="00AF2E7E" w:rsidP="004D52E6">
      <w:pPr>
        <w:pStyle w:val="af6"/>
        <w:numPr>
          <w:ilvl w:val="0"/>
          <w:numId w:val="35"/>
        </w:numPr>
        <w:ind w:left="1276" w:hanging="1276"/>
      </w:pPr>
      <w:r w:rsidRPr="005A68E6">
        <w:lastRenderedPageBreak/>
        <w:t xml:space="preserve">RA Government debt operations by instruments  </w:t>
      </w:r>
    </w:p>
    <w:tbl>
      <w:tblPr>
        <w:tblW w:w="10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9"/>
        <w:gridCol w:w="245"/>
        <w:gridCol w:w="1541"/>
        <w:gridCol w:w="31"/>
        <w:gridCol w:w="1770"/>
        <w:gridCol w:w="118"/>
        <w:gridCol w:w="1804"/>
        <w:gridCol w:w="28"/>
        <w:gridCol w:w="1908"/>
        <w:gridCol w:w="97"/>
      </w:tblGrid>
      <w:tr w:rsidR="007F12C5" w:rsidRPr="005A68E6" w14:paraId="011D2924" w14:textId="77777777" w:rsidTr="00581010">
        <w:trPr>
          <w:gridAfter w:val="1"/>
          <w:wAfter w:w="97" w:type="dxa"/>
          <w:trHeight w:val="724"/>
          <w:tblHeader/>
          <w:jc w:val="center"/>
        </w:trPr>
        <w:tc>
          <w:tcPr>
            <w:tcW w:w="3319" w:type="dxa"/>
            <w:tcBorders>
              <w:top w:val="thinThickThinSmallGap" w:sz="24" w:space="0" w:color="auto"/>
              <w:left w:val="nil"/>
              <w:bottom w:val="thinThickSmallGap" w:sz="24" w:space="0" w:color="auto"/>
              <w:right w:val="nil"/>
            </w:tcBorders>
            <w:shd w:val="clear" w:color="auto" w:fill="5B9BD5"/>
            <w:vAlign w:val="center"/>
          </w:tcPr>
          <w:p w14:paraId="3989D4A0" w14:textId="77777777" w:rsidR="007F12C5" w:rsidRPr="005A68E6" w:rsidRDefault="007F12C5" w:rsidP="007F12C5">
            <w:pPr>
              <w:spacing w:line="240" w:lineRule="auto"/>
              <w:ind w:firstLine="0"/>
              <w:jc w:val="center"/>
              <w:rPr>
                <w:lang w:val="en-US"/>
              </w:rPr>
            </w:pPr>
            <w:r w:rsidRPr="005A68E6">
              <w:t>202</w:t>
            </w:r>
            <w:r w:rsidRPr="005A68E6">
              <w:rPr>
                <w:lang w:val="en-US"/>
              </w:rPr>
              <w:t>2</w:t>
            </w:r>
          </w:p>
        </w:tc>
        <w:tc>
          <w:tcPr>
            <w:tcW w:w="1786" w:type="dxa"/>
            <w:gridSpan w:val="2"/>
            <w:tcBorders>
              <w:top w:val="thinThickThinSmallGap" w:sz="24" w:space="0" w:color="auto"/>
              <w:left w:val="nil"/>
              <w:bottom w:val="thinThickSmallGap" w:sz="24" w:space="0" w:color="auto"/>
              <w:right w:val="nil"/>
            </w:tcBorders>
            <w:shd w:val="clear" w:color="auto" w:fill="5B9BD5"/>
            <w:vAlign w:val="center"/>
          </w:tcPr>
          <w:p w14:paraId="77AED1AB" w14:textId="515BEE0C" w:rsidR="007F12C5" w:rsidRPr="005A68E6" w:rsidRDefault="007F12C5" w:rsidP="007F12C5">
            <w:pPr>
              <w:spacing w:line="240" w:lineRule="auto"/>
              <w:ind w:firstLine="0"/>
              <w:jc w:val="center"/>
            </w:pPr>
            <w:r w:rsidRPr="005A68E6">
              <w:t>Placement volume</w:t>
            </w:r>
          </w:p>
        </w:tc>
        <w:tc>
          <w:tcPr>
            <w:tcW w:w="1919" w:type="dxa"/>
            <w:gridSpan w:val="3"/>
            <w:tcBorders>
              <w:top w:val="thinThickThinSmallGap" w:sz="24" w:space="0" w:color="auto"/>
              <w:left w:val="nil"/>
              <w:bottom w:val="thinThickSmallGap" w:sz="24" w:space="0" w:color="auto"/>
              <w:right w:val="nil"/>
            </w:tcBorders>
            <w:shd w:val="clear" w:color="auto" w:fill="5B9BD5"/>
            <w:vAlign w:val="center"/>
          </w:tcPr>
          <w:p w14:paraId="08AE7B45" w14:textId="70614601" w:rsidR="007F12C5" w:rsidRPr="005A68E6" w:rsidRDefault="007F12C5" w:rsidP="007F12C5">
            <w:pPr>
              <w:spacing w:line="240" w:lineRule="auto"/>
              <w:ind w:firstLine="0"/>
              <w:jc w:val="center"/>
            </w:pPr>
            <w:r w:rsidRPr="005A68E6">
              <w:t>Receipts from placement</w:t>
            </w:r>
          </w:p>
        </w:tc>
        <w:tc>
          <w:tcPr>
            <w:tcW w:w="1804" w:type="dxa"/>
            <w:tcBorders>
              <w:top w:val="thinThickThinSmallGap" w:sz="24" w:space="0" w:color="auto"/>
              <w:left w:val="nil"/>
              <w:bottom w:val="thinThickSmallGap" w:sz="24" w:space="0" w:color="auto"/>
              <w:right w:val="nil"/>
            </w:tcBorders>
            <w:shd w:val="clear" w:color="auto" w:fill="5B9BD5"/>
            <w:vAlign w:val="center"/>
          </w:tcPr>
          <w:p w14:paraId="28BBBA25" w14:textId="2722ECE0" w:rsidR="007F12C5" w:rsidRPr="005A68E6" w:rsidRDefault="007F12C5" w:rsidP="007F12C5">
            <w:pPr>
              <w:spacing w:line="240" w:lineRule="auto"/>
              <w:ind w:firstLine="0"/>
              <w:jc w:val="center"/>
            </w:pPr>
            <w:r w:rsidRPr="005A68E6">
              <w:t>Redemption and buyback volume</w:t>
            </w:r>
          </w:p>
        </w:tc>
        <w:tc>
          <w:tcPr>
            <w:tcW w:w="1936" w:type="dxa"/>
            <w:gridSpan w:val="2"/>
            <w:tcBorders>
              <w:top w:val="thinThickThinSmallGap" w:sz="24" w:space="0" w:color="auto"/>
              <w:left w:val="nil"/>
              <w:bottom w:val="thinThickSmallGap" w:sz="24" w:space="0" w:color="auto"/>
              <w:right w:val="nil"/>
            </w:tcBorders>
            <w:shd w:val="clear" w:color="auto" w:fill="5B9BD5"/>
            <w:vAlign w:val="center"/>
          </w:tcPr>
          <w:p w14:paraId="44E0DA22" w14:textId="7458E7B6" w:rsidR="007F12C5" w:rsidRPr="005A68E6" w:rsidRDefault="007F12C5" w:rsidP="007F12C5">
            <w:pPr>
              <w:spacing w:line="240" w:lineRule="auto"/>
              <w:ind w:firstLine="0"/>
              <w:jc w:val="center"/>
            </w:pPr>
            <w:r w:rsidRPr="005A68E6">
              <w:t>Interest amount paid</w:t>
            </w:r>
          </w:p>
        </w:tc>
      </w:tr>
      <w:tr w:rsidR="00645A98" w:rsidRPr="005A68E6" w14:paraId="027DDA41" w14:textId="77777777" w:rsidTr="00581010">
        <w:trPr>
          <w:gridAfter w:val="1"/>
          <w:wAfter w:w="97" w:type="dxa"/>
          <w:trHeight w:val="485"/>
          <w:jc w:val="center"/>
        </w:trPr>
        <w:tc>
          <w:tcPr>
            <w:tcW w:w="3319" w:type="dxa"/>
            <w:tcBorders>
              <w:top w:val="thinThickSmallGap" w:sz="24" w:space="0" w:color="auto"/>
              <w:left w:val="nil"/>
              <w:bottom w:val="thinThickSmallGap" w:sz="24" w:space="0" w:color="auto"/>
              <w:right w:val="nil"/>
            </w:tcBorders>
          </w:tcPr>
          <w:p w14:paraId="56BFF4F0" w14:textId="58E5F9F9" w:rsidR="00645A98" w:rsidRPr="005A68E6" w:rsidRDefault="007F12C5" w:rsidP="00C12899">
            <w:pPr>
              <w:spacing w:line="240" w:lineRule="auto"/>
              <w:ind w:firstLine="0"/>
              <w:jc w:val="left"/>
            </w:pPr>
            <w:r w:rsidRPr="005A68E6">
              <w:t>Government treasury bonds, billion AMD</w:t>
            </w:r>
          </w:p>
        </w:tc>
        <w:tc>
          <w:tcPr>
            <w:tcW w:w="1786" w:type="dxa"/>
            <w:gridSpan w:val="2"/>
            <w:tcBorders>
              <w:top w:val="thinThickSmallGap" w:sz="24" w:space="0" w:color="auto"/>
              <w:left w:val="nil"/>
              <w:bottom w:val="thinThickSmallGap" w:sz="24" w:space="0" w:color="auto"/>
              <w:right w:val="nil"/>
            </w:tcBorders>
            <w:vAlign w:val="center"/>
          </w:tcPr>
          <w:p w14:paraId="1D247122" w14:textId="77777777" w:rsidR="00645A98" w:rsidRPr="005A68E6" w:rsidRDefault="00645A98" w:rsidP="00C12899">
            <w:pPr>
              <w:ind w:firstLine="0"/>
              <w:jc w:val="center"/>
              <w:rPr>
                <w:lang w:val="en-US"/>
              </w:rPr>
            </w:pPr>
            <w:r w:rsidRPr="005A68E6">
              <w:rPr>
                <w:rFonts w:cs="Sylfaen"/>
                <w:sz w:val="24"/>
                <w:szCs w:val="24"/>
                <w:lang w:val="en-US"/>
              </w:rPr>
              <w:t>438.8</w:t>
            </w:r>
          </w:p>
        </w:tc>
        <w:tc>
          <w:tcPr>
            <w:tcW w:w="1919" w:type="dxa"/>
            <w:gridSpan w:val="3"/>
            <w:tcBorders>
              <w:top w:val="thinThickSmallGap" w:sz="24" w:space="0" w:color="auto"/>
              <w:left w:val="nil"/>
              <w:bottom w:val="thinThickSmallGap" w:sz="24" w:space="0" w:color="auto"/>
              <w:right w:val="nil"/>
            </w:tcBorders>
            <w:vAlign w:val="center"/>
          </w:tcPr>
          <w:p w14:paraId="1A14F168" w14:textId="77777777" w:rsidR="00645A98" w:rsidRPr="005A68E6" w:rsidRDefault="00645A98" w:rsidP="00C12899">
            <w:pPr>
              <w:ind w:firstLine="0"/>
              <w:jc w:val="center"/>
              <w:rPr>
                <w:lang w:val="en-US"/>
              </w:rPr>
            </w:pPr>
            <w:r w:rsidRPr="005A68E6">
              <w:rPr>
                <w:rFonts w:cs="Sylfaen"/>
                <w:sz w:val="24"/>
                <w:szCs w:val="24"/>
                <w:lang w:val="en-US"/>
              </w:rPr>
              <w:t>399.8</w:t>
            </w:r>
          </w:p>
        </w:tc>
        <w:tc>
          <w:tcPr>
            <w:tcW w:w="1804" w:type="dxa"/>
            <w:tcBorders>
              <w:top w:val="thinThickSmallGap" w:sz="24" w:space="0" w:color="auto"/>
              <w:left w:val="nil"/>
              <w:bottom w:val="thinThickSmallGap" w:sz="24" w:space="0" w:color="auto"/>
              <w:right w:val="nil"/>
            </w:tcBorders>
            <w:vAlign w:val="center"/>
          </w:tcPr>
          <w:p w14:paraId="307DE445" w14:textId="77777777" w:rsidR="00645A98" w:rsidRPr="005A68E6" w:rsidRDefault="00645A98" w:rsidP="00C12899">
            <w:pPr>
              <w:ind w:firstLine="0"/>
              <w:jc w:val="center"/>
              <w:rPr>
                <w:lang w:val="en-US"/>
              </w:rPr>
            </w:pPr>
            <w:r w:rsidRPr="005A68E6">
              <w:rPr>
                <w:rFonts w:cs="Sylfaen"/>
                <w:sz w:val="24"/>
                <w:szCs w:val="24"/>
                <w:lang w:val="en-US"/>
              </w:rPr>
              <w:t>147.</w:t>
            </w:r>
            <w:r w:rsidR="009F4F93" w:rsidRPr="005A68E6">
              <w:rPr>
                <w:rFonts w:cs="Sylfaen"/>
                <w:sz w:val="24"/>
                <w:szCs w:val="24"/>
                <w:lang w:val="en-US"/>
              </w:rPr>
              <w:t>8</w:t>
            </w:r>
          </w:p>
        </w:tc>
        <w:tc>
          <w:tcPr>
            <w:tcW w:w="1936" w:type="dxa"/>
            <w:gridSpan w:val="2"/>
            <w:tcBorders>
              <w:top w:val="thinThickSmallGap" w:sz="24" w:space="0" w:color="auto"/>
              <w:left w:val="nil"/>
              <w:bottom w:val="thinThickSmallGap" w:sz="24" w:space="0" w:color="auto"/>
              <w:right w:val="nil"/>
            </w:tcBorders>
            <w:vAlign w:val="center"/>
          </w:tcPr>
          <w:p w14:paraId="68AAFB76" w14:textId="77777777" w:rsidR="00645A98" w:rsidRPr="005A68E6" w:rsidRDefault="00645A98" w:rsidP="00C12899">
            <w:pPr>
              <w:ind w:firstLine="0"/>
              <w:jc w:val="center"/>
              <w:rPr>
                <w:lang w:val="en-US"/>
              </w:rPr>
            </w:pPr>
            <w:r w:rsidRPr="005A68E6">
              <w:rPr>
                <w:lang w:val="en-US"/>
              </w:rPr>
              <w:t>125.9</w:t>
            </w:r>
          </w:p>
        </w:tc>
      </w:tr>
      <w:tr w:rsidR="007F12C5" w:rsidRPr="005A68E6" w14:paraId="24C47917" w14:textId="77777777" w:rsidTr="00581010">
        <w:trPr>
          <w:trHeight w:val="319"/>
          <w:jc w:val="center"/>
        </w:trPr>
        <w:tc>
          <w:tcPr>
            <w:tcW w:w="3564" w:type="dxa"/>
            <w:gridSpan w:val="2"/>
            <w:tcBorders>
              <w:top w:val="thinThickSmallGap" w:sz="24" w:space="0" w:color="auto"/>
              <w:left w:val="nil"/>
              <w:bottom w:val="single" w:sz="4" w:space="0" w:color="auto"/>
              <w:right w:val="nil"/>
            </w:tcBorders>
            <w:vAlign w:val="center"/>
          </w:tcPr>
          <w:p w14:paraId="3DD70FEC" w14:textId="421276E4" w:rsidR="007F12C5" w:rsidRPr="005A68E6" w:rsidRDefault="007F12C5" w:rsidP="007F12C5">
            <w:pPr>
              <w:spacing w:line="240" w:lineRule="auto"/>
              <w:ind w:firstLine="0"/>
              <w:jc w:val="left"/>
            </w:pPr>
            <w:r w:rsidRPr="005A68E6">
              <w:t>Foreign currency denominated Government bonds, million USD</w:t>
            </w:r>
          </w:p>
        </w:tc>
        <w:tc>
          <w:tcPr>
            <w:tcW w:w="1572" w:type="dxa"/>
            <w:gridSpan w:val="2"/>
            <w:tcBorders>
              <w:top w:val="thinThickSmallGap" w:sz="24" w:space="0" w:color="auto"/>
              <w:left w:val="nil"/>
              <w:bottom w:val="single" w:sz="4" w:space="0" w:color="auto"/>
              <w:right w:val="nil"/>
            </w:tcBorders>
            <w:vAlign w:val="center"/>
          </w:tcPr>
          <w:p w14:paraId="7E8AAC4B" w14:textId="77777777" w:rsidR="007F12C5" w:rsidRPr="005A68E6" w:rsidRDefault="007F12C5" w:rsidP="007F12C5">
            <w:pPr>
              <w:spacing w:line="240" w:lineRule="auto"/>
              <w:ind w:firstLine="0"/>
              <w:jc w:val="center"/>
            </w:pPr>
            <w:r w:rsidRPr="005A68E6">
              <w:t>-</w:t>
            </w:r>
          </w:p>
        </w:tc>
        <w:tc>
          <w:tcPr>
            <w:tcW w:w="1770" w:type="dxa"/>
            <w:tcBorders>
              <w:top w:val="thinThickSmallGap" w:sz="24" w:space="0" w:color="auto"/>
              <w:left w:val="nil"/>
              <w:bottom w:val="single" w:sz="4" w:space="0" w:color="auto"/>
              <w:right w:val="nil"/>
            </w:tcBorders>
            <w:vAlign w:val="center"/>
          </w:tcPr>
          <w:p w14:paraId="2900B81A" w14:textId="77777777" w:rsidR="007F12C5" w:rsidRPr="005A68E6" w:rsidRDefault="007F12C5" w:rsidP="007F12C5">
            <w:pPr>
              <w:spacing w:line="240" w:lineRule="auto"/>
              <w:ind w:firstLine="0"/>
              <w:jc w:val="center"/>
            </w:pPr>
            <w:r w:rsidRPr="005A68E6">
              <w:t>-</w:t>
            </w:r>
          </w:p>
        </w:tc>
        <w:tc>
          <w:tcPr>
            <w:tcW w:w="1950" w:type="dxa"/>
            <w:gridSpan w:val="3"/>
            <w:tcBorders>
              <w:top w:val="thinThickSmallGap" w:sz="24" w:space="0" w:color="auto"/>
              <w:left w:val="nil"/>
              <w:bottom w:val="single" w:sz="4" w:space="0" w:color="auto"/>
              <w:right w:val="nil"/>
            </w:tcBorders>
            <w:vAlign w:val="center"/>
          </w:tcPr>
          <w:p w14:paraId="1BA384DB" w14:textId="77777777" w:rsidR="007F12C5" w:rsidRPr="005A68E6" w:rsidRDefault="007F12C5" w:rsidP="007F12C5">
            <w:pPr>
              <w:spacing w:line="240" w:lineRule="auto"/>
              <w:ind w:firstLine="0"/>
              <w:jc w:val="center"/>
              <w:rPr>
                <w:lang w:val="en-US"/>
              </w:rPr>
            </w:pPr>
            <w:r w:rsidRPr="005A68E6">
              <w:rPr>
                <w:lang w:val="en-US"/>
              </w:rPr>
              <w:t>-</w:t>
            </w:r>
          </w:p>
        </w:tc>
        <w:tc>
          <w:tcPr>
            <w:tcW w:w="2005" w:type="dxa"/>
            <w:gridSpan w:val="2"/>
            <w:tcBorders>
              <w:top w:val="thinThickSmallGap" w:sz="24" w:space="0" w:color="auto"/>
              <w:left w:val="nil"/>
              <w:bottom w:val="single" w:sz="4" w:space="0" w:color="auto"/>
              <w:right w:val="nil"/>
            </w:tcBorders>
            <w:vAlign w:val="center"/>
          </w:tcPr>
          <w:p w14:paraId="6B2C7D01" w14:textId="77777777" w:rsidR="007F12C5" w:rsidRPr="005A68E6" w:rsidRDefault="007F12C5" w:rsidP="007F12C5">
            <w:pPr>
              <w:spacing w:line="240" w:lineRule="auto"/>
              <w:ind w:firstLine="0"/>
              <w:jc w:val="center"/>
              <w:rPr>
                <w:lang w:val="en-US"/>
              </w:rPr>
            </w:pPr>
            <w:r w:rsidRPr="005A68E6">
              <w:rPr>
                <w:lang w:val="en-US"/>
              </w:rPr>
              <w:t>82.5</w:t>
            </w:r>
          </w:p>
        </w:tc>
      </w:tr>
      <w:tr w:rsidR="007F12C5" w:rsidRPr="005A68E6" w14:paraId="2614F1FA" w14:textId="77777777" w:rsidTr="00581010">
        <w:trPr>
          <w:trHeight w:val="319"/>
          <w:jc w:val="center"/>
        </w:trPr>
        <w:tc>
          <w:tcPr>
            <w:tcW w:w="3564" w:type="dxa"/>
            <w:gridSpan w:val="2"/>
            <w:tcBorders>
              <w:top w:val="single" w:sz="4" w:space="0" w:color="auto"/>
              <w:left w:val="nil"/>
              <w:bottom w:val="thickThinSmallGap" w:sz="24" w:space="0" w:color="auto"/>
              <w:right w:val="nil"/>
            </w:tcBorders>
            <w:vAlign w:val="center"/>
          </w:tcPr>
          <w:p w14:paraId="20662639" w14:textId="7E956CA3" w:rsidR="007F12C5" w:rsidRPr="005A68E6" w:rsidRDefault="007F12C5" w:rsidP="007F12C5">
            <w:pPr>
              <w:spacing w:line="240" w:lineRule="auto"/>
              <w:ind w:firstLine="0"/>
              <w:jc w:val="left"/>
            </w:pPr>
            <w:r w:rsidRPr="005A68E6">
              <w:t>Foreign currency denominated Government bonds, billion AMD</w:t>
            </w:r>
          </w:p>
        </w:tc>
        <w:tc>
          <w:tcPr>
            <w:tcW w:w="1572" w:type="dxa"/>
            <w:gridSpan w:val="2"/>
            <w:tcBorders>
              <w:top w:val="single" w:sz="4" w:space="0" w:color="auto"/>
              <w:left w:val="nil"/>
              <w:bottom w:val="thickThinSmallGap" w:sz="24" w:space="0" w:color="auto"/>
              <w:right w:val="nil"/>
            </w:tcBorders>
            <w:vAlign w:val="center"/>
          </w:tcPr>
          <w:p w14:paraId="09D51B66" w14:textId="77777777" w:rsidR="007F12C5" w:rsidRPr="005A68E6" w:rsidRDefault="007F12C5" w:rsidP="007F12C5">
            <w:pPr>
              <w:spacing w:line="240" w:lineRule="auto"/>
              <w:ind w:firstLine="0"/>
              <w:jc w:val="center"/>
            </w:pPr>
            <w:r w:rsidRPr="005A68E6">
              <w:t>-</w:t>
            </w:r>
          </w:p>
        </w:tc>
        <w:tc>
          <w:tcPr>
            <w:tcW w:w="1770" w:type="dxa"/>
            <w:tcBorders>
              <w:top w:val="single" w:sz="4" w:space="0" w:color="auto"/>
              <w:left w:val="nil"/>
              <w:bottom w:val="thickThinSmallGap" w:sz="24" w:space="0" w:color="auto"/>
              <w:right w:val="nil"/>
            </w:tcBorders>
            <w:vAlign w:val="center"/>
          </w:tcPr>
          <w:p w14:paraId="4F88BE7E" w14:textId="77777777" w:rsidR="007F12C5" w:rsidRPr="005A68E6" w:rsidRDefault="007F12C5" w:rsidP="007F12C5">
            <w:pPr>
              <w:spacing w:line="240" w:lineRule="auto"/>
              <w:ind w:firstLine="0"/>
              <w:jc w:val="center"/>
            </w:pPr>
            <w:r w:rsidRPr="005A68E6">
              <w:t>-</w:t>
            </w:r>
          </w:p>
        </w:tc>
        <w:tc>
          <w:tcPr>
            <w:tcW w:w="1950" w:type="dxa"/>
            <w:gridSpan w:val="3"/>
            <w:tcBorders>
              <w:top w:val="single" w:sz="4" w:space="0" w:color="auto"/>
              <w:left w:val="nil"/>
              <w:bottom w:val="thickThinSmallGap" w:sz="24" w:space="0" w:color="auto"/>
              <w:right w:val="nil"/>
            </w:tcBorders>
            <w:vAlign w:val="center"/>
          </w:tcPr>
          <w:p w14:paraId="4C00C895" w14:textId="77777777" w:rsidR="007F12C5" w:rsidRPr="005A68E6" w:rsidRDefault="007F12C5" w:rsidP="007F12C5">
            <w:pPr>
              <w:spacing w:line="240" w:lineRule="auto"/>
              <w:ind w:firstLine="0"/>
              <w:jc w:val="center"/>
              <w:rPr>
                <w:lang w:val="en-US"/>
              </w:rPr>
            </w:pPr>
            <w:r w:rsidRPr="005A68E6">
              <w:rPr>
                <w:lang w:val="en-US"/>
              </w:rPr>
              <w:t>-</w:t>
            </w:r>
          </w:p>
        </w:tc>
        <w:tc>
          <w:tcPr>
            <w:tcW w:w="2005" w:type="dxa"/>
            <w:gridSpan w:val="2"/>
            <w:tcBorders>
              <w:top w:val="single" w:sz="4" w:space="0" w:color="auto"/>
              <w:left w:val="nil"/>
              <w:bottom w:val="thickThinSmallGap" w:sz="24" w:space="0" w:color="auto"/>
              <w:right w:val="nil"/>
            </w:tcBorders>
            <w:vAlign w:val="center"/>
          </w:tcPr>
          <w:p w14:paraId="551BC9AE" w14:textId="77777777" w:rsidR="007F12C5" w:rsidRPr="005A68E6" w:rsidRDefault="007F12C5" w:rsidP="007F12C5">
            <w:pPr>
              <w:spacing w:line="240" w:lineRule="auto"/>
              <w:ind w:firstLine="0"/>
              <w:jc w:val="center"/>
              <w:rPr>
                <w:lang w:val="en-US"/>
              </w:rPr>
            </w:pPr>
            <w:r w:rsidRPr="005A68E6">
              <w:rPr>
                <w:lang w:val="en-US"/>
              </w:rPr>
              <w:t>37.4</w:t>
            </w:r>
          </w:p>
        </w:tc>
      </w:tr>
      <w:tr w:rsidR="002E1183" w:rsidRPr="005A68E6" w14:paraId="0A357B5D" w14:textId="77777777" w:rsidTr="00233F1B">
        <w:trPr>
          <w:gridAfter w:val="1"/>
          <w:wAfter w:w="97" w:type="dxa"/>
          <w:trHeight w:val="265"/>
          <w:jc w:val="center"/>
        </w:trPr>
        <w:tc>
          <w:tcPr>
            <w:tcW w:w="3319" w:type="dxa"/>
            <w:tcBorders>
              <w:top w:val="thinThickSmallGap" w:sz="24" w:space="0" w:color="auto"/>
              <w:left w:val="nil"/>
              <w:bottom w:val="thinThickSmallGap" w:sz="24" w:space="0" w:color="auto"/>
              <w:right w:val="nil"/>
            </w:tcBorders>
            <w:shd w:val="clear" w:color="auto" w:fill="5B9BD5"/>
          </w:tcPr>
          <w:p w14:paraId="0C93CE87" w14:textId="77777777" w:rsidR="002E1183" w:rsidRPr="005A68E6" w:rsidRDefault="002E1183" w:rsidP="002E1183">
            <w:pPr>
              <w:spacing w:line="240" w:lineRule="auto"/>
              <w:ind w:firstLine="0"/>
              <w:jc w:val="left"/>
              <w:rPr>
                <w:sz w:val="24"/>
                <w:szCs w:val="8"/>
              </w:rPr>
            </w:pPr>
          </w:p>
        </w:tc>
        <w:tc>
          <w:tcPr>
            <w:tcW w:w="1786" w:type="dxa"/>
            <w:gridSpan w:val="2"/>
            <w:tcBorders>
              <w:top w:val="thinThickSmallGap" w:sz="24" w:space="0" w:color="auto"/>
              <w:left w:val="nil"/>
              <w:bottom w:val="thinThickSmallGap" w:sz="24" w:space="0" w:color="auto"/>
              <w:right w:val="nil"/>
            </w:tcBorders>
            <w:shd w:val="clear" w:color="auto" w:fill="5B9BD5"/>
            <w:vAlign w:val="center"/>
          </w:tcPr>
          <w:p w14:paraId="1D66C831" w14:textId="77777777" w:rsidR="002E1183" w:rsidRPr="005A68E6" w:rsidRDefault="002E1183" w:rsidP="002E1183">
            <w:pPr>
              <w:ind w:firstLine="0"/>
              <w:jc w:val="center"/>
              <w:rPr>
                <w:rFonts w:cs="Sylfaen"/>
                <w:sz w:val="24"/>
                <w:szCs w:val="8"/>
                <w:lang w:val="en-US"/>
              </w:rPr>
            </w:pPr>
          </w:p>
        </w:tc>
        <w:tc>
          <w:tcPr>
            <w:tcW w:w="1919" w:type="dxa"/>
            <w:gridSpan w:val="3"/>
            <w:tcBorders>
              <w:top w:val="thinThickSmallGap" w:sz="24" w:space="0" w:color="auto"/>
              <w:left w:val="nil"/>
              <w:bottom w:val="thinThickSmallGap" w:sz="24" w:space="0" w:color="auto"/>
              <w:right w:val="nil"/>
            </w:tcBorders>
            <w:shd w:val="clear" w:color="auto" w:fill="5B9BD5"/>
            <w:vAlign w:val="center"/>
          </w:tcPr>
          <w:p w14:paraId="766A61EA" w14:textId="77777777" w:rsidR="002E1183" w:rsidRPr="005A68E6" w:rsidRDefault="002E1183" w:rsidP="002E1183">
            <w:pPr>
              <w:spacing w:line="240" w:lineRule="auto"/>
              <w:ind w:firstLine="0"/>
              <w:jc w:val="center"/>
              <w:rPr>
                <w:lang w:val="en-US"/>
              </w:rPr>
            </w:pPr>
            <w:r w:rsidRPr="005A68E6">
              <w:rPr>
                <w:lang w:val="en-US"/>
              </w:rPr>
              <w:t>Disbursement</w:t>
            </w:r>
          </w:p>
          <w:p w14:paraId="0B1ACDA8" w14:textId="6A3B448B" w:rsidR="002E1183" w:rsidRPr="005A68E6" w:rsidRDefault="002E1183" w:rsidP="002E1183">
            <w:pPr>
              <w:spacing w:line="240" w:lineRule="auto"/>
              <w:ind w:firstLine="0"/>
              <w:jc w:val="center"/>
            </w:pPr>
            <w:r w:rsidRPr="005A68E6">
              <w:rPr>
                <w:lang w:val="en-US"/>
              </w:rPr>
              <w:t>volume</w:t>
            </w:r>
          </w:p>
        </w:tc>
        <w:tc>
          <w:tcPr>
            <w:tcW w:w="1804" w:type="dxa"/>
            <w:tcBorders>
              <w:top w:val="thinThickSmallGap" w:sz="24" w:space="0" w:color="auto"/>
              <w:left w:val="nil"/>
              <w:bottom w:val="thinThickSmallGap" w:sz="24" w:space="0" w:color="auto"/>
              <w:right w:val="nil"/>
            </w:tcBorders>
            <w:shd w:val="clear" w:color="auto" w:fill="5B9BD5"/>
            <w:vAlign w:val="center"/>
          </w:tcPr>
          <w:p w14:paraId="1E504EF2" w14:textId="5DF7371E" w:rsidR="002E1183" w:rsidRPr="005A68E6" w:rsidRDefault="002E1183" w:rsidP="002E1183">
            <w:pPr>
              <w:spacing w:line="240" w:lineRule="auto"/>
              <w:ind w:firstLine="0"/>
              <w:jc w:val="center"/>
            </w:pPr>
            <w:r w:rsidRPr="005A68E6">
              <w:t>Redemption</w:t>
            </w:r>
            <w:r w:rsidRPr="005A68E6">
              <w:rPr>
                <w:lang w:val="en-US"/>
              </w:rPr>
              <w:t xml:space="preserve"> volume</w:t>
            </w:r>
          </w:p>
        </w:tc>
        <w:tc>
          <w:tcPr>
            <w:tcW w:w="1936" w:type="dxa"/>
            <w:gridSpan w:val="2"/>
            <w:tcBorders>
              <w:top w:val="thinThickSmallGap" w:sz="24" w:space="0" w:color="auto"/>
              <w:left w:val="nil"/>
              <w:bottom w:val="thinThickSmallGap" w:sz="24" w:space="0" w:color="auto"/>
              <w:right w:val="nil"/>
            </w:tcBorders>
            <w:shd w:val="clear" w:color="auto" w:fill="5B9BD5"/>
            <w:vAlign w:val="center"/>
          </w:tcPr>
          <w:p w14:paraId="5888BC54" w14:textId="77777777" w:rsidR="002E1183" w:rsidRPr="005A68E6" w:rsidRDefault="002E1183" w:rsidP="002E1183">
            <w:pPr>
              <w:spacing w:line="240" w:lineRule="auto"/>
              <w:ind w:firstLine="0"/>
              <w:jc w:val="center"/>
              <w:rPr>
                <w:lang w:val="en-US"/>
              </w:rPr>
            </w:pPr>
            <w:r w:rsidRPr="005A68E6">
              <w:t>Interest amount</w:t>
            </w:r>
          </w:p>
          <w:p w14:paraId="09F15423" w14:textId="10ADD0BD" w:rsidR="002E1183" w:rsidRPr="005A68E6" w:rsidRDefault="002E1183" w:rsidP="002E1183">
            <w:pPr>
              <w:spacing w:line="240" w:lineRule="auto"/>
              <w:ind w:firstLine="0"/>
              <w:jc w:val="center"/>
            </w:pPr>
            <w:r w:rsidRPr="005A68E6">
              <w:t>paid</w:t>
            </w:r>
          </w:p>
        </w:tc>
      </w:tr>
      <w:tr w:rsidR="002E1183" w:rsidRPr="005A68E6" w14:paraId="3B202DB0" w14:textId="77777777" w:rsidTr="00581010">
        <w:trPr>
          <w:gridAfter w:val="1"/>
          <w:wAfter w:w="97" w:type="dxa"/>
          <w:trHeight w:val="485"/>
          <w:jc w:val="center"/>
        </w:trPr>
        <w:tc>
          <w:tcPr>
            <w:tcW w:w="3319" w:type="dxa"/>
            <w:tcBorders>
              <w:top w:val="thinThickSmallGap" w:sz="24" w:space="0" w:color="auto"/>
              <w:left w:val="nil"/>
              <w:bottom w:val="single" w:sz="4" w:space="0" w:color="auto"/>
              <w:right w:val="nil"/>
            </w:tcBorders>
          </w:tcPr>
          <w:p w14:paraId="40CA5E8D" w14:textId="3C82EB9B" w:rsidR="002E1183" w:rsidRPr="005A68E6" w:rsidRDefault="002E1183" w:rsidP="002E1183">
            <w:pPr>
              <w:spacing w:line="240" w:lineRule="auto"/>
              <w:ind w:firstLine="0"/>
              <w:jc w:val="left"/>
            </w:pPr>
            <w:r w:rsidRPr="005A68E6">
              <w:t>External loans, million USD</w:t>
            </w:r>
          </w:p>
        </w:tc>
        <w:tc>
          <w:tcPr>
            <w:tcW w:w="1786" w:type="dxa"/>
            <w:gridSpan w:val="2"/>
            <w:tcBorders>
              <w:top w:val="thinThickSmallGap" w:sz="24" w:space="0" w:color="auto"/>
              <w:left w:val="nil"/>
              <w:bottom w:val="single" w:sz="4" w:space="0" w:color="auto"/>
              <w:right w:val="nil"/>
            </w:tcBorders>
          </w:tcPr>
          <w:p w14:paraId="2E9A10CE" w14:textId="16D456B0" w:rsidR="002E1183" w:rsidRPr="005A68E6" w:rsidRDefault="002E1183" w:rsidP="002E1183">
            <w:pPr>
              <w:ind w:firstLine="0"/>
              <w:jc w:val="center"/>
              <w:rPr>
                <w:rFonts w:cs="Sylfaen"/>
                <w:sz w:val="24"/>
                <w:szCs w:val="24"/>
              </w:rPr>
            </w:pPr>
          </w:p>
        </w:tc>
        <w:tc>
          <w:tcPr>
            <w:tcW w:w="1919" w:type="dxa"/>
            <w:gridSpan w:val="3"/>
            <w:tcBorders>
              <w:top w:val="thinThickSmallGap" w:sz="24" w:space="0" w:color="auto"/>
              <w:left w:val="nil"/>
              <w:bottom w:val="single" w:sz="4" w:space="0" w:color="auto"/>
              <w:right w:val="nil"/>
            </w:tcBorders>
            <w:vAlign w:val="center"/>
          </w:tcPr>
          <w:p w14:paraId="6783708C" w14:textId="77777777" w:rsidR="002E1183" w:rsidRPr="005A68E6" w:rsidRDefault="002E1183" w:rsidP="002E1183">
            <w:pPr>
              <w:ind w:firstLine="0"/>
              <w:jc w:val="center"/>
              <w:rPr>
                <w:rFonts w:cs="Sylfaen"/>
                <w:sz w:val="24"/>
                <w:szCs w:val="24"/>
                <w:lang w:val="en-US"/>
              </w:rPr>
            </w:pPr>
            <w:r w:rsidRPr="005A68E6">
              <w:rPr>
                <w:sz w:val="24"/>
                <w:szCs w:val="24"/>
              </w:rPr>
              <w:t>397.</w:t>
            </w:r>
            <w:r w:rsidRPr="005A68E6">
              <w:rPr>
                <w:sz w:val="24"/>
                <w:szCs w:val="24"/>
                <w:lang w:val="en-US"/>
              </w:rPr>
              <w:t>9</w:t>
            </w:r>
          </w:p>
        </w:tc>
        <w:tc>
          <w:tcPr>
            <w:tcW w:w="1804" w:type="dxa"/>
            <w:tcBorders>
              <w:top w:val="thinThickSmallGap" w:sz="24" w:space="0" w:color="auto"/>
              <w:left w:val="nil"/>
              <w:bottom w:val="single" w:sz="4" w:space="0" w:color="auto"/>
              <w:right w:val="nil"/>
            </w:tcBorders>
            <w:vAlign w:val="center"/>
          </w:tcPr>
          <w:p w14:paraId="3881902A" w14:textId="77777777" w:rsidR="002E1183" w:rsidRPr="005A68E6" w:rsidRDefault="002E1183" w:rsidP="002E1183">
            <w:pPr>
              <w:ind w:firstLine="0"/>
              <w:jc w:val="center"/>
              <w:rPr>
                <w:rFonts w:cs="Sylfaen"/>
                <w:sz w:val="24"/>
                <w:szCs w:val="24"/>
                <w:lang w:val="en-US"/>
              </w:rPr>
            </w:pPr>
            <w:r w:rsidRPr="005A68E6">
              <w:rPr>
                <w:lang w:val="en-US"/>
              </w:rPr>
              <w:t>228.5</w:t>
            </w:r>
          </w:p>
        </w:tc>
        <w:tc>
          <w:tcPr>
            <w:tcW w:w="1936" w:type="dxa"/>
            <w:gridSpan w:val="2"/>
            <w:tcBorders>
              <w:top w:val="thinThickSmallGap" w:sz="24" w:space="0" w:color="auto"/>
              <w:left w:val="nil"/>
              <w:bottom w:val="single" w:sz="4" w:space="0" w:color="auto"/>
              <w:right w:val="nil"/>
            </w:tcBorders>
            <w:vAlign w:val="center"/>
          </w:tcPr>
          <w:p w14:paraId="5D8464E9" w14:textId="77777777" w:rsidR="002E1183" w:rsidRPr="005A68E6" w:rsidRDefault="002E1183" w:rsidP="002E1183">
            <w:pPr>
              <w:ind w:firstLine="0"/>
              <w:jc w:val="center"/>
              <w:rPr>
                <w:lang w:val="en-US"/>
              </w:rPr>
            </w:pPr>
            <w:r w:rsidRPr="005A68E6">
              <w:rPr>
                <w:lang w:val="en-US"/>
              </w:rPr>
              <w:t>81.6</w:t>
            </w:r>
          </w:p>
        </w:tc>
      </w:tr>
      <w:tr w:rsidR="002E1183" w:rsidRPr="005A68E6" w14:paraId="1E369812" w14:textId="77777777" w:rsidTr="00581010">
        <w:trPr>
          <w:gridAfter w:val="1"/>
          <w:wAfter w:w="97" w:type="dxa"/>
          <w:trHeight w:val="485"/>
          <w:jc w:val="center"/>
        </w:trPr>
        <w:tc>
          <w:tcPr>
            <w:tcW w:w="3319" w:type="dxa"/>
            <w:tcBorders>
              <w:top w:val="single" w:sz="4" w:space="0" w:color="auto"/>
              <w:left w:val="nil"/>
              <w:bottom w:val="thickThinSmallGap" w:sz="24" w:space="0" w:color="auto"/>
              <w:right w:val="nil"/>
            </w:tcBorders>
          </w:tcPr>
          <w:p w14:paraId="5C859A1E" w14:textId="5346B544" w:rsidR="002E1183" w:rsidRPr="005A68E6" w:rsidRDefault="002E1183" w:rsidP="002E1183">
            <w:pPr>
              <w:spacing w:line="240" w:lineRule="auto"/>
              <w:ind w:firstLine="0"/>
              <w:jc w:val="left"/>
            </w:pPr>
            <w:r w:rsidRPr="005A68E6">
              <w:t>External loans, billion AMD</w:t>
            </w:r>
          </w:p>
        </w:tc>
        <w:tc>
          <w:tcPr>
            <w:tcW w:w="1786" w:type="dxa"/>
            <w:gridSpan w:val="2"/>
            <w:tcBorders>
              <w:top w:val="single" w:sz="4" w:space="0" w:color="auto"/>
              <w:left w:val="nil"/>
              <w:bottom w:val="thickThinSmallGap" w:sz="24" w:space="0" w:color="auto"/>
              <w:right w:val="nil"/>
            </w:tcBorders>
          </w:tcPr>
          <w:p w14:paraId="0C76614B" w14:textId="6B0E6AE3" w:rsidR="002E1183" w:rsidRPr="005A68E6" w:rsidRDefault="002E1183" w:rsidP="002E1183">
            <w:pPr>
              <w:ind w:firstLine="0"/>
              <w:jc w:val="center"/>
              <w:rPr>
                <w:rFonts w:cs="Sylfaen"/>
                <w:sz w:val="24"/>
                <w:szCs w:val="24"/>
                <w:lang w:val="en-US"/>
              </w:rPr>
            </w:pPr>
          </w:p>
        </w:tc>
        <w:tc>
          <w:tcPr>
            <w:tcW w:w="1919" w:type="dxa"/>
            <w:gridSpan w:val="3"/>
            <w:tcBorders>
              <w:top w:val="single" w:sz="4" w:space="0" w:color="auto"/>
              <w:left w:val="nil"/>
              <w:bottom w:val="thickThinSmallGap" w:sz="24" w:space="0" w:color="auto"/>
              <w:right w:val="nil"/>
            </w:tcBorders>
            <w:vAlign w:val="center"/>
          </w:tcPr>
          <w:p w14:paraId="347F3F68" w14:textId="77777777" w:rsidR="002E1183" w:rsidRPr="005A68E6" w:rsidRDefault="002E1183" w:rsidP="002E1183">
            <w:pPr>
              <w:ind w:firstLine="0"/>
              <w:jc w:val="center"/>
              <w:rPr>
                <w:sz w:val="24"/>
                <w:szCs w:val="24"/>
              </w:rPr>
            </w:pPr>
            <w:r w:rsidRPr="005A68E6">
              <w:rPr>
                <w:lang w:val="en-US"/>
              </w:rPr>
              <w:t>165.8</w:t>
            </w:r>
          </w:p>
        </w:tc>
        <w:tc>
          <w:tcPr>
            <w:tcW w:w="1804" w:type="dxa"/>
            <w:tcBorders>
              <w:top w:val="single" w:sz="4" w:space="0" w:color="auto"/>
              <w:left w:val="nil"/>
              <w:bottom w:val="thickThinSmallGap" w:sz="24" w:space="0" w:color="auto"/>
              <w:right w:val="nil"/>
            </w:tcBorders>
            <w:vAlign w:val="center"/>
          </w:tcPr>
          <w:p w14:paraId="10B0455C" w14:textId="77777777" w:rsidR="002E1183" w:rsidRPr="005A68E6" w:rsidRDefault="002E1183" w:rsidP="002E1183">
            <w:pPr>
              <w:ind w:firstLine="0"/>
              <w:jc w:val="center"/>
              <w:rPr>
                <w:lang w:val="en-US"/>
              </w:rPr>
            </w:pPr>
            <w:r w:rsidRPr="005A68E6">
              <w:rPr>
                <w:lang w:val="en-US"/>
              </w:rPr>
              <w:t>99.6</w:t>
            </w:r>
          </w:p>
        </w:tc>
        <w:tc>
          <w:tcPr>
            <w:tcW w:w="1936" w:type="dxa"/>
            <w:gridSpan w:val="2"/>
            <w:tcBorders>
              <w:top w:val="single" w:sz="4" w:space="0" w:color="auto"/>
              <w:left w:val="nil"/>
              <w:bottom w:val="thickThinSmallGap" w:sz="24" w:space="0" w:color="auto"/>
              <w:right w:val="nil"/>
            </w:tcBorders>
            <w:vAlign w:val="center"/>
          </w:tcPr>
          <w:p w14:paraId="5561A653" w14:textId="77777777" w:rsidR="002E1183" w:rsidRPr="005A68E6" w:rsidRDefault="002E1183" w:rsidP="002E1183">
            <w:pPr>
              <w:ind w:firstLine="0"/>
              <w:jc w:val="center"/>
              <w:rPr>
                <w:lang w:val="en-US"/>
              </w:rPr>
            </w:pPr>
            <w:r w:rsidRPr="005A68E6">
              <w:rPr>
                <w:lang w:val="en-US"/>
              </w:rPr>
              <w:t>35.0</w:t>
            </w:r>
          </w:p>
        </w:tc>
      </w:tr>
    </w:tbl>
    <w:p w14:paraId="6A8B0F45" w14:textId="226918D8" w:rsidR="00AF2E7E" w:rsidRPr="005A68E6" w:rsidRDefault="00AF2E7E" w:rsidP="006C54EB">
      <w:pPr>
        <w:shd w:val="clear" w:color="auto" w:fill="FFFFFF"/>
        <w:spacing w:before="120" w:after="120" w:line="312" w:lineRule="auto"/>
        <w:ind w:firstLine="720"/>
        <w:rPr>
          <w:sz w:val="16"/>
        </w:rPr>
      </w:pPr>
      <w:r w:rsidRPr="005A68E6">
        <w:rPr>
          <w:sz w:val="16"/>
        </w:rPr>
        <w:t>Source: RA MoF</w:t>
      </w:r>
    </w:p>
    <w:p w14:paraId="2FC085E8" w14:textId="7DA7E12E" w:rsidR="007F12C5" w:rsidRPr="005A68E6" w:rsidRDefault="007F12C5" w:rsidP="007F12C5">
      <w:pPr>
        <w:pStyle w:val="af6"/>
      </w:pPr>
    </w:p>
    <w:p w14:paraId="2C1A4A04" w14:textId="2EA0AB15" w:rsidR="00AF2E7E" w:rsidRPr="005A68E6" w:rsidRDefault="00AF2E7E" w:rsidP="00AF2E7E">
      <w:pPr>
        <w:rPr>
          <w:lang w:val="en-US"/>
        </w:rPr>
      </w:pPr>
      <w:r w:rsidRPr="005A68E6">
        <w:t>During 2022 the weighted average</w:t>
      </w:r>
      <w:r w:rsidRPr="005A68E6">
        <w:rPr>
          <w:lang w:val="en-US"/>
        </w:rPr>
        <w:t xml:space="preserve"> yield of the primary allocations of the Governm</w:t>
      </w:r>
      <w:r w:rsidR="00AF02F9" w:rsidRPr="005A68E6">
        <w:rPr>
          <w:lang w:val="en-US"/>
        </w:rPr>
        <w:t>ent treasury bonds made up 11.0</w:t>
      </w:r>
      <w:r w:rsidRPr="005A68E6">
        <w:rPr>
          <w:lang w:val="en-US"/>
        </w:rPr>
        <w:t>7%, increasing by 1.8 percentage points compared to the previous year (9.27%)</w:t>
      </w:r>
      <w:r w:rsidRPr="005A68E6">
        <w:t xml:space="preserve">, where the weighted average maturity of </w:t>
      </w:r>
      <w:r w:rsidRPr="005A68E6">
        <w:rPr>
          <w:lang w:val="en-US"/>
        </w:rPr>
        <w:t xml:space="preserve">Government treasury bonds allocated during 2022 was 1762 days or 4.8 years compared to 3207 days or 8.8 years for the same indicator of the previous year. </w:t>
      </w:r>
      <w:r w:rsidR="008763AA" w:rsidRPr="005A68E6">
        <w:rPr>
          <w:lang w:val="en-US"/>
        </w:rPr>
        <w:t>T</w:t>
      </w:r>
      <w:r w:rsidRPr="005A68E6">
        <w:rPr>
          <w:lang w:val="en-US"/>
        </w:rPr>
        <w:t xml:space="preserve">he significant tightening of </w:t>
      </w:r>
      <w:r w:rsidR="00E15927" w:rsidRPr="005A68E6">
        <w:rPr>
          <w:lang w:val="en-US"/>
        </w:rPr>
        <w:t xml:space="preserve">the </w:t>
      </w:r>
      <w:r w:rsidRPr="005A68E6">
        <w:rPr>
          <w:lang w:val="en-US"/>
        </w:rPr>
        <w:t xml:space="preserve">monetary </w:t>
      </w:r>
      <w:r w:rsidR="00E15927" w:rsidRPr="005A68E6">
        <w:rPr>
          <w:lang w:val="en-US"/>
        </w:rPr>
        <w:t xml:space="preserve">policy </w:t>
      </w:r>
      <w:r w:rsidRPr="005A68E6">
        <w:rPr>
          <w:lang w:val="en-US"/>
        </w:rPr>
        <w:t xml:space="preserve">conditions </w:t>
      </w:r>
      <w:r w:rsidR="008763AA" w:rsidRPr="005A68E6">
        <w:rPr>
          <w:lang w:val="en-US"/>
        </w:rPr>
        <w:t>by</w:t>
      </w:r>
      <w:r w:rsidRPr="005A68E6">
        <w:rPr>
          <w:lang w:val="en-US"/>
        </w:rPr>
        <w:t xml:space="preserve"> the CBA result</w:t>
      </w:r>
      <w:r w:rsidR="008763AA" w:rsidRPr="005A68E6">
        <w:rPr>
          <w:lang w:val="en-US"/>
        </w:rPr>
        <w:t>ed</w:t>
      </w:r>
      <w:r w:rsidRPr="005A68E6">
        <w:rPr>
          <w:lang w:val="en-US"/>
        </w:rPr>
        <w:t xml:space="preserve"> in rising interest rates in the Government treasury bond market, </w:t>
      </w:r>
      <w:r w:rsidR="008763AA" w:rsidRPr="005A68E6">
        <w:rPr>
          <w:lang w:val="en-US"/>
        </w:rPr>
        <w:t xml:space="preserve">and as a consequence </w:t>
      </w:r>
      <w:r w:rsidRPr="005A68E6">
        <w:rPr>
          <w:lang w:val="en-US"/>
        </w:rPr>
        <w:t xml:space="preserve">the weighted average maturity of Government treasury bonds was reduced to mitigate the impact on interest costs. </w:t>
      </w:r>
    </w:p>
    <w:p w14:paraId="4A11BE9D" w14:textId="77777777" w:rsidR="00AF2E7E" w:rsidRPr="005A68E6" w:rsidRDefault="00AF2E7E" w:rsidP="00AF2E7E">
      <w:pPr>
        <w:rPr>
          <w:lang w:val="en-US"/>
        </w:rPr>
      </w:pPr>
      <w:r w:rsidRPr="005A68E6">
        <w:rPr>
          <w:lang w:val="en-US"/>
        </w:rPr>
        <w:t xml:space="preserve">During 2022 allocation and redemption of new Eurobonds was not carried out.  </w:t>
      </w:r>
    </w:p>
    <w:p w14:paraId="036C04E8" w14:textId="77777777" w:rsidR="00AF2E7E" w:rsidRPr="005A68E6" w:rsidRDefault="00AF2E7E" w:rsidP="0070296A">
      <w:pPr>
        <w:keepNext/>
        <w:rPr>
          <w:lang w:val="en-US"/>
        </w:rPr>
      </w:pPr>
    </w:p>
    <w:p w14:paraId="36E0BF2A" w14:textId="47D45DF3" w:rsidR="00425637" w:rsidRPr="005A68E6" w:rsidRDefault="00F9519E" w:rsidP="00E31CAF">
      <w:pPr>
        <w:pStyle w:val="Heading1"/>
        <w:spacing w:line="240" w:lineRule="auto"/>
        <w:ind w:firstLine="0"/>
        <w:jc w:val="left"/>
      </w:pPr>
      <w:r w:rsidRPr="005A68E6">
        <w:rPr>
          <w:color w:val="FF0000"/>
          <w:sz w:val="22"/>
        </w:rPr>
        <w:br w:type="page"/>
      </w:r>
      <w:bookmarkStart w:id="8" w:name="_Toc150627819"/>
      <w:r w:rsidR="00CF2BCE" w:rsidRPr="005A68E6">
        <w:lastRenderedPageBreak/>
        <w:t>Cost-at-risk decription of the RA Government debt portfolio</w:t>
      </w:r>
      <w:bookmarkEnd w:id="8"/>
      <w:r w:rsidR="00CF2BCE" w:rsidRPr="005A68E6">
        <w:rPr>
          <w:color w:val="auto"/>
          <w:lang w:val="en-US"/>
        </w:rPr>
        <w:t xml:space="preserve"> </w:t>
      </w:r>
    </w:p>
    <w:p w14:paraId="6DE4F00D" w14:textId="77777777" w:rsidR="00FA37E9" w:rsidRPr="005A68E6" w:rsidRDefault="00FA37E9" w:rsidP="00FA37E9"/>
    <w:p w14:paraId="1D9E34C5" w14:textId="1FDF460A" w:rsidR="00FA37E9" w:rsidRPr="005A68E6" w:rsidRDefault="00FA37E9" w:rsidP="00FA37E9">
      <w:pPr>
        <w:rPr>
          <w:lang w:val="en-US"/>
        </w:rPr>
      </w:pPr>
      <w:r w:rsidRPr="005A68E6">
        <w:rPr>
          <w:lang w:val="en-US"/>
        </w:rPr>
        <w:t xml:space="preserve">At the end of 2022, </w:t>
      </w:r>
      <w:r w:rsidR="00DF55B0" w:rsidRPr="005A68E6">
        <w:rPr>
          <w:lang w:val="en-US"/>
        </w:rPr>
        <w:t>t</w:t>
      </w:r>
      <w:r w:rsidR="00B818A0" w:rsidRPr="005A68E6">
        <w:rPr>
          <w:lang w:val="en-US"/>
        </w:rPr>
        <w:t xml:space="preserve">he </w:t>
      </w:r>
      <w:r w:rsidRPr="005A68E6">
        <w:rPr>
          <w:lang w:val="en-US"/>
        </w:rPr>
        <w:t xml:space="preserve">cost and risk indicators of the RA Government </w:t>
      </w:r>
      <w:r w:rsidR="00B818A0" w:rsidRPr="005A68E6">
        <w:rPr>
          <w:lang w:val="en-US"/>
        </w:rPr>
        <w:t>provide</w:t>
      </w:r>
      <w:r w:rsidR="00DF55B0" w:rsidRPr="005A68E6">
        <w:rPr>
          <w:lang w:val="en-US"/>
        </w:rPr>
        <w:t>d</w:t>
      </w:r>
      <w:r w:rsidR="00B818A0" w:rsidRPr="005A68E6">
        <w:rPr>
          <w:lang w:val="en-US"/>
        </w:rPr>
        <w:t xml:space="preserve"> </w:t>
      </w:r>
      <w:r w:rsidRPr="005A68E6">
        <w:rPr>
          <w:lang w:val="en-US"/>
        </w:rPr>
        <w:t xml:space="preserve">a complete </w:t>
      </w:r>
      <w:r w:rsidR="00DF55B0" w:rsidRPr="005A68E6">
        <w:rPr>
          <w:lang w:val="en-US"/>
        </w:rPr>
        <w:t>overview</w:t>
      </w:r>
      <w:r w:rsidRPr="005A68E6">
        <w:rPr>
          <w:lang w:val="en-US"/>
        </w:rPr>
        <w:t xml:space="preserve"> and qualitatively characterized the RA Government debt portfolio.</w:t>
      </w:r>
    </w:p>
    <w:p w14:paraId="4DE1EE68" w14:textId="3936391B" w:rsidR="000B18AF" w:rsidRPr="005A68E6" w:rsidRDefault="00D372EF" w:rsidP="000B796F">
      <w:pPr>
        <w:pStyle w:val="af6"/>
        <w:numPr>
          <w:ilvl w:val="0"/>
          <w:numId w:val="35"/>
        </w:numPr>
        <w:ind w:left="1276" w:hanging="1276"/>
      </w:pPr>
      <w:r w:rsidRPr="005A68E6">
        <w:rPr>
          <w:rStyle w:val="Emphasis"/>
          <w:rFonts w:cs="Cambria"/>
          <w:i/>
          <w:szCs w:val="24"/>
        </w:rPr>
        <w:t xml:space="preserve">RA Government debt cost and risk indicators as of </w:t>
      </w:r>
      <w:r w:rsidRPr="005A68E6">
        <w:t xml:space="preserve">31.12.2022  </w:t>
      </w:r>
    </w:p>
    <w:tbl>
      <w:tblPr>
        <w:tblW w:w="10159" w:type="dxa"/>
        <w:tblInd w:w="108" w:type="dxa"/>
        <w:tblLayout w:type="fixed"/>
        <w:tblLook w:val="04A0" w:firstRow="1" w:lastRow="0" w:firstColumn="1" w:lastColumn="0" w:noHBand="0" w:noVBand="1"/>
      </w:tblPr>
      <w:tblGrid>
        <w:gridCol w:w="2694"/>
        <w:gridCol w:w="2693"/>
        <w:gridCol w:w="1984"/>
        <w:gridCol w:w="1418"/>
        <w:gridCol w:w="1353"/>
        <w:gridCol w:w="17"/>
      </w:tblGrid>
      <w:tr w:rsidR="0005386C" w:rsidRPr="005A68E6" w14:paraId="77D08D93" w14:textId="77777777" w:rsidTr="00233F1B">
        <w:trPr>
          <w:trHeight w:val="312"/>
          <w:tblHeader/>
        </w:trPr>
        <w:tc>
          <w:tcPr>
            <w:tcW w:w="5387" w:type="dxa"/>
            <w:gridSpan w:val="2"/>
            <w:tcBorders>
              <w:top w:val="single" w:sz="4" w:space="0" w:color="auto"/>
              <w:left w:val="single" w:sz="4" w:space="0" w:color="auto"/>
              <w:bottom w:val="single" w:sz="4" w:space="0" w:color="auto"/>
              <w:right w:val="single" w:sz="4" w:space="0" w:color="000000"/>
            </w:tcBorders>
            <w:shd w:val="clear" w:color="auto" w:fill="5B9BD5"/>
            <w:noWrap/>
            <w:vAlign w:val="bottom"/>
            <w:hideMark/>
          </w:tcPr>
          <w:p w14:paraId="231E9787" w14:textId="77777777" w:rsidR="0005386C" w:rsidRPr="005A68E6" w:rsidRDefault="0005386C" w:rsidP="0005386C">
            <w:pPr>
              <w:spacing w:line="240" w:lineRule="auto"/>
              <w:ind w:firstLine="0"/>
            </w:pPr>
          </w:p>
        </w:tc>
        <w:tc>
          <w:tcPr>
            <w:tcW w:w="1984" w:type="dxa"/>
            <w:tcBorders>
              <w:top w:val="single" w:sz="4" w:space="0" w:color="auto"/>
              <w:left w:val="nil"/>
              <w:bottom w:val="single" w:sz="4" w:space="0" w:color="auto"/>
              <w:right w:val="single" w:sz="4" w:space="0" w:color="auto"/>
            </w:tcBorders>
            <w:shd w:val="clear" w:color="auto" w:fill="5B9BD5"/>
            <w:noWrap/>
            <w:vAlign w:val="center"/>
            <w:hideMark/>
          </w:tcPr>
          <w:p w14:paraId="67A7D92D" w14:textId="7A06DB41" w:rsidR="0005386C" w:rsidRPr="005A68E6" w:rsidRDefault="0005386C" w:rsidP="0005386C">
            <w:pPr>
              <w:spacing w:line="240" w:lineRule="auto"/>
              <w:ind w:firstLine="0"/>
              <w:jc w:val="center"/>
            </w:pPr>
            <w:r w:rsidRPr="005A68E6">
              <w:t>Foreign currency debt</w:t>
            </w:r>
          </w:p>
        </w:tc>
        <w:tc>
          <w:tcPr>
            <w:tcW w:w="1418" w:type="dxa"/>
            <w:tcBorders>
              <w:top w:val="single" w:sz="4" w:space="0" w:color="auto"/>
              <w:left w:val="nil"/>
              <w:bottom w:val="single" w:sz="4" w:space="0" w:color="auto"/>
              <w:right w:val="nil"/>
            </w:tcBorders>
            <w:shd w:val="clear" w:color="auto" w:fill="5B9BD5"/>
            <w:noWrap/>
            <w:vAlign w:val="center"/>
            <w:hideMark/>
          </w:tcPr>
          <w:p w14:paraId="1773B554" w14:textId="77777777" w:rsidR="0005386C" w:rsidRPr="005A68E6" w:rsidRDefault="0005386C" w:rsidP="0005386C">
            <w:pPr>
              <w:spacing w:line="240" w:lineRule="auto"/>
              <w:ind w:firstLine="0"/>
              <w:jc w:val="center"/>
            </w:pPr>
            <w:r w:rsidRPr="005A68E6">
              <w:t xml:space="preserve">AMD </w:t>
            </w:r>
          </w:p>
          <w:p w14:paraId="2D4389F6" w14:textId="4D00212B" w:rsidR="0005386C" w:rsidRPr="005A68E6" w:rsidRDefault="0005386C" w:rsidP="0005386C">
            <w:pPr>
              <w:spacing w:line="240" w:lineRule="auto"/>
              <w:ind w:firstLine="0"/>
              <w:jc w:val="center"/>
            </w:pPr>
            <w:r w:rsidRPr="005A68E6">
              <w:t>debt</w:t>
            </w:r>
          </w:p>
        </w:tc>
        <w:tc>
          <w:tcPr>
            <w:tcW w:w="1370" w:type="dxa"/>
            <w:gridSpan w:val="2"/>
            <w:tcBorders>
              <w:top w:val="single" w:sz="4" w:space="0" w:color="auto"/>
              <w:left w:val="single" w:sz="4" w:space="0" w:color="auto"/>
              <w:bottom w:val="single" w:sz="4" w:space="0" w:color="auto"/>
              <w:right w:val="single" w:sz="4" w:space="0" w:color="auto"/>
            </w:tcBorders>
            <w:shd w:val="clear" w:color="auto" w:fill="5B9BD5"/>
            <w:noWrap/>
            <w:vAlign w:val="center"/>
            <w:hideMark/>
          </w:tcPr>
          <w:p w14:paraId="13106A74" w14:textId="7DE723F0" w:rsidR="0005386C" w:rsidRPr="005A68E6" w:rsidRDefault="0005386C" w:rsidP="0005386C">
            <w:pPr>
              <w:spacing w:line="240" w:lineRule="auto"/>
              <w:ind w:firstLine="0"/>
              <w:jc w:val="center"/>
            </w:pPr>
            <w:r w:rsidRPr="005A68E6">
              <w:t>Total</w:t>
            </w:r>
          </w:p>
        </w:tc>
      </w:tr>
      <w:tr w:rsidR="0005386C" w:rsidRPr="005A68E6" w14:paraId="3EAD54D1" w14:textId="77777777" w:rsidTr="00233F1B">
        <w:trPr>
          <w:trHeight w:val="312"/>
        </w:trPr>
        <w:tc>
          <w:tcPr>
            <w:tcW w:w="53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D42B67" w14:textId="29972384" w:rsidR="0005386C" w:rsidRPr="005A68E6" w:rsidRDefault="0005386C" w:rsidP="0005386C">
            <w:pPr>
              <w:spacing w:line="240" w:lineRule="auto"/>
              <w:ind w:firstLine="0"/>
              <w:jc w:val="left"/>
              <w:rPr>
                <w:rFonts w:cs="Calibri"/>
              </w:rPr>
            </w:pPr>
            <w:r w:rsidRPr="005A68E6">
              <w:t>RA Government debt (billion AMD</w:t>
            </w:r>
            <w:r w:rsidRPr="005A68E6">
              <w:rPr>
                <w:lang w:val="en-US"/>
              </w:rPr>
              <w:t>)</w:t>
            </w:r>
          </w:p>
        </w:tc>
        <w:tc>
          <w:tcPr>
            <w:tcW w:w="1984" w:type="dxa"/>
            <w:tcBorders>
              <w:top w:val="nil"/>
              <w:left w:val="nil"/>
              <w:bottom w:val="single" w:sz="4" w:space="0" w:color="auto"/>
              <w:right w:val="nil"/>
            </w:tcBorders>
            <w:shd w:val="clear" w:color="auto" w:fill="auto"/>
            <w:noWrap/>
            <w:vAlign w:val="center"/>
            <w:hideMark/>
          </w:tcPr>
          <w:p w14:paraId="6491D094" w14:textId="77777777" w:rsidR="0005386C" w:rsidRPr="005A68E6" w:rsidRDefault="0005386C" w:rsidP="0005386C">
            <w:pPr>
              <w:spacing w:line="240" w:lineRule="auto"/>
              <w:ind w:firstLine="0"/>
              <w:jc w:val="center"/>
            </w:pPr>
            <w:r w:rsidRPr="005A68E6">
              <w:t>2,464.3</w:t>
            </w:r>
          </w:p>
        </w:tc>
        <w:tc>
          <w:tcPr>
            <w:tcW w:w="1418" w:type="dxa"/>
            <w:tcBorders>
              <w:top w:val="nil"/>
              <w:left w:val="single" w:sz="4" w:space="0" w:color="auto"/>
              <w:bottom w:val="single" w:sz="4" w:space="0" w:color="auto"/>
              <w:right w:val="nil"/>
            </w:tcBorders>
            <w:shd w:val="clear" w:color="auto" w:fill="auto"/>
            <w:noWrap/>
            <w:vAlign w:val="center"/>
            <w:hideMark/>
          </w:tcPr>
          <w:p w14:paraId="48FBA684" w14:textId="77777777" w:rsidR="0005386C" w:rsidRPr="005A68E6" w:rsidRDefault="0005386C" w:rsidP="0005386C">
            <w:pPr>
              <w:spacing w:line="240" w:lineRule="auto"/>
              <w:ind w:firstLine="0"/>
              <w:jc w:val="center"/>
            </w:pPr>
            <w:r w:rsidRPr="005A68E6">
              <w:rPr>
                <w:lang w:val="en-US"/>
              </w:rPr>
              <w:t>1</w:t>
            </w:r>
            <w:r w:rsidRPr="005A68E6">
              <w:t>,505</w:t>
            </w:r>
            <w:r w:rsidRPr="005A68E6">
              <w:rPr>
                <w:lang w:val="en-US"/>
              </w:rPr>
              <w:t>.</w:t>
            </w:r>
            <w:r w:rsidRPr="005A68E6">
              <w:t>4</w:t>
            </w:r>
          </w:p>
        </w:tc>
        <w:tc>
          <w:tcPr>
            <w:tcW w:w="13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2FED3E" w14:textId="77777777" w:rsidR="0005386C" w:rsidRPr="005A68E6" w:rsidRDefault="0005386C" w:rsidP="0005386C">
            <w:pPr>
              <w:spacing w:line="240" w:lineRule="auto"/>
              <w:ind w:firstLine="0"/>
              <w:jc w:val="center"/>
            </w:pPr>
            <w:r w:rsidRPr="005A68E6">
              <w:t>3</w:t>
            </w:r>
            <w:r w:rsidRPr="005A68E6">
              <w:rPr>
                <w:lang w:val="en-US"/>
              </w:rPr>
              <w:t>,</w:t>
            </w:r>
            <w:r w:rsidRPr="005A68E6">
              <w:t>969.7</w:t>
            </w:r>
          </w:p>
        </w:tc>
      </w:tr>
      <w:tr w:rsidR="0005386C" w:rsidRPr="005A68E6" w14:paraId="740BDDD1" w14:textId="77777777" w:rsidTr="00233F1B">
        <w:trPr>
          <w:trHeight w:val="312"/>
        </w:trPr>
        <w:tc>
          <w:tcPr>
            <w:tcW w:w="53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9BA1FB" w14:textId="24C6D3F1" w:rsidR="0005386C" w:rsidRPr="005A68E6" w:rsidRDefault="0005386C" w:rsidP="0005386C">
            <w:pPr>
              <w:spacing w:line="240" w:lineRule="auto"/>
              <w:ind w:firstLine="0"/>
              <w:jc w:val="left"/>
            </w:pPr>
            <w:r w:rsidRPr="005A68E6">
              <w:t>RA Government debt (million USD)</w:t>
            </w:r>
          </w:p>
        </w:tc>
        <w:tc>
          <w:tcPr>
            <w:tcW w:w="1984" w:type="dxa"/>
            <w:tcBorders>
              <w:top w:val="nil"/>
              <w:left w:val="nil"/>
              <w:bottom w:val="single" w:sz="4" w:space="0" w:color="auto"/>
              <w:right w:val="nil"/>
            </w:tcBorders>
            <w:shd w:val="clear" w:color="auto" w:fill="auto"/>
            <w:noWrap/>
            <w:vAlign w:val="center"/>
            <w:hideMark/>
          </w:tcPr>
          <w:p w14:paraId="5FA1DBAB" w14:textId="77777777" w:rsidR="0005386C" w:rsidRPr="005A68E6" w:rsidRDefault="0005386C" w:rsidP="0005386C">
            <w:pPr>
              <w:spacing w:line="240" w:lineRule="auto"/>
              <w:ind w:firstLine="0"/>
              <w:jc w:val="center"/>
            </w:pPr>
            <w:r w:rsidRPr="005A68E6">
              <w:rPr>
                <w:lang w:val="en-US"/>
              </w:rPr>
              <w:t>6</w:t>
            </w:r>
            <w:r w:rsidRPr="005A68E6">
              <w:t>,</w:t>
            </w:r>
            <w:r w:rsidRPr="005A68E6">
              <w:rPr>
                <w:lang w:val="en-US"/>
              </w:rPr>
              <w:t>2</w:t>
            </w:r>
            <w:r w:rsidRPr="005A68E6">
              <w:t>61</w:t>
            </w:r>
            <w:r w:rsidRPr="005A68E6">
              <w:rPr>
                <w:lang w:val="en-US"/>
              </w:rPr>
              <w:t>.</w:t>
            </w:r>
            <w:r w:rsidRPr="005A68E6">
              <w:t>3</w:t>
            </w:r>
          </w:p>
        </w:tc>
        <w:tc>
          <w:tcPr>
            <w:tcW w:w="1418" w:type="dxa"/>
            <w:tcBorders>
              <w:top w:val="nil"/>
              <w:left w:val="single" w:sz="4" w:space="0" w:color="auto"/>
              <w:bottom w:val="single" w:sz="4" w:space="0" w:color="auto"/>
              <w:right w:val="nil"/>
            </w:tcBorders>
            <w:shd w:val="clear" w:color="auto" w:fill="auto"/>
            <w:noWrap/>
            <w:vAlign w:val="center"/>
            <w:hideMark/>
          </w:tcPr>
          <w:p w14:paraId="5F7525E1" w14:textId="77777777" w:rsidR="0005386C" w:rsidRPr="005A68E6" w:rsidRDefault="0005386C" w:rsidP="0005386C">
            <w:pPr>
              <w:spacing w:line="240" w:lineRule="auto"/>
              <w:ind w:firstLine="0"/>
              <w:jc w:val="center"/>
            </w:pPr>
            <w:r w:rsidRPr="005A68E6">
              <w:t>3,</w:t>
            </w:r>
            <w:r w:rsidRPr="005A68E6">
              <w:rPr>
                <w:lang w:val="en-US"/>
              </w:rPr>
              <w:t>8</w:t>
            </w:r>
            <w:r w:rsidRPr="005A68E6">
              <w:t>25</w:t>
            </w:r>
            <w:r w:rsidRPr="005A68E6">
              <w:rPr>
                <w:lang w:val="en-US"/>
              </w:rPr>
              <w:t>.</w:t>
            </w:r>
            <w:r w:rsidRPr="005A68E6">
              <w:t>0</w:t>
            </w:r>
          </w:p>
        </w:tc>
        <w:tc>
          <w:tcPr>
            <w:tcW w:w="13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C3B251F" w14:textId="77777777" w:rsidR="0005386C" w:rsidRPr="005A68E6" w:rsidRDefault="0005386C" w:rsidP="0005386C">
            <w:pPr>
              <w:spacing w:line="240" w:lineRule="auto"/>
              <w:ind w:firstLine="0"/>
              <w:jc w:val="center"/>
            </w:pPr>
            <w:r w:rsidRPr="005A68E6">
              <w:t>10</w:t>
            </w:r>
            <w:r w:rsidRPr="005A68E6">
              <w:rPr>
                <w:lang w:val="en-US"/>
              </w:rPr>
              <w:t>,</w:t>
            </w:r>
            <w:r w:rsidRPr="005A68E6">
              <w:t>086.4</w:t>
            </w:r>
          </w:p>
        </w:tc>
      </w:tr>
      <w:tr w:rsidR="0005386C" w:rsidRPr="005A68E6" w14:paraId="6189304F" w14:textId="77777777" w:rsidTr="00233F1B">
        <w:trPr>
          <w:trHeight w:val="318"/>
        </w:trPr>
        <w:tc>
          <w:tcPr>
            <w:tcW w:w="5387" w:type="dxa"/>
            <w:gridSpan w:val="2"/>
            <w:tcBorders>
              <w:top w:val="single" w:sz="4" w:space="0" w:color="auto"/>
              <w:left w:val="single" w:sz="4" w:space="0" w:color="auto"/>
              <w:bottom w:val="double" w:sz="6" w:space="0" w:color="auto"/>
              <w:right w:val="single" w:sz="4" w:space="0" w:color="000000"/>
            </w:tcBorders>
            <w:shd w:val="clear" w:color="auto" w:fill="auto"/>
            <w:noWrap/>
            <w:vAlign w:val="center"/>
          </w:tcPr>
          <w:p w14:paraId="064986AD" w14:textId="53A69FB6" w:rsidR="0005386C" w:rsidRPr="005A68E6" w:rsidRDefault="0005386C" w:rsidP="0005386C">
            <w:pPr>
              <w:spacing w:line="240" w:lineRule="auto"/>
              <w:ind w:firstLine="0"/>
              <w:jc w:val="left"/>
              <w:rPr>
                <w:rFonts w:cs="Calibri"/>
              </w:rPr>
            </w:pPr>
            <w:r w:rsidRPr="005A68E6">
              <w:t>RA Government debt / GDP, (%)</w:t>
            </w:r>
          </w:p>
        </w:tc>
        <w:tc>
          <w:tcPr>
            <w:tcW w:w="1984" w:type="dxa"/>
            <w:tcBorders>
              <w:top w:val="nil"/>
              <w:left w:val="nil"/>
              <w:bottom w:val="double" w:sz="6" w:space="0" w:color="auto"/>
              <w:right w:val="single" w:sz="4" w:space="0" w:color="auto"/>
            </w:tcBorders>
            <w:shd w:val="clear" w:color="auto" w:fill="auto"/>
            <w:noWrap/>
            <w:vAlign w:val="center"/>
          </w:tcPr>
          <w:p w14:paraId="4DC0561E" w14:textId="77777777" w:rsidR="0005386C" w:rsidRPr="005A68E6" w:rsidRDefault="0005386C" w:rsidP="0005386C">
            <w:pPr>
              <w:spacing w:line="240" w:lineRule="auto"/>
              <w:ind w:firstLine="0"/>
              <w:jc w:val="center"/>
              <w:rPr>
                <w:lang w:val="en-US"/>
              </w:rPr>
            </w:pPr>
            <w:r w:rsidRPr="005A68E6">
              <w:rPr>
                <w:lang w:val="en-US"/>
              </w:rPr>
              <w:t>2</w:t>
            </w:r>
            <w:r w:rsidRPr="005A68E6">
              <w:t>9</w:t>
            </w:r>
            <w:r w:rsidRPr="005A68E6">
              <w:rPr>
                <w:lang w:val="en-US"/>
              </w:rPr>
              <w:t>.</w:t>
            </w:r>
            <w:r w:rsidRPr="005A68E6">
              <w:t>0</w:t>
            </w:r>
          </w:p>
        </w:tc>
        <w:tc>
          <w:tcPr>
            <w:tcW w:w="1418" w:type="dxa"/>
            <w:tcBorders>
              <w:top w:val="nil"/>
              <w:left w:val="nil"/>
              <w:bottom w:val="double" w:sz="6" w:space="0" w:color="auto"/>
              <w:right w:val="single" w:sz="4" w:space="0" w:color="auto"/>
            </w:tcBorders>
            <w:shd w:val="clear" w:color="auto" w:fill="auto"/>
            <w:noWrap/>
            <w:vAlign w:val="center"/>
          </w:tcPr>
          <w:p w14:paraId="66B48A5F" w14:textId="77777777" w:rsidR="0005386C" w:rsidRPr="005A68E6" w:rsidRDefault="0005386C" w:rsidP="0005386C">
            <w:pPr>
              <w:spacing w:line="240" w:lineRule="auto"/>
              <w:ind w:firstLine="0"/>
              <w:jc w:val="center"/>
            </w:pPr>
            <w:r w:rsidRPr="005A68E6">
              <w:rPr>
                <w:lang w:val="en-US"/>
              </w:rPr>
              <w:t>17.</w:t>
            </w:r>
            <w:r w:rsidRPr="005A68E6">
              <w:t>7</w:t>
            </w:r>
          </w:p>
        </w:tc>
        <w:tc>
          <w:tcPr>
            <w:tcW w:w="1370" w:type="dxa"/>
            <w:gridSpan w:val="2"/>
            <w:tcBorders>
              <w:top w:val="nil"/>
              <w:left w:val="nil"/>
              <w:bottom w:val="double" w:sz="6" w:space="0" w:color="auto"/>
              <w:right w:val="single" w:sz="4" w:space="0" w:color="auto"/>
            </w:tcBorders>
            <w:shd w:val="clear" w:color="auto" w:fill="auto"/>
            <w:noWrap/>
            <w:vAlign w:val="center"/>
          </w:tcPr>
          <w:p w14:paraId="372D57AC" w14:textId="77777777" w:rsidR="0005386C" w:rsidRPr="005A68E6" w:rsidRDefault="0005386C" w:rsidP="0005386C">
            <w:pPr>
              <w:spacing w:line="240" w:lineRule="auto"/>
              <w:ind w:firstLine="0"/>
              <w:jc w:val="center"/>
            </w:pPr>
            <w:r w:rsidRPr="005A68E6">
              <w:t>46</w:t>
            </w:r>
            <w:r w:rsidRPr="005A68E6">
              <w:rPr>
                <w:lang w:val="en-US"/>
              </w:rPr>
              <w:t>.</w:t>
            </w:r>
            <w:r w:rsidRPr="005A68E6">
              <w:t>7</w:t>
            </w:r>
          </w:p>
        </w:tc>
      </w:tr>
      <w:tr w:rsidR="0005386C" w:rsidRPr="005A68E6" w14:paraId="7BA1ECA4" w14:textId="77777777" w:rsidTr="00233F1B">
        <w:trPr>
          <w:gridAfter w:val="1"/>
          <w:wAfter w:w="17" w:type="dxa"/>
          <w:trHeight w:val="318"/>
        </w:trPr>
        <w:tc>
          <w:tcPr>
            <w:tcW w:w="2694" w:type="dxa"/>
            <w:vMerge w:val="restart"/>
            <w:tcBorders>
              <w:top w:val="nil"/>
              <w:left w:val="single" w:sz="4" w:space="0" w:color="auto"/>
              <w:bottom w:val="double" w:sz="6" w:space="0" w:color="000000"/>
              <w:right w:val="nil"/>
            </w:tcBorders>
            <w:shd w:val="clear" w:color="auto" w:fill="auto"/>
            <w:noWrap/>
            <w:vAlign w:val="center"/>
            <w:hideMark/>
          </w:tcPr>
          <w:p w14:paraId="670F23D5" w14:textId="6C42717E" w:rsidR="0005386C" w:rsidRPr="005A68E6" w:rsidRDefault="0005386C" w:rsidP="0005386C">
            <w:pPr>
              <w:spacing w:line="240" w:lineRule="auto"/>
              <w:ind w:firstLine="0"/>
              <w:jc w:val="left"/>
            </w:pPr>
            <w:r w:rsidRPr="005A68E6">
              <w:t>Cost Indicators</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4ADE9A1D" w14:textId="1456A56B" w:rsidR="0005386C" w:rsidRPr="005A68E6" w:rsidRDefault="0005386C" w:rsidP="0005386C">
            <w:pPr>
              <w:spacing w:line="240" w:lineRule="auto"/>
              <w:ind w:firstLine="0"/>
              <w:jc w:val="left"/>
              <w:rPr>
                <w:rFonts w:cs="Calibri"/>
              </w:rPr>
            </w:pPr>
            <w:r w:rsidRPr="005A68E6">
              <w:t>Interest payment / GDP, (%)</w:t>
            </w:r>
          </w:p>
        </w:tc>
        <w:tc>
          <w:tcPr>
            <w:tcW w:w="1984" w:type="dxa"/>
            <w:tcBorders>
              <w:top w:val="nil"/>
              <w:left w:val="nil"/>
              <w:bottom w:val="single" w:sz="4" w:space="0" w:color="auto"/>
              <w:right w:val="single" w:sz="4" w:space="0" w:color="auto"/>
            </w:tcBorders>
            <w:shd w:val="clear" w:color="auto" w:fill="auto"/>
            <w:noWrap/>
            <w:vAlign w:val="center"/>
            <w:hideMark/>
          </w:tcPr>
          <w:p w14:paraId="58CB2E6A" w14:textId="77777777" w:rsidR="0005386C" w:rsidRPr="005A68E6" w:rsidRDefault="0005386C" w:rsidP="0005386C">
            <w:pPr>
              <w:spacing w:line="240" w:lineRule="auto"/>
              <w:ind w:firstLine="0"/>
              <w:jc w:val="center"/>
              <w:rPr>
                <w:lang w:val="en-US"/>
              </w:rPr>
            </w:pPr>
            <w:r w:rsidRPr="005A68E6">
              <w:rPr>
                <w:lang w:val="en-US"/>
              </w:rPr>
              <w:t>0</w:t>
            </w:r>
            <w:r w:rsidRPr="005A68E6">
              <w:t>.</w:t>
            </w:r>
            <w:r w:rsidRPr="005A68E6">
              <w:rPr>
                <w:lang w:val="en-US"/>
              </w:rPr>
              <w:t>8</w:t>
            </w:r>
          </w:p>
        </w:tc>
        <w:tc>
          <w:tcPr>
            <w:tcW w:w="1418" w:type="dxa"/>
            <w:tcBorders>
              <w:top w:val="nil"/>
              <w:left w:val="nil"/>
              <w:bottom w:val="single" w:sz="4" w:space="0" w:color="auto"/>
              <w:right w:val="single" w:sz="4" w:space="0" w:color="auto"/>
            </w:tcBorders>
            <w:shd w:val="clear" w:color="auto" w:fill="auto"/>
            <w:noWrap/>
            <w:vAlign w:val="center"/>
            <w:hideMark/>
          </w:tcPr>
          <w:p w14:paraId="05C07739" w14:textId="77777777" w:rsidR="0005386C" w:rsidRPr="005A68E6" w:rsidRDefault="0005386C" w:rsidP="0005386C">
            <w:pPr>
              <w:spacing w:line="240" w:lineRule="auto"/>
              <w:ind w:firstLine="0"/>
              <w:jc w:val="center"/>
              <w:rPr>
                <w:lang w:val="en-US"/>
              </w:rPr>
            </w:pPr>
            <w:r w:rsidRPr="005A68E6">
              <w:t>1.5</w:t>
            </w:r>
          </w:p>
        </w:tc>
        <w:tc>
          <w:tcPr>
            <w:tcW w:w="1353" w:type="dxa"/>
            <w:tcBorders>
              <w:top w:val="nil"/>
              <w:left w:val="nil"/>
              <w:bottom w:val="single" w:sz="4" w:space="0" w:color="auto"/>
              <w:right w:val="single" w:sz="4" w:space="0" w:color="auto"/>
            </w:tcBorders>
            <w:shd w:val="clear" w:color="auto" w:fill="auto"/>
            <w:noWrap/>
            <w:vAlign w:val="center"/>
            <w:hideMark/>
          </w:tcPr>
          <w:p w14:paraId="43AA6999" w14:textId="77777777" w:rsidR="0005386C" w:rsidRPr="005A68E6" w:rsidRDefault="0005386C" w:rsidP="0005386C">
            <w:pPr>
              <w:spacing w:line="240" w:lineRule="auto"/>
              <w:ind w:firstLine="0"/>
              <w:jc w:val="center"/>
              <w:rPr>
                <w:lang w:val="en-US"/>
              </w:rPr>
            </w:pPr>
            <w:r w:rsidRPr="005A68E6">
              <w:t>2.</w:t>
            </w:r>
            <w:r w:rsidRPr="005A68E6">
              <w:rPr>
                <w:lang w:val="en-US"/>
              </w:rPr>
              <w:t>3</w:t>
            </w:r>
          </w:p>
        </w:tc>
      </w:tr>
      <w:tr w:rsidR="0005386C" w:rsidRPr="005A68E6" w14:paraId="2AB5F6A0" w14:textId="77777777" w:rsidTr="00233F1B">
        <w:trPr>
          <w:gridAfter w:val="1"/>
          <w:wAfter w:w="17" w:type="dxa"/>
          <w:trHeight w:val="332"/>
        </w:trPr>
        <w:tc>
          <w:tcPr>
            <w:tcW w:w="2694" w:type="dxa"/>
            <w:vMerge/>
            <w:tcBorders>
              <w:top w:val="nil"/>
              <w:left w:val="single" w:sz="4" w:space="0" w:color="auto"/>
              <w:bottom w:val="double" w:sz="6" w:space="0" w:color="000000"/>
              <w:right w:val="nil"/>
            </w:tcBorders>
            <w:vAlign w:val="center"/>
            <w:hideMark/>
          </w:tcPr>
          <w:p w14:paraId="0E005C86" w14:textId="77777777" w:rsidR="0005386C" w:rsidRPr="005A68E6" w:rsidRDefault="0005386C" w:rsidP="0005386C">
            <w:pPr>
              <w:spacing w:line="240" w:lineRule="auto"/>
              <w:ind w:firstLine="0"/>
              <w:jc w:val="left"/>
            </w:pPr>
          </w:p>
        </w:tc>
        <w:tc>
          <w:tcPr>
            <w:tcW w:w="2693" w:type="dxa"/>
            <w:tcBorders>
              <w:top w:val="nil"/>
              <w:left w:val="single" w:sz="4" w:space="0" w:color="auto"/>
              <w:bottom w:val="double" w:sz="6" w:space="0" w:color="auto"/>
              <w:right w:val="single" w:sz="4" w:space="0" w:color="auto"/>
            </w:tcBorders>
            <w:shd w:val="clear" w:color="auto" w:fill="auto"/>
            <w:noWrap/>
            <w:vAlign w:val="center"/>
            <w:hideMark/>
          </w:tcPr>
          <w:p w14:paraId="3EEA276B" w14:textId="445C14B8" w:rsidR="0005386C" w:rsidRPr="005A68E6" w:rsidRDefault="0005386C" w:rsidP="0005386C">
            <w:pPr>
              <w:spacing w:line="240" w:lineRule="auto"/>
              <w:ind w:firstLine="0"/>
              <w:jc w:val="left"/>
              <w:rPr>
                <w:rFonts w:cs="Calibri"/>
              </w:rPr>
            </w:pPr>
            <w:r w:rsidRPr="005A68E6">
              <w:t>Weighted average interest rate (%)</w:t>
            </w:r>
          </w:p>
        </w:tc>
        <w:tc>
          <w:tcPr>
            <w:tcW w:w="1984" w:type="dxa"/>
            <w:tcBorders>
              <w:top w:val="nil"/>
              <w:left w:val="nil"/>
              <w:bottom w:val="double" w:sz="6" w:space="0" w:color="auto"/>
              <w:right w:val="single" w:sz="4" w:space="0" w:color="auto"/>
            </w:tcBorders>
            <w:shd w:val="clear" w:color="auto" w:fill="auto"/>
            <w:noWrap/>
            <w:vAlign w:val="center"/>
            <w:hideMark/>
          </w:tcPr>
          <w:p w14:paraId="37F70A30" w14:textId="77777777" w:rsidR="0005386C" w:rsidRPr="005A68E6" w:rsidRDefault="0005386C" w:rsidP="0005386C">
            <w:pPr>
              <w:spacing w:line="240" w:lineRule="auto"/>
              <w:ind w:firstLine="0"/>
              <w:jc w:val="center"/>
              <w:rPr>
                <w:lang w:val="en-US"/>
              </w:rPr>
            </w:pPr>
            <w:r w:rsidRPr="005A68E6">
              <w:rPr>
                <w:lang w:val="en-US"/>
              </w:rPr>
              <w:t>3.7</w:t>
            </w:r>
          </w:p>
        </w:tc>
        <w:tc>
          <w:tcPr>
            <w:tcW w:w="1418" w:type="dxa"/>
            <w:tcBorders>
              <w:top w:val="nil"/>
              <w:left w:val="nil"/>
              <w:bottom w:val="double" w:sz="6" w:space="0" w:color="auto"/>
              <w:right w:val="single" w:sz="4" w:space="0" w:color="auto"/>
            </w:tcBorders>
            <w:shd w:val="clear" w:color="auto" w:fill="auto"/>
            <w:noWrap/>
            <w:vAlign w:val="center"/>
            <w:hideMark/>
          </w:tcPr>
          <w:p w14:paraId="1B4EB6DF" w14:textId="77777777" w:rsidR="0005386C" w:rsidRPr="005A68E6" w:rsidRDefault="0005386C" w:rsidP="0005386C">
            <w:pPr>
              <w:spacing w:line="240" w:lineRule="auto"/>
              <w:ind w:firstLine="0"/>
              <w:jc w:val="center"/>
              <w:rPr>
                <w:lang w:val="en-US"/>
              </w:rPr>
            </w:pPr>
            <w:r w:rsidRPr="005A68E6">
              <w:t>10.5</w:t>
            </w:r>
          </w:p>
        </w:tc>
        <w:tc>
          <w:tcPr>
            <w:tcW w:w="1353" w:type="dxa"/>
            <w:tcBorders>
              <w:top w:val="nil"/>
              <w:left w:val="nil"/>
              <w:bottom w:val="double" w:sz="6" w:space="0" w:color="auto"/>
              <w:right w:val="single" w:sz="4" w:space="0" w:color="auto"/>
            </w:tcBorders>
            <w:shd w:val="clear" w:color="auto" w:fill="auto"/>
            <w:noWrap/>
            <w:vAlign w:val="center"/>
            <w:hideMark/>
          </w:tcPr>
          <w:p w14:paraId="35CA3DE9" w14:textId="77777777" w:rsidR="0005386C" w:rsidRPr="005A68E6" w:rsidRDefault="0005386C" w:rsidP="0005386C">
            <w:pPr>
              <w:spacing w:line="240" w:lineRule="auto"/>
              <w:ind w:firstLine="0"/>
              <w:jc w:val="center"/>
              <w:rPr>
                <w:lang w:val="en-US"/>
              </w:rPr>
            </w:pPr>
            <w:r w:rsidRPr="005A68E6">
              <w:rPr>
                <w:lang w:val="en-US"/>
              </w:rPr>
              <w:t>6</w:t>
            </w:r>
            <w:r w:rsidRPr="005A68E6">
              <w:t>.</w:t>
            </w:r>
            <w:r w:rsidRPr="005A68E6">
              <w:rPr>
                <w:lang w:val="en-US"/>
              </w:rPr>
              <w:t>3</w:t>
            </w:r>
          </w:p>
        </w:tc>
      </w:tr>
      <w:tr w:rsidR="0005386C" w:rsidRPr="005A68E6" w14:paraId="01DE6C13" w14:textId="77777777" w:rsidTr="00233F1B">
        <w:trPr>
          <w:gridAfter w:val="1"/>
          <w:wAfter w:w="17" w:type="dxa"/>
          <w:trHeight w:val="627"/>
        </w:trPr>
        <w:tc>
          <w:tcPr>
            <w:tcW w:w="2694" w:type="dxa"/>
            <w:vMerge w:val="restart"/>
            <w:tcBorders>
              <w:top w:val="nil"/>
              <w:left w:val="single" w:sz="4" w:space="0" w:color="auto"/>
              <w:right w:val="single" w:sz="4" w:space="0" w:color="auto"/>
            </w:tcBorders>
            <w:shd w:val="clear" w:color="auto" w:fill="auto"/>
            <w:noWrap/>
            <w:vAlign w:val="center"/>
            <w:hideMark/>
          </w:tcPr>
          <w:p w14:paraId="21C32FF1" w14:textId="0B6ED978" w:rsidR="0005386C" w:rsidRPr="005A68E6" w:rsidRDefault="0005386C" w:rsidP="0005386C">
            <w:pPr>
              <w:spacing w:line="240" w:lineRule="auto"/>
              <w:ind w:firstLine="0"/>
              <w:jc w:val="left"/>
            </w:pPr>
            <w:r w:rsidRPr="005A68E6">
              <w:t>Refinancing risk</w:t>
            </w:r>
          </w:p>
        </w:tc>
        <w:tc>
          <w:tcPr>
            <w:tcW w:w="2693" w:type="dxa"/>
            <w:tcBorders>
              <w:top w:val="nil"/>
              <w:left w:val="nil"/>
              <w:bottom w:val="single" w:sz="4" w:space="0" w:color="auto"/>
              <w:right w:val="single" w:sz="4" w:space="0" w:color="auto"/>
            </w:tcBorders>
            <w:shd w:val="clear" w:color="auto" w:fill="auto"/>
            <w:noWrap/>
            <w:vAlign w:val="center"/>
            <w:hideMark/>
          </w:tcPr>
          <w:p w14:paraId="581305E5" w14:textId="0AAEE99B" w:rsidR="0005386C" w:rsidRPr="005A68E6" w:rsidRDefault="0005386C" w:rsidP="0005386C">
            <w:pPr>
              <w:spacing w:line="240" w:lineRule="auto"/>
              <w:ind w:firstLine="0"/>
              <w:jc w:val="left"/>
              <w:rPr>
                <w:rFonts w:cs="Calibri"/>
              </w:rPr>
            </w:pPr>
            <w:r w:rsidRPr="005A68E6">
              <w:t>Average Time to Maturity (years)</w:t>
            </w:r>
          </w:p>
        </w:tc>
        <w:tc>
          <w:tcPr>
            <w:tcW w:w="1984" w:type="dxa"/>
            <w:tcBorders>
              <w:top w:val="nil"/>
              <w:left w:val="nil"/>
              <w:bottom w:val="single" w:sz="4" w:space="0" w:color="auto"/>
              <w:right w:val="single" w:sz="4" w:space="0" w:color="auto"/>
            </w:tcBorders>
            <w:shd w:val="clear" w:color="auto" w:fill="auto"/>
            <w:noWrap/>
            <w:vAlign w:val="center"/>
            <w:hideMark/>
          </w:tcPr>
          <w:p w14:paraId="6CD5F7C2" w14:textId="77777777" w:rsidR="0005386C" w:rsidRPr="005A68E6" w:rsidRDefault="0005386C" w:rsidP="0005386C">
            <w:pPr>
              <w:spacing w:line="240" w:lineRule="auto"/>
              <w:ind w:firstLine="0"/>
              <w:jc w:val="center"/>
            </w:pPr>
            <w:r w:rsidRPr="005A68E6">
              <w:rPr>
                <w:lang w:val="en-US"/>
              </w:rPr>
              <w:t>7.</w:t>
            </w:r>
            <w:r w:rsidRPr="005A68E6">
              <w:t>1</w:t>
            </w:r>
          </w:p>
        </w:tc>
        <w:tc>
          <w:tcPr>
            <w:tcW w:w="1418" w:type="dxa"/>
            <w:tcBorders>
              <w:top w:val="nil"/>
              <w:left w:val="nil"/>
              <w:bottom w:val="single" w:sz="4" w:space="0" w:color="auto"/>
              <w:right w:val="single" w:sz="4" w:space="0" w:color="auto"/>
            </w:tcBorders>
            <w:shd w:val="clear" w:color="auto" w:fill="auto"/>
            <w:noWrap/>
            <w:vAlign w:val="center"/>
            <w:hideMark/>
          </w:tcPr>
          <w:p w14:paraId="678EB7F3" w14:textId="77777777" w:rsidR="0005386C" w:rsidRPr="005A68E6" w:rsidRDefault="0005386C" w:rsidP="0005386C">
            <w:pPr>
              <w:spacing w:line="240" w:lineRule="auto"/>
              <w:ind w:firstLine="0"/>
              <w:jc w:val="center"/>
            </w:pPr>
            <w:r w:rsidRPr="005A68E6">
              <w:rPr>
                <w:lang w:val="en-US"/>
              </w:rPr>
              <w:t>8</w:t>
            </w:r>
            <w:r w:rsidRPr="005A68E6">
              <w:t>.7</w:t>
            </w:r>
          </w:p>
        </w:tc>
        <w:tc>
          <w:tcPr>
            <w:tcW w:w="1353" w:type="dxa"/>
            <w:tcBorders>
              <w:top w:val="nil"/>
              <w:left w:val="nil"/>
              <w:bottom w:val="single" w:sz="4" w:space="0" w:color="auto"/>
              <w:right w:val="single" w:sz="4" w:space="0" w:color="auto"/>
            </w:tcBorders>
            <w:shd w:val="clear" w:color="auto" w:fill="auto"/>
            <w:noWrap/>
            <w:vAlign w:val="center"/>
            <w:hideMark/>
          </w:tcPr>
          <w:p w14:paraId="6933C376" w14:textId="77777777" w:rsidR="0005386C" w:rsidRPr="005A68E6" w:rsidRDefault="0005386C" w:rsidP="0005386C">
            <w:pPr>
              <w:spacing w:line="240" w:lineRule="auto"/>
              <w:ind w:firstLine="0"/>
              <w:jc w:val="center"/>
              <w:rPr>
                <w:lang w:val="en-US"/>
              </w:rPr>
            </w:pPr>
            <w:r w:rsidRPr="005A68E6">
              <w:rPr>
                <w:lang w:val="en-US"/>
              </w:rPr>
              <w:t>7</w:t>
            </w:r>
            <w:r w:rsidRPr="005A68E6">
              <w:t>.</w:t>
            </w:r>
            <w:r w:rsidRPr="005A68E6">
              <w:rPr>
                <w:lang w:val="en-US"/>
              </w:rPr>
              <w:t>7</w:t>
            </w:r>
          </w:p>
        </w:tc>
      </w:tr>
      <w:tr w:rsidR="0005386C" w:rsidRPr="005A68E6" w14:paraId="463A78A8" w14:textId="77777777" w:rsidTr="00233F1B">
        <w:trPr>
          <w:gridAfter w:val="1"/>
          <w:wAfter w:w="17" w:type="dxa"/>
          <w:trHeight w:val="642"/>
        </w:trPr>
        <w:tc>
          <w:tcPr>
            <w:tcW w:w="2694" w:type="dxa"/>
            <w:vMerge/>
            <w:tcBorders>
              <w:left w:val="single" w:sz="4" w:space="0" w:color="auto"/>
              <w:bottom w:val="double" w:sz="6" w:space="0" w:color="000000"/>
              <w:right w:val="single" w:sz="4" w:space="0" w:color="auto"/>
            </w:tcBorders>
            <w:shd w:val="clear" w:color="auto" w:fill="auto"/>
            <w:vAlign w:val="center"/>
            <w:hideMark/>
          </w:tcPr>
          <w:p w14:paraId="4CE4BF16" w14:textId="77777777" w:rsidR="0005386C" w:rsidRPr="005A68E6" w:rsidRDefault="0005386C" w:rsidP="0005386C">
            <w:pPr>
              <w:spacing w:line="240" w:lineRule="auto"/>
              <w:ind w:firstLine="0"/>
              <w:jc w:val="left"/>
            </w:pPr>
          </w:p>
        </w:tc>
        <w:tc>
          <w:tcPr>
            <w:tcW w:w="2693" w:type="dxa"/>
            <w:tcBorders>
              <w:top w:val="nil"/>
              <w:left w:val="nil"/>
              <w:bottom w:val="double" w:sz="6" w:space="0" w:color="auto"/>
              <w:right w:val="single" w:sz="4" w:space="0" w:color="auto"/>
            </w:tcBorders>
            <w:shd w:val="clear" w:color="auto" w:fill="auto"/>
            <w:noWrap/>
            <w:vAlign w:val="center"/>
          </w:tcPr>
          <w:p w14:paraId="7E8392F2" w14:textId="283EA083" w:rsidR="0005386C" w:rsidRPr="005A68E6" w:rsidRDefault="0005386C" w:rsidP="0005386C">
            <w:pPr>
              <w:spacing w:line="240" w:lineRule="auto"/>
              <w:ind w:firstLine="0"/>
              <w:jc w:val="left"/>
              <w:rPr>
                <w:rFonts w:cs="Calibri"/>
              </w:rPr>
            </w:pPr>
            <w:r w:rsidRPr="005A68E6">
              <w:t>Debt Maturing in 1 year (% of total)</w:t>
            </w:r>
          </w:p>
        </w:tc>
        <w:tc>
          <w:tcPr>
            <w:tcW w:w="1984" w:type="dxa"/>
            <w:tcBorders>
              <w:top w:val="nil"/>
              <w:left w:val="nil"/>
              <w:bottom w:val="double" w:sz="6" w:space="0" w:color="auto"/>
              <w:right w:val="single" w:sz="4" w:space="0" w:color="auto"/>
            </w:tcBorders>
            <w:shd w:val="clear" w:color="auto" w:fill="auto"/>
            <w:noWrap/>
            <w:vAlign w:val="center"/>
          </w:tcPr>
          <w:p w14:paraId="18A94A99" w14:textId="77777777" w:rsidR="0005386C" w:rsidRPr="005A68E6" w:rsidRDefault="0005386C" w:rsidP="0005386C">
            <w:pPr>
              <w:spacing w:line="240" w:lineRule="auto"/>
              <w:ind w:firstLine="0"/>
              <w:jc w:val="center"/>
            </w:pPr>
            <w:r w:rsidRPr="005A68E6">
              <w:t>5</w:t>
            </w:r>
            <w:r w:rsidRPr="005A68E6">
              <w:rPr>
                <w:lang w:val="en-US"/>
              </w:rPr>
              <w:t>.</w:t>
            </w:r>
            <w:r w:rsidRPr="005A68E6">
              <w:t>0</w:t>
            </w:r>
          </w:p>
        </w:tc>
        <w:tc>
          <w:tcPr>
            <w:tcW w:w="1418" w:type="dxa"/>
            <w:tcBorders>
              <w:top w:val="nil"/>
              <w:left w:val="nil"/>
              <w:bottom w:val="double" w:sz="6" w:space="0" w:color="auto"/>
              <w:right w:val="single" w:sz="4" w:space="0" w:color="auto"/>
            </w:tcBorders>
            <w:shd w:val="clear" w:color="auto" w:fill="auto"/>
            <w:noWrap/>
            <w:vAlign w:val="center"/>
          </w:tcPr>
          <w:p w14:paraId="319F8CA6" w14:textId="77777777" w:rsidR="0005386C" w:rsidRPr="005A68E6" w:rsidRDefault="0005386C" w:rsidP="0005386C">
            <w:pPr>
              <w:spacing w:line="240" w:lineRule="auto"/>
              <w:ind w:firstLine="0"/>
              <w:jc w:val="center"/>
            </w:pPr>
            <w:r w:rsidRPr="005A68E6">
              <w:rPr>
                <w:lang w:val="en-US"/>
              </w:rPr>
              <w:t>1</w:t>
            </w:r>
            <w:r w:rsidRPr="005A68E6">
              <w:t>3</w:t>
            </w:r>
            <w:r w:rsidRPr="005A68E6">
              <w:rPr>
                <w:lang w:val="en-US"/>
              </w:rPr>
              <w:t>.</w:t>
            </w:r>
            <w:r w:rsidRPr="005A68E6">
              <w:t>1</w:t>
            </w:r>
          </w:p>
        </w:tc>
        <w:tc>
          <w:tcPr>
            <w:tcW w:w="1353" w:type="dxa"/>
            <w:tcBorders>
              <w:top w:val="nil"/>
              <w:left w:val="nil"/>
              <w:bottom w:val="double" w:sz="6" w:space="0" w:color="auto"/>
              <w:right w:val="single" w:sz="4" w:space="0" w:color="auto"/>
            </w:tcBorders>
            <w:shd w:val="clear" w:color="auto" w:fill="auto"/>
            <w:noWrap/>
            <w:vAlign w:val="center"/>
          </w:tcPr>
          <w:p w14:paraId="50E39791" w14:textId="77777777" w:rsidR="0005386C" w:rsidRPr="005A68E6" w:rsidRDefault="0005386C" w:rsidP="0005386C">
            <w:pPr>
              <w:spacing w:line="240" w:lineRule="auto"/>
              <w:ind w:firstLine="0"/>
              <w:jc w:val="center"/>
            </w:pPr>
            <w:r w:rsidRPr="005A68E6">
              <w:t>8.0</w:t>
            </w:r>
          </w:p>
        </w:tc>
      </w:tr>
      <w:tr w:rsidR="0005386C" w:rsidRPr="005A68E6" w14:paraId="262792C3" w14:textId="77777777" w:rsidTr="00233F1B">
        <w:trPr>
          <w:gridAfter w:val="1"/>
          <w:wAfter w:w="17" w:type="dxa"/>
          <w:trHeight w:val="615"/>
        </w:trPr>
        <w:tc>
          <w:tcPr>
            <w:tcW w:w="2694" w:type="dxa"/>
            <w:vMerge w:val="restart"/>
            <w:tcBorders>
              <w:top w:val="nil"/>
              <w:left w:val="single" w:sz="4" w:space="0" w:color="auto"/>
              <w:bottom w:val="nil"/>
              <w:right w:val="single" w:sz="4" w:space="0" w:color="auto"/>
            </w:tcBorders>
            <w:shd w:val="clear" w:color="auto" w:fill="auto"/>
            <w:noWrap/>
            <w:vAlign w:val="center"/>
            <w:hideMark/>
          </w:tcPr>
          <w:p w14:paraId="4C339CD9" w14:textId="3D607633" w:rsidR="0005386C" w:rsidRPr="005A68E6" w:rsidRDefault="0005386C" w:rsidP="0005386C">
            <w:pPr>
              <w:spacing w:line="240" w:lineRule="auto"/>
              <w:ind w:firstLine="0"/>
              <w:jc w:val="left"/>
            </w:pPr>
            <w:r w:rsidRPr="005A68E6">
              <w:t>Interest rate risk</w:t>
            </w:r>
          </w:p>
        </w:tc>
        <w:tc>
          <w:tcPr>
            <w:tcW w:w="2693" w:type="dxa"/>
            <w:tcBorders>
              <w:top w:val="nil"/>
              <w:left w:val="nil"/>
              <w:bottom w:val="single" w:sz="4" w:space="0" w:color="auto"/>
              <w:right w:val="single" w:sz="4" w:space="0" w:color="auto"/>
            </w:tcBorders>
            <w:shd w:val="clear" w:color="auto" w:fill="auto"/>
            <w:noWrap/>
            <w:vAlign w:val="center"/>
            <w:hideMark/>
          </w:tcPr>
          <w:p w14:paraId="7315062C" w14:textId="7C74E845" w:rsidR="0005386C" w:rsidRPr="005A68E6" w:rsidRDefault="0005386C" w:rsidP="0005386C">
            <w:pPr>
              <w:spacing w:line="240" w:lineRule="auto"/>
              <w:ind w:firstLine="0"/>
              <w:jc w:val="left"/>
              <w:rPr>
                <w:rFonts w:cs="Calibri"/>
              </w:rPr>
            </w:pPr>
            <w:r w:rsidRPr="005A68E6">
              <w:t>Average Time to Refixing (years)</w:t>
            </w:r>
          </w:p>
        </w:tc>
        <w:tc>
          <w:tcPr>
            <w:tcW w:w="1984" w:type="dxa"/>
            <w:tcBorders>
              <w:top w:val="nil"/>
              <w:left w:val="nil"/>
              <w:bottom w:val="single" w:sz="4" w:space="0" w:color="auto"/>
              <w:right w:val="single" w:sz="4" w:space="0" w:color="auto"/>
            </w:tcBorders>
            <w:shd w:val="clear" w:color="auto" w:fill="auto"/>
            <w:noWrap/>
            <w:vAlign w:val="center"/>
            <w:hideMark/>
          </w:tcPr>
          <w:p w14:paraId="089AC1EB" w14:textId="77777777" w:rsidR="0005386C" w:rsidRPr="005A68E6" w:rsidRDefault="0005386C" w:rsidP="0005386C">
            <w:pPr>
              <w:spacing w:line="240" w:lineRule="auto"/>
              <w:ind w:firstLine="0"/>
              <w:jc w:val="center"/>
            </w:pPr>
            <w:r w:rsidRPr="005A68E6">
              <w:rPr>
                <w:lang w:val="en-US"/>
              </w:rPr>
              <w:t>5.</w:t>
            </w:r>
            <w:r w:rsidRPr="005A68E6">
              <w:t>4</w:t>
            </w:r>
          </w:p>
        </w:tc>
        <w:tc>
          <w:tcPr>
            <w:tcW w:w="1418" w:type="dxa"/>
            <w:tcBorders>
              <w:top w:val="nil"/>
              <w:left w:val="nil"/>
              <w:bottom w:val="single" w:sz="4" w:space="0" w:color="auto"/>
              <w:right w:val="single" w:sz="4" w:space="0" w:color="auto"/>
            </w:tcBorders>
            <w:shd w:val="clear" w:color="auto" w:fill="auto"/>
            <w:noWrap/>
            <w:vAlign w:val="center"/>
            <w:hideMark/>
          </w:tcPr>
          <w:p w14:paraId="340E18A2" w14:textId="77777777" w:rsidR="0005386C" w:rsidRPr="005A68E6" w:rsidRDefault="0005386C" w:rsidP="0005386C">
            <w:pPr>
              <w:spacing w:line="240" w:lineRule="auto"/>
              <w:ind w:firstLine="0"/>
              <w:jc w:val="center"/>
            </w:pPr>
            <w:r w:rsidRPr="005A68E6">
              <w:t>8.7</w:t>
            </w:r>
          </w:p>
        </w:tc>
        <w:tc>
          <w:tcPr>
            <w:tcW w:w="1353" w:type="dxa"/>
            <w:tcBorders>
              <w:top w:val="nil"/>
              <w:left w:val="nil"/>
              <w:bottom w:val="single" w:sz="4" w:space="0" w:color="auto"/>
              <w:right w:val="single" w:sz="4" w:space="0" w:color="auto"/>
            </w:tcBorders>
            <w:shd w:val="clear" w:color="auto" w:fill="auto"/>
            <w:noWrap/>
            <w:vAlign w:val="center"/>
            <w:hideMark/>
          </w:tcPr>
          <w:p w14:paraId="1BD3C48A" w14:textId="77777777" w:rsidR="0005386C" w:rsidRPr="005A68E6" w:rsidRDefault="0005386C" w:rsidP="0005386C">
            <w:pPr>
              <w:spacing w:line="240" w:lineRule="auto"/>
              <w:ind w:firstLine="0"/>
              <w:jc w:val="center"/>
            </w:pPr>
            <w:r w:rsidRPr="005A68E6">
              <w:t>6.6</w:t>
            </w:r>
          </w:p>
        </w:tc>
      </w:tr>
      <w:tr w:rsidR="0005386C" w:rsidRPr="005A68E6" w14:paraId="5436DE9C" w14:textId="77777777" w:rsidTr="00233F1B">
        <w:trPr>
          <w:gridAfter w:val="1"/>
          <w:wAfter w:w="17" w:type="dxa"/>
          <w:trHeight w:val="616"/>
        </w:trPr>
        <w:tc>
          <w:tcPr>
            <w:tcW w:w="2694" w:type="dxa"/>
            <w:vMerge/>
            <w:tcBorders>
              <w:top w:val="nil"/>
              <w:left w:val="single" w:sz="4" w:space="0" w:color="auto"/>
              <w:bottom w:val="nil"/>
              <w:right w:val="single" w:sz="4" w:space="0" w:color="auto"/>
            </w:tcBorders>
            <w:vAlign w:val="center"/>
            <w:hideMark/>
          </w:tcPr>
          <w:p w14:paraId="57361842" w14:textId="77777777" w:rsidR="0005386C" w:rsidRPr="005A68E6" w:rsidRDefault="0005386C" w:rsidP="0005386C">
            <w:pPr>
              <w:spacing w:line="240" w:lineRule="auto"/>
              <w:ind w:firstLine="0"/>
              <w:jc w:val="left"/>
            </w:pPr>
          </w:p>
        </w:tc>
        <w:tc>
          <w:tcPr>
            <w:tcW w:w="2693" w:type="dxa"/>
            <w:tcBorders>
              <w:top w:val="nil"/>
              <w:left w:val="nil"/>
              <w:bottom w:val="single" w:sz="4" w:space="0" w:color="auto"/>
              <w:right w:val="single" w:sz="4" w:space="0" w:color="auto"/>
            </w:tcBorders>
            <w:shd w:val="clear" w:color="auto" w:fill="auto"/>
            <w:noWrap/>
            <w:vAlign w:val="center"/>
            <w:hideMark/>
          </w:tcPr>
          <w:p w14:paraId="514D7883" w14:textId="06940294" w:rsidR="0005386C" w:rsidRPr="005A68E6" w:rsidRDefault="0005386C" w:rsidP="0005386C">
            <w:pPr>
              <w:spacing w:line="240" w:lineRule="auto"/>
              <w:ind w:firstLine="0"/>
              <w:jc w:val="left"/>
              <w:rPr>
                <w:rFonts w:cs="Calibri"/>
              </w:rPr>
            </w:pPr>
            <w:r w:rsidRPr="005A68E6">
              <w:t>Debt Refixing in 1 year (% of total)</w:t>
            </w:r>
          </w:p>
        </w:tc>
        <w:tc>
          <w:tcPr>
            <w:tcW w:w="1984" w:type="dxa"/>
            <w:tcBorders>
              <w:top w:val="nil"/>
              <w:left w:val="nil"/>
              <w:bottom w:val="single" w:sz="4" w:space="0" w:color="auto"/>
              <w:right w:val="single" w:sz="4" w:space="0" w:color="auto"/>
            </w:tcBorders>
            <w:shd w:val="clear" w:color="auto" w:fill="auto"/>
            <w:noWrap/>
            <w:vAlign w:val="center"/>
            <w:hideMark/>
          </w:tcPr>
          <w:p w14:paraId="24151FF2" w14:textId="77777777" w:rsidR="0005386C" w:rsidRPr="005A68E6" w:rsidRDefault="0005386C" w:rsidP="0005386C">
            <w:pPr>
              <w:spacing w:line="240" w:lineRule="auto"/>
              <w:ind w:firstLine="0"/>
              <w:jc w:val="center"/>
            </w:pPr>
            <w:r w:rsidRPr="005A68E6">
              <w:rPr>
                <w:lang w:val="en-US"/>
              </w:rPr>
              <w:t>2</w:t>
            </w:r>
            <w:r w:rsidRPr="005A68E6">
              <w:t>9</w:t>
            </w:r>
            <w:r w:rsidRPr="005A68E6">
              <w:rPr>
                <w:lang w:val="en-US"/>
              </w:rPr>
              <w:t>.</w:t>
            </w:r>
            <w:r w:rsidRPr="005A68E6">
              <w:t>5</w:t>
            </w:r>
          </w:p>
        </w:tc>
        <w:tc>
          <w:tcPr>
            <w:tcW w:w="1418" w:type="dxa"/>
            <w:tcBorders>
              <w:top w:val="nil"/>
              <w:left w:val="nil"/>
              <w:bottom w:val="single" w:sz="4" w:space="0" w:color="auto"/>
              <w:right w:val="single" w:sz="4" w:space="0" w:color="auto"/>
            </w:tcBorders>
            <w:shd w:val="clear" w:color="auto" w:fill="auto"/>
            <w:noWrap/>
            <w:vAlign w:val="center"/>
            <w:hideMark/>
          </w:tcPr>
          <w:p w14:paraId="59773F09" w14:textId="77777777" w:rsidR="0005386C" w:rsidRPr="005A68E6" w:rsidRDefault="0005386C" w:rsidP="0005386C">
            <w:pPr>
              <w:spacing w:line="240" w:lineRule="auto"/>
              <w:ind w:firstLine="0"/>
              <w:jc w:val="center"/>
              <w:rPr>
                <w:lang w:val="en-US"/>
              </w:rPr>
            </w:pPr>
            <w:r w:rsidRPr="005A68E6">
              <w:rPr>
                <w:lang w:val="en-US"/>
              </w:rPr>
              <w:t>1</w:t>
            </w:r>
            <w:r w:rsidRPr="005A68E6">
              <w:t>3</w:t>
            </w:r>
            <w:r w:rsidRPr="005A68E6">
              <w:rPr>
                <w:lang w:val="en-US"/>
              </w:rPr>
              <w:t>.</w:t>
            </w:r>
            <w:r w:rsidRPr="005A68E6">
              <w:t>1</w:t>
            </w:r>
          </w:p>
        </w:tc>
        <w:tc>
          <w:tcPr>
            <w:tcW w:w="1353" w:type="dxa"/>
            <w:tcBorders>
              <w:top w:val="nil"/>
              <w:left w:val="nil"/>
              <w:bottom w:val="single" w:sz="4" w:space="0" w:color="auto"/>
              <w:right w:val="single" w:sz="4" w:space="0" w:color="auto"/>
            </w:tcBorders>
            <w:shd w:val="clear" w:color="auto" w:fill="auto"/>
            <w:noWrap/>
            <w:vAlign w:val="center"/>
            <w:hideMark/>
          </w:tcPr>
          <w:p w14:paraId="4EBA17FB" w14:textId="77777777" w:rsidR="0005386C" w:rsidRPr="005A68E6" w:rsidRDefault="0005386C" w:rsidP="0005386C">
            <w:pPr>
              <w:spacing w:line="240" w:lineRule="auto"/>
              <w:ind w:firstLine="0"/>
              <w:jc w:val="center"/>
            </w:pPr>
            <w:r w:rsidRPr="005A68E6">
              <w:rPr>
                <w:lang w:val="en-US"/>
              </w:rPr>
              <w:t>2</w:t>
            </w:r>
            <w:r w:rsidRPr="005A68E6">
              <w:t>3</w:t>
            </w:r>
            <w:r w:rsidRPr="005A68E6">
              <w:rPr>
                <w:lang w:val="en-US"/>
              </w:rPr>
              <w:t>.</w:t>
            </w:r>
            <w:r w:rsidRPr="005A68E6">
              <w:t>3</w:t>
            </w:r>
          </w:p>
        </w:tc>
      </w:tr>
      <w:tr w:rsidR="0005386C" w:rsidRPr="005A68E6" w14:paraId="1A8E84C8" w14:textId="77777777" w:rsidTr="00233F1B">
        <w:trPr>
          <w:gridAfter w:val="1"/>
          <w:wAfter w:w="17" w:type="dxa"/>
          <w:trHeight w:val="624"/>
        </w:trPr>
        <w:tc>
          <w:tcPr>
            <w:tcW w:w="2694" w:type="dxa"/>
            <w:vMerge/>
            <w:tcBorders>
              <w:top w:val="nil"/>
              <w:left w:val="single" w:sz="4" w:space="0" w:color="auto"/>
              <w:bottom w:val="nil"/>
              <w:right w:val="single" w:sz="4" w:space="0" w:color="auto"/>
            </w:tcBorders>
            <w:vAlign w:val="center"/>
            <w:hideMark/>
          </w:tcPr>
          <w:p w14:paraId="5806EC20" w14:textId="77777777" w:rsidR="0005386C" w:rsidRPr="005A68E6" w:rsidRDefault="0005386C" w:rsidP="0005386C">
            <w:pPr>
              <w:spacing w:line="240" w:lineRule="auto"/>
              <w:ind w:firstLine="0"/>
              <w:jc w:val="left"/>
            </w:pPr>
          </w:p>
        </w:tc>
        <w:tc>
          <w:tcPr>
            <w:tcW w:w="2693" w:type="dxa"/>
            <w:tcBorders>
              <w:top w:val="nil"/>
              <w:left w:val="nil"/>
              <w:right w:val="single" w:sz="4" w:space="0" w:color="auto"/>
            </w:tcBorders>
            <w:shd w:val="clear" w:color="auto" w:fill="auto"/>
            <w:noWrap/>
            <w:vAlign w:val="center"/>
            <w:hideMark/>
          </w:tcPr>
          <w:p w14:paraId="1C9D5F38" w14:textId="12478628" w:rsidR="0005386C" w:rsidRPr="005A68E6" w:rsidRDefault="0005386C" w:rsidP="0005386C">
            <w:pPr>
              <w:spacing w:line="240" w:lineRule="auto"/>
              <w:ind w:firstLine="0"/>
              <w:jc w:val="left"/>
              <w:rPr>
                <w:rFonts w:cs="Calibri"/>
              </w:rPr>
            </w:pPr>
            <w:r w:rsidRPr="005A68E6">
              <w:t>Fixed Rate Debt (% of total)</w:t>
            </w:r>
          </w:p>
        </w:tc>
        <w:tc>
          <w:tcPr>
            <w:tcW w:w="1984" w:type="dxa"/>
            <w:tcBorders>
              <w:top w:val="nil"/>
              <w:left w:val="nil"/>
              <w:right w:val="single" w:sz="4" w:space="0" w:color="auto"/>
            </w:tcBorders>
            <w:shd w:val="clear" w:color="auto" w:fill="auto"/>
            <w:noWrap/>
            <w:vAlign w:val="center"/>
            <w:hideMark/>
          </w:tcPr>
          <w:p w14:paraId="5C5AA7C8" w14:textId="77777777" w:rsidR="0005386C" w:rsidRPr="005A68E6" w:rsidRDefault="0005386C" w:rsidP="0005386C">
            <w:pPr>
              <w:spacing w:line="240" w:lineRule="auto"/>
              <w:ind w:firstLine="0"/>
              <w:jc w:val="center"/>
            </w:pPr>
            <w:r w:rsidRPr="005A68E6">
              <w:rPr>
                <w:lang w:val="en-US"/>
              </w:rPr>
              <w:t>7</w:t>
            </w:r>
            <w:r w:rsidRPr="005A68E6">
              <w:t>3</w:t>
            </w:r>
            <w:r w:rsidRPr="005A68E6">
              <w:rPr>
                <w:lang w:val="en-US"/>
              </w:rPr>
              <w:t>.</w:t>
            </w:r>
            <w:r w:rsidRPr="005A68E6">
              <w:t>5</w:t>
            </w:r>
          </w:p>
        </w:tc>
        <w:tc>
          <w:tcPr>
            <w:tcW w:w="1418" w:type="dxa"/>
            <w:tcBorders>
              <w:top w:val="nil"/>
              <w:left w:val="nil"/>
              <w:right w:val="single" w:sz="4" w:space="0" w:color="auto"/>
            </w:tcBorders>
            <w:shd w:val="clear" w:color="auto" w:fill="auto"/>
            <w:noWrap/>
            <w:vAlign w:val="center"/>
            <w:hideMark/>
          </w:tcPr>
          <w:p w14:paraId="1CE38597" w14:textId="77777777" w:rsidR="0005386C" w:rsidRPr="005A68E6" w:rsidRDefault="0005386C" w:rsidP="0005386C">
            <w:pPr>
              <w:spacing w:line="240" w:lineRule="auto"/>
              <w:ind w:firstLine="0"/>
              <w:jc w:val="center"/>
            </w:pPr>
            <w:r w:rsidRPr="005A68E6">
              <w:t>100.0</w:t>
            </w:r>
          </w:p>
        </w:tc>
        <w:tc>
          <w:tcPr>
            <w:tcW w:w="1353" w:type="dxa"/>
            <w:tcBorders>
              <w:top w:val="nil"/>
              <w:left w:val="nil"/>
              <w:right w:val="single" w:sz="4" w:space="0" w:color="auto"/>
            </w:tcBorders>
            <w:shd w:val="clear" w:color="auto" w:fill="auto"/>
            <w:noWrap/>
            <w:vAlign w:val="center"/>
            <w:hideMark/>
          </w:tcPr>
          <w:p w14:paraId="5F88B4D7" w14:textId="77777777" w:rsidR="0005386C" w:rsidRPr="005A68E6" w:rsidRDefault="0005386C" w:rsidP="0005386C">
            <w:pPr>
              <w:spacing w:line="240" w:lineRule="auto"/>
              <w:ind w:firstLine="0"/>
              <w:jc w:val="center"/>
            </w:pPr>
            <w:r w:rsidRPr="005A68E6">
              <w:rPr>
                <w:lang w:val="en-US"/>
              </w:rPr>
              <w:t>8</w:t>
            </w:r>
            <w:r w:rsidRPr="005A68E6">
              <w:t>3</w:t>
            </w:r>
            <w:r w:rsidRPr="005A68E6">
              <w:rPr>
                <w:lang w:val="en-US"/>
              </w:rPr>
              <w:t>.</w:t>
            </w:r>
            <w:r w:rsidRPr="005A68E6">
              <w:t>5</w:t>
            </w:r>
          </w:p>
        </w:tc>
      </w:tr>
      <w:tr w:rsidR="0005386C" w:rsidRPr="005A68E6" w14:paraId="5457CB76" w14:textId="77777777" w:rsidTr="00233F1B">
        <w:trPr>
          <w:gridAfter w:val="1"/>
          <w:wAfter w:w="17" w:type="dxa"/>
          <w:trHeight w:val="318"/>
        </w:trPr>
        <w:tc>
          <w:tcPr>
            <w:tcW w:w="2694" w:type="dxa"/>
            <w:vMerge w:val="restart"/>
            <w:tcBorders>
              <w:top w:val="double" w:sz="6" w:space="0" w:color="auto"/>
              <w:left w:val="single" w:sz="4" w:space="0" w:color="auto"/>
              <w:bottom w:val="single" w:sz="4" w:space="0" w:color="000000"/>
              <w:right w:val="single" w:sz="4" w:space="0" w:color="auto"/>
            </w:tcBorders>
            <w:shd w:val="clear" w:color="auto" w:fill="auto"/>
            <w:noWrap/>
            <w:vAlign w:val="center"/>
            <w:hideMark/>
          </w:tcPr>
          <w:p w14:paraId="6888BCFA" w14:textId="6C974547" w:rsidR="0005386C" w:rsidRPr="005A68E6" w:rsidRDefault="0005386C" w:rsidP="0005386C">
            <w:pPr>
              <w:spacing w:line="240" w:lineRule="auto"/>
              <w:ind w:firstLine="0"/>
              <w:jc w:val="left"/>
            </w:pPr>
            <w:r w:rsidRPr="005A68E6">
              <w:t>Exchange rate risk</w:t>
            </w:r>
          </w:p>
        </w:tc>
        <w:tc>
          <w:tcPr>
            <w:tcW w:w="2693" w:type="dxa"/>
            <w:tcBorders>
              <w:top w:val="double" w:sz="6" w:space="0" w:color="auto"/>
              <w:left w:val="nil"/>
              <w:bottom w:val="single" w:sz="4" w:space="0" w:color="auto"/>
              <w:right w:val="nil"/>
            </w:tcBorders>
            <w:shd w:val="clear" w:color="auto" w:fill="auto"/>
            <w:noWrap/>
            <w:vAlign w:val="center"/>
            <w:hideMark/>
          </w:tcPr>
          <w:p w14:paraId="60C6B83B" w14:textId="5834CB97" w:rsidR="0005386C" w:rsidRPr="005A68E6" w:rsidRDefault="0005386C" w:rsidP="0005386C">
            <w:pPr>
              <w:spacing w:line="240" w:lineRule="auto"/>
              <w:ind w:firstLine="0"/>
              <w:jc w:val="left"/>
              <w:rPr>
                <w:rFonts w:cs="Calibri"/>
              </w:rPr>
            </w:pPr>
            <w:r w:rsidRPr="005A68E6">
              <w:t>Foreign Exchange Debt (% of total)</w:t>
            </w:r>
          </w:p>
        </w:tc>
        <w:tc>
          <w:tcPr>
            <w:tcW w:w="1984"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4296A17A" w14:textId="77777777" w:rsidR="0005386C" w:rsidRPr="005A68E6" w:rsidRDefault="0005386C" w:rsidP="0005386C">
            <w:pPr>
              <w:spacing w:line="240" w:lineRule="auto"/>
              <w:ind w:firstLine="0"/>
              <w:jc w:val="center"/>
            </w:pPr>
            <w:r w:rsidRPr="005A68E6">
              <w:t>-</w:t>
            </w:r>
          </w:p>
        </w:tc>
        <w:tc>
          <w:tcPr>
            <w:tcW w:w="1418" w:type="dxa"/>
            <w:tcBorders>
              <w:top w:val="double" w:sz="6" w:space="0" w:color="auto"/>
              <w:left w:val="nil"/>
              <w:bottom w:val="single" w:sz="4" w:space="0" w:color="auto"/>
              <w:right w:val="single" w:sz="4" w:space="0" w:color="auto"/>
            </w:tcBorders>
            <w:shd w:val="clear" w:color="auto" w:fill="auto"/>
            <w:noWrap/>
            <w:vAlign w:val="center"/>
            <w:hideMark/>
          </w:tcPr>
          <w:p w14:paraId="27BD8A55" w14:textId="77777777" w:rsidR="0005386C" w:rsidRPr="005A68E6" w:rsidRDefault="0005386C" w:rsidP="0005386C">
            <w:pPr>
              <w:spacing w:line="240" w:lineRule="auto"/>
              <w:ind w:firstLine="0"/>
              <w:jc w:val="center"/>
            </w:pPr>
            <w:r w:rsidRPr="005A68E6">
              <w:t>-</w:t>
            </w:r>
          </w:p>
        </w:tc>
        <w:tc>
          <w:tcPr>
            <w:tcW w:w="1353" w:type="dxa"/>
            <w:tcBorders>
              <w:top w:val="double" w:sz="6" w:space="0" w:color="auto"/>
              <w:left w:val="nil"/>
              <w:bottom w:val="single" w:sz="4" w:space="0" w:color="auto"/>
              <w:right w:val="single" w:sz="4" w:space="0" w:color="auto"/>
            </w:tcBorders>
            <w:shd w:val="clear" w:color="auto" w:fill="auto"/>
            <w:noWrap/>
            <w:vAlign w:val="center"/>
            <w:hideMark/>
          </w:tcPr>
          <w:p w14:paraId="2D709D85" w14:textId="77777777" w:rsidR="0005386C" w:rsidRPr="005A68E6" w:rsidRDefault="0005386C" w:rsidP="0005386C">
            <w:pPr>
              <w:spacing w:line="240" w:lineRule="auto"/>
              <w:ind w:firstLine="0"/>
              <w:jc w:val="center"/>
            </w:pPr>
            <w:r w:rsidRPr="005A68E6">
              <w:t>62</w:t>
            </w:r>
            <w:r w:rsidRPr="005A68E6">
              <w:rPr>
                <w:lang w:val="en-US"/>
              </w:rPr>
              <w:t>.</w:t>
            </w:r>
            <w:r w:rsidRPr="005A68E6">
              <w:t>1</w:t>
            </w:r>
          </w:p>
        </w:tc>
      </w:tr>
      <w:tr w:rsidR="0005386C" w:rsidRPr="005A68E6" w14:paraId="41F5E96A" w14:textId="77777777" w:rsidTr="00233F1B">
        <w:trPr>
          <w:gridAfter w:val="1"/>
          <w:wAfter w:w="17" w:type="dxa"/>
          <w:trHeight w:val="288"/>
        </w:trPr>
        <w:tc>
          <w:tcPr>
            <w:tcW w:w="2694" w:type="dxa"/>
            <w:vMerge/>
            <w:tcBorders>
              <w:top w:val="double" w:sz="6" w:space="0" w:color="auto"/>
              <w:left w:val="single" w:sz="4" w:space="0" w:color="auto"/>
              <w:bottom w:val="single" w:sz="4" w:space="0" w:color="000000"/>
              <w:right w:val="single" w:sz="4" w:space="0" w:color="auto"/>
            </w:tcBorders>
            <w:vAlign w:val="center"/>
            <w:hideMark/>
          </w:tcPr>
          <w:p w14:paraId="47254708" w14:textId="77777777" w:rsidR="0005386C" w:rsidRPr="005A68E6" w:rsidRDefault="0005386C" w:rsidP="0005386C">
            <w:pPr>
              <w:spacing w:line="240" w:lineRule="auto"/>
              <w:ind w:firstLine="0"/>
            </w:pPr>
          </w:p>
        </w:tc>
        <w:tc>
          <w:tcPr>
            <w:tcW w:w="2693" w:type="dxa"/>
            <w:tcBorders>
              <w:top w:val="nil"/>
              <w:left w:val="nil"/>
              <w:bottom w:val="single" w:sz="4" w:space="0" w:color="auto"/>
              <w:right w:val="nil"/>
            </w:tcBorders>
            <w:shd w:val="clear" w:color="auto" w:fill="auto"/>
            <w:noWrap/>
            <w:vAlign w:val="center"/>
            <w:hideMark/>
          </w:tcPr>
          <w:p w14:paraId="7C22DD96" w14:textId="25781E7E" w:rsidR="0005386C" w:rsidRPr="005A68E6" w:rsidRDefault="0005386C" w:rsidP="00941791">
            <w:pPr>
              <w:spacing w:line="240" w:lineRule="auto"/>
              <w:ind w:firstLine="0"/>
              <w:jc w:val="left"/>
              <w:rPr>
                <w:rFonts w:cs="Calibri"/>
              </w:rPr>
            </w:pPr>
            <w:r w:rsidRPr="005A68E6">
              <w:t>Short</w:t>
            </w:r>
            <w:r w:rsidR="00941791" w:rsidRPr="005A68E6">
              <w:rPr>
                <w:lang w:val="en-US"/>
              </w:rPr>
              <w:t>-</w:t>
            </w:r>
            <w:r w:rsidRPr="005A68E6">
              <w:t>Term Foreign Exchange Debt (redemptions) / International Reserves, (%)</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09BC1F8" w14:textId="77777777" w:rsidR="0005386C" w:rsidRPr="005A68E6" w:rsidRDefault="0005386C" w:rsidP="0005386C">
            <w:pPr>
              <w:spacing w:line="240" w:lineRule="auto"/>
              <w:ind w:firstLine="0"/>
              <w:jc w:val="center"/>
            </w:pPr>
            <w:r w:rsidRPr="005A68E6">
              <w:t>-</w:t>
            </w:r>
          </w:p>
        </w:tc>
        <w:tc>
          <w:tcPr>
            <w:tcW w:w="1418" w:type="dxa"/>
            <w:tcBorders>
              <w:top w:val="nil"/>
              <w:left w:val="nil"/>
              <w:bottom w:val="single" w:sz="4" w:space="0" w:color="auto"/>
              <w:right w:val="single" w:sz="4" w:space="0" w:color="auto"/>
            </w:tcBorders>
            <w:shd w:val="clear" w:color="auto" w:fill="auto"/>
            <w:noWrap/>
            <w:vAlign w:val="center"/>
            <w:hideMark/>
          </w:tcPr>
          <w:p w14:paraId="526D384F" w14:textId="77777777" w:rsidR="0005386C" w:rsidRPr="005A68E6" w:rsidRDefault="0005386C" w:rsidP="0005386C">
            <w:pPr>
              <w:spacing w:line="240" w:lineRule="auto"/>
              <w:ind w:firstLine="0"/>
              <w:jc w:val="center"/>
            </w:pPr>
            <w:r w:rsidRPr="005A68E6">
              <w:t>-</w:t>
            </w:r>
          </w:p>
        </w:tc>
        <w:tc>
          <w:tcPr>
            <w:tcW w:w="1353" w:type="dxa"/>
            <w:tcBorders>
              <w:top w:val="nil"/>
              <w:left w:val="nil"/>
              <w:bottom w:val="single" w:sz="4" w:space="0" w:color="auto"/>
              <w:right w:val="single" w:sz="4" w:space="0" w:color="auto"/>
            </w:tcBorders>
            <w:shd w:val="clear" w:color="auto" w:fill="auto"/>
            <w:noWrap/>
            <w:vAlign w:val="center"/>
            <w:hideMark/>
          </w:tcPr>
          <w:p w14:paraId="43161A26" w14:textId="77777777" w:rsidR="0005386C" w:rsidRPr="005A68E6" w:rsidRDefault="0005386C" w:rsidP="0005386C">
            <w:pPr>
              <w:spacing w:line="240" w:lineRule="auto"/>
              <w:ind w:firstLine="0"/>
              <w:jc w:val="center"/>
            </w:pPr>
            <w:r w:rsidRPr="005A68E6">
              <w:t>7.6</w:t>
            </w:r>
          </w:p>
        </w:tc>
      </w:tr>
    </w:tbl>
    <w:p w14:paraId="49ADD882" w14:textId="77777777" w:rsidR="00DF55B0" w:rsidRPr="005A68E6" w:rsidRDefault="00DF55B0" w:rsidP="00192D3A">
      <w:pPr>
        <w:rPr>
          <w:sz w:val="16"/>
          <w:lang w:val="en-US"/>
        </w:rPr>
      </w:pPr>
    </w:p>
    <w:p w14:paraId="77A6EB6D" w14:textId="7B9CCE93" w:rsidR="00192D3A" w:rsidRPr="005A68E6" w:rsidRDefault="00192D3A" w:rsidP="00192D3A">
      <w:pPr>
        <w:rPr>
          <w:sz w:val="16"/>
          <w:lang w:val="en-US"/>
        </w:rPr>
      </w:pPr>
      <w:r w:rsidRPr="005A68E6">
        <w:rPr>
          <w:sz w:val="16"/>
          <w:lang w:val="en-US"/>
        </w:rPr>
        <w:t>Source: RA MoF calculations</w:t>
      </w:r>
    </w:p>
    <w:p w14:paraId="40E46F93" w14:textId="77777777" w:rsidR="0005386C" w:rsidRPr="005A68E6" w:rsidRDefault="0005386C" w:rsidP="00A1274B">
      <w:pPr>
        <w:rPr>
          <w:color w:val="FF0000"/>
        </w:rPr>
      </w:pPr>
    </w:p>
    <w:p w14:paraId="0ECB2B24" w14:textId="77777777" w:rsidR="00FA37E9" w:rsidRPr="005A68E6" w:rsidRDefault="00FA37E9" w:rsidP="00FA37E9">
      <w:pPr>
        <w:rPr>
          <w:lang w:val="en-US"/>
        </w:rPr>
      </w:pPr>
      <w:r w:rsidRPr="005A68E6">
        <w:t>The following indicators have been used in order to characterize the costs for the Government debt: Weighted average interest rate for the debt portfolio, Share of the interest payment in the State budget revenues and Share of the interest payment in GDP</w:t>
      </w:r>
      <w:r w:rsidRPr="005A68E6">
        <w:rPr>
          <w:lang w:val="en-US"/>
        </w:rPr>
        <w:t>.</w:t>
      </w:r>
    </w:p>
    <w:p w14:paraId="14485790" w14:textId="77777777" w:rsidR="00FA37E9" w:rsidRPr="005A68E6" w:rsidRDefault="00FA37E9" w:rsidP="00FA37E9">
      <w:pPr>
        <w:rPr>
          <w:lang w:val="en-US"/>
        </w:rPr>
      </w:pPr>
      <w:r w:rsidRPr="005A68E6">
        <w:t xml:space="preserve">The average interest rate for the RA Government debt portfolio </w:t>
      </w:r>
      <w:r w:rsidRPr="005A68E6">
        <w:rPr>
          <w:lang w:val="en-US"/>
        </w:rPr>
        <w:t>made up</w:t>
      </w:r>
      <w:r w:rsidRPr="005A68E6">
        <w:t xml:space="preserve"> 6.3% at the end of 202</w:t>
      </w:r>
      <w:r w:rsidRPr="005A68E6">
        <w:rPr>
          <w:lang w:val="en-US"/>
        </w:rPr>
        <w:t>2</w:t>
      </w:r>
      <w:r w:rsidRPr="005A68E6">
        <w:t>, moreover, it comprised 10.</w:t>
      </w:r>
      <w:r w:rsidRPr="005A68E6">
        <w:rPr>
          <w:lang w:val="en-US"/>
        </w:rPr>
        <w:t>5</w:t>
      </w:r>
      <w:r w:rsidRPr="005A68E6">
        <w:t xml:space="preserve">% for AMD denominated debt and </w:t>
      </w:r>
      <w:r w:rsidRPr="005A68E6">
        <w:rPr>
          <w:lang w:val="en-US"/>
        </w:rPr>
        <w:t>3.7</w:t>
      </w:r>
      <w:r w:rsidRPr="005A68E6">
        <w:t>%</w:t>
      </w:r>
      <w:r w:rsidRPr="005A68E6">
        <w:rPr>
          <w:lang w:val="en-US"/>
        </w:rPr>
        <w:t xml:space="preserve"> </w:t>
      </w:r>
      <w:r w:rsidRPr="005A68E6">
        <w:t>for foreign currency debt</w:t>
      </w:r>
      <w:r w:rsidRPr="005A68E6">
        <w:rPr>
          <w:lang w:val="en-US"/>
        </w:rPr>
        <w:t>.</w:t>
      </w:r>
    </w:p>
    <w:p w14:paraId="75C7918B" w14:textId="77777777" w:rsidR="00FA37E9" w:rsidRPr="005A68E6" w:rsidRDefault="00FA37E9" w:rsidP="00FA37E9">
      <w:pPr>
        <w:ind w:firstLine="0"/>
        <w:rPr>
          <w:color w:val="FF0000"/>
          <w:lang w:val="en-US"/>
        </w:rPr>
      </w:pPr>
    </w:p>
    <w:p w14:paraId="761C3C13" w14:textId="204BB5AB" w:rsidR="00FA37E9" w:rsidRPr="005A68E6" w:rsidRDefault="009D441D" w:rsidP="00FA37E9">
      <w:pPr>
        <w:rPr>
          <w:lang w:val="en-US"/>
        </w:rPr>
      </w:pPr>
      <w:r w:rsidRPr="005A68E6">
        <w:rPr>
          <w:rFonts w:cs="Times Armenian"/>
          <w:lang w:val="en-US"/>
        </w:rPr>
        <w:lastRenderedPageBreak/>
        <w:t xml:space="preserve">The </w:t>
      </w:r>
      <w:r w:rsidR="00577719">
        <w:rPr>
          <w:rFonts w:cs="Times Armenian"/>
          <w:lang w:val="en-US"/>
        </w:rPr>
        <w:t>i</w:t>
      </w:r>
      <w:r w:rsidR="00FA37E9" w:rsidRPr="005A68E6">
        <w:rPr>
          <w:rFonts w:cs="Times Armenian"/>
        </w:rPr>
        <w:t xml:space="preserve">nterest rates on </w:t>
      </w:r>
      <w:r w:rsidR="00C427A3" w:rsidRPr="005A68E6">
        <w:rPr>
          <w:rFonts w:cs="Times Armenian"/>
          <w:lang w:val="en-US"/>
        </w:rPr>
        <w:t>external</w:t>
      </w:r>
      <w:r w:rsidRPr="005A68E6">
        <w:rPr>
          <w:rFonts w:cs="Times Armenian"/>
          <w:lang w:val="en-US"/>
        </w:rPr>
        <w:t xml:space="preserve"> </w:t>
      </w:r>
      <w:r w:rsidR="00FA37E9" w:rsidRPr="005A68E6">
        <w:rPr>
          <w:rFonts w:cs="Times Armenian"/>
        </w:rPr>
        <w:t xml:space="preserve">loans tend to increase </w:t>
      </w:r>
      <w:r w:rsidR="00C427A3" w:rsidRPr="005A68E6">
        <w:rPr>
          <w:rFonts w:cs="Times Armenian"/>
          <w:lang w:val="en-US"/>
        </w:rPr>
        <w:t>as Armenia</w:t>
      </w:r>
      <w:r w:rsidR="00FA37E9" w:rsidRPr="005A68E6">
        <w:rPr>
          <w:rFonts w:cs="Times Armenian"/>
        </w:rPr>
        <w:t xml:space="preserve"> no longer has access to </w:t>
      </w:r>
      <w:r w:rsidR="00C427A3" w:rsidRPr="005A68E6">
        <w:rPr>
          <w:rFonts w:cs="Times Armenian"/>
          <w:lang w:val="en-US"/>
        </w:rPr>
        <w:t xml:space="preserve">the concessional </w:t>
      </w:r>
      <w:r w:rsidR="00FA37E9" w:rsidRPr="005A68E6">
        <w:rPr>
          <w:rFonts w:cs="Times Armenian"/>
        </w:rPr>
        <w:t xml:space="preserve">loans provided by </w:t>
      </w:r>
      <w:r w:rsidRPr="005A68E6">
        <w:rPr>
          <w:rFonts w:cs="Times Armenian"/>
          <w:lang w:val="en-US"/>
        </w:rPr>
        <w:t xml:space="preserve">the </w:t>
      </w:r>
      <w:r w:rsidR="00FA37E9" w:rsidRPr="005A68E6">
        <w:rPr>
          <w:rFonts w:cs="Times Armenian"/>
        </w:rPr>
        <w:t xml:space="preserve">international </w:t>
      </w:r>
      <w:r w:rsidR="00C427A3" w:rsidRPr="005A68E6">
        <w:rPr>
          <w:rFonts w:cs="Times Armenian"/>
          <w:lang w:val="en-US"/>
        </w:rPr>
        <w:t xml:space="preserve">organizations </w:t>
      </w:r>
      <w:r w:rsidR="00C427A3" w:rsidRPr="005A68E6">
        <w:rPr>
          <w:rFonts w:cs="Times Armenian"/>
        </w:rPr>
        <w:t>as a result of being classified as a middle-income country</w:t>
      </w:r>
      <w:r w:rsidR="00FA37E9" w:rsidRPr="005A68E6">
        <w:rPr>
          <w:rFonts w:cs="Times Armenian"/>
        </w:rPr>
        <w:t>.</w:t>
      </w:r>
      <w:r w:rsidR="00FA37E9" w:rsidRPr="005A68E6">
        <w:t xml:space="preserve"> </w:t>
      </w:r>
      <w:r w:rsidR="00FA37E9" w:rsidRPr="005A68E6">
        <w:rPr>
          <w:rFonts w:cs="Times Armenian"/>
        </w:rPr>
        <w:t xml:space="preserve">At the same time, </w:t>
      </w:r>
      <w:r w:rsidR="00257372" w:rsidRPr="005A68E6">
        <w:rPr>
          <w:rFonts w:cs="Times Armenian"/>
        </w:rPr>
        <w:t xml:space="preserve">a significant increase in interest rates </w:t>
      </w:r>
      <w:r w:rsidR="00257372" w:rsidRPr="005A68E6">
        <w:rPr>
          <w:rFonts w:cs="Times Armenian"/>
          <w:lang w:val="en-US"/>
        </w:rPr>
        <w:t>ha</w:t>
      </w:r>
      <w:r w:rsidRPr="005A68E6">
        <w:rPr>
          <w:rFonts w:cs="Times Armenian"/>
          <w:lang w:val="en-US"/>
        </w:rPr>
        <w:t>d</w:t>
      </w:r>
      <w:r w:rsidR="00257372" w:rsidRPr="005A68E6">
        <w:rPr>
          <w:rFonts w:cs="Times Armenian"/>
          <w:lang w:val="en-US"/>
        </w:rPr>
        <w:t xml:space="preserve"> been</w:t>
      </w:r>
      <w:r w:rsidR="00257372" w:rsidRPr="005A68E6">
        <w:rPr>
          <w:rFonts w:cs="Times Armenian"/>
        </w:rPr>
        <w:t xml:space="preserve"> recorded</w:t>
      </w:r>
      <w:r w:rsidR="00257372" w:rsidRPr="005A68E6">
        <w:rPr>
          <w:rFonts w:cs="Times Armenian"/>
          <w:lang w:val="en-US"/>
        </w:rPr>
        <w:t xml:space="preserve"> </w:t>
      </w:r>
      <w:r w:rsidR="00FA37E9" w:rsidRPr="005A68E6">
        <w:rPr>
          <w:rFonts w:cs="Times Armenian"/>
        </w:rPr>
        <w:t xml:space="preserve">in </w:t>
      </w:r>
      <w:r w:rsidRPr="005A68E6">
        <w:rPr>
          <w:rFonts w:cs="Times Armenian"/>
          <w:lang w:val="en-US"/>
        </w:rPr>
        <w:t xml:space="preserve">the </w:t>
      </w:r>
      <w:r w:rsidR="00FA37E9" w:rsidRPr="005A68E6">
        <w:rPr>
          <w:rFonts w:cs="Times Armenian"/>
        </w:rPr>
        <w:t xml:space="preserve">international financial markets, mainly due to the </w:t>
      </w:r>
      <w:r w:rsidR="00D72387" w:rsidRPr="005A68E6">
        <w:rPr>
          <w:rFonts w:cs="Times Armenian"/>
          <w:lang w:val="en-US"/>
        </w:rPr>
        <w:t>tightening</w:t>
      </w:r>
      <w:r w:rsidR="00257372" w:rsidRPr="005A68E6">
        <w:rPr>
          <w:rFonts w:cs="Times Armenian"/>
        </w:rPr>
        <w:t xml:space="preserve"> </w:t>
      </w:r>
      <w:r w:rsidR="00FA37E9" w:rsidRPr="005A68E6">
        <w:rPr>
          <w:rFonts w:cs="Times Armenian"/>
        </w:rPr>
        <w:t xml:space="preserve">monetary policy of </w:t>
      </w:r>
      <w:r w:rsidR="00257372" w:rsidRPr="005A68E6">
        <w:rPr>
          <w:rFonts w:cs="Times Armenian"/>
          <w:lang w:val="en-US"/>
        </w:rPr>
        <w:t xml:space="preserve">the </w:t>
      </w:r>
      <w:r w:rsidR="00FA37E9" w:rsidRPr="005A68E6">
        <w:rPr>
          <w:rFonts w:cs="Times Armenian"/>
        </w:rPr>
        <w:t xml:space="preserve">central banks of developed countries (USA, Eurozone, UK) both </w:t>
      </w:r>
      <w:r w:rsidR="006C2370" w:rsidRPr="005A68E6">
        <w:rPr>
          <w:rFonts w:cs="Times Armenian"/>
          <w:lang w:val="en-US"/>
        </w:rPr>
        <w:t xml:space="preserve">through interest-rate increases and </w:t>
      </w:r>
      <w:r w:rsidR="005718E9" w:rsidRPr="005A68E6">
        <w:rPr>
          <w:rFonts w:cs="Times Armenian"/>
          <w:lang w:val="en-US"/>
        </w:rPr>
        <w:t>cancellation</w:t>
      </w:r>
      <w:r w:rsidR="006C2370" w:rsidRPr="005A68E6">
        <w:rPr>
          <w:rFonts w:cs="Times Armenian"/>
          <w:lang w:val="en-US"/>
        </w:rPr>
        <w:t xml:space="preserve"> of quantitative easing programs. </w:t>
      </w:r>
      <w:r w:rsidR="00D72387" w:rsidRPr="005A68E6">
        <w:rPr>
          <w:rFonts w:cs="Times Armenian"/>
        </w:rPr>
        <w:t>Due to these factors</w:t>
      </w:r>
      <w:r w:rsidR="00FA37E9" w:rsidRPr="005A68E6">
        <w:rPr>
          <w:rFonts w:cs="Times Armenian"/>
        </w:rPr>
        <w:t xml:space="preserve">, </w:t>
      </w:r>
      <w:r w:rsidR="00D72387" w:rsidRPr="005A68E6">
        <w:rPr>
          <w:rFonts w:cs="Times Armenian"/>
        </w:rPr>
        <w:t xml:space="preserve">at the end of the year </w:t>
      </w:r>
      <w:r w:rsidR="00FA37E9" w:rsidRPr="005A68E6">
        <w:rPr>
          <w:rFonts w:cs="Times Armenian"/>
        </w:rPr>
        <w:t xml:space="preserve">the weighted average interest rate on external loans and borrowings </w:t>
      </w:r>
      <w:r w:rsidR="00D72387" w:rsidRPr="005A68E6">
        <w:rPr>
          <w:rFonts w:cs="Times Armenian"/>
          <w:lang w:val="en-US"/>
        </w:rPr>
        <w:t>made up</w:t>
      </w:r>
      <w:r w:rsidR="00FA37E9" w:rsidRPr="005A68E6">
        <w:rPr>
          <w:rFonts w:cs="Times Armenian"/>
        </w:rPr>
        <w:t xml:space="preserve"> 3.2% against 1.5% </w:t>
      </w:r>
      <w:r w:rsidR="005718E9" w:rsidRPr="005A68E6">
        <w:rPr>
          <w:rFonts w:cs="Times Armenian"/>
          <w:lang w:val="en-US"/>
        </w:rPr>
        <w:t>for the previous</w:t>
      </w:r>
      <w:r w:rsidR="005718E9" w:rsidRPr="005A68E6">
        <w:rPr>
          <w:rFonts w:cs="Times Armenian"/>
        </w:rPr>
        <w:t xml:space="preserve"> </w:t>
      </w:r>
      <w:r w:rsidR="00FA37E9" w:rsidRPr="005A68E6">
        <w:rPr>
          <w:rFonts w:cs="Times Armenian"/>
        </w:rPr>
        <w:t xml:space="preserve">year. </w:t>
      </w:r>
      <w:r w:rsidR="00D72387" w:rsidRPr="005A68E6">
        <w:rPr>
          <w:rFonts w:cs="Times Armenian"/>
          <w:lang w:val="en-US"/>
        </w:rPr>
        <w:t>Regarding to</w:t>
      </w:r>
      <w:r w:rsidR="00FA37E9" w:rsidRPr="005A68E6">
        <w:rPr>
          <w:rFonts w:cs="Times Armenian"/>
        </w:rPr>
        <w:t xml:space="preserve"> the average yield of </w:t>
      </w:r>
      <w:r w:rsidR="004D6547" w:rsidRPr="005A68E6">
        <w:rPr>
          <w:rFonts w:cs="Times Armenian"/>
          <w:lang w:val="en-US"/>
        </w:rPr>
        <w:t>G</w:t>
      </w:r>
      <w:r w:rsidR="00FA37E9" w:rsidRPr="005A68E6">
        <w:rPr>
          <w:rFonts w:cs="Times Armenian"/>
        </w:rPr>
        <w:t xml:space="preserve">overnment </w:t>
      </w:r>
      <w:r w:rsidR="00FA37E9" w:rsidRPr="005A68E6">
        <w:rPr>
          <w:rFonts w:cs="Times Armenian"/>
          <w:lang w:val="en-US"/>
        </w:rPr>
        <w:t>t</w:t>
      </w:r>
      <w:r w:rsidR="00FA37E9" w:rsidRPr="005A68E6">
        <w:rPr>
          <w:rFonts w:cs="Times Armenian"/>
        </w:rPr>
        <w:t xml:space="preserve">reasury bonds, the weighted average yield of </w:t>
      </w:r>
      <w:r w:rsidR="004D6547" w:rsidRPr="005A68E6">
        <w:rPr>
          <w:rFonts w:cs="Times Armenian"/>
          <w:lang w:val="en-US"/>
        </w:rPr>
        <w:t>G</w:t>
      </w:r>
      <w:r w:rsidR="00FA37E9" w:rsidRPr="005A68E6">
        <w:rPr>
          <w:rFonts w:cs="Times Armenian"/>
        </w:rPr>
        <w:t>overnment tre</w:t>
      </w:r>
      <w:r w:rsidR="00FA37E9" w:rsidRPr="005A68E6">
        <w:rPr>
          <w:rFonts w:cs="Times Armenian"/>
          <w:lang w:val="en-US"/>
        </w:rPr>
        <w:t>a</w:t>
      </w:r>
      <w:r w:rsidR="00FA37E9" w:rsidRPr="005A68E6">
        <w:rPr>
          <w:rFonts w:cs="Times Armenian"/>
        </w:rPr>
        <w:t xml:space="preserve">sury bonds </w:t>
      </w:r>
      <w:r w:rsidR="00D72387" w:rsidRPr="005A68E6">
        <w:rPr>
          <w:rFonts w:cs="Times Armenian"/>
          <w:lang w:val="en-US"/>
        </w:rPr>
        <w:t>amounted to</w:t>
      </w:r>
      <w:r w:rsidR="00FA37E9" w:rsidRPr="005A68E6">
        <w:rPr>
          <w:rFonts w:cs="Times Armenian"/>
        </w:rPr>
        <w:t xml:space="preserve"> 10.5% </w:t>
      </w:r>
      <w:r w:rsidR="005718E9" w:rsidRPr="005A68E6">
        <w:rPr>
          <w:rFonts w:cs="Times Armenian"/>
          <w:lang w:val="en-US"/>
        </w:rPr>
        <w:t xml:space="preserve">as of </w:t>
      </w:r>
      <w:r w:rsidR="00FA37E9" w:rsidRPr="005A68E6">
        <w:rPr>
          <w:rFonts w:cs="Times Armenian"/>
        </w:rPr>
        <w:t>December 31, 2022,</w:t>
      </w:r>
      <w:r w:rsidR="00FA37E9" w:rsidRPr="005A68E6">
        <w:rPr>
          <w:rFonts w:cs="Times Armenian"/>
          <w:lang w:val="en-US"/>
        </w:rPr>
        <w:t xml:space="preserve"> against</w:t>
      </w:r>
      <w:r w:rsidR="00FA37E9" w:rsidRPr="005A68E6">
        <w:rPr>
          <w:rFonts w:cs="Times Armenian"/>
        </w:rPr>
        <w:t xml:space="preserve"> 10.1% at the end of 2021</w:t>
      </w:r>
      <w:r w:rsidR="00FA37E9" w:rsidRPr="005A68E6">
        <w:rPr>
          <w:rFonts w:cs="Times Armenian"/>
          <w:lang w:val="en-US"/>
        </w:rPr>
        <w:t>.</w:t>
      </w:r>
    </w:p>
    <w:p w14:paraId="18675A4D" w14:textId="77777777" w:rsidR="00FA37E9" w:rsidRPr="005A68E6" w:rsidRDefault="00FA37E9" w:rsidP="00A1274B">
      <w:pPr>
        <w:rPr>
          <w:rFonts w:cs="Times Armenian"/>
          <w:color w:val="FF0000"/>
        </w:rPr>
      </w:pPr>
    </w:p>
    <w:p w14:paraId="187E8DDB" w14:textId="69625A75" w:rsidR="00E73383" w:rsidRPr="005A68E6" w:rsidRDefault="00190246" w:rsidP="00C45A7F">
      <w:pPr>
        <w:pStyle w:val="Heading5"/>
        <w:keepNext/>
        <w:numPr>
          <w:ilvl w:val="0"/>
          <w:numId w:val="42"/>
        </w:numPr>
        <w:spacing w:before="0" w:after="0" w:line="240" w:lineRule="auto"/>
        <w:ind w:left="1276" w:hanging="1276"/>
        <w:jc w:val="left"/>
        <w:rPr>
          <w:rFonts w:cs="Arial"/>
          <w:bCs w:val="0"/>
          <w:i w:val="0"/>
          <w:iCs w:val="0"/>
          <w:color w:val="FF0000"/>
          <w:sz w:val="22"/>
          <w:szCs w:val="24"/>
        </w:rPr>
      </w:pPr>
      <w:r w:rsidRPr="005A68E6">
        <w:t>The dynamics of the average weighted yield of the primary allocations of outstanding GS in 2020-2022.</w:t>
      </w:r>
    </w:p>
    <w:p w14:paraId="2220A633" w14:textId="3A6E2F04" w:rsidR="00EB1042" w:rsidRPr="005A68E6" w:rsidRDefault="00EB1042" w:rsidP="00581010">
      <w:pPr>
        <w:ind w:firstLine="0"/>
        <w:jc w:val="center"/>
      </w:pPr>
    </w:p>
    <w:p w14:paraId="7ED296C2" w14:textId="618376BB" w:rsidR="00AF2743" w:rsidRPr="005A68E6" w:rsidRDefault="00AF2743" w:rsidP="00581010">
      <w:pPr>
        <w:ind w:firstLine="0"/>
        <w:jc w:val="center"/>
      </w:pPr>
      <w:r w:rsidRPr="005A68E6">
        <w:rPr>
          <w:noProof/>
          <w:lang w:val="en-US"/>
        </w:rPr>
        <w:drawing>
          <wp:inline distT="0" distB="0" distL="0" distR="0" wp14:anchorId="0B6ED78D" wp14:editId="71D7A805">
            <wp:extent cx="6482080" cy="3880884"/>
            <wp:effectExtent l="0" t="0" r="13970" b="5715"/>
            <wp:docPr id="9" name="Chart 9">
              <a:extLst xmlns:a="http://schemas.openxmlformats.org/drawingml/2006/main">
                <a:ext uri="{FF2B5EF4-FFF2-40B4-BE49-F238E27FC236}">
                  <a16:creationId xmlns:a16="http://schemas.microsoft.com/office/drawing/2014/main" id="{00000000-0008-0000-1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3AC7878" w14:textId="2255E7F1" w:rsidR="009063BA" w:rsidRPr="005A68E6" w:rsidRDefault="00BB5E9F" w:rsidP="001C7D73">
      <w:pPr>
        <w:ind w:firstLine="0"/>
        <w:rPr>
          <w:sz w:val="18"/>
          <w:szCs w:val="18"/>
        </w:rPr>
      </w:pPr>
      <w:r w:rsidRPr="005A68E6" w:rsidDel="00BB5E9F">
        <w:t xml:space="preserve"> </w:t>
      </w:r>
      <w:r w:rsidR="00F17BDF" w:rsidRPr="005A68E6">
        <w:rPr>
          <w:sz w:val="18"/>
          <w:szCs w:val="18"/>
        </w:rPr>
        <w:t xml:space="preserve">  </w:t>
      </w:r>
      <w:r w:rsidR="009063BA" w:rsidRPr="005A68E6">
        <w:rPr>
          <w:sz w:val="18"/>
          <w:szCs w:val="18"/>
        </w:rPr>
        <w:t xml:space="preserve">Source: </w:t>
      </w:r>
      <w:r w:rsidR="00BD071F" w:rsidRPr="005A68E6">
        <w:rPr>
          <w:sz w:val="18"/>
          <w:szCs w:val="18"/>
        </w:rPr>
        <w:t>RA MoF</w:t>
      </w:r>
    </w:p>
    <w:p w14:paraId="5E5EDDF4" w14:textId="77777777" w:rsidR="001A3C9E" w:rsidRPr="005A68E6" w:rsidRDefault="001A3C9E" w:rsidP="00FA37E9">
      <w:pPr>
        <w:spacing w:line="312" w:lineRule="auto"/>
        <w:ind w:firstLine="709"/>
        <w:rPr>
          <w:lang w:val="en-US"/>
        </w:rPr>
      </w:pPr>
    </w:p>
    <w:p w14:paraId="6C71E275" w14:textId="3E510410" w:rsidR="00FA37E9" w:rsidRPr="005A68E6" w:rsidRDefault="00FA37E9" w:rsidP="00FA37E9">
      <w:pPr>
        <w:spacing w:line="312" w:lineRule="auto"/>
        <w:ind w:firstLine="709"/>
        <w:rPr>
          <w:lang w:val="en-US"/>
        </w:rPr>
      </w:pPr>
      <w:r w:rsidRPr="005A68E6">
        <w:rPr>
          <w:lang w:val="en-US"/>
        </w:rPr>
        <w:t xml:space="preserve">Since March 2022, amid the ongoing tightening of monetary conditions by the Central Bank the weighted average yield of </w:t>
      </w:r>
      <w:r w:rsidR="004D6547" w:rsidRPr="005A68E6">
        <w:rPr>
          <w:lang w:val="en-US"/>
        </w:rPr>
        <w:t>G</w:t>
      </w:r>
      <w:r w:rsidRPr="005A68E6">
        <w:rPr>
          <w:lang w:val="en-US"/>
        </w:rPr>
        <w:t>overnment treasury bonds primary placements ha</w:t>
      </w:r>
      <w:r w:rsidR="00AF2743" w:rsidRPr="005A68E6">
        <w:rPr>
          <w:lang w:val="en-US"/>
        </w:rPr>
        <w:t>d</w:t>
      </w:r>
      <w:r w:rsidRPr="005A68E6">
        <w:rPr>
          <w:lang w:val="en-US"/>
        </w:rPr>
        <w:t xml:space="preserve"> increased and amounted to 11.1% against 9.3% at the end of </w:t>
      </w:r>
      <w:r w:rsidR="000B0B89" w:rsidRPr="005A68E6">
        <w:rPr>
          <w:lang w:val="en-US"/>
        </w:rPr>
        <w:t xml:space="preserve">the previous </w:t>
      </w:r>
      <w:r w:rsidRPr="005A68E6">
        <w:rPr>
          <w:lang w:val="en-US"/>
        </w:rPr>
        <w:t>year.</w:t>
      </w:r>
    </w:p>
    <w:p w14:paraId="68099597" w14:textId="286EED17" w:rsidR="00FA37E9" w:rsidRPr="005A68E6" w:rsidRDefault="00FA37E9" w:rsidP="00FA37E9">
      <w:pPr>
        <w:spacing w:line="312" w:lineRule="auto"/>
        <w:ind w:firstLine="709"/>
      </w:pPr>
      <w:r w:rsidRPr="005A68E6">
        <w:rPr>
          <w:lang w:val="en-US"/>
        </w:rPr>
        <w:t>During 2022</w:t>
      </w:r>
      <w:r w:rsidRPr="005A68E6">
        <w:t>,</w:t>
      </w:r>
      <w:r w:rsidRPr="005A68E6">
        <w:rPr>
          <w:lang w:val="en-US"/>
        </w:rPr>
        <w:t xml:space="preserve"> the RA Government paid AMD 198.3 billion interest on debt</w:t>
      </w:r>
      <w:r w:rsidRPr="005A68E6">
        <w:t xml:space="preserve"> </w:t>
      </w:r>
      <w:r w:rsidRPr="005A68E6">
        <w:rPr>
          <w:lang w:val="en-US"/>
        </w:rPr>
        <w:t xml:space="preserve">compared to AMD 180.8 billion last year. The interest paid in 2022 amounted to 9.6% of state budget revenues, 8.8% of state budget </w:t>
      </w:r>
      <w:r w:rsidRPr="005A68E6">
        <w:rPr>
          <w:lang w:val="en-US"/>
        </w:rPr>
        <w:lastRenderedPageBreak/>
        <w:t xml:space="preserve">expenditures, and 2.3% of GDP, against 10.7%, 9.0% and 2.6% of the same indicators </w:t>
      </w:r>
      <w:r w:rsidR="00B32478" w:rsidRPr="005A68E6">
        <w:rPr>
          <w:lang w:val="en-US"/>
        </w:rPr>
        <w:t>for</w:t>
      </w:r>
      <w:r w:rsidR="00EC39CD" w:rsidRPr="005A68E6">
        <w:rPr>
          <w:lang w:val="en-US"/>
        </w:rPr>
        <w:t xml:space="preserve"> the previous </w:t>
      </w:r>
      <w:r w:rsidRPr="005A68E6">
        <w:rPr>
          <w:lang w:val="en-US"/>
        </w:rPr>
        <w:t>year</w:t>
      </w:r>
      <w:r w:rsidR="0053479F" w:rsidRPr="005A68E6">
        <w:rPr>
          <w:lang w:val="en-US"/>
        </w:rPr>
        <w:t>, respectively</w:t>
      </w:r>
      <w:r w:rsidRPr="005A68E6">
        <w:rPr>
          <w:lang w:val="en-US"/>
        </w:rPr>
        <w:t>.</w:t>
      </w:r>
    </w:p>
    <w:p w14:paraId="168ACFED" w14:textId="77777777" w:rsidR="00FA37E9" w:rsidRPr="005A68E6" w:rsidRDefault="00FA37E9" w:rsidP="00A1274B">
      <w:pPr>
        <w:rPr>
          <w:color w:val="FF0000"/>
        </w:rPr>
      </w:pPr>
    </w:p>
    <w:p w14:paraId="096A7C83" w14:textId="77777777" w:rsidR="00FA37E9" w:rsidRPr="005A68E6" w:rsidRDefault="00FA37E9" w:rsidP="00FA37E9">
      <w:pPr>
        <w:pStyle w:val="af8"/>
        <w:keepLines/>
        <w:spacing w:before="360" w:after="240"/>
      </w:pPr>
      <w:r w:rsidRPr="005A68E6">
        <w:t xml:space="preserve">Exchange Rate Risk </w:t>
      </w:r>
    </w:p>
    <w:p w14:paraId="55375FDE" w14:textId="583A46CC" w:rsidR="00FA37E9" w:rsidRPr="005A68E6" w:rsidRDefault="00FA37E9" w:rsidP="00FA37E9">
      <w:r w:rsidRPr="005A68E6">
        <w:rPr>
          <w:lang w:val="en-US"/>
        </w:rPr>
        <w:t>The exchange rate risk is t</w:t>
      </w:r>
      <w:r w:rsidRPr="005A68E6">
        <w:t xml:space="preserve">he most significant </w:t>
      </w:r>
      <w:r w:rsidRPr="005A68E6">
        <w:rPr>
          <w:lang w:val="en-US"/>
        </w:rPr>
        <w:t xml:space="preserve">of the </w:t>
      </w:r>
      <w:r w:rsidRPr="005A68E6">
        <w:t>market risk</w:t>
      </w:r>
      <w:r w:rsidRPr="005A68E6">
        <w:rPr>
          <w:lang w:val="en-US"/>
        </w:rPr>
        <w:t>s</w:t>
      </w:r>
      <w:r w:rsidRPr="005A68E6">
        <w:t xml:space="preserve"> in the existing RA Government debt portfolio</w:t>
      </w:r>
      <w:r w:rsidRPr="005A68E6">
        <w:rPr>
          <w:lang w:val="en-US"/>
        </w:rPr>
        <w:t>.</w:t>
      </w:r>
      <w:r w:rsidRPr="005A68E6">
        <w:t xml:space="preserve"> The exchange rate risk is mostly measured by the following indicators: Share of the foreign currency denominated debt in the total debt and Share of the foreign currency denominated short</w:t>
      </w:r>
      <w:r w:rsidR="000A6CE4" w:rsidRPr="005A68E6">
        <w:rPr>
          <w:lang w:val="en-US"/>
        </w:rPr>
        <w:t>-</w:t>
      </w:r>
      <w:r w:rsidRPr="005A68E6">
        <w:t>term debt in the international reserves.</w:t>
      </w:r>
    </w:p>
    <w:p w14:paraId="48659CEB" w14:textId="155C3EBA" w:rsidR="00FA37E9" w:rsidRPr="005A68E6" w:rsidRDefault="00FA37E9" w:rsidP="00FA37E9">
      <w:pPr>
        <w:rPr>
          <w:b/>
          <w:lang w:val="en-US"/>
        </w:rPr>
      </w:pPr>
      <w:r w:rsidRPr="005A68E6">
        <w:t>The current RA Government debt portfolio is exposed to a high exchange rate risk, because, as of  December 31</w:t>
      </w:r>
      <w:r w:rsidRPr="005A68E6">
        <w:rPr>
          <w:lang w:val="en-US"/>
        </w:rPr>
        <w:t xml:space="preserve">, </w:t>
      </w:r>
      <w:r w:rsidRPr="005A68E6">
        <w:t>202</w:t>
      </w:r>
      <w:r w:rsidRPr="005A68E6">
        <w:rPr>
          <w:lang w:val="en-US"/>
        </w:rPr>
        <w:t>2</w:t>
      </w:r>
      <w:r w:rsidRPr="005A68E6">
        <w:t>, the major part of the debt (</w:t>
      </w:r>
      <w:r w:rsidRPr="005A68E6">
        <w:rPr>
          <w:lang w:val="en-US"/>
        </w:rPr>
        <w:t>62</w:t>
      </w:r>
      <w:r w:rsidRPr="005A68E6">
        <w:t>.</w:t>
      </w:r>
      <w:r w:rsidRPr="005A68E6">
        <w:rPr>
          <w:lang w:val="en-US"/>
        </w:rPr>
        <w:t>1</w:t>
      </w:r>
      <w:r w:rsidRPr="005A68E6">
        <w:t>%) had been borrowed in foreign currency</w:t>
      </w:r>
      <w:r w:rsidRPr="005A68E6">
        <w:rPr>
          <w:lang w:val="en-US"/>
        </w:rPr>
        <w:t>.</w:t>
      </w:r>
      <w:r w:rsidRPr="005A68E6">
        <w:t xml:space="preserve"> </w:t>
      </w:r>
      <w:r w:rsidRPr="005A68E6">
        <w:rPr>
          <w:lang w:val="en-US"/>
        </w:rPr>
        <w:t xml:space="preserve">As a result of the consistent implementation of the RA </w:t>
      </w:r>
      <w:r w:rsidR="004D6547" w:rsidRPr="005A68E6">
        <w:rPr>
          <w:lang w:val="en-US"/>
        </w:rPr>
        <w:t>G</w:t>
      </w:r>
      <w:r w:rsidRPr="005A68E6">
        <w:rPr>
          <w:lang w:val="en-US"/>
        </w:rPr>
        <w:t xml:space="preserve">overnment debt management policy </w:t>
      </w:r>
      <w:r w:rsidR="007E524B" w:rsidRPr="005A68E6">
        <w:rPr>
          <w:lang w:val="en-US"/>
        </w:rPr>
        <w:t xml:space="preserve">aimed at reducing </w:t>
      </w:r>
      <w:r w:rsidR="00C14E95" w:rsidRPr="005A68E6">
        <w:rPr>
          <w:lang w:val="en-US"/>
        </w:rPr>
        <w:t>exchange rate</w:t>
      </w:r>
      <w:r w:rsidRPr="005A68E6">
        <w:rPr>
          <w:lang w:val="en-US"/>
        </w:rPr>
        <w:t xml:space="preserve"> risk this indicator </w:t>
      </w:r>
      <w:r w:rsidRPr="005A68E6">
        <w:t xml:space="preserve">decreased by </w:t>
      </w:r>
      <w:r w:rsidRPr="005A68E6">
        <w:rPr>
          <w:lang w:val="en-US"/>
        </w:rPr>
        <w:t>9.1</w:t>
      </w:r>
      <w:r w:rsidRPr="005A68E6">
        <w:t xml:space="preserve"> percentage points compared to the previous year.</w:t>
      </w:r>
    </w:p>
    <w:p w14:paraId="5B6F6AF3" w14:textId="77777777" w:rsidR="00FA37E9" w:rsidRPr="005A68E6" w:rsidRDefault="00FA37E9" w:rsidP="00A1274B">
      <w:pPr>
        <w:rPr>
          <w:color w:val="FF0000"/>
        </w:rPr>
      </w:pPr>
    </w:p>
    <w:p w14:paraId="5F0ACD19" w14:textId="0AB70F52" w:rsidR="00E73383" w:rsidRPr="005A68E6" w:rsidRDefault="00C14E95" w:rsidP="00C45A7F">
      <w:pPr>
        <w:pStyle w:val="Heading5"/>
        <w:keepNext/>
        <w:numPr>
          <w:ilvl w:val="0"/>
          <w:numId w:val="42"/>
        </w:numPr>
        <w:spacing w:before="120" w:after="240" w:line="240" w:lineRule="auto"/>
        <w:ind w:left="1276" w:hanging="1276"/>
        <w:jc w:val="left"/>
        <w:rPr>
          <w:rFonts w:cs="Arial"/>
          <w:bCs w:val="0"/>
          <w:i w:val="0"/>
          <w:iCs w:val="0"/>
          <w:sz w:val="22"/>
          <w:szCs w:val="24"/>
        </w:rPr>
      </w:pPr>
      <w:r w:rsidRPr="005A68E6">
        <w:t>The share of foreign currency and AMD denominated  debt of RA Government, 2021-2022 (%)</w:t>
      </w:r>
    </w:p>
    <w:p w14:paraId="27C1B51C" w14:textId="37A291EF" w:rsidR="00E73383" w:rsidRPr="005A68E6" w:rsidRDefault="00E73383" w:rsidP="00EB1C7C">
      <w:pPr>
        <w:jc w:val="center"/>
        <w:rPr>
          <w:color w:val="FF0000"/>
        </w:rPr>
      </w:pPr>
    </w:p>
    <w:p w14:paraId="5F108E19" w14:textId="75DFFDEE" w:rsidR="00C14E95" w:rsidRPr="005A68E6" w:rsidRDefault="00C14E95" w:rsidP="00EB1C7C">
      <w:pPr>
        <w:jc w:val="center"/>
        <w:rPr>
          <w:color w:val="FF0000"/>
        </w:rPr>
      </w:pPr>
      <w:r w:rsidRPr="005A68E6">
        <w:rPr>
          <w:noProof/>
          <w:lang w:val="en-US"/>
        </w:rPr>
        <w:drawing>
          <wp:inline distT="0" distB="0" distL="0" distR="0" wp14:anchorId="2D1D9709" wp14:editId="51D1859B">
            <wp:extent cx="4370070" cy="2783205"/>
            <wp:effectExtent l="0" t="0" r="11430" b="17145"/>
            <wp:docPr id="1" name="Chart 1">
              <a:extLst xmlns:a="http://schemas.openxmlformats.org/drawingml/2006/main">
                <a:ext uri="{FF2B5EF4-FFF2-40B4-BE49-F238E27FC236}">
                  <a16:creationId xmlns:a16="http://schemas.microsoft.com/office/drawing/2014/main" id="{00000000-0008-0000-0B00-00002F0CF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E4D6E0" w14:textId="44F4D963" w:rsidR="00FC5C38" w:rsidRPr="005A68E6" w:rsidRDefault="00FC5C38" w:rsidP="00C45A7F">
      <w:pPr>
        <w:ind w:left="1440" w:firstLine="720"/>
        <w:rPr>
          <w:sz w:val="18"/>
          <w:szCs w:val="18"/>
        </w:rPr>
      </w:pPr>
      <w:r w:rsidRPr="005A68E6">
        <w:rPr>
          <w:sz w:val="18"/>
          <w:szCs w:val="18"/>
        </w:rPr>
        <w:t>Source: RA MoF</w:t>
      </w:r>
    </w:p>
    <w:p w14:paraId="3F727E30" w14:textId="77777777" w:rsidR="00FC5C38" w:rsidRPr="005A68E6" w:rsidRDefault="00FC5C38" w:rsidP="00EB1C7C">
      <w:pPr>
        <w:jc w:val="center"/>
        <w:rPr>
          <w:color w:val="FF0000"/>
        </w:rPr>
      </w:pPr>
    </w:p>
    <w:p w14:paraId="09A3A239" w14:textId="1750A751" w:rsidR="00FA37E9" w:rsidRPr="005A68E6" w:rsidRDefault="00FA37E9" w:rsidP="00FA37E9">
      <w:pPr>
        <w:rPr>
          <w:color w:val="000000"/>
          <w:lang w:val="en-US"/>
        </w:rPr>
      </w:pPr>
      <w:r w:rsidRPr="005A68E6">
        <w:t xml:space="preserve">At the end of 2022, </w:t>
      </w:r>
      <w:r w:rsidR="003E1100" w:rsidRPr="005A68E6">
        <w:t>US</w:t>
      </w:r>
      <w:r w:rsidR="003E1100" w:rsidRPr="005A68E6">
        <w:rPr>
          <w:lang w:val="en-US"/>
        </w:rPr>
        <w:t>D</w:t>
      </w:r>
      <w:r w:rsidR="003E1100" w:rsidRPr="005A68E6">
        <w:t xml:space="preserve"> </w:t>
      </w:r>
      <w:r w:rsidR="003E1100" w:rsidRPr="005A68E6">
        <w:rPr>
          <w:lang w:val="en-US"/>
        </w:rPr>
        <w:t xml:space="preserve">denominated </w:t>
      </w:r>
      <w:r w:rsidR="003E1100" w:rsidRPr="005A68E6">
        <w:t xml:space="preserve">debt was dominated </w:t>
      </w:r>
      <w:r w:rsidR="003E1100" w:rsidRPr="005A68E6">
        <w:rPr>
          <w:lang w:val="en-US"/>
        </w:rPr>
        <w:t xml:space="preserve">in </w:t>
      </w:r>
      <w:r w:rsidRPr="005A68E6">
        <w:t xml:space="preserve">the </w:t>
      </w:r>
      <w:r w:rsidR="00953342" w:rsidRPr="005A68E6">
        <w:rPr>
          <w:lang w:val="en-US"/>
        </w:rPr>
        <w:t xml:space="preserve">structure of </w:t>
      </w:r>
      <w:r w:rsidRPr="005A68E6">
        <w:rPr>
          <w:lang w:val="en-US"/>
        </w:rPr>
        <w:t>RA Government foreign currency debt portfolio</w:t>
      </w:r>
      <w:r w:rsidRPr="005A68E6">
        <w:t xml:space="preserve"> </w:t>
      </w:r>
      <w:r w:rsidR="00953342" w:rsidRPr="005A68E6">
        <w:rPr>
          <w:lang w:val="en-US"/>
        </w:rPr>
        <w:t xml:space="preserve">amounting to </w:t>
      </w:r>
      <w:r w:rsidRPr="005A68E6">
        <w:t>59.2%</w:t>
      </w:r>
      <w:r w:rsidR="005A35DA" w:rsidRPr="005A68E6">
        <w:rPr>
          <w:lang w:val="en-US"/>
        </w:rPr>
        <w:t xml:space="preserve"> (69.6% after </w:t>
      </w:r>
      <w:r w:rsidR="003E1100" w:rsidRPr="005A68E6">
        <w:rPr>
          <w:lang w:val="en-US"/>
        </w:rPr>
        <w:t>decomposing SDR</w:t>
      </w:r>
      <w:r w:rsidR="005A35DA" w:rsidRPr="005A68E6">
        <w:rPr>
          <w:lang w:val="en-US"/>
        </w:rPr>
        <w:t xml:space="preserve"> by the corresponding currency </w:t>
      </w:r>
      <w:r w:rsidR="003E1100" w:rsidRPr="005A68E6">
        <w:rPr>
          <w:lang w:val="en-US"/>
        </w:rPr>
        <w:t>share</w:t>
      </w:r>
      <w:r w:rsidR="005A35DA" w:rsidRPr="005A68E6">
        <w:rPr>
          <w:lang w:val="en-US"/>
        </w:rPr>
        <w:t>s).</w:t>
      </w:r>
    </w:p>
    <w:p w14:paraId="30162A2E" w14:textId="1AA2BDE7" w:rsidR="000C669F" w:rsidRPr="005A68E6" w:rsidRDefault="00917088" w:rsidP="00C45A7F">
      <w:pPr>
        <w:pStyle w:val="Heading5"/>
        <w:keepNext/>
        <w:numPr>
          <w:ilvl w:val="0"/>
          <w:numId w:val="42"/>
        </w:numPr>
        <w:spacing w:before="120" w:after="240" w:line="240" w:lineRule="auto"/>
        <w:ind w:left="1276" w:hanging="1276"/>
        <w:jc w:val="left"/>
        <w:rPr>
          <w:rFonts w:cs="Arial"/>
          <w:bCs w:val="0"/>
          <w:i w:val="0"/>
          <w:iCs w:val="0"/>
          <w:sz w:val="22"/>
          <w:szCs w:val="24"/>
          <w:lang w:val="en-US"/>
        </w:rPr>
      </w:pPr>
      <w:r w:rsidRPr="005A68E6">
        <w:rPr>
          <w:rFonts w:cs="Arial"/>
          <w:bCs w:val="0"/>
          <w:i w:val="0"/>
          <w:iCs w:val="0"/>
          <w:sz w:val="22"/>
          <w:szCs w:val="24"/>
          <w:lang w:val="en-US"/>
        </w:rPr>
        <w:lastRenderedPageBreak/>
        <w:t>The structure of the RA Government foreign currency debt portfolio as of the end of 2022</w:t>
      </w:r>
    </w:p>
    <w:p w14:paraId="3D5D969E" w14:textId="3C064F52" w:rsidR="000C669F" w:rsidRPr="005A68E6" w:rsidRDefault="000C669F" w:rsidP="000C669F">
      <w:pPr>
        <w:pStyle w:val="Heading5"/>
        <w:keepNext/>
        <w:spacing w:before="120" w:after="240" w:line="240" w:lineRule="auto"/>
        <w:ind w:left="1077" w:firstLine="0"/>
        <w:jc w:val="left"/>
        <w:rPr>
          <w:rFonts w:cs="Arial"/>
          <w:bCs w:val="0"/>
          <w:i w:val="0"/>
          <w:iCs w:val="0"/>
          <w:sz w:val="22"/>
          <w:szCs w:val="24"/>
          <w:lang w:val="en-US"/>
        </w:rPr>
      </w:pPr>
    </w:p>
    <w:p w14:paraId="5E993825" w14:textId="551A95D9" w:rsidR="00425637" w:rsidRPr="005A68E6" w:rsidRDefault="00917088" w:rsidP="007B6FD3">
      <w:pPr>
        <w:pStyle w:val="af7"/>
        <w:rPr>
          <w:lang w:val="en-US"/>
        </w:rPr>
      </w:pPr>
      <w:r w:rsidRPr="005A68E6">
        <w:rPr>
          <w:noProof/>
          <w:lang w:val="en-US"/>
        </w:rPr>
        <w:drawing>
          <wp:inline distT="0" distB="0" distL="0" distR="0" wp14:anchorId="40DDE546" wp14:editId="33155996">
            <wp:extent cx="6523355" cy="3035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3355" cy="3035935"/>
                    </a:xfrm>
                    <a:prstGeom prst="rect">
                      <a:avLst/>
                    </a:prstGeom>
                    <a:noFill/>
                  </pic:spPr>
                </pic:pic>
              </a:graphicData>
            </a:graphic>
          </wp:inline>
        </w:drawing>
      </w:r>
    </w:p>
    <w:p w14:paraId="79F867A5" w14:textId="7FF5A67E" w:rsidR="005A35DA" w:rsidRPr="005A68E6" w:rsidRDefault="005A35DA" w:rsidP="00C45A7F">
      <w:pPr>
        <w:spacing w:before="120" w:after="120" w:line="240" w:lineRule="auto"/>
        <w:rPr>
          <w:sz w:val="18"/>
          <w:lang w:val="en-US"/>
        </w:rPr>
      </w:pPr>
      <w:r w:rsidRPr="005A68E6">
        <w:rPr>
          <w:sz w:val="18"/>
          <w:lang w:val="en-US"/>
        </w:rPr>
        <w:t xml:space="preserve">The right chart shows the foreign currency structure of the debt portfolio with the distribution </w:t>
      </w:r>
      <w:r w:rsidR="00541660" w:rsidRPr="005A68E6">
        <w:rPr>
          <w:sz w:val="18"/>
          <w:lang w:val="en-US"/>
        </w:rPr>
        <w:t xml:space="preserve">of the corresponding SDR currency </w:t>
      </w:r>
      <w:r w:rsidR="009404F5" w:rsidRPr="005A68E6">
        <w:rPr>
          <w:sz w:val="18"/>
          <w:lang w:val="en-US"/>
        </w:rPr>
        <w:t>share</w:t>
      </w:r>
      <w:r w:rsidR="00541660" w:rsidRPr="005A68E6">
        <w:rPr>
          <w:sz w:val="18"/>
          <w:lang w:val="en-US"/>
        </w:rPr>
        <w:t xml:space="preserve">s. </w:t>
      </w:r>
    </w:p>
    <w:p w14:paraId="36F32575" w14:textId="560787FA" w:rsidR="00334EE1" w:rsidRPr="005A68E6" w:rsidRDefault="005A35DA" w:rsidP="005A35DA">
      <w:pPr>
        <w:spacing w:line="240" w:lineRule="auto"/>
        <w:rPr>
          <w:sz w:val="18"/>
        </w:rPr>
      </w:pPr>
      <w:r w:rsidRPr="005A68E6">
        <w:rPr>
          <w:sz w:val="18"/>
        </w:rPr>
        <w:t xml:space="preserve">Source: RA MoF calculations </w:t>
      </w:r>
    </w:p>
    <w:p w14:paraId="14517FA4" w14:textId="77777777" w:rsidR="00541660" w:rsidRPr="005A68E6" w:rsidRDefault="00541660" w:rsidP="00DF72BB">
      <w:pPr>
        <w:rPr>
          <w:color w:val="FF0000"/>
        </w:rPr>
      </w:pPr>
    </w:p>
    <w:p w14:paraId="2A7740E3" w14:textId="319EF2F6" w:rsidR="00D06204" w:rsidRPr="005A68E6" w:rsidRDefault="00FA37E9" w:rsidP="00B242B3">
      <w:pPr>
        <w:rPr>
          <w:lang w:val="en-US"/>
        </w:rPr>
      </w:pPr>
      <w:r w:rsidRPr="005A68E6">
        <w:t>The share of short</w:t>
      </w:r>
      <w:r w:rsidR="00541660" w:rsidRPr="005A68E6">
        <w:rPr>
          <w:lang w:val="en-US"/>
        </w:rPr>
        <w:t>-</w:t>
      </w:r>
      <w:r w:rsidRPr="005A68E6">
        <w:t>term foreign currency debt in international reserves comprised 7.</w:t>
      </w:r>
      <w:r w:rsidRPr="005A68E6">
        <w:rPr>
          <w:lang w:val="en-US"/>
        </w:rPr>
        <w:t>6</w:t>
      </w:r>
      <w:r w:rsidRPr="005A68E6">
        <w:t>%, which means that there is a sufficient amount of foreign currency assets to repay foreign currency</w:t>
      </w:r>
      <w:r w:rsidR="009404F5" w:rsidRPr="005A68E6">
        <w:rPr>
          <w:lang w:val="en-US"/>
        </w:rPr>
        <w:t xml:space="preserve"> </w:t>
      </w:r>
      <w:r w:rsidR="009404F5" w:rsidRPr="005A68E6">
        <w:t>short</w:t>
      </w:r>
      <w:r w:rsidR="009404F5" w:rsidRPr="005A68E6">
        <w:rPr>
          <w:lang w:val="en-US"/>
        </w:rPr>
        <w:t>-</w:t>
      </w:r>
      <w:r w:rsidR="009404F5" w:rsidRPr="005A68E6">
        <w:t>term</w:t>
      </w:r>
      <w:r w:rsidRPr="005A68E6">
        <w:t xml:space="preserve"> debt.</w:t>
      </w:r>
      <w:r w:rsidRPr="005A68E6">
        <w:rPr>
          <w:lang w:val="en-US"/>
        </w:rPr>
        <w:t xml:space="preserve"> At the end of 2022, this indicator decreased by 0.3 percentage points compared to the previous year. </w:t>
      </w:r>
    </w:p>
    <w:p w14:paraId="3C97F6B4" w14:textId="77777777" w:rsidR="00FA37E9" w:rsidRPr="005A68E6" w:rsidRDefault="00FA37E9" w:rsidP="00FA37E9">
      <w:pPr>
        <w:pStyle w:val="af8"/>
        <w:spacing w:after="240"/>
        <w:rPr>
          <w:lang w:val="en-US"/>
        </w:rPr>
      </w:pPr>
      <w:r w:rsidRPr="005A68E6">
        <w:rPr>
          <w:lang w:val="en-US"/>
        </w:rPr>
        <w:t>Refinancing risk</w:t>
      </w:r>
    </w:p>
    <w:p w14:paraId="2CE02A43" w14:textId="503968DA" w:rsidR="00FA37E9" w:rsidRPr="005A68E6" w:rsidRDefault="00FA37E9" w:rsidP="00FA37E9">
      <w:pPr>
        <w:rPr>
          <w:lang w:val="en-US"/>
        </w:rPr>
      </w:pPr>
      <w:r w:rsidRPr="005A68E6">
        <w:t xml:space="preserve">The refinancing risk of the Government debt portfolio is assessed mainly through the </w:t>
      </w:r>
      <w:r w:rsidR="00C82866" w:rsidRPr="005A68E6">
        <w:rPr>
          <w:lang w:val="en-US"/>
        </w:rPr>
        <w:t>following indicators: A</w:t>
      </w:r>
      <w:r w:rsidRPr="005A68E6">
        <w:t xml:space="preserve">verage time to maturity, </w:t>
      </w:r>
      <w:r w:rsidRPr="005A68E6">
        <w:rPr>
          <w:lang w:val="en-US"/>
        </w:rPr>
        <w:t>S</w:t>
      </w:r>
      <w:r w:rsidRPr="005A68E6">
        <w:t xml:space="preserve">hare of debt maturing </w:t>
      </w:r>
      <w:r w:rsidRPr="005A68E6">
        <w:rPr>
          <w:lang w:val="en-US"/>
        </w:rPr>
        <w:t>in</w:t>
      </w:r>
      <w:r w:rsidRPr="005A68E6">
        <w:t xml:space="preserve"> one</w:t>
      </w:r>
      <w:r w:rsidRPr="005A68E6">
        <w:rPr>
          <w:lang w:val="en-US"/>
        </w:rPr>
        <w:t xml:space="preserve"> </w:t>
      </w:r>
      <w:r w:rsidRPr="005A68E6">
        <w:t xml:space="preserve">year </w:t>
      </w:r>
      <w:r w:rsidRPr="005A68E6">
        <w:rPr>
          <w:lang w:val="en-US"/>
        </w:rPr>
        <w:t xml:space="preserve">and three years </w:t>
      </w:r>
      <w:r w:rsidRPr="005A68E6">
        <w:t xml:space="preserve">and </w:t>
      </w:r>
      <w:r w:rsidRPr="005A68E6">
        <w:rPr>
          <w:lang w:val="en-US"/>
        </w:rPr>
        <w:t>r</w:t>
      </w:r>
      <w:r w:rsidRPr="005A68E6">
        <w:t>edemption profile of the Government debt portfolio</w:t>
      </w:r>
      <w:r w:rsidRPr="005A68E6">
        <w:rPr>
          <w:lang w:val="en-US"/>
        </w:rPr>
        <w:t>.</w:t>
      </w:r>
    </w:p>
    <w:p w14:paraId="065830F8" w14:textId="4D7E5E3D" w:rsidR="00FA37E9" w:rsidRPr="005A68E6" w:rsidRDefault="00FA37E9" w:rsidP="002E6942">
      <w:pPr>
        <w:rPr>
          <w:color w:val="FF0000"/>
        </w:rPr>
      </w:pPr>
      <w:r w:rsidRPr="005A68E6">
        <w:t xml:space="preserve">The average time to maturity indicator for the RA Government debt </w:t>
      </w:r>
      <w:r w:rsidRPr="005A68E6">
        <w:rPr>
          <w:lang w:val="en-US"/>
        </w:rPr>
        <w:t>totaled</w:t>
      </w:r>
      <w:r w:rsidRPr="005A68E6">
        <w:t xml:space="preserve"> </w:t>
      </w:r>
      <w:r w:rsidRPr="005A68E6">
        <w:rPr>
          <w:lang w:val="en-US"/>
        </w:rPr>
        <w:t xml:space="preserve">7.7 </w:t>
      </w:r>
      <w:r w:rsidRPr="005A68E6">
        <w:t xml:space="preserve"> years as of December </w:t>
      </w:r>
      <w:r w:rsidRPr="005A68E6">
        <w:rPr>
          <w:lang w:val="en-US"/>
        </w:rPr>
        <w:t xml:space="preserve">31, </w:t>
      </w:r>
      <w:r w:rsidRPr="005A68E6">
        <w:t>202</w:t>
      </w:r>
      <w:r w:rsidRPr="005A68E6">
        <w:rPr>
          <w:lang w:val="en-US"/>
        </w:rPr>
        <w:t>2,</w:t>
      </w:r>
      <w:r w:rsidRPr="005A68E6">
        <w:t xml:space="preserve"> compared to 8.4 years for the previous period</w:t>
      </w:r>
      <w:r w:rsidRPr="005A68E6">
        <w:rPr>
          <w:lang w:val="en-US"/>
        </w:rPr>
        <w:t>.</w:t>
      </w:r>
      <w:r w:rsidRPr="005A68E6">
        <w:t xml:space="preserve"> Moreover, the average time to maturity for the RA Government external debt comprised 7.1 years </w:t>
      </w:r>
      <w:r w:rsidRPr="005A68E6">
        <w:rPr>
          <w:lang w:val="en-US"/>
        </w:rPr>
        <w:t>against</w:t>
      </w:r>
      <w:r w:rsidRPr="005A68E6">
        <w:t xml:space="preserve"> </w:t>
      </w:r>
      <w:r w:rsidRPr="005A68E6">
        <w:rPr>
          <w:lang w:val="en-US"/>
        </w:rPr>
        <w:t>7.7</w:t>
      </w:r>
      <w:r w:rsidRPr="005A68E6">
        <w:t xml:space="preserve"> years for the previous period, and the average time to maturity for domestic debt </w:t>
      </w:r>
      <w:r w:rsidRPr="005A68E6">
        <w:rPr>
          <w:lang w:val="en-US"/>
        </w:rPr>
        <w:t>made up</w:t>
      </w:r>
      <w:r w:rsidRPr="005A68E6">
        <w:t xml:space="preserve"> </w:t>
      </w:r>
      <w:r w:rsidRPr="005A68E6">
        <w:rPr>
          <w:lang w:val="en-US"/>
        </w:rPr>
        <w:t>8.7</w:t>
      </w:r>
      <w:r w:rsidRPr="005A68E6">
        <w:t xml:space="preserve"> years, against 10.</w:t>
      </w:r>
      <w:r w:rsidRPr="005A68E6">
        <w:rPr>
          <w:lang w:val="en-US"/>
        </w:rPr>
        <w:t>2</w:t>
      </w:r>
      <w:r w:rsidRPr="005A68E6">
        <w:t xml:space="preserve"> years for the previous period. Even though the average time to maturity indicator</w:t>
      </w:r>
      <w:r w:rsidRPr="005A68E6">
        <w:rPr>
          <w:lang w:val="en-US"/>
        </w:rPr>
        <w:t>s</w:t>
      </w:r>
      <w:r w:rsidRPr="005A68E6">
        <w:t xml:space="preserve"> for the RA Government debt decreased, </w:t>
      </w:r>
      <w:r w:rsidR="00523972" w:rsidRPr="005A68E6">
        <w:rPr>
          <w:lang w:val="en-US"/>
        </w:rPr>
        <w:t xml:space="preserve">mainly due to the </w:t>
      </w:r>
      <w:r w:rsidR="000B74AB" w:rsidRPr="005A68E6">
        <w:rPr>
          <w:lang w:val="en-US"/>
        </w:rPr>
        <w:t xml:space="preserve">maturity </w:t>
      </w:r>
      <w:r w:rsidR="00523972" w:rsidRPr="005A68E6">
        <w:rPr>
          <w:lang w:val="en-US"/>
        </w:rPr>
        <w:t xml:space="preserve">reduction </w:t>
      </w:r>
      <w:r w:rsidR="000B74AB" w:rsidRPr="005A68E6">
        <w:rPr>
          <w:lang w:val="en-US"/>
        </w:rPr>
        <w:t>f</w:t>
      </w:r>
      <w:r w:rsidR="001A2DB6" w:rsidRPr="005A68E6">
        <w:rPr>
          <w:lang w:val="en-US"/>
        </w:rPr>
        <w:t>o</w:t>
      </w:r>
      <w:r w:rsidR="000B74AB" w:rsidRPr="005A68E6">
        <w:rPr>
          <w:lang w:val="en-US"/>
        </w:rPr>
        <w:t>r the allocating</w:t>
      </w:r>
      <w:r w:rsidR="00F66BDD" w:rsidRPr="005A68E6">
        <w:rPr>
          <w:lang w:val="en-US"/>
        </w:rPr>
        <w:t xml:space="preserve"> Government securities in order to mitigate the impact of the </w:t>
      </w:r>
      <w:r w:rsidR="000B74AB" w:rsidRPr="005A68E6">
        <w:rPr>
          <w:lang w:val="en-US"/>
        </w:rPr>
        <w:t xml:space="preserve">interest rates </w:t>
      </w:r>
      <w:r w:rsidR="00F66BDD" w:rsidRPr="005A68E6">
        <w:rPr>
          <w:lang w:val="en-US"/>
        </w:rPr>
        <w:t xml:space="preserve">increase in </w:t>
      </w:r>
      <w:r w:rsidR="000B74AB" w:rsidRPr="005A68E6">
        <w:rPr>
          <w:lang w:val="en-US"/>
        </w:rPr>
        <w:t xml:space="preserve">the </w:t>
      </w:r>
      <w:r w:rsidR="00F66BDD" w:rsidRPr="005A68E6">
        <w:rPr>
          <w:lang w:val="en-US"/>
        </w:rPr>
        <w:t xml:space="preserve">financial market on </w:t>
      </w:r>
      <w:r w:rsidR="000B74AB" w:rsidRPr="005A68E6">
        <w:rPr>
          <w:lang w:val="en-US"/>
        </w:rPr>
        <w:t xml:space="preserve">the </w:t>
      </w:r>
      <w:r w:rsidR="00F66BDD" w:rsidRPr="005A68E6">
        <w:rPr>
          <w:lang w:val="en-US"/>
        </w:rPr>
        <w:t xml:space="preserve">interest payments during 2022, </w:t>
      </w:r>
      <w:r w:rsidR="002E6942" w:rsidRPr="005A68E6">
        <w:rPr>
          <w:lang w:val="en-US"/>
        </w:rPr>
        <w:t>however</w:t>
      </w:r>
      <w:r w:rsidRPr="005A68E6">
        <w:t xml:space="preserve">, </w:t>
      </w:r>
      <w:r w:rsidR="002E6942" w:rsidRPr="005A68E6">
        <w:rPr>
          <w:lang w:val="en-US"/>
        </w:rPr>
        <w:t>in terms</w:t>
      </w:r>
      <w:r w:rsidRPr="005A68E6">
        <w:t xml:space="preserve"> of the</w:t>
      </w:r>
      <w:r w:rsidRPr="005A68E6">
        <w:rPr>
          <w:lang w:val="en-US"/>
        </w:rPr>
        <w:t xml:space="preserve"> RA </w:t>
      </w:r>
      <w:r w:rsidRPr="005A68E6">
        <w:rPr>
          <w:lang w:val="en-US"/>
        </w:rPr>
        <w:lastRenderedPageBreak/>
        <w:t>Government debt portfolio refinancing risk</w:t>
      </w:r>
      <w:r w:rsidRPr="005A68E6">
        <w:t xml:space="preserve">, they were </w:t>
      </w:r>
      <w:r w:rsidR="002E6942" w:rsidRPr="005A68E6">
        <w:rPr>
          <w:lang w:val="en-US"/>
        </w:rPr>
        <w:t>within the benchmark</w:t>
      </w:r>
      <w:r w:rsidRPr="005A68E6">
        <w:t xml:space="preserve"> range </w:t>
      </w:r>
      <w:r w:rsidR="002E6942" w:rsidRPr="005A68E6">
        <w:rPr>
          <w:lang w:val="en-US"/>
        </w:rPr>
        <w:t>defined</w:t>
      </w:r>
      <w:r w:rsidR="002E6942" w:rsidRPr="005A68E6">
        <w:t xml:space="preserve"> </w:t>
      </w:r>
      <w:r w:rsidRPr="005A68E6">
        <w:t>by the</w:t>
      </w:r>
      <w:r w:rsidRPr="005A68E6">
        <w:rPr>
          <w:lang w:val="en-US"/>
        </w:rPr>
        <w:t xml:space="preserve"> RA Government debt</w:t>
      </w:r>
      <w:r w:rsidRPr="005A68E6">
        <w:t xml:space="preserve"> management strategy for 2023-2025.</w:t>
      </w:r>
    </w:p>
    <w:p w14:paraId="41C08894" w14:textId="0F3B82B8" w:rsidR="00FA37E9" w:rsidRPr="005A68E6" w:rsidRDefault="00FA37E9" w:rsidP="00FA37E9">
      <w:pPr>
        <w:spacing w:after="120" w:line="312" w:lineRule="auto"/>
        <w:ind w:right="176" w:firstLine="709"/>
        <w:rPr>
          <w:lang w:val="en-US"/>
        </w:rPr>
      </w:pPr>
      <w:r w:rsidRPr="005A68E6">
        <w:t>As of December 31, 202</w:t>
      </w:r>
      <w:r w:rsidRPr="005A68E6">
        <w:rPr>
          <w:lang w:val="en-US"/>
        </w:rPr>
        <w:t>2</w:t>
      </w:r>
      <w:r w:rsidRPr="005A68E6">
        <w:t xml:space="preserve">, the share of debt maturing in one year constituted </w:t>
      </w:r>
      <w:r w:rsidRPr="005A68E6">
        <w:rPr>
          <w:lang w:val="en-US"/>
        </w:rPr>
        <w:t>8.0</w:t>
      </w:r>
      <w:r w:rsidRPr="005A68E6">
        <w:t xml:space="preserve">% </w:t>
      </w:r>
      <w:r w:rsidR="004E3BED" w:rsidRPr="005A68E6">
        <w:rPr>
          <w:lang w:val="en-US"/>
        </w:rPr>
        <w:t>increas</w:t>
      </w:r>
      <w:r w:rsidR="001A2DB6" w:rsidRPr="005A68E6">
        <w:rPr>
          <w:lang w:val="en-US"/>
        </w:rPr>
        <w:t>ing</w:t>
      </w:r>
      <w:r w:rsidR="004E3BED" w:rsidRPr="005A68E6">
        <w:rPr>
          <w:lang w:val="en-US"/>
        </w:rPr>
        <w:t xml:space="preserve"> by</w:t>
      </w:r>
      <w:r w:rsidR="004E3BED" w:rsidRPr="005A68E6">
        <w:t xml:space="preserve"> </w:t>
      </w:r>
      <w:r w:rsidRPr="005A68E6">
        <w:rPr>
          <w:lang w:val="en-US"/>
        </w:rPr>
        <w:t>2.4</w:t>
      </w:r>
      <w:r w:rsidRPr="005A68E6">
        <w:t xml:space="preserve"> percentage points compared to the previous year. </w:t>
      </w:r>
      <w:r w:rsidRPr="005A68E6">
        <w:rPr>
          <w:lang w:val="en-US"/>
        </w:rPr>
        <w:t>T</w:t>
      </w:r>
      <w:r w:rsidRPr="005A68E6">
        <w:t xml:space="preserve">he share of the RA Government external debt maturing in one year increased </w:t>
      </w:r>
      <w:r w:rsidR="004E3BED" w:rsidRPr="005A68E6">
        <w:rPr>
          <w:lang w:val="en-US"/>
        </w:rPr>
        <w:t xml:space="preserve">by </w:t>
      </w:r>
      <w:r w:rsidRPr="005A68E6">
        <w:t xml:space="preserve">1.3 percentage points </w:t>
      </w:r>
      <w:r w:rsidR="004E3BED" w:rsidRPr="005A68E6">
        <w:t xml:space="preserve">compared to </w:t>
      </w:r>
      <w:r w:rsidR="004E3BED" w:rsidRPr="005A68E6">
        <w:rPr>
          <w:lang w:val="en-US"/>
        </w:rPr>
        <w:t>the previous</w:t>
      </w:r>
      <w:r w:rsidR="004E3BED" w:rsidRPr="005A68E6">
        <w:t xml:space="preserve"> year </w:t>
      </w:r>
      <w:r w:rsidRPr="005A68E6">
        <w:t xml:space="preserve">and amounted to 5.0%, and the share of the RA Government domestic debt increased </w:t>
      </w:r>
      <w:r w:rsidR="004E3BED" w:rsidRPr="005A68E6">
        <w:rPr>
          <w:lang w:val="en-US"/>
        </w:rPr>
        <w:t xml:space="preserve">by </w:t>
      </w:r>
      <w:r w:rsidRPr="005A68E6">
        <w:t>2.7 percentage points and amounted to 13.1%</w:t>
      </w:r>
      <w:r w:rsidRPr="005A68E6">
        <w:rPr>
          <w:lang w:val="en-US"/>
        </w:rPr>
        <w:t>.</w:t>
      </w:r>
      <w:r w:rsidRPr="005A68E6">
        <w:t xml:space="preserve"> </w:t>
      </w:r>
      <w:r w:rsidRPr="005A68E6">
        <w:rPr>
          <w:lang w:val="en-US"/>
        </w:rPr>
        <w:t xml:space="preserve">As for the </w:t>
      </w:r>
      <w:r w:rsidR="006F2A9D" w:rsidRPr="005A68E6">
        <w:rPr>
          <w:lang w:val="en-US"/>
        </w:rPr>
        <w:t xml:space="preserve">share of </w:t>
      </w:r>
      <w:r w:rsidRPr="005A68E6">
        <w:rPr>
          <w:lang w:val="en-US"/>
        </w:rPr>
        <w:t xml:space="preserve">debt </w:t>
      </w:r>
      <w:r w:rsidR="006F2A9D" w:rsidRPr="005A68E6">
        <w:rPr>
          <w:lang w:val="en-US"/>
        </w:rPr>
        <w:t>maturing in</w:t>
      </w:r>
      <w:r w:rsidRPr="005A68E6">
        <w:rPr>
          <w:lang w:val="en-US"/>
        </w:rPr>
        <w:t xml:space="preserve"> the </w:t>
      </w:r>
      <w:r w:rsidR="007F6AA8" w:rsidRPr="005A68E6">
        <w:rPr>
          <w:lang w:val="en-US"/>
        </w:rPr>
        <w:t xml:space="preserve">coming </w:t>
      </w:r>
      <w:r w:rsidRPr="005A68E6">
        <w:rPr>
          <w:lang w:val="en-US"/>
        </w:rPr>
        <w:t xml:space="preserve">three years, at the end of 2022 it amounted to 28.8%, and </w:t>
      </w:r>
      <w:r w:rsidR="006F2A9D" w:rsidRPr="005A68E6">
        <w:rPr>
          <w:lang w:val="en-US"/>
        </w:rPr>
        <w:t xml:space="preserve">the shares of </w:t>
      </w:r>
      <w:r w:rsidRPr="005A68E6">
        <w:rPr>
          <w:lang w:val="en-US"/>
        </w:rPr>
        <w:t xml:space="preserve">foreign currency and AMD denominated debt </w:t>
      </w:r>
      <w:r w:rsidR="006F2A9D" w:rsidRPr="005A68E6">
        <w:rPr>
          <w:lang w:val="en-US"/>
        </w:rPr>
        <w:t xml:space="preserve">maturing in the </w:t>
      </w:r>
      <w:r w:rsidR="007F6AA8" w:rsidRPr="005A68E6">
        <w:rPr>
          <w:lang w:val="en-US"/>
        </w:rPr>
        <w:t>coming</w:t>
      </w:r>
      <w:r w:rsidR="006F2A9D" w:rsidRPr="005A68E6">
        <w:rPr>
          <w:lang w:val="en-US"/>
        </w:rPr>
        <w:t xml:space="preserve"> three years </w:t>
      </w:r>
      <w:r w:rsidRPr="005A68E6">
        <w:rPr>
          <w:lang w:val="en-US"/>
        </w:rPr>
        <w:t>amounted to 25.5% and 34.3%, respectively.</w:t>
      </w:r>
    </w:p>
    <w:p w14:paraId="12446CB0" w14:textId="55757F08" w:rsidR="00FA37E9" w:rsidRPr="005A68E6" w:rsidRDefault="00FA37E9" w:rsidP="00FA37E9">
      <w:pPr>
        <w:rPr>
          <w:lang w:val="en-US"/>
        </w:rPr>
      </w:pPr>
      <w:r w:rsidRPr="005A68E6">
        <w:t>As of the end of 202</w:t>
      </w:r>
      <w:r w:rsidRPr="005A68E6">
        <w:rPr>
          <w:lang w:val="en-US"/>
        </w:rPr>
        <w:t>2,</w:t>
      </w:r>
      <w:r w:rsidRPr="005A68E6">
        <w:t xml:space="preserve"> the repayments for Government external </w:t>
      </w:r>
      <w:r w:rsidR="007F6AA8" w:rsidRPr="005A68E6">
        <w:rPr>
          <w:lang w:val="en-US"/>
        </w:rPr>
        <w:t>loans</w:t>
      </w:r>
      <w:r w:rsidR="007F6AA8" w:rsidRPr="005A68E6">
        <w:t xml:space="preserve"> </w:t>
      </w:r>
      <w:r w:rsidRPr="005A68E6">
        <w:t xml:space="preserve">were spread up to 2054 and </w:t>
      </w:r>
      <w:r w:rsidRPr="005A68E6">
        <w:rPr>
          <w:lang w:val="en-US"/>
        </w:rPr>
        <w:t>for domestic debt</w:t>
      </w:r>
      <w:r w:rsidRPr="005A68E6">
        <w:t xml:space="preserve"> – </w:t>
      </w:r>
      <w:r w:rsidRPr="005A68E6">
        <w:rPr>
          <w:lang w:val="en-US"/>
        </w:rPr>
        <w:t xml:space="preserve">up </w:t>
      </w:r>
      <w:r w:rsidRPr="005A68E6">
        <w:t>to 2050, for</w:t>
      </w:r>
      <w:r w:rsidRPr="005A68E6">
        <w:rPr>
          <w:lang w:val="en-US"/>
        </w:rPr>
        <w:t xml:space="preserve"> foreign currency bonds up to 2031, and for </w:t>
      </w:r>
      <w:r w:rsidRPr="005A68E6">
        <w:t>guarantees</w:t>
      </w:r>
      <w:r w:rsidRPr="005A68E6">
        <w:rPr>
          <w:lang w:val="en-US"/>
        </w:rPr>
        <w:t xml:space="preserve"> up to 2036.</w:t>
      </w:r>
    </w:p>
    <w:p w14:paraId="598D541C" w14:textId="77777777" w:rsidR="00FA37E9" w:rsidRPr="005A68E6" w:rsidRDefault="00FA37E9" w:rsidP="00CD24C0">
      <w:pPr>
        <w:spacing w:after="120" w:line="312" w:lineRule="auto"/>
        <w:ind w:right="176" w:firstLine="709"/>
        <w:rPr>
          <w:color w:val="FF0000"/>
        </w:rPr>
      </w:pPr>
    </w:p>
    <w:p w14:paraId="67090F63" w14:textId="081FB181" w:rsidR="00143E0C" w:rsidRPr="005A68E6" w:rsidRDefault="001A2DB6" w:rsidP="00C45A7F">
      <w:pPr>
        <w:pStyle w:val="Heading5"/>
        <w:keepNext/>
        <w:numPr>
          <w:ilvl w:val="0"/>
          <w:numId w:val="42"/>
        </w:numPr>
        <w:spacing w:before="120" w:after="240" w:line="240" w:lineRule="auto"/>
        <w:ind w:left="1276" w:hanging="1276"/>
        <w:jc w:val="left"/>
        <w:rPr>
          <w:rFonts w:cs="Arial"/>
          <w:bCs w:val="0"/>
          <w:i w:val="0"/>
          <w:iCs w:val="0"/>
          <w:sz w:val="22"/>
          <w:szCs w:val="24"/>
          <w:lang w:val="en-US"/>
        </w:rPr>
      </w:pPr>
      <w:r w:rsidRPr="005A68E6">
        <w:rPr>
          <w:rFonts w:cs="Arial"/>
          <w:bCs w:val="0"/>
          <w:i w:val="0"/>
          <w:iCs w:val="0"/>
          <w:sz w:val="22"/>
          <w:szCs w:val="24"/>
          <w:lang w:val="en-US"/>
        </w:rPr>
        <w:t>Government Debt Redemption profile by instruments as of 31.12.2022 (AMD billion)</w:t>
      </w:r>
    </w:p>
    <w:p w14:paraId="6EE39AFC" w14:textId="615CEBA9" w:rsidR="001544DD" w:rsidRPr="005A68E6" w:rsidRDefault="001544DD" w:rsidP="00857076">
      <w:pPr>
        <w:ind w:firstLine="0"/>
        <w:rPr>
          <w:color w:val="FF0000"/>
        </w:rPr>
      </w:pPr>
      <w:r w:rsidRPr="005A68E6">
        <w:rPr>
          <w:noProof/>
          <w:lang w:val="en-US"/>
        </w:rPr>
        <w:drawing>
          <wp:inline distT="0" distB="0" distL="0" distR="0" wp14:anchorId="44C9991F" wp14:editId="5ECFA7E8">
            <wp:extent cx="6482080" cy="3080385"/>
            <wp:effectExtent l="0" t="0" r="13970" b="5715"/>
            <wp:docPr id="10" name="Chart 10">
              <a:extLst xmlns:a="http://schemas.openxmlformats.org/drawingml/2006/main">
                <a:ext uri="{FF2B5EF4-FFF2-40B4-BE49-F238E27FC236}">
                  <a16:creationId xmlns:a16="http://schemas.microsoft.com/office/drawing/2014/main" id="{00000000-0008-0000-1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FFDABF" w14:textId="4E48E4AB" w:rsidR="00CE7452" w:rsidRPr="005A68E6" w:rsidRDefault="00CE7452" w:rsidP="00857076">
      <w:pPr>
        <w:ind w:firstLine="0"/>
      </w:pPr>
      <w:r w:rsidRPr="005A68E6">
        <w:rPr>
          <w:sz w:val="18"/>
          <w:szCs w:val="18"/>
        </w:rPr>
        <w:t>Source: RA MoF</w:t>
      </w:r>
    </w:p>
    <w:p w14:paraId="79E069FE" w14:textId="75550C1B" w:rsidR="00425637" w:rsidRPr="005A68E6" w:rsidRDefault="00425637" w:rsidP="00A1274B">
      <w:pPr>
        <w:rPr>
          <w:color w:val="FF0000"/>
        </w:rPr>
      </w:pPr>
    </w:p>
    <w:p w14:paraId="314F2298" w14:textId="627501CD" w:rsidR="00425637" w:rsidRPr="005A68E6" w:rsidRDefault="00425637" w:rsidP="00A1274B">
      <w:pPr>
        <w:rPr>
          <w:color w:val="FF0000"/>
        </w:rPr>
      </w:pPr>
    </w:p>
    <w:p w14:paraId="1F34E160" w14:textId="77777777" w:rsidR="00FA37E9" w:rsidRPr="005A68E6" w:rsidRDefault="00FA37E9" w:rsidP="00FA37E9">
      <w:pPr>
        <w:spacing w:after="120"/>
        <w:rPr>
          <w:b/>
          <w:i/>
        </w:rPr>
      </w:pPr>
      <w:r w:rsidRPr="005A68E6">
        <w:rPr>
          <w:b/>
          <w:i/>
        </w:rPr>
        <w:t>Interest rate risk</w:t>
      </w:r>
    </w:p>
    <w:p w14:paraId="4AB6D48D" w14:textId="474DA9F3" w:rsidR="00FA37E9" w:rsidRPr="005A68E6" w:rsidRDefault="00FA37E9" w:rsidP="00FA37E9">
      <w:pPr>
        <w:rPr>
          <w:lang w:val="en-US"/>
        </w:rPr>
      </w:pPr>
      <w:r w:rsidRPr="005A68E6">
        <w:t xml:space="preserve">The interest rate risk for the Government debt portfolio is assessed mainly through </w:t>
      </w:r>
      <w:r w:rsidR="0008002D" w:rsidRPr="005A68E6">
        <w:rPr>
          <w:lang w:val="en-US"/>
        </w:rPr>
        <w:t>the following</w:t>
      </w:r>
      <w:r w:rsidRPr="005A68E6">
        <w:t xml:space="preserve"> indicators: </w:t>
      </w:r>
      <w:r w:rsidRPr="005A68E6">
        <w:rPr>
          <w:lang w:val="en-US"/>
        </w:rPr>
        <w:t>S</w:t>
      </w:r>
      <w:r w:rsidRPr="005A68E6">
        <w:t xml:space="preserve">hare of the fixed interest rate debt in the total debt, </w:t>
      </w:r>
      <w:r w:rsidRPr="005A68E6">
        <w:rPr>
          <w:lang w:val="en-US"/>
        </w:rPr>
        <w:t>S</w:t>
      </w:r>
      <w:r w:rsidRPr="005A68E6">
        <w:t xml:space="preserve">hare of debt to be refixed in the next year in the total debt, and </w:t>
      </w:r>
      <w:r w:rsidRPr="005A68E6">
        <w:rPr>
          <w:lang w:val="en-US"/>
        </w:rPr>
        <w:t>A</w:t>
      </w:r>
      <w:r w:rsidRPr="005A68E6">
        <w:t>verage time to refixing</w:t>
      </w:r>
      <w:r w:rsidRPr="005A68E6">
        <w:rPr>
          <w:lang w:val="en-US"/>
        </w:rPr>
        <w:t>.</w:t>
      </w:r>
    </w:p>
    <w:p w14:paraId="6304F34C" w14:textId="6CA997E3" w:rsidR="00FA37E9" w:rsidRPr="005A68E6" w:rsidRDefault="00FA37E9" w:rsidP="00FA37E9">
      <w:r w:rsidRPr="005A68E6">
        <w:lastRenderedPageBreak/>
        <w:t>8</w:t>
      </w:r>
      <w:r w:rsidRPr="005A68E6">
        <w:rPr>
          <w:lang w:val="en-US"/>
        </w:rPr>
        <w:t>3</w:t>
      </w:r>
      <w:r w:rsidRPr="005A68E6">
        <w:t>.</w:t>
      </w:r>
      <w:r w:rsidRPr="005A68E6">
        <w:rPr>
          <w:lang w:val="en-US"/>
        </w:rPr>
        <w:t>5</w:t>
      </w:r>
      <w:r w:rsidRPr="005A68E6">
        <w:t xml:space="preserve">% of the RA Government debt is with </w:t>
      </w:r>
      <w:r w:rsidRPr="005A68E6">
        <w:rPr>
          <w:lang w:val="en-US"/>
        </w:rPr>
        <w:t xml:space="preserve">a </w:t>
      </w:r>
      <w:r w:rsidRPr="005A68E6">
        <w:t>fixed interest rate. Moreover, 7</w:t>
      </w:r>
      <w:r w:rsidRPr="005A68E6">
        <w:rPr>
          <w:lang w:val="en-US"/>
        </w:rPr>
        <w:t>3</w:t>
      </w:r>
      <w:r w:rsidRPr="005A68E6">
        <w:t>.</w:t>
      </w:r>
      <w:r w:rsidRPr="005A68E6">
        <w:rPr>
          <w:lang w:val="en-US"/>
        </w:rPr>
        <w:t>5</w:t>
      </w:r>
      <w:r w:rsidRPr="005A68E6">
        <w:t xml:space="preserve">% of the external debt and the whole domestic debt are with </w:t>
      </w:r>
      <w:r w:rsidRPr="005A68E6">
        <w:rPr>
          <w:lang w:val="en-US"/>
        </w:rPr>
        <w:t xml:space="preserve">a </w:t>
      </w:r>
      <w:r w:rsidRPr="005A68E6">
        <w:t xml:space="preserve">fixed interest rate. In </w:t>
      </w:r>
      <w:r w:rsidRPr="005A68E6">
        <w:rPr>
          <w:lang w:val="en-US"/>
        </w:rPr>
        <w:t xml:space="preserve">such </w:t>
      </w:r>
      <w:r w:rsidR="0008002D" w:rsidRPr="005A68E6">
        <w:rPr>
          <w:lang w:val="en-US"/>
        </w:rPr>
        <w:t>circumstances</w:t>
      </w:r>
      <w:r w:rsidRPr="005A68E6">
        <w:t xml:space="preserve">, </w:t>
      </w:r>
      <w:r w:rsidRPr="005A68E6">
        <w:rPr>
          <w:lang w:val="en-US"/>
        </w:rPr>
        <w:t>an increase in interest rates</w:t>
      </w:r>
      <w:r w:rsidRPr="005A68E6">
        <w:t xml:space="preserve">  </w:t>
      </w:r>
      <w:r w:rsidRPr="005A68E6">
        <w:rPr>
          <w:lang w:val="en-US"/>
        </w:rPr>
        <w:t>on</w:t>
      </w:r>
      <w:r w:rsidRPr="005A68E6">
        <w:t xml:space="preserve"> floating-rate debt cannot </w:t>
      </w:r>
      <w:r w:rsidRPr="005A68E6">
        <w:rPr>
          <w:lang w:val="en-US"/>
        </w:rPr>
        <w:t>lead to</w:t>
      </w:r>
      <w:r w:rsidRPr="005A68E6">
        <w:t xml:space="preserve"> a significant increase </w:t>
      </w:r>
      <w:r w:rsidRPr="005A68E6">
        <w:rPr>
          <w:lang w:val="en-US"/>
        </w:rPr>
        <w:t>in</w:t>
      </w:r>
      <w:r w:rsidRPr="005A68E6">
        <w:t xml:space="preserve"> costs.</w:t>
      </w:r>
    </w:p>
    <w:p w14:paraId="4FF68ECA" w14:textId="7DD0B2A5" w:rsidR="00FA37E9" w:rsidRPr="005A68E6" w:rsidRDefault="0008002D" w:rsidP="00FA37E9">
      <w:pPr>
        <w:rPr>
          <w:lang w:val="en-US"/>
        </w:rPr>
      </w:pPr>
      <w:r w:rsidRPr="005A68E6">
        <w:rPr>
          <w:lang w:val="en-US"/>
        </w:rPr>
        <w:t>Regarding</w:t>
      </w:r>
      <w:r w:rsidR="00070496" w:rsidRPr="005A68E6">
        <w:rPr>
          <w:lang w:val="en-US"/>
        </w:rPr>
        <w:t xml:space="preserve"> </w:t>
      </w:r>
      <w:r w:rsidRPr="005A68E6">
        <w:rPr>
          <w:lang w:val="en-US"/>
        </w:rPr>
        <w:t xml:space="preserve">to </w:t>
      </w:r>
      <w:r w:rsidR="00070496" w:rsidRPr="005A68E6">
        <w:rPr>
          <w:lang w:val="en-US"/>
        </w:rPr>
        <w:t xml:space="preserve">the indicator </w:t>
      </w:r>
      <w:r w:rsidRPr="005A68E6">
        <w:rPr>
          <w:lang w:val="en-US"/>
        </w:rPr>
        <w:t>for</w:t>
      </w:r>
      <w:r w:rsidR="00070496" w:rsidRPr="005A68E6">
        <w:rPr>
          <w:lang w:val="en-US"/>
        </w:rPr>
        <w:t xml:space="preserve"> the share </w:t>
      </w:r>
      <w:r w:rsidR="00A95AD1" w:rsidRPr="005A68E6">
        <w:rPr>
          <w:lang w:val="en-US"/>
        </w:rPr>
        <w:t>of debt to be refixed in the next year</w:t>
      </w:r>
      <w:r w:rsidR="00FA37E9" w:rsidRPr="005A68E6">
        <w:t xml:space="preserve">, </w:t>
      </w:r>
      <w:r w:rsidRPr="005A68E6">
        <w:rPr>
          <w:lang w:val="en-US"/>
        </w:rPr>
        <w:t xml:space="preserve">only </w:t>
      </w:r>
      <w:r w:rsidR="00FA37E9" w:rsidRPr="005A68E6">
        <w:t>2</w:t>
      </w:r>
      <w:r w:rsidR="00FA37E9" w:rsidRPr="005A68E6">
        <w:rPr>
          <w:lang w:val="en-US"/>
        </w:rPr>
        <w:t>3</w:t>
      </w:r>
      <w:r w:rsidR="00FA37E9" w:rsidRPr="005A68E6">
        <w:t>.</w:t>
      </w:r>
      <w:r w:rsidR="00FA37E9" w:rsidRPr="005A68E6">
        <w:rPr>
          <w:lang w:val="en-US"/>
        </w:rPr>
        <w:t>3</w:t>
      </w:r>
      <w:r w:rsidR="00FA37E9" w:rsidRPr="005A68E6">
        <w:t>% of the Government debt is subject to refixing in 202</w:t>
      </w:r>
      <w:r w:rsidR="00FA37E9" w:rsidRPr="005A68E6">
        <w:rPr>
          <w:lang w:val="en-US"/>
        </w:rPr>
        <w:t>3</w:t>
      </w:r>
      <w:r w:rsidR="00FA37E9" w:rsidRPr="005A68E6">
        <w:t xml:space="preserve">, hence </w:t>
      </w:r>
      <w:r w:rsidR="00FA37E9" w:rsidRPr="005A68E6">
        <w:rPr>
          <w:lang w:val="en-US"/>
        </w:rPr>
        <w:t>no significant risks were recorded for this indicator</w:t>
      </w:r>
      <w:r w:rsidR="00FA37E9" w:rsidRPr="005A68E6">
        <w:t>.</w:t>
      </w:r>
      <w:r w:rsidR="00FA37E9" w:rsidRPr="005A68E6">
        <w:rPr>
          <w:lang w:val="en-US"/>
        </w:rPr>
        <w:t xml:space="preserve"> </w:t>
      </w:r>
    </w:p>
    <w:p w14:paraId="1BBAC91B" w14:textId="77777777" w:rsidR="00FA37E9" w:rsidRPr="005A68E6" w:rsidRDefault="00FA37E9" w:rsidP="00FA37E9">
      <w:r w:rsidRPr="005A68E6">
        <w:t>At the end of 202</w:t>
      </w:r>
      <w:r w:rsidRPr="005A68E6">
        <w:rPr>
          <w:lang w:val="en-US"/>
        </w:rPr>
        <w:t>2</w:t>
      </w:r>
      <w:r w:rsidRPr="005A68E6">
        <w:t xml:space="preserve">, the average time to refixing indicator comprised </w:t>
      </w:r>
      <w:r w:rsidRPr="005A68E6">
        <w:rPr>
          <w:lang w:val="en-US"/>
        </w:rPr>
        <w:t>6.6</w:t>
      </w:r>
      <w:r w:rsidRPr="005A68E6">
        <w:t xml:space="preserve"> years, which can be assessed as a low level of interest rate risk for debt portfolio. This indicator is lower than the average time to maturity indicator, as </w:t>
      </w:r>
      <w:r w:rsidRPr="005A68E6">
        <w:rPr>
          <w:lang w:val="en-US"/>
        </w:rPr>
        <w:t>16.5</w:t>
      </w:r>
      <w:r w:rsidRPr="005A68E6">
        <w:t xml:space="preserve">% of the debt is with </w:t>
      </w:r>
      <w:r w:rsidRPr="005A68E6">
        <w:rPr>
          <w:lang w:val="en-US"/>
        </w:rPr>
        <w:t xml:space="preserve">a </w:t>
      </w:r>
      <w:r w:rsidRPr="005A68E6">
        <w:t>floating interest rate, which is also subject to refixing during 202</w:t>
      </w:r>
      <w:r w:rsidRPr="005A68E6">
        <w:rPr>
          <w:lang w:val="en-US"/>
        </w:rPr>
        <w:t>3</w:t>
      </w:r>
      <w:r w:rsidRPr="005A68E6">
        <w:t>.</w:t>
      </w:r>
    </w:p>
    <w:p w14:paraId="03762507" w14:textId="17DAF830" w:rsidR="00E14515" w:rsidRPr="005A68E6" w:rsidRDefault="00FA37E9" w:rsidP="00FA37E9">
      <w:r w:rsidRPr="005A68E6">
        <w:t xml:space="preserve">Costs at risks analysis of the RA Government debt portfolio </w:t>
      </w:r>
      <w:r w:rsidRPr="005A68E6">
        <w:rPr>
          <w:lang w:val="en-US"/>
        </w:rPr>
        <w:t>reveal</w:t>
      </w:r>
      <w:r w:rsidRPr="005A68E6">
        <w:t xml:space="preserve">s that the existing debt portfolio is mostly exposed to the exchange rate risk, </w:t>
      </w:r>
      <w:r w:rsidRPr="005A68E6">
        <w:rPr>
          <w:lang w:val="en-US"/>
        </w:rPr>
        <w:t xml:space="preserve">which is also justified by the results of the sensitivity analysis of the RA Government debt portfolio risk indicators in </w:t>
      </w:r>
      <w:r w:rsidR="007C4732" w:rsidRPr="005A68E6">
        <w:rPr>
          <w:lang w:val="en-US"/>
        </w:rPr>
        <w:t>the incoming</w:t>
      </w:r>
      <w:r w:rsidRPr="005A68E6">
        <w:rPr>
          <w:lang w:val="en-US"/>
        </w:rPr>
        <w:t xml:space="preserve"> sections.</w:t>
      </w:r>
      <w:r w:rsidRPr="005A68E6">
        <w:t xml:space="preserve"> </w:t>
      </w:r>
    </w:p>
    <w:p w14:paraId="67C1CBC6" w14:textId="33D41DF2" w:rsidR="00FA37E9" w:rsidRPr="005A68E6" w:rsidRDefault="00FA37E9" w:rsidP="00FA37E9">
      <w:pPr>
        <w:rPr>
          <w:color w:val="FF0000"/>
          <w:lang w:val="en-US"/>
        </w:rPr>
      </w:pPr>
      <w:r w:rsidRPr="005A68E6">
        <w:rPr>
          <w:lang w:val="en-US"/>
        </w:rPr>
        <w:t xml:space="preserve">In order to </w:t>
      </w:r>
      <w:r w:rsidR="007C4732" w:rsidRPr="005A68E6">
        <w:rPr>
          <w:lang w:val="en-US"/>
        </w:rPr>
        <w:t>retain</w:t>
      </w:r>
      <w:r w:rsidR="00A81689" w:rsidRPr="005A68E6">
        <w:rPr>
          <w:lang w:val="en-US"/>
        </w:rPr>
        <w:t xml:space="preserve"> </w:t>
      </w:r>
      <w:r w:rsidRPr="005A68E6">
        <w:rPr>
          <w:lang w:val="en-US"/>
        </w:rPr>
        <w:t xml:space="preserve">the main risks of the RA Government debt management within the </w:t>
      </w:r>
      <w:r w:rsidR="007C4732" w:rsidRPr="005A68E6">
        <w:rPr>
          <w:lang w:val="en-US"/>
        </w:rPr>
        <w:t xml:space="preserve">manageable </w:t>
      </w:r>
      <w:r w:rsidRPr="005A68E6">
        <w:rPr>
          <w:lang w:val="en-US"/>
        </w:rPr>
        <w:t>framework</w:t>
      </w:r>
      <w:r w:rsidR="002A65A2" w:rsidRPr="005A68E6">
        <w:rPr>
          <w:lang w:val="en-US"/>
        </w:rPr>
        <w:t>,</w:t>
      </w:r>
      <w:r w:rsidRPr="005A68E6">
        <w:rPr>
          <w:lang w:val="en-US"/>
        </w:rPr>
        <w:t xml:space="preserve"> and</w:t>
      </w:r>
      <w:r w:rsidR="007C4732" w:rsidRPr="005A68E6">
        <w:rPr>
          <w:lang w:val="en-US"/>
        </w:rPr>
        <w:t xml:space="preserve"> particularly </w:t>
      </w:r>
      <w:r w:rsidRPr="005A68E6">
        <w:rPr>
          <w:lang w:val="en-US"/>
        </w:rPr>
        <w:t>to reduce the high exchange rate risk</w:t>
      </w:r>
      <w:r w:rsidR="002A65A2" w:rsidRPr="005A68E6">
        <w:rPr>
          <w:lang w:val="en-US"/>
        </w:rPr>
        <w:t xml:space="preserve"> exposure</w:t>
      </w:r>
      <w:r w:rsidRPr="005A68E6">
        <w:rPr>
          <w:lang w:val="en-US"/>
        </w:rPr>
        <w:t xml:space="preserve">, the development of the domestic public debt market and </w:t>
      </w:r>
      <w:r w:rsidR="00E86C06" w:rsidRPr="005A68E6">
        <w:rPr>
          <w:lang w:val="en-US"/>
        </w:rPr>
        <w:t xml:space="preserve">the </w:t>
      </w:r>
      <w:r w:rsidRPr="005A68E6">
        <w:rPr>
          <w:lang w:val="en-US"/>
        </w:rPr>
        <w:t xml:space="preserve">increase </w:t>
      </w:r>
      <w:r w:rsidR="002A65A2" w:rsidRPr="005A68E6">
        <w:rPr>
          <w:lang w:val="en-US"/>
        </w:rPr>
        <w:t>of</w:t>
      </w:r>
      <w:r w:rsidRPr="005A68E6">
        <w:rPr>
          <w:lang w:val="en-US"/>
        </w:rPr>
        <w:t xml:space="preserve"> the </w:t>
      </w:r>
      <w:r w:rsidR="00E86C06" w:rsidRPr="005A68E6">
        <w:rPr>
          <w:lang w:val="en-US"/>
        </w:rPr>
        <w:t xml:space="preserve">share </w:t>
      </w:r>
      <w:r w:rsidRPr="005A68E6">
        <w:rPr>
          <w:lang w:val="en-US"/>
        </w:rPr>
        <w:t xml:space="preserve">of AMD denominated debt in the RA </w:t>
      </w:r>
      <w:r w:rsidR="004D6547" w:rsidRPr="005A68E6">
        <w:rPr>
          <w:lang w:val="en-US"/>
        </w:rPr>
        <w:t>G</w:t>
      </w:r>
      <w:r w:rsidRPr="005A68E6">
        <w:rPr>
          <w:lang w:val="en-US"/>
        </w:rPr>
        <w:t xml:space="preserve">overnment debt </w:t>
      </w:r>
      <w:r w:rsidR="00E86C06" w:rsidRPr="005A68E6">
        <w:rPr>
          <w:lang w:val="en-US"/>
        </w:rPr>
        <w:t xml:space="preserve">are </w:t>
      </w:r>
      <w:r w:rsidRPr="005A68E6">
        <w:rPr>
          <w:lang w:val="en-US"/>
        </w:rPr>
        <w:t xml:space="preserve">considered as strategic </w:t>
      </w:r>
      <w:r w:rsidR="002A65A2" w:rsidRPr="005A68E6">
        <w:rPr>
          <w:lang w:val="en-US"/>
        </w:rPr>
        <w:t>targets</w:t>
      </w:r>
      <w:r w:rsidRPr="005A68E6">
        <w:rPr>
          <w:lang w:val="en-US"/>
        </w:rPr>
        <w:t>.</w:t>
      </w:r>
    </w:p>
    <w:p w14:paraId="209E779C" w14:textId="32BDA9C6" w:rsidR="00581010" w:rsidRPr="005A68E6" w:rsidRDefault="00581010" w:rsidP="005B6095">
      <w:pPr>
        <w:ind w:firstLine="0"/>
        <w:rPr>
          <w:color w:val="FF0000"/>
        </w:rPr>
      </w:pPr>
    </w:p>
    <w:p w14:paraId="0799D677" w14:textId="77777777" w:rsidR="00581010" w:rsidRPr="005A68E6" w:rsidRDefault="00581010" w:rsidP="00A1274B">
      <w:pPr>
        <w:rPr>
          <w:color w:val="FF0000"/>
        </w:rPr>
      </w:pPr>
    </w:p>
    <w:p w14:paraId="15FA8D48" w14:textId="77777777" w:rsidR="003D49C0" w:rsidRPr="005A68E6" w:rsidRDefault="003D49C0">
      <w:pPr>
        <w:spacing w:line="240" w:lineRule="auto"/>
        <w:ind w:firstLine="0"/>
        <w:jc w:val="left"/>
        <w:rPr>
          <w:b/>
          <w:bCs/>
          <w:color w:val="002060"/>
          <w:kern w:val="32"/>
          <w:sz w:val="28"/>
        </w:rPr>
      </w:pPr>
      <w:r w:rsidRPr="005A68E6">
        <w:br w:type="page"/>
      </w:r>
    </w:p>
    <w:p w14:paraId="18C6993E" w14:textId="26834BAA" w:rsidR="00025E2D" w:rsidRPr="005A68E6" w:rsidRDefault="002C32A7" w:rsidP="007B6FD3">
      <w:pPr>
        <w:pStyle w:val="Heading1"/>
        <w:spacing w:line="240" w:lineRule="auto"/>
      </w:pPr>
      <w:bookmarkStart w:id="9" w:name="_Toc150627820"/>
      <w:r w:rsidRPr="005A68E6">
        <w:lastRenderedPageBreak/>
        <w:t>2024-2026 RA Government Debt Management Strategy</w:t>
      </w:r>
      <w:bookmarkEnd w:id="9"/>
      <w:r w:rsidRPr="005A68E6">
        <w:t xml:space="preserve"> </w:t>
      </w:r>
    </w:p>
    <w:p w14:paraId="05898DB9" w14:textId="77777777" w:rsidR="005C3E6D" w:rsidRPr="005A68E6" w:rsidRDefault="005C3E6D" w:rsidP="005C3E6D">
      <w:pPr>
        <w:rPr>
          <w:color w:val="002060"/>
        </w:rPr>
      </w:pPr>
    </w:p>
    <w:p w14:paraId="15F1AB6E" w14:textId="7DC48D37" w:rsidR="00630F15" w:rsidRPr="005A68E6" w:rsidRDefault="002C32A7" w:rsidP="00941791">
      <w:pPr>
        <w:pStyle w:val="Heading2"/>
      </w:pPr>
      <w:bookmarkStart w:id="10" w:name="_Toc150627821"/>
      <w:r w:rsidRPr="005A68E6">
        <w:t>Macroeconomic developments and forecasts</w:t>
      </w:r>
      <w:bookmarkEnd w:id="10"/>
    </w:p>
    <w:p w14:paraId="0BD69440" w14:textId="2E634E60" w:rsidR="00FA37E9" w:rsidRPr="005A68E6" w:rsidRDefault="00FA37E9" w:rsidP="00FA37E9">
      <w:pPr>
        <w:rPr>
          <w:lang w:val="en-US"/>
        </w:rPr>
      </w:pPr>
      <w:r w:rsidRPr="005A68E6">
        <w:t xml:space="preserve">Macroeconomic forecasts, as well as the main </w:t>
      </w:r>
      <w:r w:rsidR="00EB465D" w:rsidRPr="005A68E6">
        <w:rPr>
          <w:lang w:val="en-US"/>
        </w:rPr>
        <w:t>headings</w:t>
      </w:r>
      <w:r w:rsidRPr="005A68E6">
        <w:t xml:space="preserve"> and forecasts of </w:t>
      </w:r>
      <w:r w:rsidR="00F1520B" w:rsidRPr="005A68E6">
        <w:rPr>
          <w:lang w:val="en-US"/>
        </w:rPr>
        <w:t xml:space="preserve">the </w:t>
      </w:r>
      <w:r w:rsidRPr="005A68E6">
        <w:t xml:space="preserve">fiscal policy are analyzed in detail and presented in the "Fiscal Policy" </w:t>
      </w:r>
      <w:r w:rsidR="00F1520B" w:rsidRPr="005A68E6">
        <w:rPr>
          <w:lang w:val="en-US"/>
        </w:rPr>
        <w:t xml:space="preserve">section </w:t>
      </w:r>
      <w:r w:rsidRPr="005A68E6">
        <w:t xml:space="preserve">of the </w:t>
      </w:r>
      <w:r w:rsidR="00EB465D" w:rsidRPr="005A68E6">
        <w:rPr>
          <w:lang w:val="en-US"/>
        </w:rPr>
        <w:t>M</w:t>
      </w:r>
      <w:r w:rsidRPr="005A68E6">
        <w:t>edium</w:t>
      </w:r>
      <w:r w:rsidR="00F1520B" w:rsidRPr="005A68E6">
        <w:rPr>
          <w:lang w:val="en-US"/>
        </w:rPr>
        <w:t>-</w:t>
      </w:r>
      <w:r w:rsidRPr="005A68E6">
        <w:t xml:space="preserve">term expenditure </w:t>
      </w:r>
      <w:r w:rsidRPr="005A68E6">
        <w:rPr>
          <w:lang w:val="en-US"/>
        </w:rPr>
        <w:t xml:space="preserve">framework </w:t>
      </w:r>
      <w:r w:rsidRPr="005A68E6">
        <w:t xml:space="preserve">for 2024-2026. </w:t>
      </w:r>
      <w:r w:rsidRPr="005A68E6">
        <w:rPr>
          <w:lang w:val="en-US"/>
        </w:rPr>
        <w:t>This</w:t>
      </w:r>
      <w:r w:rsidRPr="005A68E6">
        <w:t xml:space="preserve"> section briefly summarizes macroeconomic developments and forecasts</w:t>
      </w:r>
      <w:r w:rsidRPr="005A68E6">
        <w:rPr>
          <w:lang w:val="en-US"/>
        </w:rPr>
        <w:t>.</w:t>
      </w:r>
    </w:p>
    <w:p w14:paraId="06D3B411" w14:textId="77777777" w:rsidR="00FA37E9" w:rsidRPr="005A68E6" w:rsidRDefault="00FA37E9" w:rsidP="004300B3">
      <w:pPr>
        <w:rPr>
          <w:color w:val="FF0000"/>
        </w:rPr>
      </w:pPr>
    </w:p>
    <w:p w14:paraId="4E368E1C" w14:textId="3340F951" w:rsidR="00EA3115" w:rsidRPr="005A68E6" w:rsidRDefault="00FA37E9" w:rsidP="00EA3115">
      <w:pPr>
        <w:numPr>
          <w:ilvl w:val="0"/>
          <w:numId w:val="11"/>
        </w:numPr>
        <w:tabs>
          <w:tab w:val="right" w:pos="0"/>
        </w:tabs>
        <w:ind w:left="476" w:hanging="357"/>
      </w:pPr>
      <w:r w:rsidRPr="005A68E6">
        <w:t>Due to the geopolitical and economic challenges caused by the Russian-Ukrainian conflict and its negative consequences, the growth rate</w:t>
      </w:r>
      <w:r w:rsidR="00AB015E" w:rsidRPr="005A68E6">
        <w:t>s</w:t>
      </w:r>
      <w:r w:rsidRPr="005A68E6">
        <w:t xml:space="preserve"> of the global economy ha</w:t>
      </w:r>
      <w:r w:rsidR="00EB465D" w:rsidRPr="005A68E6">
        <w:rPr>
          <w:lang w:val="en-US"/>
        </w:rPr>
        <w:t>d</w:t>
      </w:r>
      <w:r w:rsidRPr="005A68E6">
        <w:t xml:space="preserve"> slowed </w:t>
      </w:r>
      <w:r w:rsidR="00AB015E" w:rsidRPr="005A68E6">
        <w:t xml:space="preserve">down </w:t>
      </w:r>
      <w:r w:rsidRPr="005A68E6">
        <w:t>significantly. Among the RA main partner countries, the Russi</w:t>
      </w:r>
      <w:r w:rsidR="00EB465D" w:rsidRPr="005A68E6">
        <w:rPr>
          <w:lang w:val="en-US"/>
        </w:rPr>
        <w:t>a</w:t>
      </w:r>
      <w:r w:rsidRPr="005A68E6">
        <w:t xml:space="preserve">n Federation experienced an economic downturn, while other economies experienced significant slowdown </w:t>
      </w:r>
      <w:r w:rsidR="00AB015E" w:rsidRPr="005A68E6">
        <w:t xml:space="preserve">in economic growth </w:t>
      </w:r>
      <w:r w:rsidRPr="005A68E6">
        <w:t xml:space="preserve">due to disruptions in global </w:t>
      </w:r>
      <w:r w:rsidR="00AB015E" w:rsidRPr="005A68E6">
        <w:t xml:space="preserve">value </w:t>
      </w:r>
      <w:r w:rsidRPr="005A68E6">
        <w:t xml:space="preserve">chains, </w:t>
      </w:r>
      <w:r w:rsidR="0036132A" w:rsidRPr="005A68E6">
        <w:rPr>
          <w:lang w:val="en-US"/>
        </w:rPr>
        <w:t xml:space="preserve">an </w:t>
      </w:r>
      <w:r w:rsidRPr="005A68E6">
        <w:t xml:space="preserve">increase in </w:t>
      </w:r>
      <w:r w:rsidR="00AB015E" w:rsidRPr="005A68E6">
        <w:t xml:space="preserve">world </w:t>
      </w:r>
      <w:r w:rsidRPr="005A68E6">
        <w:t xml:space="preserve">prices for food and raw materials, unprecedented </w:t>
      </w:r>
      <w:r w:rsidR="000B08D0" w:rsidRPr="005A68E6">
        <w:rPr>
          <w:lang w:val="en-US"/>
        </w:rPr>
        <w:t xml:space="preserve">tightening </w:t>
      </w:r>
      <w:r w:rsidR="000B08D0" w:rsidRPr="005A68E6">
        <w:t>monetary polic</w:t>
      </w:r>
      <w:r w:rsidR="00577719">
        <w:rPr>
          <w:lang w:val="en-US"/>
        </w:rPr>
        <w:t>y</w:t>
      </w:r>
      <w:r w:rsidR="000B08D0" w:rsidRPr="005A68E6">
        <w:t xml:space="preserve"> that counteract</w:t>
      </w:r>
      <w:r w:rsidR="000B08D0" w:rsidRPr="005A68E6">
        <w:rPr>
          <w:lang w:val="en-US"/>
        </w:rPr>
        <w:t>ed</w:t>
      </w:r>
      <w:r w:rsidRPr="005A68E6">
        <w:t xml:space="preserve"> </w:t>
      </w:r>
      <w:r w:rsidR="000B08D0" w:rsidRPr="005A68E6">
        <w:rPr>
          <w:lang w:val="en-US"/>
        </w:rPr>
        <w:t xml:space="preserve">emerged </w:t>
      </w:r>
      <w:r w:rsidRPr="005A68E6">
        <w:t xml:space="preserve">high inflation, and </w:t>
      </w:r>
      <w:r w:rsidR="0036132A" w:rsidRPr="005A68E6">
        <w:rPr>
          <w:lang w:val="en-US"/>
        </w:rPr>
        <w:t>restra</w:t>
      </w:r>
      <w:r w:rsidRPr="005A68E6">
        <w:t>in</w:t>
      </w:r>
      <w:r w:rsidR="0036132A" w:rsidRPr="005A68E6">
        <w:rPr>
          <w:lang w:val="en-US"/>
        </w:rPr>
        <w:t>in</w:t>
      </w:r>
      <w:r w:rsidRPr="005A68E6">
        <w:t>g</w:t>
      </w:r>
      <w:r w:rsidR="00BE1E89" w:rsidRPr="005A68E6">
        <w:t xml:space="preserve"> of</w:t>
      </w:r>
      <w:r w:rsidRPr="005A68E6">
        <w:t xml:space="preserve"> </w:t>
      </w:r>
      <w:r w:rsidR="0036132A" w:rsidRPr="005A68E6">
        <w:rPr>
          <w:lang w:val="en-US"/>
        </w:rPr>
        <w:t xml:space="preserve">the </w:t>
      </w:r>
      <w:r w:rsidRPr="005A68E6">
        <w:t xml:space="preserve">global financial conditions. However, during the year, </w:t>
      </w:r>
      <w:r w:rsidR="00802B91" w:rsidRPr="005A68E6">
        <w:t>inflationary pressures ha</w:t>
      </w:r>
      <w:r w:rsidR="00802B91" w:rsidRPr="005A68E6">
        <w:rPr>
          <w:lang w:val="en-US"/>
        </w:rPr>
        <w:t>d</w:t>
      </w:r>
      <w:r w:rsidR="00802B91" w:rsidRPr="005A68E6">
        <w:t xml:space="preserve"> eased </w:t>
      </w:r>
      <w:r w:rsidR="0010468C" w:rsidRPr="005A68E6">
        <w:t>amid</w:t>
      </w:r>
      <w:r w:rsidRPr="005A68E6">
        <w:t xml:space="preserve"> some recovery in global </w:t>
      </w:r>
      <w:r w:rsidR="00BE1E89" w:rsidRPr="005A68E6">
        <w:t xml:space="preserve">value </w:t>
      </w:r>
      <w:r w:rsidRPr="005A68E6">
        <w:t>chains and tightening monetary polic</w:t>
      </w:r>
      <w:r w:rsidR="00BE1E89" w:rsidRPr="005A68E6">
        <w:t>ies</w:t>
      </w:r>
      <w:r w:rsidRPr="005A68E6">
        <w:t>. Under these conditions, a significant slowdown in economic growth is forecast</w:t>
      </w:r>
      <w:r w:rsidR="00BE1E89" w:rsidRPr="005A68E6">
        <w:t>ed</w:t>
      </w:r>
      <w:r w:rsidRPr="005A68E6">
        <w:t xml:space="preserve"> in the partner countries in 2023, and in the medium</w:t>
      </w:r>
      <w:r w:rsidR="00941791" w:rsidRPr="005A68E6">
        <w:rPr>
          <w:lang w:val="en-US"/>
        </w:rPr>
        <w:t>-</w:t>
      </w:r>
      <w:r w:rsidRPr="005A68E6">
        <w:t>term, economic growth below potential</w:t>
      </w:r>
      <w:r w:rsidR="00BE1E89" w:rsidRPr="005A68E6">
        <w:t xml:space="preserve"> </w:t>
      </w:r>
      <w:r w:rsidR="00802B91" w:rsidRPr="005A68E6">
        <w:rPr>
          <w:lang w:val="en-US"/>
        </w:rPr>
        <w:t xml:space="preserve">is predicted </w:t>
      </w:r>
      <w:r w:rsidR="00BE1E89" w:rsidRPr="005A68E6">
        <w:t>in all partner countries</w:t>
      </w:r>
      <w:r w:rsidRPr="005A68E6">
        <w:t>.</w:t>
      </w:r>
    </w:p>
    <w:p w14:paraId="5A628D94" w14:textId="34D443B7" w:rsidR="00544160" w:rsidRPr="005A68E6" w:rsidRDefault="00FA37E9" w:rsidP="002E62BD">
      <w:pPr>
        <w:pStyle w:val="ListParagraph"/>
        <w:numPr>
          <w:ilvl w:val="0"/>
          <w:numId w:val="11"/>
        </w:numPr>
        <w:spacing w:after="0" w:line="360" w:lineRule="auto"/>
        <w:contextualSpacing w:val="0"/>
        <w:rPr>
          <w:rFonts w:ascii="GHEA Grapalat" w:eastAsia="GHEA Grapalat" w:hAnsi="GHEA Grapalat" w:cs="GHEA Grapalat"/>
          <w:bCs/>
        </w:rPr>
      </w:pPr>
      <w:r w:rsidRPr="005A68E6">
        <w:rPr>
          <w:rFonts w:ascii="GHEA Grapalat" w:eastAsia="GHEA Grapalat" w:hAnsi="GHEA Grapalat" w:cs="GHEA Grapalat"/>
          <w:bCs/>
        </w:rPr>
        <w:t>After the shock of the pandemi</w:t>
      </w:r>
      <w:r w:rsidR="00CE0104" w:rsidRPr="005A68E6">
        <w:rPr>
          <w:rFonts w:ascii="GHEA Grapalat" w:eastAsia="GHEA Grapalat" w:hAnsi="GHEA Grapalat" w:cs="GHEA Grapalat"/>
          <w:bCs/>
        </w:rPr>
        <w:t>c</w:t>
      </w:r>
      <w:r w:rsidRPr="005A68E6">
        <w:rPr>
          <w:rFonts w:ascii="GHEA Grapalat" w:eastAsia="GHEA Grapalat" w:hAnsi="GHEA Grapalat" w:cs="GHEA Grapalat"/>
          <w:bCs/>
        </w:rPr>
        <w:t xml:space="preserve"> and the Artsakh war, </w:t>
      </w:r>
      <w:r w:rsidR="00544160" w:rsidRPr="005A68E6">
        <w:rPr>
          <w:rFonts w:ascii="GHEA Grapalat" w:eastAsia="GHEA Grapalat" w:hAnsi="GHEA Grapalat" w:cs="GHEA Grapalat"/>
          <w:bCs/>
        </w:rPr>
        <w:t xml:space="preserve">in 2021 </w:t>
      </w:r>
      <w:r w:rsidRPr="005A68E6">
        <w:rPr>
          <w:rFonts w:ascii="GHEA Grapalat" w:eastAsia="GHEA Grapalat" w:hAnsi="GHEA Grapalat" w:cs="GHEA Grapalat"/>
          <w:bCs/>
        </w:rPr>
        <w:t xml:space="preserve">the pace of economic recovery in RA accelerated in early 2022. Despite </w:t>
      </w:r>
      <w:r w:rsidR="00CE0104" w:rsidRPr="005A68E6">
        <w:rPr>
          <w:rFonts w:ascii="GHEA Grapalat" w:eastAsia="GHEA Grapalat" w:hAnsi="GHEA Grapalat" w:cs="GHEA Grapalat"/>
          <w:bCs/>
        </w:rPr>
        <w:t xml:space="preserve">a cerain slowdown in economic activity in March </w:t>
      </w:r>
      <w:r w:rsidR="00D57959" w:rsidRPr="005A68E6">
        <w:rPr>
          <w:rFonts w:ascii="GHEA Grapalat" w:eastAsia="GHEA Grapalat" w:hAnsi="GHEA Grapalat" w:cs="GHEA Grapalat"/>
          <w:bCs/>
        </w:rPr>
        <w:t>caused by</w:t>
      </w:r>
      <w:r w:rsidR="00CE0104" w:rsidRPr="005A68E6">
        <w:rPr>
          <w:rFonts w:ascii="GHEA Grapalat" w:eastAsia="GHEA Grapalat" w:hAnsi="GHEA Grapalat" w:cs="GHEA Grapalat"/>
          <w:bCs/>
        </w:rPr>
        <w:t xml:space="preserve"> </w:t>
      </w:r>
      <w:r w:rsidRPr="005A68E6">
        <w:rPr>
          <w:rFonts w:ascii="GHEA Grapalat" w:eastAsia="GHEA Grapalat" w:hAnsi="GHEA Grapalat" w:cs="GHEA Grapalat"/>
          <w:bCs/>
        </w:rPr>
        <w:t xml:space="preserve">the Russian-Ukrainian conflict that began </w:t>
      </w:r>
      <w:r w:rsidR="00CE0104" w:rsidRPr="005A68E6">
        <w:rPr>
          <w:rFonts w:ascii="GHEA Grapalat" w:eastAsia="GHEA Grapalat" w:hAnsi="GHEA Grapalat" w:cs="GHEA Grapalat"/>
          <w:bCs/>
        </w:rPr>
        <w:t>in late</w:t>
      </w:r>
      <w:r w:rsidRPr="005A68E6">
        <w:rPr>
          <w:rFonts w:ascii="GHEA Grapalat" w:eastAsia="GHEA Grapalat" w:hAnsi="GHEA Grapalat" w:cs="GHEA Grapalat"/>
          <w:bCs/>
        </w:rPr>
        <w:t xml:space="preserve"> February and the negative effects of the sanctions against Russia,</w:t>
      </w:r>
      <w:r w:rsidR="00D57959" w:rsidRPr="005A68E6">
        <w:rPr>
          <w:rFonts w:ascii="GHEA Grapalat" w:eastAsia="GHEA Grapalat" w:hAnsi="GHEA Grapalat" w:cs="GHEA Grapalat"/>
          <w:bCs/>
        </w:rPr>
        <w:t xml:space="preserve"> the pace of growth in economic activity (especially in service sector) accelerated sharply as a result of </w:t>
      </w:r>
      <w:r w:rsidRPr="005A68E6">
        <w:rPr>
          <w:rFonts w:ascii="GHEA Grapalat" w:eastAsia="GHEA Grapalat" w:hAnsi="GHEA Grapalat" w:cs="GHEA Grapalat"/>
          <w:bCs/>
        </w:rPr>
        <w:t>the influx of people</w:t>
      </w:r>
      <w:r w:rsidR="00544160" w:rsidRPr="005A68E6">
        <w:rPr>
          <w:rFonts w:ascii="GHEA Grapalat" w:eastAsia="GHEA Grapalat" w:hAnsi="GHEA Grapalat" w:cs="GHEA Grapalat"/>
          <w:bCs/>
        </w:rPr>
        <w:t>,</w:t>
      </w:r>
      <w:r w:rsidRPr="005A68E6">
        <w:rPr>
          <w:rFonts w:ascii="GHEA Grapalat" w:eastAsia="GHEA Grapalat" w:hAnsi="GHEA Grapalat" w:cs="GHEA Grapalat"/>
          <w:bCs/>
        </w:rPr>
        <w:t xml:space="preserve"> </w:t>
      </w:r>
      <w:r w:rsidR="00EA3115" w:rsidRPr="005A68E6">
        <w:rPr>
          <w:rFonts w:ascii="GHEA Grapalat" w:eastAsia="GHEA Grapalat" w:hAnsi="GHEA Grapalat" w:cs="GHEA Grapalat"/>
          <w:bCs/>
        </w:rPr>
        <w:t>the</w:t>
      </w:r>
      <w:r w:rsidRPr="005A68E6">
        <w:rPr>
          <w:rFonts w:ascii="GHEA Grapalat" w:eastAsia="GHEA Grapalat" w:hAnsi="GHEA Grapalat" w:cs="GHEA Grapalat"/>
          <w:bCs/>
        </w:rPr>
        <w:t xml:space="preserve"> significant increase in tourism and the relocation of information technology companies to </w:t>
      </w:r>
      <w:r w:rsidR="00D57959" w:rsidRPr="005A68E6">
        <w:rPr>
          <w:rFonts w:ascii="GHEA Grapalat" w:eastAsia="GHEA Grapalat" w:hAnsi="GHEA Grapalat" w:cs="GHEA Grapalat"/>
          <w:bCs/>
        </w:rPr>
        <w:t xml:space="preserve">Armenia </w:t>
      </w:r>
      <w:r w:rsidR="00544160" w:rsidRPr="005A68E6">
        <w:rPr>
          <w:rFonts w:ascii="GHEA Grapalat" w:eastAsia="GHEA Grapalat" w:hAnsi="GHEA Grapalat" w:cs="GHEA Grapalat"/>
          <w:bCs/>
        </w:rPr>
        <w:t>since</w:t>
      </w:r>
      <w:r w:rsidR="00D57959" w:rsidRPr="005A68E6">
        <w:rPr>
          <w:rFonts w:ascii="GHEA Grapalat" w:eastAsia="GHEA Grapalat" w:hAnsi="GHEA Grapalat" w:cs="GHEA Grapalat"/>
          <w:bCs/>
        </w:rPr>
        <w:t xml:space="preserve"> April</w:t>
      </w:r>
      <w:r w:rsidRPr="005A68E6">
        <w:rPr>
          <w:rFonts w:ascii="GHEA Grapalat" w:eastAsia="GHEA Grapalat" w:hAnsi="GHEA Grapalat" w:cs="GHEA Grapalat"/>
          <w:bCs/>
        </w:rPr>
        <w:t xml:space="preserve">, as well as a new </w:t>
      </w:r>
      <w:r w:rsidR="00544160" w:rsidRPr="005A68E6">
        <w:rPr>
          <w:rFonts w:ascii="GHEA Grapalat" w:eastAsia="GHEA Grapalat" w:hAnsi="GHEA Grapalat" w:cs="GHEA Grapalat"/>
          <w:bCs/>
        </w:rPr>
        <w:t>in</w:t>
      </w:r>
      <w:r w:rsidR="00D57959" w:rsidRPr="005A68E6">
        <w:rPr>
          <w:rFonts w:ascii="GHEA Grapalat" w:eastAsia="GHEA Grapalat" w:hAnsi="GHEA Grapalat" w:cs="GHEA Grapalat"/>
          <w:bCs/>
        </w:rPr>
        <w:t xml:space="preserve">flow </w:t>
      </w:r>
      <w:r w:rsidRPr="005A68E6">
        <w:rPr>
          <w:rFonts w:ascii="GHEA Grapalat" w:eastAsia="GHEA Grapalat" w:hAnsi="GHEA Grapalat" w:cs="GHEA Grapalat"/>
          <w:bCs/>
        </w:rPr>
        <w:t xml:space="preserve">of migrants to </w:t>
      </w:r>
      <w:r w:rsidR="00D57959" w:rsidRPr="005A68E6">
        <w:rPr>
          <w:rFonts w:ascii="GHEA Grapalat" w:eastAsia="GHEA Grapalat" w:hAnsi="GHEA Grapalat" w:cs="GHEA Grapalat"/>
          <w:bCs/>
        </w:rPr>
        <w:t>Armenia</w:t>
      </w:r>
      <w:r w:rsidRPr="005A68E6">
        <w:rPr>
          <w:rFonts w:ascii="GHEA Grapalat" w:eastAsia="GHEA Grapalat" w:hAnsi="GHEA Grapalat" w:cs="GHEA Grapalat"/>
          <w:bCs/>
        </w:rPr>
        <w:t xml:space="preserve"> in September</w:t>
      </w:r>
      <w:r w:rsidR="00D57959" w:rsidRPr="005A68E6">
        <w:rPr>
          <w:rFonts w:ascii="GHEA Grapalat" w:eastAsia="GHEA Grapalat" w:hAnsi="GHEA Grapalat" w:cs="GHEA Grapalat"/>
          <w:bCs/>
        </w:rPr>
        <w:t>.</w:t>
      </w:r>
      <w:r w:rsidR="00EA3115" w:rsidRPr="005A68E6">
        <w:rPr>
          <w:rFonts w:ascii="GHEA Grapalat" w:eastAsia="GHEA Grapalat" w:hAnsi="GHEA Grapalat" w:cs="GHEA Grapalat"/>
          <w:bCs/>
        </w:rPr>
        <w:t xml:space="preserve"> </w:t>
      </w:r>
      <w:r w:rsidRPr="005A68E6">
        <w:rPr>
          <w:rFonts w:ascii="GHEA Grapalat" w:eastAsia="GHEA Grapalat" w:hAnsi="GHEA Grapalat" w:cs="GHEA Grapalat"/>
          <w:bCs/>
        </w:rPr>
        <w:t>As a result</w:t>
      </w:r>
      <w:r w:rsidR="00B747FE" w:rsidRPr="005A68E6">
        <w:rPr>
          <w:rFonts w:ascii="GHEA Grapalat" w:eastAsia="GHEA Grapalat" w:hAnsi="GHEA Grapalat" w:cs="GHEA Grapalat"/>
          <w:bCs/>
        </w:rPr>
        <w:t>,</w:t>
      </w:r>
      <w:r w:rsidRPr="005A68E6">
        <w:rPr>
          <w:rFonts w:ascii="GHEA Grapalat" w:eastAsia="GHEA Grapalat" w:hAnsi="GHEA Grapalat" w:cs="GHEA Grapalat"/>
          <w:bCs/>
        </w:rPr>
        <w:t xml:space="preserve"> 12.6% economic growth</w:t>
      </w:r>
      <w:r w:rsidR="00544160" w:rsidRPr="005A68E6">
        <w:rPr>
          <w:rFonts w:ascii="GHEA Grapalat" w:eastAsia="GHEA Grapalat" w:hAnsi="GHEA Grapalat" w:cs="GHEA Grapalat"/>
          <w:bCs/>
        </w:rPr>
        <w:t xml:space="preserve"> was recorded in 2022.</w:t>
      </w:r>
    </w:p>
    <w:p w14:paraId="49EF3746" w14:textId="19AACFAE" w:rsidR="00273238" w:rsidRPr="005A68E6" w:rsidRDefault="00FA37E9" w:rsidP="002E62BD">
      <w:pPr>
        <w:pStyle w:val="ListParagraph"/>
        <w:numPr>
          <w:ilvl w:val="0"/>
          <w:numId w:val="11"/>
        </w:numPr>
        <w:spacing w:after="0" w:line="360" w:lineRule="auto"/>
        <w:contextualSpacing w:val="0"/>
        <w:rPr>
          <w:rFonts w:ascii="GHEA Grapalat" w:eastAsia="GHEA Grapalat" w:hAnsi="GHEA Grapalat" w:cs="GHEA Grapalat"/>
          <w:bCs/>
        </w:rPr>
      </w:pPr>
      <w:r w:rsidRPr="005A68E6">
        <w:rPr>
          <w:rFonts w:ascii="GHEA Grapalat" w:eastAsia="GHEA Grapalat" w:hAnsi="GHEA Grapalat" w:cs="GHEA Grapalat"/>
          <w:bCs/>
        </w:rPr>
        <w:t>The high rates of economic growth</w:t>
      </w:r>
      <w:r w:rsidR="00273238" w:rsidRPr="005A68E6">
        <w:rPr>
          <w:rFonts w:ascii="GHEA Grapalat" w:eastAsia="GHEA Grapalat" w:hAnsi="GHEA Grapalat" w:cs="GHEA Grapalat"/>
          <w:bCs/>
        </w:rPr>
        <w:t>,</w:t>
      </w:r>
      <w:r w:rsidRPr="005A68E6">
        <w:rPr>
          <w:rFonts w:ascii="GHEA Grapalat" w:eastAsia="GHEA Grapalat" w:hAnsi="GHEA Grapalat" w:cs="GHEA Grapalat"/>
          <w:bCs/>
        </w:rPr>
        <w:t xml:space="preserve"> formed as a result of the influx of people to RA, a significant increase in tourism, the relocation of information technology companies </w:t>
      </w:r>
      <w:r w:rsidR="00273238" w:rsidRPr="005A68E6">
        <w:rPr>
          <w:rFonts w:ascii="GHEA Grapalat" w:eastAsia="GHEA Grapalat" w:hAnsi="GHEA Grapalat" w:cs="GHEA Grapalat"/>
          <w:bCs/>
        </w:rPr>
        <w:t xml:space="preserve">to </w:t>
      </w:r>
      <w:r w:rsidRPr="005A68E6">
        <w:rPr>
          <w:rFonts w:ascii="GHEA Grapalat" w:eastAsia="GHEA Grapalat" w:hAnsi="GHEA Grapalat" w:cs="GHEA Grapalat"/>
          <w:bCs/>
        </w:rPr>
        <w:t>RA, as well as an increase in demand for exports from RA</w:t>
      </w:r>
      <w:r w:rsidR="00273238" w:rsidRPr="005A68E6">
        <w:rPr>
          <w:rFonts w:ascii="GHEA Grapalat" w:eastAsia="GHEA Grapalat" w:hAnsi="GHEA Grapalat" w:cs="GHEA Grapalat"/>
          <w:bCs/>
        </w:rPr>
        <w:t xml:space="preserve"> to</w:t>
      </w:r>
      <w:r w:rsidRPr="005A68E6">
        <w:rPr>
          <w:rFonts w:ascii="GHEA Grapalat" w:eastAsia="GHEA Grapalat" w:hAnsi="GHEA Grapalat" w:cs="GHEA Grapalat"/>
          <w:bCs/>
        </w:rPr>
        <w:t xml:space="preserve"> Russian Federation, continued in the first quarter of 2023, recording 12.1% economic growth, mainly due to the growth </w:t>
      </w:r>
      <w:r w:rsidR="00273238" w:rsidRPr="005A68E6">
        <w:rPr>
          <w:rFonts w:ascii="GHEA Grapalat" w:eastAsia="GHEA Grapalat" w:hAnsi="GHEA Grapalat" w:cs="GHEA Grapalat"/>
          <w:bCs/>
        </w:rPr>
        <w:t>in</w:t>
      </w:r>
      <w:r w:rsidRPr="005A68E6">
        <w:rPr>
          <w:rFonts w:ascii="GHEA Grapalat" w:eastAsia="GHEA Grapalat" w:hAnsi="GHEA Grapalat" w:cs="GHEA Grapalat"/>
          <w:bCs/>
        </w:rPr>
        <w:t xml:space="preserve"> service</w:t>
      </w:r>
      <w:r w:rsidR="00B64321" w:rsidRPr="005A68E6">
        <w:rPr>
          <w:rFonts w:ascii="GHEA Grapalat" w:eastAsia="GHEA Grapalat" w:hAnsi="GHEA Grapalat" w:cs="GHEA Grapalat"/>
          <w:bCs/>
        </w:rPr>
        <w:t xml:space="preserve"> sector</w:t>
      </w:r>
      <w:r w:rsidRPr="005A68E6">
        <w:rPr>
          <w:rFonts w:ascii="GHEA Grapalat" w:eastAsia="GHEA Grapalat" w:hAnsi="GHEA Grapalat" w:cs="GHEA Grapalat"/>
          <w:bCs/>
        </w:rPr>
        <w:t xml:space="preserve">. In April, </w:t>
      </w:r>
      <w:r w:rsidR="00273238" w:rsidRPr="005A68E6">
        <w:rPr>
          <w:rFonts w:ascii="GHEA Grapalat" w:eastAsia="GHEA Grapalat" w:hAnsi="GHEA Grapalat" w:cs="GHEA Grapalat"/>
          <w:bCs/>
        </w:rPr>
        <w:t xml:space="preserve">the </w:t>
      </w:r>
      <w:r w:rsidRPr="005A68E6">
        <w:rPr>
          <w:rFonts w:ascii="GHEA Grapalat" w:eastAsia="GHEA Grapalat" w:hAnsi="GHEA Grapalat" w:cs="GHEA Grapalat"/>
          <w:bCs/>
        </w:rPr>
        <w:t xml:space="preserve">economic activity slowed down </w:t>
      </w:r>
      <w:r w:rsidR="00B64321" w:rsidRPr="005A68E6">
        <w:rPr>
          <w:rFonts w:ascii="GHEA Grapalat" w:eastAsia="GHEA Grapalat" w:hAnsi="GHEA Grapalat" w:cs="GHEA Grapalat"/>
          <w:bCs/>
        </w:rPr>
        <w:t>slightly</w:t>
      </w:r>
      <w:r w:rsidRPr="005A68E6">
        <w:rPr>
          <w:rFonts w:ascii="GHEA Grapalat" w:eastAsia="GHEA Grapalat" w:hAnsi="GHEA Grapalat" w:cs="GHEA Grapalat"/>
          <w:bCs/>
        </w:rPr>
        <w:t xml:space="preserve">, mainly due to </w:t>
      </w:r>
      <w:r w:rsidR="00273238" w:rsidRPr="005A68E6">
        <w:rPr>
          <w:rFonts w:ascii="GHEA Grapalat" w:eastAsia="GHEA Grapalat" w:hAnsi="GHEA Grapalat" w:cs="GHEA Grapalat"/>
          <w:bCs/>
        </w:rPr>
        <w:t>the</w:t>
      </w:r>
      <w:r w:rsidRPr="005A68E6">
        <w:rPr>
          <w:rFonts w:ascii="GHEA Grapalat" w:eastAsia="GHEA Grapalat" w:hAnsi="GHEA Grapalat" w:cs="GHEA Grapalat"/>
          <w:bCs/>
        </w:rPr>
        <w:t xml:space="preserve"> </w:t>
      </w:r>
      <w:r w:rsidR="00B64321" w:rsidRPr="005A68E6">
        <w:rPr>
          <w:rFonts w:ascii="GHEA Grapalat" w:eastAsia="GHEA Grapalat" w:hAnsi="GHEA Grapalat" w:cs="GHEA Grapalat"/>
          <w:bCs/>
        </w:rPr>
        <w:t xml:space="preserve">decline </w:t>
      </w:r>
      <w:r w:rsidRPr="005A68E6">
        <w:rPr>
          <w:rFonts w:ascii="GHEA Grapalat" w:eastAsia="GHEA Grapalat" w:hAnsi="GHEA Grapalat" w:cs="GHEA Grapalat"/>
          <w:bCs/>
        </w:rPr>
        <w:t xml:space="preserve">in </w:t>
      </w:r>
      <w:r w:rsidR="00B64321" w:rsidRPr="005A68E6">
        <w:rPr>
          <w:rFonts w:ascii="GHEA Grapalat" w:eastAsia="GHEA Grapalat" w:hAnsi="GHEA Grapalat" w:cs="GHEA Grapalat"/>
          <w:bCs/>
        </w:rPr>
        <w:t>manufacturing</w:t>
      </w:r>
      <w:r w:rsidRPr="005A68E6">
        <w:rPr>
          <w:rFonts w:ascii="GHEA Grapalat" w:eastAsia="GHEA Grapalat" w:hAnsi="GHEA Grapalat" w:cs="GHEA Grapalat"/>
          <w:bCs/>
        </w:rPr>
        <w:t>, but</w:t>
      </w:r>
      <w:r w:rsidR="00273238" w:rsidRPr="005A68E6">
        <w:rPr>
          <w:rFonts w:ascii="GHEA Grapalat" w:eastAsia="GHEA Grapalat" w:hAnsi="GHEA Grapalat" w:cs="GHEA Grapalat"/>
          <w:bCs/>
        </w:rPr>
        <w:t xml:space="preserve"> </w:t>
      </w:r>
      <w:r w:rsidR="00523F29" w:rsidRPr="005A68E6">
        <w:rPr>
          <w:rFonts w:ascii="GHEA Grapalat" w:eastAsia="GHEA Grapalat" w:hAnsi="GHEA Grapalat" w:cs="GHEA Grapalat"/>
          <w:bCs/>
        </w:rPr>
        <w:t>the high level of</w:t>
      </w:r>
      <w:r w:rsidRPr="005A68E6">
        <w:rPr>
          <w:rFonts w:ascii="GHEA Grapalat" w:eastAsia="GHEA Grapalat" w:hAnsi="GHEA Grapalat" w:cs="GHEA Grapalat"/>
          <w:bCs/>
        </w:rPr>
        <w:t xml:space="preserve"> </w:t>
      </w:r>
      <w:r w:rsidR="00B64321" w:rsidRPr="005A68E6">
        <w:rPr>
          <w:rFonts w:ascii="GHEA Grapalat" w:eastAsia="GHEA Grapalat" w:hAnsi="GHEA Grapalat" w:cs="GHEA Grapalat"/>
          <w:bCs/>
        </w:rPr>
        <w:t>the</w:t>
      </w:r>
      <w:r w:rsidRPr="005A68E6">
        <w:rPr>
          <w:rFonts w:ascii="GHEA Grapalat" w:eastAsia="GHEA Grapalat" w:hAnsi="GHEA Grapalat" w:cs="GHEA Grapalat"/>
          <w:bCs/>
        </w:rPr>
        <w:t xml:space="preserve"> economic activity </w:t>
      </w:r>
      <w:r w:rsidR="00523F29" w:rsidRPr="005A68E6">
        <w:rPr>
          <w:rFonts w:ascii="GHEA Grapalat" w:eastAsia="GHEA Grapalat" w:hAnsi="GHEA Grapalat" w:cs="GHEA Grapalat"/>
          <w:bCs/>
        </w:rPr>
        <w:t xml:space="preserve">continued to </w:t>
      </w:r>
      <w:r w:rsidR="00273238" w:rsidRPr="005A68E6">
        <w:rPr>
          <w:rFonts w:ascii="GHEA Grapalat" w:eastAsia="GHEA Grapalat" w:hAnsi="GHEA Grapalat" w:cs="GHEA Grapalat"/>
          <w:bCs/>
        </w:rPr>
        <w:t>retain.</w:t>
      </w:r>
    </w:p>
    <w:p w14:paraId="0A563ED1" w14:textId="7A118B3A" w:rsidR="00DE2E3D" w:rsidRPr="005A68E6" w:rsidRDefault="009C755B" w:rsidP="00511A7E">
      <w:pPr>
        <w:pStyle w:val="ListParagraph"/>
        <w:numPr>
          <w:ilvl w:val="0"/>
          <w:numId w:val="11"/>
        </w:numPr>
        <w:spacing w:after="0" w:line="360" w:lineRule="auto"/>
        <w:contextualSpacing w:val="0"/>
        <w:rPr>
          <w:rFonts w:ascii="GHEA Grapalat" w:eastAsia="GHEA Grapalat" w:hAnsi="GHEA Grapalat" w:cs="GHEA Grapalat"/>
          <w:bCs/>
        </w:rPr>
      </w:pPr>
      <w:r w:rsidRPr="005A68E6">
        <w:rPr>
          <w:rFonts w:ascii="GHEA Grapalat" w:eastAsia="GHEA Grapalat" w:hAnsi="GHEA Grapalat" w:cs="GHEA Grapalat"/>
          <w:bCs/>
        </w:rPr>
        <w:t>7% economic growth is targeted for 2023 and in the medium-term u</w:t>
      </w:r>
      <w:r w:rsidR="005A5BB9" w:rsidRPr="005A68E6">
        <w:rPr>
          <w:rFonts w:ascii="GHEA Grapalat" w:eastAsia="GHEA Grapalat" w:hAnsi="GHEA Grapalat" w:cs="GHEA Grapalat"/>
          <w:bCs/>
        </w:rPr>
        <w:t xml:space="preserve">nder </w:t>
      </w:r>
      <w:r w:rsidRPr="005A68E6">
        <w:rPr>
          <w:rFonts w:ascii="GHEA Grapalat" w:eastAsia="GHEA Grapalat" w:hAnsi="GHEA Grapalat" w:cs="GHEA Grapalat"/>
          <w:bCs/>
        </w:rPr>
        <w:t>the</w:t>
      </w:r>
      <w:r w:rsidR="00FA37E9" w:rsidRPr="005A68E6">
        <w:rPr>
          <w:rFonts w:ascii="GHEA Grapalat" w:eastAsia="GHEA Grapalat" w:hAnsi="GHEA Grapalat" w:cs="GHEA Grapalat"/>
          <w:bCs/>
        </w:rPr>
        <w:t xml:space="preserve"> </w:t>
      </w:r>
      <w:r w:rsidRPr="005A68E6">
        <w:rPr>
          <w:rFonts w:ascii="GHEA Grapalat" w:eastAsia="GHEA Grapalat" w:hAnsi="GHEA Grapalat" w:cs="GHEA Grapalat"/>
          <w:bCs/>
        </w:rPr>
        <w:t xml:space="preserve">formed </w:t>
      </w:r>
      <w:r w:rsidR="00FA37E9" w:rsidRPr="005A68E6">
        <w:rPr>
          <w:rFonts w:ascii="GHEA Grapalat" w:eastAsia="GHEA Grapalat" w:hAnsi="GHEA Grapalat" w:cs="GHEA Grapalat"/>
          <w:bCs/>
        </w:rPr>
        <w:t xml:space="preserve">favorable </w:t>
      </w:r>
      <w:r w:rsidR="005A5BB9" w:rsidRPr="005A68E6">
        <w:rPr>
          <w:rFonts w:ascii="GHEA Grapalat" w:eastAsia="GHEA Grapalat" w:hAnsi="GHEA Grapalat" w:cs="GHEA Grapalat"/>
          <w:bCs/>
        </w:rPr>
        <w:t xml:space="preserve">economic environment </w:t>
      </w:r>
      <w:r w:rsidRPr="005A68E6">
        <w:rPr>
          <w:rFonts w:ascii="GHEA Grapalat" w:eastAsia="GHEA Grapalat" w:hAnsi="GHEA Grapalat" w:cs="GHEA Grapalat"/>
          <w:bCs/>
        </w:rPr>
        <w:t>for Armenia</w:t>
      </w:r>
      <w:r w:rsidR="002C6900" w:rsidRPr="005A68E6">
        <w:rPr>
          <w:rFonts w:ascii="GHEA Grapalat" w:eastAsia="GHEA Grapalat" w:hAnsi="GHEA Grapalat" w:cs="GHEA Grapalat"/>
          <w:bCs/>
        </w:rPr>
        <w:t>, execution</w:t>
      </w:r>
      <w:r w:rsidR="00FA37E9" w:rsidRPr="005A68E6">
        <w:rPr>
          <w:rFonts w:ascii="GHEA Grapalat" w:eastAsia="GHEA Grapalat" w:hAnsi="GHEA Grapalat" w:cs="GHEA Grapalat"/>
          <w:bCs/>
        </w:rPr>
        <w:t xml:space="preserve"> of </w:t>
      </w:r>
      <w:r w:rsidR="002C6900" w:rsidRPr="005A68E6">
        <w:rPr>
          <w:rFonts w:ascii="GHEA Grapalat" w:eastAsia="GHEA Grapalat" w:hAnsi="GHEA Grapalat" w:cs="GHEA Grapalat"/>
          <w:bCs/>
        </w:rPr>
        <w:t xml:space="preserve">the </w:t>
      </w:r>
      <w:r w:rsidR="00FA37E9" w:rsidRPr="005A68E6">
        <w:rPr>
          <w:rFonts w:ascii="GHEA Grapalat" w:eastAsia="GHEA Grapalat" w:hAnsi="GHEA Grapalat" w:cs="GHEA Grapalat"/>
          <w:bCs/>
        </w:rPr>
        <w:t>planned large-scale capital expenditures</w:t>
      </w:r>
      <w:r w:rsidR="002A3210" w:rsidRPr="005A68E6">
        <w:rPr>
          <w:rFonts w:ascii="GHEA Grapalat" w:eastAsia="GHEA Grapalat" w:hAnsi="GHEA Grapalat" w:cs="GHEA Grapalat"/>
          <w:bCs/>
        </w:rPr>
        <w:t xml:space="preserve"> </w:t>
      </w:r>
      <w:r w:rsidR="00FA37E9" w:rsidRPr="005A68E6">
        <w:rPr>
          <w:rFonts w:ascii="GHEA Grapalat" w:eastAsia="GHEA Grapalat" w:hAnsi="GHEA Grapalat" w:cs="GHEA Grapalat"/>
          <w:bCs/>
        </w:rPr>
        <w:t xml:space="preserve">and </w:t>
      </w:r>
      <w:r w:rsidR="002C6900" w:rsidRPr="005A68E6">
        <w:rPr>
          <w:rFonts w:ascii="GHEA Grapalat" w:eastAsia="GHEA Grapalat" w:hAnsi="GHEA Grapalat" w:cs="GHEA Grapalat"/>
          <w:bCs/>
        </w:rPr>
        <w:t xml:space="preserve">the </w:t>
      </w:r>
      <w:r w:rsidR="00FA37E9" w:rsidRPr="005A68E6">
        <w:rPr>
          <w:rFonts w:ascii="GHEA Grapalat" w:eastAsia="GHEA Grapalat" w:hAnsi="GHEA Grapalat" w:cs="GHEA Grapalat"/>
          <w:bCs/>
        </w:rPr>
        <w:lastRenderedPageBreak/>
        <w:t xml:space="preserve">measures aimed at increasing the potential of the economy, outlined by the </w:t>
      </w:r>
      <w:r w:rsidR="00FA37E9" w:rsidRPr="005A68E6">
        <w:rPr>
          <w:rFonts w:ascii="GHEA Grapalat" w:eastAsia="GHEA Grapalat" w:hAnsi="GHEA Grapalat" w:cs="GHEA Grapalat"/>
          <w:bCs/>
          <w:lang w:val="en-US"/>
        </w:rPr>
        <w:t>RA Government</w:t>
      </w:r>
      <w:r w:rsidR="00FA37E9" w:rsidRPr="005A68E6">
        <w:rPr>
          <w:rFonts w:ascii="GHEA Grapalat" w:eastAsia="GHEA Grapalat" w:hAnsi="GHEA Grapalat" w:cs="GHEA Grapalat"/>
          <w:bCs/>
        </w:rPr>
        <w:t xml:space="preserve">. However, the 7% growth also </w:t>
      </w:r>
      <w:r w:rsidR="002C6900" w:rsidRPr="005A68E6">
        <w:rPr>
          <w:rFonts w:ascii="GHEA Grapalat" w:eastAsia="GHEA Grapalat" w:hAnsi="GHEA Grapalat" w:cs="GHEA Grapalat"/>
          <w:bCs/>
          <w:lang w:val="en-US"/>
        </w:rPr>
        <w:t>include</w:t>
      </w:r>
      <w:r w:rsidR="00FA37E9" w:rsidRPr="005A68E6">
        <w:rPr>
          <w:rFonts w:ascii="GHEA Grapalat" w:eastAsia="GHEA Grapalat" w:hAnsi="GHEA Grapalat" w:cs="GHEA Grapalat"/>
          <w:bCs/>
        </w:rPr>
        <w:t>s</w:t>
      </w:r>
      <w:r w:rsidR="002A3210" w:rsidRPr="005A68E6">
        <w:rPr>
          <w:rFonts w:ascii="GHEA Grapalat" w:eastAsia="GHEA Grapalat" w:hAnsi="GHEA Grapalat" w:cs="GHEA Grapalat"/>
          <w:bCs/>
          <w:lang w:val="en-US"/>
        </w:rPr>
        <w:t xml:space="preserve"> the</w:t>
      </w:r>
      <w:r w:rsidR="00FA37E9" w:rsidRPr="005A68E6">
        <w:rPr>
          <w:rFonts w:ascii="GHEA Grapalat" w:eastAsia="GHEA Grapalat" w:hAnsi="GHEA Grapalat" w:cs="GHEA Grapalat"/>
          <w:bCs/>
        </w:rPr>
        <w:t xml:space="preserve"> possible </w:t>
      </w:r>
      <w:r w:rsidR="002A3210" w:rsidRPr="005A68E6">
        <w:rPr>
          <w:rFonts w:ascii="GHEA Grapalat" w:eastAsia="GHEA Grapalat" w:hAnsi="GHEA Grapalat" w:cs="GHEA Grapalat"/>
          <w:bCs/>
          <w:lang w:val="en-US"/>
        </w:rPr>
        <w:t>effects</w:t>
      </w:r>
      <w:r w:rsidR="002A3210" w:rsidRPr="005A68E6">
        <w:rPr>
          <w:rFonts w:ascii="GHEA Grapalat" w:eastAsia="GHEA Grapalat" w:hAnsi="GHEA Grapalat" w:cs="GHEA Grapalat"/>
          <w:bCs/>
        </w:rPr>
        <w:t xml:space="preserve"> </w:t>
      </w:r>
      <w:r w:rsidR="00FA37E9" w:rsidRPr="005A68E6">
        <w:rPr>
          <w:rFonts w:ascii="GHEA Grapalat" w:eastAsia="GHEA Grapalat" w:hAnsi="GHEA Grapalat" w:cs="GHEA Grapalat"/>
          <w:bCs/>
        </w:rPr>
        <w:t xml:space="preserve">of </w:t>
      </w:r>
      <w:r w:rsidR="002C6900" w:rsidRPr="005A68E6">
        <w:rPr>
          <w:rFonts w:ascii="GHEA Grapalat" w:eastAsia="GHEA Grapalat" w:hAnsi="GHEA Grapalat" w:cs="GHEA Grapalat"/>
          <w:bCs/>
          <w:lang w:val="en-US"/>
        </w:rPr>
        <w:t xml:space="preserve">the </w:t>
      </w:r>
      <w:r w:rsidR="00FA37E9" w:rsidRPr="005A68E6">
        <w:rPr>
          <w:rFonts w:ascii="GHEA Grapalat" w:eastAsia="GHEA Grapalat" w:hAnsi="GHEA Grapalat" w:cs="GHEA Grapalat"/>
          <w:bCs/>
        </w:rPr>
        <w:t xml:space="preserve">structural reforms, which should </w:t>
      </w:r>
      <w:r w:rsidR="005A1065" w:rsidRPr="005A68E6">
        <w:rPr>
          <w:rFonts w:ascii="GHEA Grapalat" w:eastAsia="GHEA Grapalat" w:hAnsi="GHEA Grapalat" w:cs="GHEA Grapalat"/>
          <w:bCs/>
          <w:lang w:val="en-US"/>
        </w:rPr>
        <w:t>ensure</w:t>
      </w:r>
      <w:r w:rsidR="005A1065" w:rsidRPr="005A68E6">
        <w:rPr>
          <w:rFonts w:ascii="GHEA Grapalat" w:eastAsia="GHEA Grapalat" w:hAnsi="GHEA Grapalat" w:cs="GHEA Grapalat"/>
          <w:bCs/>
        </w:rPr>
        <w:t xml:space="preserve"> </w:t>
      </w:r>
      <w:r w:rsidR="005A1065" w:rsidRPr="005A68E6">
        <w:rPr>
          <w:rFonts w:ascii="GHEA Grapalat" w:eastAsia="GHEA Grapalat" w:hAnsi="GHEA Grapalat" w:cs="GHEA Grapalat"/>
          <w:bCs/>
          <w:lang w:val="en-US"/>
        </w:rPr>
        <w:t>the</w:t>
      </w:r>
      <w:r w:rsidR="00FA37E9" w:rsidRPr="005A68E6">
        <w:rPr>
          <w:rFonts w:ascii="GHEA Grapalat" w:eastAsia="GHEA Grapalat" w:hAnsi="GHEA Grapalat" w:cs="GHEA Grapalat"/>
          <w:bCs/>
        </w:rPr>
        <w:t xml:space="preserve">economic growth target </w:t>
      </w:r>
      <w:r w:rsidR="005A1065" w:rsidRPr="005A68E6">
        <w:rPr>
          <w:rFonts w:ascii="GHEA Grapalat" w:eastAsia="GHEA Grapalat" w:hAnsi="GHEA Grapalat" w:cs="GHEA Grapalat"/>
          <w:bCs/>
          <w:lang w:val="en-US"/>
        </w:rPr>
        <w:t>above</w:t>
      </w:r>
      <w:r w:rsidR="005A1065" w:rsidRPr="005A68E6">
        <w:rPr>
          <w:rFonts w:ascii="GHEA Grapalat" w:eastAsia="GHEA Grapalat" w:hAnsi="GHEA Grapalat" w:cs="GHEA Grapalat"/>
          <w:bCs/>
        </w:rPr>
        <w:t xml:space="preserve"> </w:t>
      </w:r>
      <w:r w:rsidR="00FA37E9" w:rsidRPr="005A68E6">
        <w:rPr>
          <w:rFonts w:ascii="GHEA Grapalat" w:eastAsia="GHEA Grapalat" w:hAnsi="GHEA Grapalat" w:cs="GHEA Grapalat"/>
          <w:bCs/>
        </w:rPr>
        <w:t>the baseline forecasts (6.0% for 2023 and 5.4% in the medium</w:t>
      </w:r>
      <w:r w:rsidR="002C6900" w:rsidRPr="005A68E6">
        <w:rPr>
          <w:rFonts w:ascii="GHEA Grapalat" w:eastAsia="GHEA Grapalat" w:hAnsi="GHEA Grapalat" w:cs="GHEA Grapalat"/>
          <w:bCs/>
          <w:lang w:val="en-US"/>
        </w:rPr>
        <w:t>-</w:t>
      </w:r>
      <w:r w:rsidR="00FA37E9" w:rsidRPr="005A68E6">
        <w:rPr>
          <w:rFonts w:ascii="GHEA Grapalat" w:eastAsia="GHEA Grapalat" w:hAnsi="GHEA Grapalat" w:cs="GHEA Grapalat"/>
          <w:bCs/>
        </w:rPr>
        <w:t>term).</w:t>
      </w:r>
    </w:p>
    <w:p w14:paraId="1815B0C8" w14:textId="76ADA64B" w:rsidR="00FA37E9" w:rsidRPr="005A68E6" w:rsidRDefault="00BF364D" w:rsidP="00511A7E">
      <w:pPr>
        <w:pStyle w:val="ListParagraph"/>
        <w:numPr>
          <w:ilvl w:val="0"/>
          <w:numId w:val="11"/>
        </w:numPr>
        <w:spacing w:after="0" w:line="360" w:lineRule="auto"/>
        <w:contextualSpacing w:val="0"/>
        <w:rPr>
          <w:rFonts w:ascii="GHEA Grapalat" w:eastAsia="GHEA Grapalat" w:hAnsi="GHEA Grapalat" w:cs="GHEA Grapalat"/>
          <w:bCs/>
          <w:lang w:val="en-US"/>
        </w:rPr>
      </w:pPr>
      <w:r w:rsidRPr="005A68E6">
        <w:rPr>
          <w:rFonts w:ascii="GHEA Grapalat" w:eastAsia="GHEA Grapalat" w:hAnsi="GHEA Grapalat" w:cs="GHEA Grapalat"/>
          <w:bCs/>
          <w:lang w:val="en-US"/>
        </w:rPr>
        <w:t xml:space="preserve">In 2023 </w:t>
      </w:r>
      <w:r w:rsidR="00FA37E9" w:rsidRPr="005A68E6">
        <w:rPr>
          <w:rFonts w:ascii="GHEA Grapalat" w:eastAsia="GHEA Grapalat" w:hAnsi="GHEA Grapalat" w:cs="GHEA Grapalat"/>
          <w:bCs/>
        </w:rPr>
        <w:t xml:space="preserve">both exports and imports will increase </w:t>
      </w:r>
      <w:r w:rsidRPr="005A68E6">
        <w:rPr>
          <w:rFonts w:ascii="GHEA Grapalat" w:eastAsia="GHEA Grapalat" w:hAnsi="GHEA Grapalat" w:cs="GHEA Grapalat"/>
          <w:bCs/>
          <w:lang w:val="en-US"/>
        </w:rPr>
        <w:t>amid</w:t>
      </w:r>
      <w:r w:rsidRPr="005A68E6">
        <w:rPr>
          <w:rFonts w:ascii="GHEA Grapalat" w:eastAsia="GHEA Grapalat" w:hAnsi="GHEA Grapalat" w:cs="GHEA Grapalat"/>
          <w:bCs/>
        </w:rPr>
        <w:t xml:space="preserve"> high economic activity and high external demand in certain markets (in particular, the Russian market). </w:t>
      </w:r>
      <w:r w:rsidR="00B56C22" w:rsidRPr="005A68E6">
        <w:rPr>
          <w:rFonts w:ascii="GHEA Grapalat" w:eastAsia="GHEA Grapalat" w:hAnsi="GHEA Grapalat" w:cs="GHEA Grapalat"/>
          <w:bCs/>
          <w:lang w:val="en-US"/>
        </w:rPr>
        <w:t>T</w:t>
      </w:r>
      <w:r w:rsidR="00B56C22" w:rsidRPr="005A68E6">
        <w:rPr>
          <w:rFonts w:ascii="GHEA Grapalat" w:eastAsia="GHEA Grapalat" w:hAnsi="GHEA Grapalat" w:cs="GHEA Grapalat"/>
          <w:bCs/>
        </w:rPr>
        <w:t xml:space="preserve">he current account deficit will </w:t>
      </w:r>
      <w:r w:rsidR="00D705BB" w:rsidRPr="005A68E6">
        <w:rPr>
          <w:rFonts w:ascii="GHEA Grapalat" w:eastAsia="GHEA Grapalat" w:hAnsi="GHEA Grapalat" w:cs="GHEA Grapalat"/>
          <w:bCs/>
          <w:lang w:val="en-US"/>
        </w:rPr>
        <w:t>deteriorate</w:t>
      </w:r>
      <w:r w:rsidR="00B56C22" w:rsidRPr="005A68E6">
        <w:rPr>
          <w:rFonts w:ascii="GHEA Grapalat" w:eastAsia="GHEA Grapalat" w:hAnsi="GHEA Grapalat" w:cs="GHEA Grapalat"/>
          <w:bCs/>
          <w:lang w:val="en-US"/>
        </w:rPr>
        <w:t xml:space="preserve"> slightly in 2023, approaching </w:t>
      </w:r>
      <w:r w:rsidR="00B56C22" w:rsidRPr="005A68E6">
        <w:rPr>
          <w:rFonts w:ascii="GHEA Grapalat" w:eastAsia="GHEA Grapalat" w:hAnsi="GHEA Grapalat" w:cs="GHEA Grapalat"/>
          <w:bCs/>
        </w:rPr>
        <w:t xml:space="preserve">2.7% of GDP </w:t>
      </w:r>
      <w:r w:rsidR="00B56C22" w:rsidRPr="005A68E6">
        <w:rPr>
          <w:rFonts w:ascii="GHEA Grapalat" w:eastAsia="GHEA Grapalat" w:hAnsi="GHEA Grapalat" w:cs="GHEA Grapalat"/>
          <w:bCs/>
          <w:lang w:val="en-US"/>
        </w:rPr>
        <w:t>m</w:t>
      </w:r>
      <w:r w:rsidR="00FA37E9" w:rsidRPr="005A68E6">
        <w:rPr>
          <w:rFonts w:ascii="GHEA Grapalat" w:eastAsia="GHEA Grapalat" w:hAnsi="GHEA Grapalat" w:cs="GHEA Grapalat"/>
          <w:bCs/>
        </w:rPr>
        <w:t xml:space="preserve">ainly due to the </w:t>
      </w:r>
      <w:r w:rsidR="00511A7E" w:rsidRPr="005A68E6">
        <w:rPr>
          <w:rFonts w:ascii="GHEA Grapalat" w:eastAsia="GHEA Grapalat" w:hAnsi="GHEA Grapalat" w:cs="GHEA Grapalat"/>
          <w:bCs/>
        </w:rPr>
        <w:t>aggravation</w:t>
      </w:r>
      <w:r w:rsidR="00FA37E9" w:rsidRPr="005A68E6">
        <w:rPr>
          <w:rFonts w:ascii="GHEA Grapalat" w:eastAsia="GHEA Grapalat" w:hAnsi="GHEA Grapalat" w:cs="GHEA Grapalat"/>
          <w:bCs/>
        </w:rPr>
        <w:t xml:space="preserve"> of the trade balance, as well as the declin</w:t>
      </w:r>
      <w:r w:rsidR="00511A7E" w:rsidRPr="005A68E6">
        <w:rPr>
          <w:rFonts w:ascii="GHEA Grapalat" w:eastAsia="GHEA Grapalat" w:hAnsi="GHEA Grapalat" w:cs="GHEA Grapalat"/>
          <w:bCs/>
          <w:lang w:val="en-US"/>
        </w:rPr>
        <w:t>e</w:t>
      </w:r>
      <w:r w:rsidR="00FA37E9" w:rsidRPr="005A68E6">
        <w:rPr>
          <w:rFonts w:ascii="GHEA Grapalat" w:eastAsia="GHEA Grapalat" w:hAnsi="GHEA Grapalat" w:cs="GHEA Grapalat"/>
          <w:bCs/>
        </w:rPr>
        <w:t xml:space="preserve"> of remittances in GDP</w:t>
      </w:r>
      <w:r w:rsidR="00161C10" w:rsidRPr="005A68E6">
        <w:rPr>
          <w:rFonts w:ascii="GHEA Grapalat" w:eastAsia="GHEA Grapalat" w:hAnsi="GHEA Grapalat" w:cs="GHEA Grapalat"/>
          <w:bCs/>
          <w:lang w:val="en-US"/>
        </w:rPr>
        <w:t>.</w:t>
      </w:r>
      <w:r w:rsidR="00FA37E9" w:rsidRPr="005A68E6">
        <w:rPr>
          <w:rFonts w:ascii="GHEA Grapalat" w:eastAsia="GHEA Grapalat" w:hAnsi="GHEA Grapalat" w:cs="GHEA Grapalat"/>
          <w:bCs/>
        </w:rPr>
        <w:t xml:space="preserve"> </w:t>
      </w:r>
      <w:r w:rsidR="00161C10" w:rsidRPr="005A68E6">
        <w:rPr>
          <w:rFonts w:ascii="GHEA Grapalat" w:eastAsia="GHEA Grapalat" w:hAnsi="GHEA Grapalat" w:cs="GHEA Grapalat"/>
          <w:bCs/>
          <w:lang w:val="en-US"/>
        </w:rPr>
        <w:t>In the medium</w:t>
      </w:r>
      <w:r w:rsidR="00511A7E" w:rsidRPr="005A68E6">
        <w:rPr>
          <w:rFonts w:ascii="GHEA Grapalat" w:eastAsia="GHEA Grapalat" w:hAnsi="GHEA Grapalat" w:cs="GHEA Grapalat"/>
          <w:bCs/>
          <w:lang w:val="en-US"/>
        </w:rPr>
        <w:t>-</w:t>
      </w:r>
      <w:r w:rsidR="00161C10" w:rsidRPr="005A68E6">
        <w:rPr>
          <w:rFonts w:ascii="GHEA Grapalat" w:eastAsia="GHEA Grapalat" w:hAnsi="GHEA Grapalat" w:cs="GHEA Grapalat"/>
          <w:bCs/>
          <w:lang w:val="en-US"/>
        </w:rPr>
        <w:t>term horizon t</w:t>
      </w:r>
      <w:r w:rsidR="00FA37E9" w:rsidRPr="005A68E6">
        <w:rPr>
          <w:rFonts w:ascii="GHEA Grapalat" w:eastAsia="GHEA Grapalat" w:hAnsi="GHEA Grapalat" w:cs="GHEA Grapalat"/>
          <w:bCs/>
          <w:lang w:val="en-US"/>
        </w:rPr>
        <w:t>he current account deficit will deepen</w:t>
      </w:r>
      <w:r w:rsidR="00161C10" w:rsidRPr="005A68E6">
        <w:rPr>
          <w:rFonts w:ascii="GHEA Grapalat" w:eastAsia="GHEA Grapalat" w:hAnsi="GHEA Grapalat" w:cs="GHEA Grapalat"/>
          <w:bCs/>
          <w:lang w:val="en-US"/>
        </w:rPr>
        <w:t>,</w:t>
      </w:r>
      <w:r w:rsidR="00FA37E9" w:rsidRPr="005A68E6">
        <w:rPr>
          <w:rFonts w:ascii="GHEA Grapalat" w:eastAsia="GHEA Grapalat" w:hAnsi="GHEA Grapalat" w:cs="GHEA Grapalat"/>
          <w:bCs/>
          <w:lang w:val="en-US"/>
        </w:rPr>
        <w:t xml:space="preserve"> approaching its long-term </w:t>
      </w:r>
      <w:r w:rsidR="00B56C22" w:rsidRPr="005A68E6">
        <w:rPr>
          <w:rFonts w:ascii="GHEA Grapalat" w:eastAsia="GHEA Grapalat" w:hAnsi="GHEA Grapalat" w:cs="GHEA Grapalat"/>
          <w:bCs/>
          <w:lang w:val="en-US"/>
        </w:rPr>
        <w:t xml:space="preserve">equilibrium </w:t>
      </w:r>
      <w:r w:rsidR="00FA37E9" w:rsidRPr="005A68E6">
        <w:rPr>
          <w:rFonts w:ascii="GHEA Grapalat" w:eastAsia="GHEA Grapalat" w:hAnsi="GHEA Grapalat" w:cs="GHEA Grapalat"/>
          <w:bCs/>
          <w:lang w:val="en-US"/>
        </w:rPr>
        <w:t>level</w:t>
      </w:r>
      <w:r w:rsidR="00B56C22" w:rsidRPr="005A68E6">
        <w:rPr>
          <w:rFonts w:ascii="GHEA Grapalat" w:eastAsia="GHEA Grapalat" w:hAnsi="GHEA Grapalat" w:cs="GHEA Grapalat"/>
          <w:bCs/>
          <w:lang w:val="en-US"/>
        </w:rPr>
        <w:t xml:space="preserve"> </w:t>
      </w:r>
      <w:r w:rsidR="002F1BDF" w:rsidRPr="005A68E6">
        <w:rPr>
          <w:rFonts w:ascii="GHEA Grapalat" w:eastAsia="GHEA Grapalat" w:hAnsi="GHEA Grapalat" w:cs="GHEA Grapalat"/>
          <w:bCs/>
          <w:lang w:val="en-US"/>
        </w:rPr>
        <w:t xml:space="preserve">due to </w:t>
      </w:r>
      <w:r w:rsidR="00C031E7" w:rsidRPr="005A68E6">
        <w:rPr>
          <w:rFonts w:ascii="GHEA Grapalat" w:eastAsia="GHEA Grapalat" w:hAnsi="GHEA Grapalat" w:cs="GHEA Grapalat"/>
          <w:bCs/>
          <w:lang w:val="en-US"/>
        </w:rPr>
        <w:t>the</w:t>
      </w:r>
      <w:r w:rsidR="002F1BDF" w:rsidRPr="005A68E6">
        <w:rPr>
          <w:rFonts w:ascii="GHEA Grapalat" w:eastAsia="GHEA Grapalat" w:hAnsi="GHEA Grapalat" w:cs="GHEA Grapalat"/>
          <w:bCs/>
          <w:lang w:val="en-US"/>
        </w:rPr>
        <w:t xml:space="preserve"> increase in </w:t>
      </w:r>
      <w:r w:rsidR="00161C10" w:rsidRPr="005A68E6">
        <w:rPr>
          <w:rFonts w:ascii="GHEA Grapalat" w:eastAsia="GHEA Grapalat" w:hAnsi="GHEA Grapalat" w:cs="GHEA Grapalat"/>
          <w:bCs/>
          <w:lang w:val="en-US"/>
        </w:rPr>
        <w:t>im</w:t>
      </w:r>
      <w:r w:rsidR="002F1BDF" w:rsidRPr="005A68E6">
        <w:rPr>
          <w:rFonts w:ascii="GHEA Grapalat" w:eastAsia="GHEA Grapalat" w:hAnsi="GHEA Grapalat" w:cs="GHEA Grapalat"/>
          <w:bCs/>
          <w:lang w:val="en-US"/>
        </w:rPr>
        <w:t xml:space="preserve">ports of investment goods </w:t>
      </w:r>
      <w:r w:rsidR="00B56C22" w:rsidRPr="005A68E6">
        <w:rPr>
          <w:rFonts w:ascii="GHEA Grapalat" w:eastAsia="GHEA Grapalat" w:hAnsi="GHEA Grapalat" w:cs="GHEA Grapalat"/>
          <w:bCs/>
          <w:lang w:val="en-US"/>
        </w:rPr>
        <w:t xml:space="preserve">as a result of </w:t>
      </w:r>
      <w:r w:rsidR="002F1BDF" w:rsidRPr="005A68E6">
        <w:rPr>
          <w:rFonts w:ascii="GHEA Grapalat" w:eastAsia="GHEA Grapalat" w:hAnsi="GHEA Grapalat" w:cs="GHEA Grapalat"/>
          <w:bCs/>
          <w:lang w:val="en-US"/>
        </w:rPr>
        <w:t>stimulating</w:t>
      </w:r>
      <w:r w:rsidR="00B56C22" w:rsidRPr="005A68E6">
        <w:rPr>
          <w:rFonts w:ascii="GHEA Grapalat" w:eastAsia="GHEA Grapalat" w:hAnsi="GHEA Grapalat" w:cs="GHEA Grapalat"/>
          <w:bCs/>
          <w:lang w:val="en-US"/>
        </w:rPr>
        <w:t xml:space="preserve"> public and private sector investments carried out by the RA </w:t>
      </w:r>
      <w:r w:rsidR="004D6547" w:rsidRPr="005A68E6">
        <w:rPr>
          <w:rFonts w:ascii="GHEA Grapalat" w:eastAsia="GHEA Grapalat" w:hAnsi="GHEA Grapalat" w:cs="GHEA Grapalat"/>
          <w:bCs/>
          <w:lang w:val="en-US"/>
        </w:rPr>
        <w:t>G</w:t>
      </w:r>
      <w:r w:rsidR="00B56C22" w:rsidRPr="005A68E6">
        <w:rPr>
          <w:rFonts w:ascii="GHEA Grapalat" w:eastAsia="GHEA Grapalat" w:hAnsi="GHEA Grapalat" w:cs="GHEA Grapalat"/>
          <w:bCs/>
          <w:lang w:val="en-US"/>
        </w:rPr>
        <w:t>overnment</w:t>
      </w:r>
      <w:r w:rsidR="00FA37E9" w:rsidRPr="005A68E6">
        <w:rPr>
          <w:rFonts w:ascii="GHEA Grapalat" w:eastAsia="GHEA Grapalat" w:hAnsi="GHEA Grapalat" w:cs="GHEA Grapalat"/>
          <w:bCs/>
          <w:lang w:val="en-US"/>
        </w:rPr>
        <w:t>.</w:t>
      </w:r>
    </w:p>
    <w:p w14:paraId="253696FF" w14:textId="43675B42" w:rsidR="00AB471C" w:rsidRPr="005A68E6" w:rsidRDefault="00BC28E3" w:rsidP="00AB471C">
      <w:pPr>
        <w:pStyle w:val="ListParagraph"/>
        <w:numPr>
          <w:ilvl w:val="0"/>
          <w:numId w:val="11"/>
        </w:numPr>
        <w:spacing w:after="0" w:line="360" w:lineRule="auto"/>
        <w:contextualSpacing w:val="0"/>
        <w:rPr>
          <w:rFonts w:ascii="GHEA Grapalat" w:eastAsia="GHEA Grapalat" w:hAnsi="GHEA Grapalat" w:cs="GHEA Grapalat"/>
          <w:bCs/>
        </w:rPr>
      </w:pPr>
      <w:r w:rsidRPr="005A68E6">
        <w:rPr>
          <w:rFonts w:ascii="GHEA Grapalat" w:eastAsia="GHEA Grapalat" w:hAnsi="GHEA Grapalat" w:cs="GHEA Grapalat"/>
          <w:bCs/>
          <w:lang w:val="en-US"/>
        </w:rPr>
        <w:t>T</w:t>
      </w:r>
      <w:r w:rsidR="00861BA9" w:rsidRPr="005A68E6">
        <w:rPr>
          <w:rFonts w:ascii="GHEA Grapalat" w:eastAsia="GHEA Grapalat" w:hAnsi="GHEA Grapalat" w:cs="GHEA Grapalat"/>
          <w:bCs/>
          <w:lang w:val="en-US"/>
        </w:rPr>
        <w:t>he fiscal policy for 2024 and in the medium</w:t>
      </w:r>
      <w:r w:rsidRPr="005A68E6">
        <w:rPr>
          <w:rFonts w:ascii="GHEA Grapalat" w:eastAsia="GHEA Grapalat" w:hAnsi="GHEA Grapalat" w:cs="GHEA Grapalat"/>
          <w:bCs/>
          <w:lang w:val="en-US"/>
        </w:rPr>
        <w:t>-</w:t>
      </w:r>
      <w:r w:rsidR="00861BA9" w:rsidRPr="005A68E6">
        <w:rPr>
          <w:rFonts w:ascii="GHEA Grapalat" w:eastAsia="GHEA Grapalat" w:hAnsi="GHEA Grapalat" w:cs="GHEA Grapalat"/>
          <w:bCs/>
          <w:lang w:val="en-US"/>
        </w:rPr>
        <w:t xml:space="preserve">term </w:t>
      </w:r>
      <w:r w:rsidR="00FA37E9" w:rsidRPr="005A68E6">
        <w:rPr>
          <w:rFonts w:ascii="GHEA Grapalat" w:eastAsia="GHEA Grapalat" w:hAnsi="GHEA Grapalat" w:cs="GHEA Grapalat"/>
          <w:bCs/>
        </w:rPr>
        <w:t xml:space="preserve">will be aimed at ensuring 7% </w:t>
      </w:r>
      <w:r w:rsidRPr="005A68E6">
        <w:rPr>
          <w:rFonts w:ascii="GHEA Grapalat" w:eastAsia="GHEA Grapalat" w:hAnsi="GHEA Grapalat" w:cs="GHEA Grapalat"/>
          <w:bCs/>
        </w:rPr>
        <w:t xml:space="preserve">target </w:t>
      </w:r>
      <w:r w:rsidR="00FA37E9" w:rsidRPr="005A68E6">
        <w:rPr>
          <w:rFonts w:ascii="GHEA Grapalat" w:eastAsia="GHEA Grapalat" w:hAnsi="GHEA Grapalat" w:cs="GHEA Grapalat"/>
          <w:bCs/>
        </w:rPr>
        <w:t>economic growth</w:t>
      </w:r>
      <w:r w:rsidRPr="005A68E6">
        <w:rPr>
          <w:rFonts w:ascii="GHEA Grapalat" w:eastAsia="GHEA Grapalat" w:hAnsi="GHEA Grapalat" w:cs="GHEA Grapalat"/>
          <w:bCs/>
          <w:lang w:val="en-US"/>
        </w:rPr>
        <w:t xml:space="preserve"> in line with </w:t>
      </w:r>
      <w:r w:rsidRPr="005A68E6">
        <w:rPr>
          <w:rFonts w:ascii="GHEA Grapalat" w:eastAsia="GHEA Grapalat" w:hAnsi="GHEA Grapalat" w:cs="GHEA Grapalat"/>
          <w:bCs/>
        </w:rPr>
        <w:t xml:space="preserve">the </w:t>
      </w:r>
      <w:r w:rsidRPr="005A68E6">
        <w:rPr>
          <w:rFonts w:ascii="GHEA Grapalat" w:eastAsia="GHEA Grapalat" w:hAnsi="GHEA Grapalat" w:cs="GHEA Grapalat"/>
          <w:bCs/>
          <w:lang w:val="en-US"/>
        </w:rPr>
        <w:t>RA</w:t>
      </w:r>
      <w:r w:rsidRPr="005A68E6">
        <w:rPr>
          <w:rFonts w:ascii="GHEA Grapalat" w:eastAsia="GHEA Grapalat" w:hAnsi="GHEA Grapalat" w:cs="GHEA Grapalat"/>
          <w:bCs/>
        </w:rPr>
        <w:t xml:space="preserve"> Government </w:t>
      </w:r>
      <w:r w:rsidRPr="005A68E6">
        <w:rPr>
          <w:rFonts w:ascii="GHEA Grapalat" w:eastAsia="GHEA Grapalat" w:hAnsi="GHEA Grapalat" w:cs="GHEA Grapalat"/>
          <w:bCs/>
          <w:lang w:val="en-US"/>
        </w:rPr>
        <w:t xml:space="preserve">Program </w:t>
      </w:r>
      <w:r w:rsidRPr="005A68E6">
        <w:rPr>
          <w:rFonts w:ascii="GHEA Grapalat" w:eastAsia="GHEA Grapalat" w:hAnsi="GHEA Grapalat" w:cs="GHEA Grapalat"/>
          <w:bCs/>
        </w:rPr>
        <w:t>for 2021-2026</w:t>
      </w:r>
      <w:r w:rsidR="00FA37E9" w:rsidRPr="005A68E6">
        <w:rPr>
          <w:rFonts w:ascii="GHEA Grapalat" w:eastAsia="GHEA Grapalat" w:hAnsi="GHEA Grapalat" w:cs="GHEA Grapalat"/>
          <w:bCs/>
        </w:rPr>
        <w:t>, emphasizing a significant increase in the share of public investment</w:t>
      </w:r>
      <w:r w:rsidR="008C0990" w:rsidRPr="005A68E6">
        <w:rPr>
          <w:rFonts w:ascii="GHEA Grapalat" w:eastAsia="GHEA Grapalat" w:hAnsi="GHEA Grapalat" w:cs="GHEA Grapalat"/>
          <w:bCs/>
          <w:lang w:val="en-US"/>
        </w:rPr>
        <w:t>s</w:t>
      </w:r>
      <w:r w:rsidR="00FA37E9" w:rsidRPr="005A68E6">
        <w:rPr>
          <w:rFonts w:ascii="GHEA Grapalat" w:eastAsia="GHEA Grapalat" w:hAnsi="GHEA Grapalat" w:cs="GHEA Grapalat"/>
          <w:bCs/>
        </w:rPr>
        <w:t xml:space="preserve"> and improving the efficiency of </w:t>
      </w:r>
      <w:r w:rsidR="008C0990" w:rsidRPr="005A68E6">
        <w:rPr>
          <w:rFonts w:ascii="GHEA Grapalat" w:eastAsia="GHEA Grapalat" w:hAnsi="GHEA Grapalat" w:cs="GHEA Grapalat"/>
          <w:bCs/>
          <w:lang w:val="en-US"/>
        </w:rPr>
        <w:t>expenditures</w:t>
      </w:r>
      <w:r w:rsidR="00FA37E9" w:rsidRPr="005A68E6">
        <w:rPr>
          <w:rFonts w:ascii="GHEA Grapalat" w:eastAsia="GHEA Grapalat" w:hAnsi="GHEA Grapalat" w:cs="GHEA Grapalat"/>
          <w:bCs/>
        </w:rPr>
        <w:t xml:space="preserve">, while ensuring fiscal stability </w:t>
      </w:r>
      <w:r w:rsidR="008C0990" w:rsidRPr="005A68E6">
        <w:rPr>
          <w:rFonts w:ascii="GHEA Grapalat" w:eastAsia="GHEA Grapalat" w:hAnsi="GHEA Grapalat" w:cs="GHEA Grapalat"/>
          <w:bCs/>
          <w:lang w:val="en-US"/>
        </w:rPr>
        <w:t>in</w:t>
      </w:r>
      <w:r w:rsidR="008C0990" w:rsidRPr="005A68E6">
        <w:rPr>
          <w:rFonts w:ascii="GHEA Grapalat" w:eastAsia="GHEA Grapalat" w:hAnsi="GHEA Grapalat" w:cs="GHEA Grapalat"/>
          <w:bCs/>
        </w:rPr>
        <w:t xml:space="preserve"> </w:t>
      </w:r>
      <w:r w:rsidR="00FA37E9" w:rsidRPr="005A68E6">
        <w:rPr>
          <w:rFonts w:ascii="GHEA Grapalat" w:eastAsia="GHEA Grapalat" w:hAnsi="GHEA Grapalat" w:cs="GHEA Grapalat"/>
          <w:bCs/>
        </w:rPr>
        <w:t>the medium</w:t>
      </w:r>
      <w:r w:rsidR="00941791" w:rsidRPr="005A68E6">
        <w:rPr>
          <w:rFonts w:ascii="GHEA Grapalat" w:eastAsia="GHEA Grapalat" w:hAnsi="GHEA Grapalat" w:cs="GHEA Grapalat"/>
          <w:bCs/>
          <w:lang w:val="en-US"/>
        </w:rPr>
        <w:t>-</w:t>
      </w:r>
      <w:r w:rsidR="00FA37E9" w:rsidRPr="005A68E6">
        <w:rPr>
          <w:rFonts w:ascii="GHEA Grapalat" w:eastAsia="GHEA Grapalat" w:hAnsi="GHEA Grapalat" w:cs="GHEA Grapalat"/>
          <w:bCs/>
        </w:rPr>
        <w:t xml:space="preserve">term, keeping the </w:t>
      </w:r>
      <w:r w:rsidR="004D6547" w:rsidRPr="005A68E6">
        <w:rPr>
          <w:rFonts w:ascii="GHEA Grapalat" w:eastAsia="GHEA Grapalat" w:hAnsi="GHEA Grapalat" w:cs="GHEA Grapalat"/>
          <w:bCs/>
          <w:lang w:val="en-US"/>
        </w:rPr>
        <w:t>G</w:t>
      </w:r>
      <w:r w:rsidR="00FA37E9" w:rsidRPr="005A68E6">
        <w:rPr>
          <w:rFonts w:ascii="GHEA Grapalat" w:eastAsia="GHEA Grapalat" w:hAnsi="GHEA Grapalat" w:cs="GHEA Grapalat"/>
          <w:bCs/>
        </w:rPr>
        <w:t>overnment debt below</w:t>
      </w:r>
      <w:r w:rsidR="008C0990" w:rsidRPr="005A68E6">
        <w:rPr>
          <w:rFonts w:ascii="GHEA Grapalat" w:eastAsia="GHEA Grapalat" w:hAnsi="GHEA Grapalat" w:cs="GHEA Grapalat"/>
          <w:bCs/>
          <w:lang w:val="en-US"/>
        </w:rPr>
        <w:t xml:space="preserve"> the threshold</w:t>
      </w:r>
      <w:r w:rsidR="00FA37E9" w:rsidRPr="005A68E6">
        <w:rPr>
          <w:rFonts w:ascii="GHEA Grapalat" w:eastAsia="GHEA Grapalat" w:hAnsi="GHEA Grapalat" w:cs="GHEA Grapalat"/>
          <w:bCs/>
        </w:rPr>
        <w:t xml:space="preserve"> </w:t>
      </w:r>
      <w:r w:rsidR="008C0990" w:rsidRPr="005A68E6">
        <w:rPr>
          <w:rFonts w:ascii="GHEA Grapalat" w:eastAsia="GHEA Grapalat" w:hAnsi="GHEA Grapalat" w:cs="GHEA Grapalat"/>
          <w:bCs/>
          <w:lang w:val="en-US"/>
        </w:rPr>
        <w:t xml:space="preserve">of </w:t>
      </w:r>
      <w:r w:rsidR="00FA37E9" w:rsidRPr="005A68E6">
        <w:rPr>
          <w:rFonts w:ascii="GHEA Grapalat" w:eastAsia="GHEA Grapalat" w:hAnsi="GHEA Grapalat" w:cs="GHEA Grapalat"/>
          <w:bCs/>
        </w:rPr>
        <w:t>50% of GDP</w:t>
      </w:r>
      <w:r w:rsidR="00FA37E9" w:rsidRPr="005A68E6">
        <w:rPr>
          <w:rFonts w:ascii="GHEA Grapalat" w:eastAsia="GHEA Grapalat" w:hAnsi="GHEA Grapalat" w:cs="GHEA Grapalat"/>
          <w:bCs/>
          <w:lang w:val="en-US"/>
        </w:rPr>
        <w:t xml:space="preserve"> and</w:t>
      </w:r>
      <w:r w:rsidR="00FA37E9" w:rsidRPr="005A68E6">
        <w:rPr>
          <w:rFonts w:ascii="GHEA Grapalat" w:eastAsia="GHEA Grapalat" w:hAnsi="GHEA Grapalat" w:cs="GHEA Grapalat"/>
          <w:bCs/>
        </w:rPr>
        <w:t xml:space="preserve"> ensuring appropriate "fiscal </w:t>
      </w:r>
      <w:r w:rsidR="008C0990" w:rsidRPr="005A68E6">
        <w:rPr>
          <w:rFonts w:ascii="GHEA Grapalat" w:eastAsia="GHEA Grapalat" w:hAnsi="GHEA Grapalat" w:cs="GHEA Grapalat"/>
          <w:bCs/>
          <w:lang w:val="en-US"/>
        </w:rPr>
        <w:t>cus</w:t>
      </w:r>
      <w:r w:rsidR="00577719">
        <w:rPr>
          <w:rFonts w:ascii="GHEA Grapalat" w:eastAsia="GHEA Grapalat" w:hAnsi="GHEA Grapalat" w:cs="GHEA Grapalat"/>
          <w:bCs/>
          <w:lang w:val="en-US"/>
        </w:rPr>
        <w:t>h</w:t>
      </w:r>
      <w:r w:rsidR="008C0990" w:rsidRPr="005A68E6">
        <w:rPr>
          <w:rFonts w:ascii="GHEA Grapalat" w:eastAsia="GHEA Grapalat" w:hAnsi="GHEA Grapalat" w:cs="GHEA Grapalat"/>
          <w:bCs/>
          <w:lang w:val="en-US"/>
        </w:rPr>
        <w:t>ion</w:t>
      </w:r>
      <w:r w:rsidR="00FA37E9" w:rsidRPr="005A68E6">
        <w:rPr>
          <w:rFonts w:ascii="GHEA Grapalat" w:eastAsia="GHEA Grapalat" w:hAnsi="GHEA Grapalat" w:cs="GHEA Grapalat"/>
          <w:bCs/>
        </w:rPr>
        <w:t>".</w:t>
      </w:r>
    </w:p>
    <w:p w14:paraId="273E06C0" w14:textId="63C5B99B" w:rsidR="002E62BD" w:rsidRPr="005A68E6" w:rsidRDefault="00FA37E9" w:rsidP="002E62BD">
      <w:pPr>
        <w:pStyle w:val="ListParagraph"/>
        <w:numPr>
          <w:ilvl w:val="0"/>
          <w:numId w:val="11"/>
        </w:numPr>
        <w:spacing w:after="0" w:line="360" w:lineRule="auto"/>
        <w:contextualSpacing w:val="0"/>
        <w:rPr>
          <w:rFonts w:ascii="GHEA Grapalat" w:eastAsia="GHEA Grapalat" w:hAnsi="GHEA Grapalat" w:cs="GHEA Grapalat"/>
          <w:bCs/>
        </w:rPr>
      </w:pPr>
      <w:r w:rsidRPr="005A68E6">
        <w:rPr>
          <w:rFonts w:ascii="GHEA Grapalat" w:eastAsia="GHEA Grapalat" w:hAnsi="GHEA Grapalat" w:cs="GHEA Grapalat"/>
          <w:bCs/>
        </w:rPr>
        <w:t xml:space="preserve">In 2024-2026, it is planned to significantly increase the </w:t>
      </w:r>
      <w:r w:rsidR="0015418E" w:rsidRPr="005A68E6">
        <w:rPr>
          <w:rFonts w:ascii="GHEA Grapalat" w:eastAsia="GHEA Grapalat" w:hAnsi="GHEA Grapalat" w:cs="GHEA Grapalat"/>
          <w:bCs/>
          <w:lang w:val="en-US"/>
        </w:rPr>
        <w:t>share</w:t>
      </w:r>
      <w:r w:rsidR="0015418E" w:rsidRPr="005A68E6">
        <w:rPr>
          <w:rFonts w:ascii="GHEA Grapalat" w:eastAsia="GHEA Grapalat" w:hAnsi="GHEA Grapalat" w:cs="GHEA Grapalat"/>
          <w:bCs/>
        </w:rPr>
        <w:t xml:space="preserve"> </w:t>
      </w:r>
      <w:r w:rsidRPr="005A68E6">
        <w:rPr>
          <w:rFonts w:ascii="GHEA Grapalat" w:eastAsia="GHEA Grapalat" w:hAnsi="GHEA Grapalat" w:cs="GHEA Grapalat"/>
          <w:bCs/>
        </w:rPr>
        <w:t xml:space="preserve">of capital expenditures in GDP </w:t>
      </w:r>
      <w:r w:rsidR="00AB471C" w:rsidRPr="005A68E6">
        <w:rPr>
          <w:rFonts w:ascii="GHEA Grapalat" w:eastAsia="GHEA Grapalat" w:hAnsi="GHEA Grapalat" w:cs="GHEA Grapalat"/>
          <w:bCs/>
          <w:lang w:val="en-US"/>
        </w:rPr>
        <w:t xml:space="preserve">up </w:t>
      </w:r>
      <w:r w:rsidRPr="005A68E6">
        <w:rPr>
          <w:rFonts w:ascii="GHEA Grapalat" w:eastAsia="GHEA Grapalat" w:hAnsi="GHEA Grapalat" w:cs="GHEA Grapalat"/>
          <w:bCs/>
        </w:rPr>
        <w:t xml:space="preserve">to 6.6%, and </w:t>
      </w:r>
      <w:r w:rsidR="0015418E" w:rsidRPr="005A68E6">
        <w:rPr>
          <w:rFonts w:ascii="GHEA Grapalat" w:eastAsia="GHEA Grapalat" w:hAnsi="GHEA Grapalat" w:cs="GHEA Grapalat"/>
          <w:bCs/>
          <w:lang w:val="en-US"/>
        </w:rPr>
        <w:t xml:space="preserve">the share of </w:t>
      </w:r>
      <w:r w:rsidRPr="005A68E6">
        <w:rPr>
          <w:rFonts w:ascii="GHEA Grapalat" w:eastAsia="GHEA Grapalat" w:hAnsi="GHEA Grapalat" w:cs="GHEA Grapalat"/>
          <w:bCs/>
        </w:rPr>
        <w:t>current expenditures</w:t>
      </w:r>
      <w:r w:rsidR="0015418E" w:rsidRPr="005A68E6">
        <w:rPr>
          <w:rFonts w:ascii="GHEA Grapalat" w:eastAsia="GHEA Grapalat" w:hAnsi="GHEA Grapalat" w:cs="GHEA Grapalat"/>
          <w:bCs/>
          <w:lang w:val="en-US"/>
        </w:rPr>
        <w:t xml:space="preserve"> </w:t>
      </w:r>
      <w:r w:rsidR="00AB471C" w:rsidRPr="005A68E6">
        <w:rPr>
          <w:rFonts w:ascii="GHEA Grapalat" w:eastAsia="GHEA Grapalat" w:hAnsi="GHEA Grapalat" w:cs="GHEA Grapalat"/>
          <w:bCs/>
          <w:lang w:val="en-US"/>
        </w:rPr>
        <w:t>up</w:t>
      </w:r>
      <w:r w:rsidRPr="005A68E6">
        <w:rPr>
          <w:rFonts w:ascii="GHEA Grapalat" w:eastAsia="GHEA Grapalat" w:hAnsi="GHEA Grapalat" w:cs="GHEA Grapalat"/>
          <w:bCs/>
        </w:rPr>
        <w:t xml:space="preserve"> to 22.3%</w:t>
      </w:r>
      <w:r w:rsidR="0015418E" w:rsidRPr="005A68E6">
        <w:rPr>
          <w:rFonts w:ascii="GHEA Grapalat" w:eastAsia="GHEA Grapalat" w:hAnsi="GHEA Grapalat" w:cs="GHEA Grapalat"/>
          <w:bCs/>
          <w:lang w:val="en-US"/>
        </w:rPr>
        <w:t xml:space="preserve"> </w:t>
      </w:r>
      <w:r w:rsidR="0015418E" w:rsidRPr="005A68E6">
        <w:rPr>
          <w:rFonts w:ascii="GHEA Grapalat" w:eastAsia="GHEA Grapalat" w:hAnsi="GHEA Grapalat" w:cs="GHEA Grapalat"/>
          <w:bCs/>
        </w:rPr>
        <w:t>by 2026</w:t>
      </w:r>
      <w:r w:rsidR="005E1057" w:rsidRPr="005A68E6">
        <w:rPr>
          <w:rFonts w:ascii="GHEA Grapalat" w:eastAsia="GHEA Grapalat" w:hAnsi="GHEA Grapalat" w:cs="GHEA Grapalat"/>
          <w:bCs/>
          <w:lang w:val="en-US"/>
        </w:rPr>
        <w:t xml:space="preserve"> under </w:t>
      </w:r>
      <w:r w:rsidR="005E1057" w:rsidRPr="005A68E6">
        <w:rPr>
          <w:rFonts w:ascii="GHEA Grapalat" w:eastAsia="GHEA Grapalat" w:hAnsi="GHEA Grapalat" w:cs="GHEA Grapalat"/>
          <w:bCs/>
        </w:rPr>
        <w:t xml:space="preserve">the </w:t>
      </w:r>
      <w:r w:rsidR="005E1057" w:rsidRPr="005A68E6">
        <w:rPr>
          <w:rFonts w:ascii="GHEA Grapalat" w:eastAsia="GHEA Grapalat" w:hAnsi="GHEA Grapalat" w:cs="GHEA Grapalat"/>
          <w:bCs/>
          <w:lang w:val="en-US"/>
        </w:rPr>
        <w:t xml:space="preserve">objectives of the </w:t>
      </w:r>
      <w:r w:rsidR="005E1057" w:rsidRPr="005A68E6">
        <w:rPr>
          <w:rFonts w:ascii="GHEA Grapalat" w:eastAsia="GHEA Grapalat" w:hAnsi="GHEA Grapalat" w:cs="GHEA Grapalat"/>
          <w:bCs/>
        </w:rPr>
        <w:t>fiscal policy aimed at promoting high economic growth and improving the structure of expenditures</w:t>
      </w:r>
      <w:r w:rsidRPr="005A68E6">
        <w:rPr>
          <w:rFonts w:ascii="GHEA Grapalat" w:eastAsia="GHEA Grapalat" w:hAnsi="GHEA Grapalat" w:cs="GHEA Grapalat"/>
          <w:bCs/>
        </w:rPr>
        <w:t xml:space="preserve">. </w:t>
      </w:r>
      <w:r w:rsidRPr="005A68E6">
        <w:rPr>
          <w:rFonts w:ascii="GHEA Grapalat" w:eastAsia="GHEA Grapalat" w:hAnsi="GHEA Grapalat" w:cs="GHEA Grapalat"/>
          <w:bCs/>
          <w:lang w:val="en-US"/>
        </w:rPr>
        <w:t>A</w:t>
      </w:r>
      <w:r w:rsidRPr="005A68E6">
        <w:rPr>
          <w:rFonts w:ascii="GHEA Grapalat" w:eastAsia="GHEA Grapalat" w:hAnsi="GHEA Grapalat" w:cs="GHEA Grapalat"/>
          <w:bCs/>
        </w:rPr>
        <w:t>s a result, in the medium</w:t>
      </w:r>
      <w:r w:rsidR="00941791" w:rsidRPr="005A68E6">
        <w:rPr>
          <w:rFonts w:ascii="GHEA Grapalat" w:eastAsia="GHEA Grapalat" w:hAnsi="GHEA Grapalat" w:cs="GHEA Grapalat"/>
          <w:bCs/>
          <w:lang w:val="en-US"/>
        </w:rPr>
        <w:t>-</w:t>
      </w:r>
      <w:r w:rsidRPr="005A68E6">
        <w:rPr>
          <w:rFonts w:ascii="GHEA Grapalat" w:eastAsia="GHEA Grapalat" w:hAnsi="GHEA Grapalat" w:cs="GHEA Grapalat"/>
          <w:bCs/>
        </w:rPr>
        <w:t xml:space="preserve">term, </w:t>
      </w:r>
      <w:r w:rsidR="0015418E" w:rsidRPr="005A68E6">
        <w:rPr>
          <w:rFonts w:ascii="GHEA Grapalat" w:eastAsia="GHEA Grapalat" w:hAnsi="GHEA Grapalat" w:cs="GHEA Grapalat"/>
          <w:bCs/>
          <w:lang w:val="en-US"/>
        </w:rPr>
        <w:t>f</w:t>
      </w:r>
      <w:r w:rsidRPr="005A68E6">
        <w:rPr>
          <w:rFonts w:ascii="GHEA Grapalat" w:eastAsia="GHEA Grapalat" w:hAnsi="GHEA Grapalat" w:cs="GHEA Grapalat"/>
          <w:bCs/>
        </w:rPr>
        <w:t xml:space="preserve">iscal </w:t>
      </w:r>
      <w:r w:rsidR="0015418E" w:rsidRPr="005A68E6">
        <w:rPr>
          <w:rFonts w:ascii="GHEA Grapalat" w:eastAsia="GHEA Grapalat" w:hAnsi="GHEA Grapalat" w:cs="GHEA Grapalat"/>
          <w:bCs/>
          <w:lang w:val="en-US"/>
        </w:rPr>
        <w:t>p</w:t>
      </w:r>
      <w:r w:rsidRPr="005A68E6">
        <w:rPr>
          <w:rFonts w:ascii="GHEA Grapalat" w:eastAsia="GHEA Grapalat" w:hAnsi="GHEA Grapalat" w:cs="GHEA Grapalat"/>
          <w:bCs/>
        </w:rPr>
        <w:t xml:space="preserve">olicy will have a neutral impact on </w:t>
      </w:r>
      <w:r w:rsidR="0015418E" w:rsidRPr="005A68E6">
        <w:rPr>
          <w:rFonts w:ascii="GHEA Grapalat" w:eastAsia="GHEA Grapalat" w:hAnsi="GHEA Grapalat" w:cs="GHEA Grapalat"/>
          <w:bCs/>
          <w:lang w:val="en-US"/>
        </w:rPr>
        <w:t>aggregate</w:t>
      </w:r>
      <w:r w:rsidR="0015418E" w:rsidRPr="005A68E6">
        <w:rPr>
          <w:rFonts w:ascii="GHEA Grapalat" w:eastAsia="GHEA Grapalat" w:hAnsi="GHEA Grapalat" w:cs="GHEA Grapalat"/>
          <w:bCs/>
        </w:rPr>
        <w:t xml:space="preserve"> </w:t>
      </w:r>
      <w:r w:rsidRPr="005A68E6">
        <w:rPr>
          <w:rFonts w:ascii="GHEA Grapalat" w:eastAsia="GHEA Grapalat" w:hAnsi="GHEA Grapalat" w:cs="GHEA Grapalat"/>
          <w:bCs/>
        </w:rPr>
        <w:t>demand, while stimulating the potential of the economy.</w:t>
      </w:r>
    </w:p>
    <w:p w14:paraId="1C181A4D" w14:textId="2CA73F8E" w:rsidR="00FA37E9" w:rsidRPr="005A68E6" w:rsidRDefault="00FA37E9" w:rsidP="002E62BD">
      <w:pPr>
        <w:pStyle w:val="ListParagraph"/>
        <w:numPr>
          <w:ilvl w:val="0"/>
          <w:numId w:val="11"/>
        </w:numPr>
        <w:spacing w:after="0" w:line="360" w:lineRule="auto"/>
        <w:contextualSpacing w:val="0"/>
        <w:rPr>
          <w:rFonts w:ascii="GHEA Grapalat" w:eastAsia="GHEA Grapalat" w:hAnsi="GHEA Grapalat" w:cs="GHEA Grapalat"/>
          <w:bCs/>
        </w:rPr>
      </w:pPr>
      <w:r w:rsidRPr="005A68E6">
        <w:rPr>
          <w:rFonts w:ascii="GHEA Grapalat" w:eastAsia="GHEA Grapalat" w:hAnsi="GHEA Grapalat" w:cs="GHEA Grapalat"/>
          <w:bCs/>
        </w:rPr>
        <w:t xml:space="preserve">The Russian-Ukrainian conflict and the unprecedented sanctions against Russia have created a new reality in the world, under which the economic growth forecasts for the world, </w:t>
      </w:r>
      <w:r w:rsidR="002E62BD" w:rsidRPr="005A68E6">
        <w:rPr>
          <w:rFonts w:ascii="GHEA Grapalat" w:eastAsia="GHEA Grapalat" w:hAnsi="GHEA Grapalat" w:cs="GHEA Grapalat"/>
          <w:bCs/>
          <w:lang w:val="en-US"/>
        </w:rPr>
        <w:t xml:space="preserve">for </w:t>
      </w:r>
      <w:r w:rsidRPr="005A68E6">
        <w:rPr>
          <w:rFonts w:ascii="GHEA Grapalat" w:eastAsia="GHEA Grapalat" w:hAnsi="GHEA Grapalat" w:cs="GHEA Grapalat"/>
          <w:bCs/>
        </w:rPr>
        <w:t xml:space="preserve">RA partner countries, and </w:t>
      </w:r>
      <w:r w:rsidR="002E62BD" w:rsidRPr="005A68E6">
        <w:rPr>
          <w:rFonts w:ascii="GHEA Grapalat" w:eastAsia="GHEA Grapalat" w:hAnsi="GHEA Grapalat" w:cs="GHEA Grapalat"/>
          <w:bCs/>
          <w:lang w:val="en-US"/>
        </w:rPr>
        <w:t>for</w:t>
      </w:r>
      <w:r w:rsidRPr="005A68E6">
        <w:rPr>
          <w:rFonts w:ascii="GHEA Grapalat" w:eastAsia="GHEA Grapalat" w:hAnsi="GHEA Grapalat" w:cs="GHEA Grapalat"/>
          <w:bCs/>
        </w:rPr>
        <w:t xml:space="preserve"> RA itself are subject to great uncertainty. Under these </w:t>
      </w:r>
      <w:r w:rsidR="002E62BD" w:rsidRPr="005A68E6">
        <w:rPr>
          <w:rFonts w:ascii="GHEA Grapalat" w:eastAsia="GHEA Grapalat" w:hAnsi="GHEA Grapalat" w:cs="GHEA Grapalat"/>
          <w:bCs/>
        </w:rPr>
        <w:t>circumstances</w:t>
      </w:r>
      <w:r w:rsidRPr="005A68E6">
        <w:rPr>
          <w:rFonts w:ascii="GHEA Grapalat" w:eastAsia="GHEA Grapalat" w:hAnsi="GHEA Grapalat" w:cs="GHEA Grapalat"/>
          <w:bCs/>
        </w:rPr>
        <w:t xml:space="preserve">, there are two-way risks for economic forecasts for the world, </w:t>
      </w:r>
      <w:r w:rsidR="002E62BD" w:rsidRPr="005A68E6">
        <w:rPr>
          <w:rFonts w:ascii="GHEA Grapalat" w:eastAsia="GHEA Grapalat" w:hAnsi="GHEA Grapalat" w:cs="GHEA Grapalat"/>
          <w:bCs/>
          <w:lang w:val="en-US"/>
        </w:rPr>
        <w:t xml:space="preserve">for </w:t>
      </w:r>
      <w:r w:rsidRPr="005A68E6">
        <w:rPr>
          <w:rFonts w:ascii="GHEA Grapalat" w:eastAsia="GHEA Grapalat" w:hAnsi="GHEA Grapalat" w:cs="GHEA Grapalat"/>
          <w:bCs/>
        </w:rPr>
        <w:t xml:space="preserve">RA partner countries, as well as for </w:t>
      </w:r>
      <w:r w:rsidR="002E62BD" w:rsidRPr="005A68E6">
        <w:rPr>
          <w:rFonts w:ascii="GHEA Grapalat" w:eastAsia="GHEA Grapalat" w:hAnsi="GHEA Grapalat" w:cs="GHEA Grapalat"/>
          <w:bCs/>
          <w:lang w:val="en-US"/>
        </w:rPr>
        <w:t>R</w:t>
      </w:r>
      <w:r w:rsidRPr="005A68E6">
        <w:rPr>
          <w:rFonts w:ascii="GHEA Grapalat" w:eastAsia="GHEA Grapalat" w:hAnsi="GHEA Grapalat" w:cs="GHEA Grapalat"/>
          <w:bCs/>
        </w:rPr>
        <w:t xml:space="preserve">A within the MTEF, however, the downside risks are relatively large. </w:t>
      </w:r>
    </w:p>
    <w:p w14:paraId="14E9F662" w14:textId="69DB41F6" w:rsidR="0030505D" w:rsidRPr="005A68E6" w:rsidRDefault="0030505D" w:rsidP="0030505D"/>
    <w:p w14:paraId="1B7E59FA" w14:textId="77777777" w:rsidR="00781110" w:rsidRPr="005A68E6" w:rsidRDefault="00781110" w:rsidP="0030505D"/>
    <w:p w14:paraId="6E9DDCCC" w14:textId="64DB681B" w:rsidR="0030505D" w:rsidRPr="005A68E6" w:rsidRDefault="00DE297F" w:rsidP="000B796F">
      <w:pPr>
        <w:pStyle w:val="af6"/>
        <w:numPr>
          <w:ilvl w:val="0"/>
          <w:numId w:val="35"/>
        </w:numPr>
        <w:ind w:left="1276" w:hanging="1276"/>
      </w:pPr>
      <w:r w:rsidRPr="005A68E6">
        <w:t xml:space="preserve"> </w:t>
      </w:r>
      <w:r w:rsidR="003E7214" w:rsidRPr="005A68E6">
        <w:rPr>
          <w:iCs/>
        </w:rPr>
        <w:t>Key indicators underlying the RA Government debt</w:t>
      </w:r>
      <w:r w:rsidR="00781110" w:rsidRPr="005A68E6">
        <w:rPr>
          <w:iCs/>
        </w:rPr>
        <w:t xml:space="preserve"> management strategy, 2022-2026</w:t>
      </w:r>
      <w:r w:rsidR="00E4225C" w:rsidRPr="005A68E6">
        <w:rPr>
          <w:rStyle w:val="FootnoteReference"/>
        </w:rPr>
        <w:footnoteReference w:id="1"/>
      </w:r>
    </w:p>
    <w:p w14:paraId="5B3D8A7E" w14:textId="04A272F4" w:rsidR="002E3D05" w:rsidRPr="005A68E6" w:rsidRDefault="002E3D05" w:rsidP="001F74C7">
      <w:pPr>
        <w:pStyle w:val="af6"/>
        <w:ind w:left="1276"/>
        <w:rPr>
          <w:iCs/>
        </w:rPr>
      </w:pP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2"/>
        <w:gridCol w:w="1322"/>
        <w:gridCol w:w="1277"/>
        <w:gridCol w:w="1322"/>
        <w:gridCol w:w="1233"/>
        <w:gridCol w:w="1110"/>
      </w:tblGrid>
      <w:tr w:rsidR="0030505D" w:rsidRPr="005A68E6" w14:paraId="5CB6BE00" w14:textId="77777777" w:rsidTr="00414EDB">
        <w:trPr>
          <w:trHeight w:val="584"/>
          <w:tblHeader/>
          <w:jc w:val="center"/>
        </w:trPr>
        <w:tc>
          <w:tcPr>
            <w:tcW w:w="3502" w:type="dxa"/>
            <w:tcBorders>
              <w:top w:val="thinThickThinSmallGap" w:sz="24" w:space="0" w:color="auto"/>
              <w:left w:val="nil"/>
              <w:bottom w:val="thinThickSmallGap" w:sz="24" w:space="0" w:color="auto"/>
              <w:right w:val="nil"/>
            </w:tcBorders>
            <w:shd w:val="clear" w:color="auto" w:fill="5B9BD5"/>
          </w:tcPr>
          <w:p w14:paraId="392C7E16" w14:textId="77777777" w:rsidR="0030505D" w:rsidRPr="005A68E6" w:rsidRDefault="0030505D" w:rsidP="00414EDB">
            <w:pPr>
              <w:ind w:firstLine="0"/>
            </w:pPr>
          </w:p>
        </w:tc>
        <w:tc>
          <w:tcPr>
            <w:tcW w:w="1322" w:type="dxa"/>
            <w:tcBorders>
              <w:top w:val="thinThickThinSmallGap" w:sz="24" w:space="0" w:color="auto"/>
              <w:left w:val="double" w:sz="4" w:space="0" w:color="auto"/>
              <w:bottom w:val="thinThickSmallGap" w:sz="24" w:space="0" w:color="auto"/>
              <w:right w:val="nil"/>
            </w:tcBorders>
            <w:shd w:val="clear" w:color="auto" w:fill="5B9BD5"/>
            <w:vAlign w:val="center"/>
          </w:tcPr>
          <w:p w14:paraId="7AEDF51E" w14:textId="7F8B1574" w:rsidR="0030505D" w:rsidRPr="005A68E6" w:rsidRDefault="0030505D" w:rsidP="00074649">
            <w:pPr>
              <w:keepNext/>
              <w:spacing w:line="240" w:lineRule="auto"/>
              <w:ind w:firstLine="0"/>
              <w:jc w:val="center"/>
            </w:pPr>
            <w:r w:rsidRPr="005A68E6">
              <w:t>202</w:t>
            </w:r>
            <w:r w:rsidR="00F9378D" w:rsidRPr="005A68E6">
              <w:t>2</w:t>
            </w:r>
            <w:r w:rsidRPr="005A68E6">
              <w:t xml:space="preserve"> </w:t>
            </w:r>
            <w:r w:rsidR="00FC1F78" w:rsidRPr="005A68E6">
              <w:rPr>
                <w:lang w:val="en-US"/>
              </w:rPr>
              <w:t>actual</w:t>
            </w:r>
          </w:p>
        </w:tc>
        <w:tc>
          <w:tcPr>
            <w:tcW w:w="1277" w:type="dxa"/>
            <w:tcBorders>
              <w:top w:val="thinThickThinSmallGap" w:sz="24" w:space="0" w:color="auto"/>
              <w:left w:val="nil"/>
              <w:bottom w:val="thinThickSmallGap" w:sz="24" w:space="0" w:color="auto"/>
              <w:right w:val="nil"/>
            </w:tcBorders>
            <w:shd w:val="clear" w:color="auto" w:fill="5B9BD5"/>
            <w:vAlign w:val="center"/>
          </w:tcPr>
          <w:p w14:paraId="15E18C04" w14:textId="6578A9C9" w:rsidR="0030505D" w:rsidRPr="005A68E6" w:rsidDel="007A73B0" w:rsidRDefault="00F9378D" w:rsidP="006D07E7">
            <w:pPr>
              <w:keepNext/>
              <w:spacing w:line="240" w:lineRule="auto"/>
              <w:ind w:firstLine="0"/>
              <w:jc w:val="center"/>
            </w:pPr>
            <w:r w:rsidRPr="005A68E6">
              <w:t xml:space="preserve">2023 </w:t>
            </w:r>
            <w:r w:rsidR="00FC1F78" w:rsidRPr="005A68E6">
              <w:rPr>
                <w:lang w:val="en-US"/>
              </w:rPr>
              <w:t>forecast</w:t>
            </w:r>
          </w:p>
        </w:tc>
        <w:tc>
          <w:tcPr>
            <w:tcW w:w="1322" w:type="dxa"/>
            <w:tcBorders>
              <w:top w:val="thinThickThinSmallGap" w:sz="24" w:space="0" w:color="auto"/>
              <w:left w:val="nil"/>
              <w:bottom w:val="thinThickSmallGap" w:sz="24" w:space="0" w:color="auto"/>
              <w:right w:val="nil"/>
            </w:tcBorders>
            <w:shd w:val="clear" w:color="auto" w:fill="5B9BD5"/>
            <w:vAlign w:val="center"/>
          </w:tcPr>
          <w:p w14:paraId="08C542B5" w14:textId="7D6C92E5" w:rsidR="0030505D" w:rsidRPr="005A68E6" w:rsidRDefault="00F9378D" w:rsidP="0070296A">
            <w:pPr>
              <w:keepNext/>
              <w:spacing w:line="240" w:lineRule="auto"/>
              <w:ind w:firstLine="0"/>
              <w:jc w:val="center"/>
            </w:pPr>
            <w:r w:rsidRPr="005A68E6">
              <w:t xml:space="preserve">2024 </w:t>
            </w:r>
            <w:r w:rsidR="00FC1F78" w:rsidRPr="005A68E6">
              <w:rPr>
                <w:lang w:val="en-US"/>
              </w:rPr>
              <w:t>forecast</w:t>
            </w:r>
          </w:p>
        </w:tc>
        <w:tc>
          <w:tcPr>
            <w:tcW w:w="1233" w:type="dxa"/>
            <w:tcBorders>
              <w:top w:val="thinThickThinSmallGap" w:sz="24" w:space="0" w:color="auto"/>
              <w:left w:val="nil"/>
              <w:bottom w:val="thinThickSmallGap" w:sz="24" w:space="0" w:color="auto"/>
              <w:right w:val="nil"/>
            </w:tcBorders>
            <w:shd w:val="clear" w:color="auto" w:fill="5B9BD5"/>
            <w:vAlign w:val="center"/>
          </w:tcPr>
          <w:p w14:paraId="129CD7A6" w14:textId="50E586B5" w:rsidR="0030505D" w:rsidRPr="005A68E6" w:rsidRDefault="00F9378D" w:rsidP="0070296A">
            <w:pPr>
              <w:keepNext/>
              <w:spacing w:line="240" w:lineRule="auto"/>
              <w:ind w:firstLine="0"/>
              <w:jc w:val="center"/>
            </w:pPr>
            <w:r w:rsidRPr="005A68E6">
              <w:t xml:space="preserve">2025 </w:t>
            </w:r>
            <w:r w:rsidR="00FC1F78" w:rsidRPr="005A68E6">
              <w:rPr>
                <w:lang w:val="en-US"/>
              </w:rPr>
              <w:t>forecast</w:t>
            </w:r>
          </w:p>
        </w:tc>
        <w:tc>
          <w:tcPr>
            <w:tcW w:w="1110" w:type="dxa"/>
            <w:tcBorders>
              <w:top w:val="thinThickThinSmallGap" w:sz="24" w:space="0" w:color="auto"/>
              <w:left w:val="nil"/>
              <w:bottom w:val="thinThickSmallGap" w:sz="24" w:space="0" w:color="auto"/>
              <w:right w:val="nil"/>
            </w:tcBorders>
            <w:shd w:val="clear" w:color="auto" w:fill="5B9BD5"/>
            <w:vAlign w:val="center"/>
          </w:tcPr>
          <w:p w14:paraId="2609B022" w14:textId="67871DF9" w:rsidR="0030505D" w:rsidRPr="005A68E6" w:rsidRDefault="00F9378D" w:rsidP="0070296A">
            <w:pPr>
              <w:keepNext/>
              <w:spacing w:line="240" w:lineRule="auto"/>
              <w:ind w:firstLine="0"/>
              <w:jc w:val="center"/>
            </w:pPr>
            <w:r w:rsidRPr="005A68E6">
              <w:t xml:space="preserve">2026 </w:t>
            </w:r>
            <w:r w:rsidR="00FC1F78" w:rsidRPr="005A68E6">
              <w:rPr>
                <w:lang w:val="en-US"/>
              </w:rPr>
              <w:t>forecast</w:t>
            </w:r>
          </w:p>
        </w:tc>
      </w:tr>
      <w:tr w:rsidR="00FC1F78" w:rsidRPr="005A68E6" w14:paraId="37AA9891" w14:textId="77777777" w:rsidTr="0070296A">
        <w:trPr>
          <w:trHeight w:val="318"/>
          <w:jc w:val="center"/>
        </w:trPr>
        <w:tc>
          <w:tcPr>
            <w:tcW w:w="3502" w:type="dxa"/>
            <w:tcBorders>
              <w:top w:val="thinThickSmallGap" w:sz="24" w:space="0" w:color="auto"/>
              <w:left w:val="nil"/>
              <w:right w:val="nil"/>
            </w:tcBorders>
            <w:vAlign w:val="center"/>
          </w:tcPr>
          <w:p w14:paraId="69A3E1EF" w14:textId="7E7AAD6F" w:rsidR="00FC1F78" w:rsidRPr="005A68E6" w:rsidRDefault="00FC1F78" w:rsidP="00FC1F78">
            <w:pPr>
              <w:spacing w:line="240" w:lineRule="auto"/>
              <w:ind w:firstLine="0"/>
              <w:jc w:val="left"/>
            </w:pPr>
            <w:r w:rsidRPr="005A68E6">
              <w:rPr>
                <w:lang w:val="en-US"/>
              </w:rPr>
              <w:t>Real GDP growth</w:t>
            </w:r>
            <w:r w:rsidRPr="005A68E6">
              <w:rPr>
                <w:rFonts w:cs="Arial"/>
              </w:rPr>
              <w:t xml:space="preserve"> (%)</w:t>
            </w:r>
          </w:p>
        </w:tc>
        <w:tc>
          <w:tcPr>
            <w:tcW w:w="1322" w:type="dxa"/>
            <w:tcBorders>
              <w:top w:val="thinThickSmallGap" w:sz="24" w:space="0" w:color="auto"/>
              <w:left w:val="double" w:sz="4" w:space="0" w:color="auto"/>
              <w:right w:val="nil"/>
            </w:tcBorders>
            <w:vAlign w:val="center"/>
          </w:tcPr>
          <w:p w14:paraId="4F1F8928" w14:textId="77777777" w:rsidR="00FC1F78" w:rsidRPr="005A68E6" w:rsidRDefault="00FC1F78" w:rsidP="00FC1F78">
            <w:pPr>
              <w:spacing w:line="240" w:lineRule="auto"/>
              <w:ind w:firstLine="0"/>
              <w:jc w:val="center"/>
              <w:rPr>
                <w:bCs/>
              </w:rPr>
            </w:pPr>
            <w:r w:rsidRPr="005A68E6">
              <w:t>12.6</w:t>
            </w:r>
          </w:p>
        </w:tc>
        <w:tc>
          <w:tcPr>
            <w:tcW w:w="1277" w:type="dxa"/>
            <w:tcBorders>
              <w:top w:val="thinThickSmallGap" w:sz="24" w:space="0" w:color="auto"/>
              <w:left w:val="nil"/>
              <w:right w:val="nil"/>
            </w:tcBorders>
            <w:vAlign w:val="center"/>
          </w:tcPr>
          <w:p w14:paraId="07DD9CA0" w14:textId="77777777" w:rsidR="00FC1F78" w:rsidRPr="005A68E6" w:rsidRDefault="00FC1F78" w:rsidP="00FC1F78">
            <w:pPr>
              <w:spacing w:line="240" w:lineRule="auto"/>
              <w:ind w:firstLine="0"/>
              <w:jc w:val="center"/>
              <w:rPr>
                <w:bCs/>
                <w:lang w:val="en-US"/>
              </w:rPr>
            </w:pPr>
            <w:r w:rsidRPr="005A68E6">
              <w:t>7.0</w:t>
            </w:r>
          </w:p>
        </w:tc>
        <w:tc>
          <w:tcPr>
            <w:tcW w:w="1322" w:type="dxa"/>
            <w:tcBorders>
              <w:top w:val="thinThickSmallGap" w:sz="24" w:space="0" w:color="auto"/>
              <w:left w:val="nil"/>
              <w:right w:val="nil"/>
            </w:tcBorders>
            <w:vAlign w:val="center"/>
          </w:tcPr>
          <w:p w14:paraId="5BCE587A" w14:textId="77777777" w:rsidR="00FC1F78" w:rsidRPr="005A68E6" w:rsidRDefault="00FC1F78" w:rsidP="00FC1F78">
            <w:pPr>
              <w:spacing w:line="240" w:lineRule="auto"/>
              <w:ind w:firstLine="0"/>
              <w:jc w:val="center"/>
              <w:rPr>
                <w:bCs/>
              </w:rPr>
            </w:pPr>
            <w:r w:rsidRPr="005A68E6">
              <w:t>7.0</w:t>
            </w:r>
          </w:p>
        </w:tc>
        <w:tc>
          <w:tcPr>
            <w:tcW w:w="1233" w:type="dxa"/>
            <w:tcBorders>
              <w:top w:val="thinThickSmallGap" w:sz="24" w:space="0" w:color="auto"/>
              <w:left w:val="nil"/>
              <w:right w:val="nil"/>
            </w:tcBorders>
            <w:vAlign w:val="center"/>
          </w:tcPr>
          <w:p w14:paraId="16251C8F" w14:textId="77777777" w:rsidR="00FC1F78" w:rsidRPr="005A68E6" w:rsidRDefault="00FC1F78" w:rsidP="00FC1F78">
            <w:pPr>
              <w:spacing w:line="240" w:lineRule="auto"/>
              <w:ind w:firstLine="0"/>
              <w:jc w:val="center"/>
              <w:rPr>
                <w:bCs/>
              </w:rPr>
            </w:pPr>
            <w:r w:rsidRPr="005A68E6">
              <w:t>7.0</w:t>
            </w:r>
          </w:p>
        </w:tc>
        <w:tc>
          <w:tcPr>
            <w:tcW w:w="1110" w:type="dxa"/>
            <w:tcBorders>
              <w:top w:val="thinThickSmallGap" w:sz="24" w:space="0" w:color="auto"/>
              <w:left w:val="nil"/>
              <w:right w:val="nil"/>
            </w:tcBorders>
            <w:vAlign w:val="center"/>
          </w:tcPr>
          <w:p w14:paraId="28C5646E" w14:textId="77777777" w:rsidR="00FC1F78" w:rsidRPr="005A68E6" w:rsidRDefault="00FC1F78" w:rsidP="00FC1F78">
            <w:pPr>
              <w:spacing w:line="240" w:lineRule="auto"/>
              <w:ind w:firstLine="0"/>
              <w:jc w:val="center"/>
              <w:rPr>
                <w:bCs/>
              </w:rPr>
            </w:pPr>
            <w:r w:rsidRPr="005A68E6">
              <w:t>7.0</w:t>
            </w:r>
          </w:p>
        </w:tc>
      </w:tr>
      <w:tr w:rsidR="00FC1F78" w:rsidRPr="005A68E6" w14:paraId="60C101E8" w14:textId="77777777" w:rsidTr="0070296A">
        <w:trPr>
          <w:trHeight w:val="334"/>
          <w:jc w:val="center"/>
        </w:trPr>
        <w:tc>
          <w:tcPr>
            <w:tcW w:w="3502" w:type="dxa"/>
            <w:tcBorders>
              <w:left w:val="nil"/>
              <w:right w:val="nil"/>
            </w:tcBorders>
            <w:vAlign w:val="center"/>
          </w:tcPr>
          <w:p w14:paraId="26ABCCE4" w14:textId="4D7D417B" w:rsidR="00FC1F78" w:rsidRPr="005A68E6" w:rsidRDefault="00FC1F78" w:rsidP="00FC1F78">
            <w:pPr>
              <w:spacing w:line="240" w:lineRule="auto"/>
              <w:ind w:firstLine="0"/>
              <w:jc w:val="left"/>
            </w:pPr>
            <w:r w:rsidRPr="005A68E6">
              <w:lastRenderedPageBreak/>
              <w:t>CPI (period average, %)</w:t>
            </w:r>
          </w:p>
        </w:tc>
        <w:tc>
          <w:tcPr>
            <w:tcW w:w="1322" w:type="dxa"/>
            <w:tcBorders>
              <w:left w:val="double" w:sz="4" w:space="0" w:color="auto"/>
              <w:right w:val="nil"/>
            </w:tcBorders>
            <w:vAlign w:val="center"/>
          </w:tcPr>
          <w:p w14:paraId="27E014FB" w14:textId="77777777" w:rsidR="00FC1F78" w:rsidRPr="005A68E6" w:rsidRDefault="00FC1F78" w:rsidP="00FC1F78">
            <w:pPr>
              <w:ind w:firstLine="0"/>
              <w:jc w:val="center"/>
              <w:rPr>
                <w:bCs/>
              </w:rPr>
            </w:pPr>
            <w:r w:rsidRPr="005A68E6">
              <w:t>8.6</w:t>
            </w:r>
          </w:p>
        </w:tc>
        <w:tc>
          <w:tcPr>
            <w:tcW w:w="1277" w:type="dxa"/>
            <w:tcBorders>
              <w:left w:val="nil"/>
              <w:right w:val="nil"/>
            </w:tcBorders>
            <w:vAlign w:val="center"/>
          </w:tcPr>
          <w:p w14:paraId="5A91A5F7" w14:textId="77777777" w:rsidR="00FC1F78" w:rsidRPr="005A68E6" w:rsidRDefault="00FC1F78" w:rsidP="00FC1F78">
            <w:pPr>
              <w:ind w:firstLine="0"/>
              <w:jc w:val="center"/>
              <w:rPr>
                <w:bCs/>
              </w:rPr>
            </w:pPr>
            <w:r w:rsidRPr="005A68E6">
              <w:t>4.4</w:t>
            </w:r>
          </w:p>
        </w:tc>
        <w:tc>
          <w:tcPr>
            <w:tcW w:w="1322" w:type="dxa"/>
            <w:tcBorders>
              <w:left w:val="nil"/>
              <w:right w:val="nil"/>
            </w:tcBorders>
            <w:vAlign w:val="center"/>
          </w:tcPr>
          <w:p w14:paraId="2098EB32" w14:textId="77777777" w:rsidR="00FC1F78" w:rsidRPr="005A68E6" w:rsidRDefault="00FC1F78" w:rsidP="00FC1F78">
            <w:pPr>
              <w:ind w:firstLine="0"/>
              <w:jc w:val="center"/>
              <w:rPr>
                <w:bCs/>
              </w:rPr>
            </w:pPr>
            <w:r w:rsidRPr="005A68E6">
              <w:t>3.8</w:t>
            </w:r>
          </w:p>
        </w:tc>
        <w:tc>
          <w:tcPr>
            <w:tcW w:w="1233" w:type="dxa"/>
            <w:tcBorders>
              <w:left w:val="nil"/>
              <w:right w:val="nil"/>
            </w:tcBorders>
            <w:vAlign w:val="center"/>
          </w:tcPr>
          <w:p w14:paraId="2583974F" w14:textId="77777777" w:rsidR="00FC1F78" w:rsidRPr="005A68E6" w:rsidRDefault="00FC1F78" w:rsidP="00FC1F78">
            <w:pPr>
              <w:ind w:firstLine="0"/>
              <w:jc w:val="center"/>
              <w:rPr>
                <w:bCs/>
              </w:rPr>
            </w:pPr>
            <w:r w:rsidRPr="005A68E6">
              <w:t>4.0</w:t>
            </w:r>
          </w:p>
        </w:tc>
        <w:tc>
          <w:tcPr>
            <w:tcW w:w="1110" w:type="dxa"/>
            <w:tcBorders>
              <w:left w:val="nil"/>
              <w:right w:val="nil"/>
            </w:tcBorders>
            <w:vAlign w:val="center"/>
          </w:tcPr>
          <w:p w14:paraId="445089BD" w14:textId="77777777" w:rsidR="00FC1F78" w:rsidRPr="005A68E6" w:rsidRDefault="00FC1F78" w:rsidP="00FC1F78">
            <w:pPr>
              <w:ind w:firstLine="0"/>
              <w:jc w:val="center"/>
              <w:rPr>
                <w:bCs/>
              </w:rPr>
            </w:pPr>
            <w:r w:rsidRPr="005A68E6">
              <w:t>4.0</w:t>
            </w:r>
          </w:p>
        </w:tc>
      </w:tr>
      <w:tr w:rsidR="00D77D8C" w:rsidRPr="005A68E6" w14:paraId="445A406E" w14:textId="77777777" w:rsidTr="001C187B">
        <w:trPr>
          <w:trHeight w:val="334"/>
          <w:jc w:val="center"/>
        </w:trPr>
        <w:tc>
          <w:tcPr>
            <w:tcW w:w="9766" w:type="dxa"/>
            <w:gridSpan w:val="6"/>
            <w:tcBorders>
              <w:left w:val="nil"/>
              <w:right w:val="nil"/>
            </w:tcBorders>
            <w:vAlign w:val="center"/>
          </w:tcPr>
          <w:p w14:paraId="677310D9" w14:textId="53460497" w:rsidR="00D77D8C" w:rsidRPr="005A68E6" w:rsidRDefault="00FC1F78" w:rsidP="001C187B">
            <w:pPr>
              <w:spacing w:line="240" w:lineRule="auto"/>
              <w:ind w:firstLine="0"/>
              <w:jc w:val="center"/>
              <w:rPr>
                <w:bCs/>
              </w:rPr>
            </w:pPr>
            <w:r w:rsidRPr="005A68E6">
              <w:rPr>
                <w:bCs/>
              </w:rPr>
              <w:t xml:space="preserve">Fiscal sector </w:t>
            </w:r>
            <w:r w:rsidR="00594506" w:rsidRPr="005A68E6">
              <w:rPr>
                <w:bCs/>
              </w:rPr>
              <w:t>(% share of GDP)</w:t>
            </w:r>
          </w:p>
        </w:tc>
      </w:tr>
      <w:tr w:rsidR="00FC1F78" w:rsidRPr="005A68E6" w14:paraId="29402C4B" w14:textId="77777777" w:rsidTr="0070296A">
        <w:trPr>
          <w:trHeight w:val="334"/>
          <w:jc w:val="center"/>
        </w:trPr>
        <w:tc>
          <w:tcPr>
            <w:tcW w:w="3502" w:type="dxa"/>
            <w:tcBorders>
              <w:left w:val="nil"/>
              <w:right w:val="nil"/>
            </w:tcBorders>
            <w:vAlign w:val="center"/>
          </w:tcPr>
          <w:p w14:paraId="55668F81" w14:textId="6A9BE39C" w:rsidR="00FC1F78" w:rsidRPr="005A68E6" w:rsidRDefault="00FC1F78" w:rsidP="00FC1F78">
            <w:pPr>
              <w:spacing w:line="240" w:lineRule="auto"/>
              <w:ind w:firstLine="0"/>
              <w:jc w:val="left"/>
            </w:pPr>
            <w:r w:rsidRPr="005A68E6">
              <w:t>Revenues and grants</w:t>
            </w:r>
          </w:p>
        </w:tc>
        <w:tc>
          <w:tcPr>
            <w:tcW w:w="1322" w:type="dxa"/>
            <w:tcBorders>
              <w:left w:val="double" w:sz="4" w:space="0" w:color="auto"/>
              <w:right w:val="nil"/>
            </w:tcBorders>
            <w:vAlign w:val="center"/>
          </w:tcPr>
          <w:p w14:paraId="5A9C3602" w14:textId="77777777" w:rsidR="00FC1F78" w:rsidRPr="005A68E6" w:rsidRDefault="00FC1F78" w:rsidP="00FC1F78">
            <w:pPr>
              <w:ind w:firstLine="0"/>
              <w:jc w:val="center"/>
            </w:pPr>
            <w:r w:rsidRPr="005A68E6">
              <w:t>24.3</w:t>
            </w:r>
          </w:p>
        </w:tc>
        <w:tc>
          <w:tcPr>
            <w:tcW w:w="1277" w:type="dxa"/>
            <w:tcBorders>
              <w:left w:val="nil"/>
              <w:right w:val="nil"/>
            </w:tcBorders>
            <w:vAlign w:val="center"/>
          </w:tcPr>
          <w:p w14:paraId="35D0C504" w14:textId="77777777" w:rsidR="00FC1F78" w:rsidRPr="005A68E6" w:rsidRDefault="00FC1F78" w:rsidP="00FC1F78">
            <w:pPr>
              <w:ind w:firstLine="0"/>
              <w:jc w:val="center"/>
            </w:pPr>
            <w:r w:rsidRPr="005A68E6">
              <w:t>24.5</w:t>
            </w:r>
          </w:p>
        </w:tc>
        <w:tc>
          <w:tcPr>
            <w:tcW w:w="1322" w:type="dxa"/>
            <w:tcBorders>
              <w:left w:val="nil"/>
              <w:right w:val="nil"/>
            </w:tcBorders>
            <w:vAlign w:val="center"/>
          </w:tcPr>
          <w:p w14:paraId="2522FF93" w14:textId="77777777" w:rsidR="00FC1F78" w:rsidRPr="005A68E6" w:rsidRDefault="00FC1F78" w:rsidP="00FC1F78">
            <w:pPr>
              <w:ind w:firstLine="0"/>
              <w:jc w:val="center"/>
            </w:pPr>
            <w:r w:rsidRPr="005A68E6">
              <w:t>25.1</w:t>
            </w:r>
          </w:p>
        </w:tc>
        <w:tc>
          <w:tcPr>
            <w:tcW w:w="1233" w:type="dxa"/>
            <w:tcBorders>
              <w:left w:val="nil"/>
              <w:right w:val="nil"/>
            </w:tcBorders>
            <w:vAlign w:val="center"/>
          </w:tcPr>
          <w:p w14:paraId="4AB36B11" w14:textId="77777777" w:rsidR="00FC1F78" w:rsidRPr="005A68E6" w:rsidRDefault="00FC1F78" w:rsidP="00FC1F78">
            <w:pPr>
              <w:ind w:firstLine="0"/>
              <w:jc w:val="center"/>
            </w:pPr>
            <w:r w:rsidRPr="005A68E6">
              <w:t>25.7</w:t>
            </w:r>
          </w:p>
        </w:tc>
        <w:tc>
          <w:tcPr>
            <w:tcW w:w="1110" w:type="dxa"/>
            <w:tcBorders>
              <w:left w:val="nil"/>
              <w:right w:val="nil"/>
            </w:tcBorders>
            <w:vAlign w:val="center"/>
          </w:tcPr>
          <w:p w14:paraId="601F3BA6" w14:textId="77777777" w:rsidR="00FC1F78" w:rsidRPr="005A68E6" w:rsidRDefault="00FC1F78" w:rsidP="00FC1F78">
            <w:pPr>
              <w:ind w:firstLine="0"/>
              <w:jc w:val="center"/>
            </w:pPr>
            <w:r w:rsidRPr="005A68E6">
              <w:t>26.3</w:t>
            </w:r>
          </w:p>
        </w:tc>
      </w:tr>
      <w:tr w:rsidR="00FC1F78" w:rsidRPr="005A68E6" w14:paraId="473EC11A" w14:textId="77777777" w:rsidTr="0070296A">
        <w:trPr>
          <w:trHeight w:val="272"/>
          <w:jc w:val="center"/>
        </w:trPr>
        <w:tc>
          <w:tcPr>
            <w:tcW w:w="3502" w:type="dxa"/>
            <w:tcBorders>
              <w:left w:val="nil"/>
              <w:right w:val="nil"/>
            </w:tcBorders>
            <w:vAlign w:val="center"/>
          </w:tcPr>
          <w:p w14:paraId="1DEFFCAF" w14:textId="052BA35A" w:rsidR="00FC1F78" w:rsidRPr="005A68E6" w:rsidRDefault="00FC1F78" w:rsidP="00FC1F78">
            <w:pPr>
              <w:spacing w:line="240" w:lineRule="auto"/>
              <w:ind w:firstLine="0"/>
              <w:jc w:val="left"/>
              <w:rPr>
                <w:lang w:val="en-US"/>
              </w:rPr>
            </w:pPr>
            <w:r w:rsidRPr="005A68E6">
              <w:t>Expenditures</w:t>
            </w:r>
          </w:p>
        </w:tc>
        <w:tc>
          <w:tcPr>
            <w:tcW w:w="1322" w:type="dxa"/>
            <w:tcBorders>
              <w:left w:val="double" w:sz="4" w:space="0" w:color="auto"/>
              <w:right w:val="nil"/>
            </w:tcBorders>
            <w:vAlign w:val="center"/>
          </w:tcPr>
          <w:p w14:paraId="1ABD8B56" w14:textId="77777777" w:rsidR="00FC1F78" w:rsidRPr="005A68E6" w:rsidRDefault="00FC1F78" w:rsidP="00FC1F78">
            <w:pPr>
              <w:ind w:firstLine="0"/>
              <w:jc w:val="center"/>
            </w:pPr>
            <w:r w:rsidRPr="005A68E6">
              <w:t>26.4</w:t>
            </w:r>
          </w:p>
        </w:tc>
        <w:tc>
          <w:tcPr>
            <w:tcW w:w="1277" w:type="dxa"/>
            <w:tcBorders>
              <w:left w:val="nil"/>
              <w:right w:val="nil"/>
            </w:tcBorders>
            <w:vAlign w:val="center"/>
          </w:tcPr>
          <w:p w14:paraId="749719D6" w14:textId="77777777" w:rsidR="00FC1F78" w:rsidRPr="005A68E6" w:rsidRDefault="00FC1F78" w:rsidP="00FC1F78">
            <w:pPr>
              <w:ind w:firstLine="0"/>
              <w:jc w:val="center"/>
            </w:pPr>
            <w:r w:rsidRPr="005A68E6">
              <w:t>27.4</w:t>
            </w:r>
          </w:p>
        </w:tc>
        <w:tc>
          <w:tcPr>
            <w:tcW w:w="1322" w:type="dxa"/>
            <w:tcBorders>
              <w:left w:val="nil"/>
              <w:right w:val="nil"/>
            </w:tcBorders>
            <w:vAlign w:val="center"/>
          </w:tcPr>
          <w:p w14:paraId="63C71E67" w14:textId="77777777" w:rsidR="00FC1F78" w:rsidRPr="005A68E6" w:rsidRDefault="00FC1F78" w:rsidP="00FC1F78">
            <w:pPr>
              <w:ind w:firstLine="0"/>
              <w:jc w:val="center"/>
              <w:rPr>
                <w:lang w:val="en-US"/>
              </w:rPr>
            </w:pPr>
            <w:r w:rsidRPr="005A68E6">
              <w:t>28.0</w:t>
            </w:r>
          </w:p>
        </w:tc>
        <w:tc>
          <w:tcPr>
            <w:tcW w:w="1233" w:type="dxa"/>
            <w:tcBorders>
              <w:left w:val="nil"/>
              <w:right w:val="nil"/>
            </w:tcBorders>
            <w:vAlign w:val="center"/>
          </w:tcPr>
          <w:p w14:paraId="68E63267" w14:textId="77777777" w:rsidR="00FC1F78" w:rsidRPr="005A68E6" w:rsidRDefault="00FC1F78" w:rsidP="00FC1F78">
            <w:pPr>
              <w:ind w:firstLine="0"/>
              <w:jc w:val="center"/>
              <w:rPr>
                <w:lang w:val="en-US"/>
              </w:rPr>
            </w:pPr>
            <w:r w:rsidRPr="005A68E6">
              <w:t>28.4</w:t>
            </w:r>
          </w:p>
        </w:tc>
        <w:tc>
          <w:tcPr>
            <w:tcW w:w="1110" w:type="dxa"/>
            <w:tcBorders>
              <w:left w:val="nil"/>
              <w:right w:val="nil"/>
            </w:tcBorders>
            <w:vAlign w:val="center"/>
          </w:tcPr>
          <w:p w14:paraId="62288337" w14:textId="77777777" w:rsidR="00FC1F78" w:rsidRPr="005A68E6" w:rsidRDefault="00FC1F78" w:rsidP="00FC1F78">
            <w:pPr>
              <w:ind w:firstLine="0"/>
              <w:jc w:val="center"/>
            </w:pPr>
            <w:r w:rsidRPr="005A68E6">
              <w:t>28.9</w:t>
            </w:r>
          </w:p>
        </w:tc>
      </w:tr>
      <w:tr w:rsidR="00FC1F78" w:rsidRPr="005A68E6" w14:paraId="1FF823E0" w14:textId="77777777" w:rsidTr="0070296A">
        <w:trPr>
          <w:trHeight w:val="378"/>
          <w:jc w:val="center"/>
        </w:trPr>
        <w:tc>
          <w:tcPr>
            <w:tcW w:w="3502" w:type="dxa"/>
            <w:tcBorders>
              <w:left w:val="nil"/>
              <w:right w:val="nil"/>
            </w:tcBorders>
            <w:vAlign w:val="center"/>
          </w:tcPr>
          <w:p w14:paraId="4D82E068" w14:textId="3C957A88" w:rsidR="00FC1F78" w:rsidRPr="005A68E6" w:rsidRDefault="00FC1F78" w:rsidP="00FC1F78">
            <w:pPr>
              <w:spacing w:line="240" w:lineRule="auto"/>
              <w:ind w:firstLine="0"/>
              <w:jc w:val="left"/>
            </w:pPr>
            <w:r w:rsidRPr="005A68E6">
              <w:t>Deficit  (-)</w:t>
            </w:r>
          </w:p>
        </w:tc>
        <w:tc>
          <w:tcPr>
            <w:tcW w:w="1322" w:type="dxa"/>
            <w:tcBorders>
              <w:left w:val="double" w:sz="4" w:space="0" w:color="auto"/>
              <w:right w:val="nil"/>
            </w:tcBorders>
            <w:vAlign w:val="center"/>
          </w:tcPr>
          <w:p w14:paraId="30E7C714" w14:textId="77777777" w:rsidR="00FC1F78" w:rsidRPr="005A68E6" w:rsidRDefault="00FC1F78" w:rsidP="00FC1F78">
            <w:pPr>
              <w:ind w:firstLine="0"/>
              <w:jc w:val="center"/>
            </w:pPr>
            <w:r w:rsidRPr="005A68E6">
              <w:t>-2.1</w:t>
            </w:r>
          </w:p>
        </w:tc>
        <w:tc>
          <w:tcPr>
            <w:tcW w:w="1277" w:type="dxa"/>
            <w:tcBorders>
              <w:left w:val="nil"/>
              <w:right w:val="nil"/>
            </w:tcBorders>
            <w:vAlign w:val="center"/>
          </w:tcPr>
          <w:p w14:paraId="46CD272D" w14:textId="77777777" w:rsidR="00FC1F78" w:rsidRPr="005A68E6" w:rsidRDefault="00FC1F78" w:rsidP="00FC1F78">
            <w:pPr>
              <w:ind w:firstLine="0"/>
              <w:jc w:val="center"/>
            </w:pPr>
            <w:r w:rsidRPr="005A68E6">
              <w:t>-2.9</w:t>
            </w:r>
          </w:p>
        </w:tc>
        <w:tc>
          <w:tcPr>
            <w:tcW w:w="1322" w:type="dxa"/>
            <w:tcBorders>
              <w:left w:val="nil"/>
              <w:right w:val="nil"/>
            </w:tcBorders>
            <w:vAlign w:val="center"/>
          </w:tcPr>
          <w:p w14:paraId="4764CC2E" w14:textId="77777777" w:rsidR="00FC1F78" w:rsidRPr="005A68E6" w:rsidRDefault="00FC1F78" w:rsidP="00FC1F78">
            <w:pPr>
              <w:ind w:firstLine="0"/>
              <w:jc w:val="center"/>
            </w:pPr>
            <w:r w:rsidRPr="005A68E6">
              <w:t>-2.9</w:t>
            </w:r>
          </w:p>
        </w:tc>
        <w:tc>
          <w:tcPr>
            <w:tcW w:w="1233" w:type="dxa"/>
            <w:tcBorders>
              <w:left w:val="nil"/>
              <w:right w:val="nil"/>
            </w:tcBorders>
            <w:vAlign w:val="center"/>
          </w:tcPr>
          <w:p w14:paraId="00F9CA98" w14:textId="77777777" w:rsidR="00FC1F78" w:rsidRPr="005A68E6" w:rsidRDefault="00FC1F78" w:rsidP="00FC1F78">
            <w:pPr>
              <w:ind w:firstLine="0"/>
              <w:jc w:val="center"/>
            </w:pPr>
            <w:r w:rsidRPr="005A68E6">
              <w:t>-2.7</w:t>
            </w:r>
          </w:p>
        </w:tc>
        <w:tc>
          <w:tcPr>
            <w:tcW w:w="1110" w:type="dxa"/>
            <w:tcBorders>
              <w:left w:val="nil"/>
              <w:right w:val="nil"/>
            </w:tcBorders>
            <w:vAlign w:val="center"/>
          </w:tcPr>
          <w:p w14:paraId="09DDE072" w14:textId="77777777" w:rsidR="00FC1F78" w:rsidRPr="005A68E6" w:rsidRDefault="00FC1F78" w:rsidP="00FC1F78">
            <w:pPr>
              <w:ind w:firstLine="0"/>
              <w:jc w:val="center"/>
            </w:pPr>
            <w:r w:rsidRPr="005A68E6">
              <w:t>-2.5</w:t>
            </w:r>
          </w:p>
        </w:tc>
      </w:tr>
      <w:tr w:rsidR="00FC1F78" w:rsidRPr="005A68E6" w14:paraId="6D69E1F1" w14:textId="77777777" w:rsidTr="0070296A">
        <w:trPr>
          <w:trHeight w:val="376"/>
          <w:jc w:val="center"/>
        </w:trPr>
        <w:tc>
          <w:tcPr>
            <w:tcW w:w="3502" w:type="dxa"/>
            <w:tcBorders>
              <w:left w:val="nil"/>
              <w:right w:val="nil"/>
            </w:tcBorders>
            <w:vAlign w:val="center"/>
          </w:tcPr>
          <w:p w14:paraId="0D84F8AB" w14:textId="5902E86B" w:rsidR="00FC1F78" w:rsidRPr="005A68E6" w:rsidRDefault="00FC1F78" w:rsidP="00FC1F78">
            <w:pPr>
              <w:spacing w:line="240" w:lineRule="auto"/>
              <w:ind w:firstLine="0"/>
              <w:jc w:val="left"/>
            </w:pPr>
            <w:r w:rsidRPr="005A68E6">
              <w:t>RA Government debt</w:t>
            </w:r>
          </w:p>
        </w:tc>
        <w:tc>
          <w:tcPr>
            <w:tcW w:w="1322" w:type="dxa"/>
            <w:tcBorders>
              <w:left w:val="double" w:sz="4" w:space="0" w:color="auto"/>
              <w:right w:val="nil"/>
            </w:tcBorders>
            <w:vAlign w:val="center"/>
          </w:tcPr>
          <w:p w14:paraId="4144815D" w14:textId="77777777" w:rsidR="00FC1F78" w:rsidRPr="005A68E6" w:rsidRDefault="00FC1F78" w:rsidP="00FC1F78">
            <w:pPr>
              <w:ind w:firstLine="0"/>
              <w:jc w:val="center"/>
              <w:rPr>
                <w:lang w:val="en-US"/>
              </w:rPr>
            </w:pPr>
            <w:r w:rsidRPr="005A68E6">
              <w:t>46.7</w:t>
            </w:r>
          </w:p>
        </w:tc>
        <w:tc>
          <w:tcPr>
            <w:tcW w:w="1277" w:type="dxa"/>
            <w:tcBorders>
              <w:left w:val="nil"/>
              <w:right w:val="nil"/>
            </w:tcBorders>
            <w:vAlign w:val="center"/>
          </w:tcPr>
          <w:p w14:paraId="7C23A8AE" w14:textId="77777777" w:rsidR="00FC1F78" w:rsidRPr="005A68E6" w:rsidRDefault="00FC1F78" w:rsidP="00FC1F78">
            <w:pPr>
              <w:ind w:firstLine="0"/>
              <w:jc w:val="center"/>
              <w:rPr>
                <w:lang w:val="en-US"/>
              </w:rPr>
            </w:pPr>
            <w:r w:rsidRPr="005A68E6">
              <w:t>49.9</w:t>
            </w:r>
          </w:p>
        </w:tc>
        <w:tc>
          <w:tcPr>
            <w:tcW w:w="1322" w:type="dxa"/>
            <w:tcBorders>
              <w:left w:val="nil"/>
              <w:right w:val="nil"/>
            </w:tcBorders>
            <w:vAlign w:val="center"/>
          </w:tcPr>
          <w:p w14:paraId="7F0B2646" w14:textId="77777777" w:rsidR="00FC1F78" w:rsidRPr="005A68E6" w:rsidRDefault="00FC1F78" w:rsidP="00FC1F78">
            <w:pPr>
              <w:ind w:firstLine="0"/>
              <w:jc w:val="center"/>
            </w:pPr>
            <w:r w:rsidRPr="005A68E6">
              <w:t>49.9</w:t>
            </w:r>
          </w:p>
        </w:tc>
        <w:tc>
          <w:tcPr>
            <w:tcW w:w="1233" w:type="dxa"/>
            <w:tcBorders>
              <w:left w:val="nil"/>
              <w:right w:val="nil"/>
            </w:tcBorders>
            <w:vAlign w:val="center"/>
          </w:tcPr>
          <w:p w14:paraId="69C8506D" w14:textId="77777777" w:rsidR="00FC1F78" w:rsidRPr="005A68E6" w:rsidRDefault="00FC1F78" w:rsidP="00FC1F78">
            <w:pPr>
              <w:ind w:firstLine="0"/>
              <w:jc w:val="center"/>
            </w:pPr>
            <w:r w:rsidRPr="005A68E6">
              <w:t>49.8</w:t>
            </w:r>
          </w:p>
        </w:tc>
        <w:tc>
          <w:tcPr>
            <w:tcW w:w="1110" w:type="dxa"/>
            <w:tcBorders>
              <w:left w:val="nil"/>
              <w:right w:val="nil"/>
            </w:tcBorders>
            <w:vAlign w:val="center"/>
          </w:tcPr>
          <w:p w14:paraId="44C24F52" w14:textId="77777777" w:rsidR="00FC1F78" w:rsidRPr="005A68E6" w:rsidRDefault="00FC1F78" w:rsidP="00FC1F78">
            <w:pPr>
              <w:ind w:firstLine="0"/>
              <w:jc w:val="center"/>
            </w:pPr>
            <w:r w:rsidRPr="005A68E6">
              <w:t>49.3</w:t>
            </w:r>
          </w:p>
        </w:tc>
      </w:tr>
      <w:tr w:rsidR="00B8717D" w:rsidRPr="005A68E6" w14:paraId="340A63DA" w14:textId="77777777" w:rsidTr="001C187B">
        <w:trPr>
          <w:trHeight w:val="345"/>
          <w:jc w:val="center"/>
        </w:trPr>
        <w:tc>
          <w:tcPr>
            <w:tcW w:w="9766" w:type="dxa"/>
            <w:gridSpan w:val="6"/>
            <w:tcBorders>
              <w:left w:val="nil"/>
              <w:right w:val="nil"/>
            </w:tcBorders>
            <w:vAlign w:val="center"/>
          </w:tcPr>
          <w:p w14:paraId="120DBCA3" w14:textId="4BE64EBF" w:rsidR="00B8717D" w:rsidRPr="005A68E6" w:rsidDel="00A75F14" w:rsidRDefault="00FC1F78" w:rsidP="001C187B">
            <w:pPr>
              <w:spacing w:line="240" w:lineRule="auto"/>
              <w:ind w:firstLine="0"/>
              <w:jc w:val="center"/>
              <w:rPr>
                <w:bCs/>
              </w:rPr>
            </w:pPr>
            <w:r w:rsidRPr="005A68E6">
              <w:rPr>
                <w:bCs/>
              </w:rPr>
              <w:t>External sector</w:t>
            </w:r>
          </w:p>
        </w:tc>
      </w:tr>
      <w:tr w:rsidR="00FC1F78" w:rsidRPr="005A68E6" w14:paraId="6E9C01FF" w14:textId="77777777" w:rsidTr="001C187B">
        <w:trPr>
          <w:trHeight w:val="452"/>
          <w:jc w:val="center"/>
        </w:trPr>
        <w:tc>
          <w:tcPr>
            <w:tcW w:w="3502" w:type="dxa"/>
            <w:tcBorders>
              <w:left w:val="nil"/>
              <w:right w:val="nil"/>
            </w:tcBorders>
            <w:vAlign w:val="center"/>
          </w:tcPr>
          <w:p w14:paraId="0DA5633D" w14:textId="233B0151" w:rsidR="00FC1F78" w:rsidRPr="005A68E6" w:rsidDel="00A75F14" w:rsidRDefault="00FC1F78" w:rsidP="00FC1F78">
            <w:pPr>
              <w:spacing w:line="240" w:lineRule="auto"/>
              <w:ind w:firstLine="0"/>
              <w:jc w:val="left"/>
            </w:pPr>
            <w:r w:rsidRPr="005A68E6">
              <w:t>Exports of goods and services (million USD)</w:t>
            </w:r>
          </w:p>
        </w:tc>
        <w:tc>
          <w:tcPr>
            <w:tcW w:w="1322" w:type="dxa"/>
            <w:tcBorders>
              <w:left w:val="double" w:sz="4" w:space="0" w:color="auto"/>
              <w:right w:val="nil"/>
            </w:tcBorders>
            <w:vAlign w:val="center"/>
          </w:tcPr>
          <w:p w14:paraId="1CDCC1C0" w14:textId="77777777" w:rsidR="00FC1F78" w:rsidRPr="005A68E6" w:rsidDel="00A75F14" w:rsidRDefault="00FC1F78" w:rsidP="00FC1F78">
            <w:pPr>
              <w:spacing w:line="240" w:lineRule="auto"/>
              <w:ind w:firstLine="0"/>
              <w:jc w:val="center"/>
              <w:rPr>
                <w:rFonts w:eastAsia="Calibri" w:cs="Arial"/>
                <w:bCs/>
                <w:lang w:val="en-US"/>
              </w:rPr>
            </w:pPr>
            <w:r w:rsidRPr="005A68E6">
              <w:t>9,698.5</w:t>
            </w:r>
          </w:p>
        </w:tc>
        <w:tc>
          <w:tcPr>
            <w:tcW w:w="1277" w:type="dxa"/>
            <w:tcBorders>
              <w:left w:val="nil"/>
              <w:right w:val="nil"/>
            </w:tcBorders>
            <w:vAlign w:val="center"/>
          </w:tcPr>
          <w:p w14:paraId="5C01AB21" w14:textId="77777777" w:rsidR="00FC1F78" w:rsidRPr="005A68E6" w:rsidRDefault="00FC1F78" w:rsidP="00FC1F78">
            <w:pPr>
              <w:spacing w:line="240" w:lineRule="auto"/>
              <w:ind w:firstLine="0"/>
              <w:jc w:val="center"/>
              <w:rPr>
                <w:rFonts w:eastAsia="Calibri" w:cs="Arial"/>
                <w:bCs/>
                <w:lang w:val="en-US"/>
              </w:rPr>
            </w:pPr>
            <w:r w:rsidRPr="005A68E6">
              <w:t>12,842.2</w:t>
            </w:r>
          </w:p>
        </w:tc>
        <w:tc>
          <w:tcPr>
            <w:tcW w:w="1322" w:type="dxa"/>
            <w:tcBorders>
              <w:left w:val="nil"/>
              <w:right w:val="nil"/>
            </w:tcBorders>
            <w:vAlign w:val="center"/>
          </w:tcPr>
          <w:p w14:paraId="470EFCA9" w14:textId="77777777" w:rsidR="00FC1F78" w:rsidRPr="005A68E6" w:rsidDel="00A75F14" w:rsidRDefault="00FC1F78" w:rsidP="00FC1F78">
            <w:pPr>
              <w:spacing w:line="240" w:lineRule="auto"/>
              <w:ind w:firstLine="0"/>
              <w:jc w:val="center"/>
              <w:rPr>
                <w:rFonts w:eastAsia="Calibri" w:cs="Arial"/>
                <w:bCs/>
                <w:lang w:val="en-US"/>
              </w:rPr>
            </w:pPr>
            <w:r w:rsidRPr="005A68E6">
              <w:t>14,284.2</w:t>
            </w:r>
          </w:p>
        </w:tc>
        <w:tc>
          <w:tcPr>
            <w:tcW w:w="1233" w:type="dxa"/>
            <w:tcBorders>
              <w:left w:val="nil"/>
              <w:right w:val="nil"/>
            </w:tcBorders>
            <w:vAlign w:val="center"/>
          </w:tcPr>
          <w:p w14:paraId="24FFB9E9" w14:textId="77777777" w:rsidR="00FC1F78" w:rsidRPr="005A68E6" w:rsidDel="00A75F14" w:rsidRDefault="00FC1F78" w:rsidP="00FC1F78">
            <w:pPr>
              <w:spacing w:line="240" w:lineRule="auto"/>
              <w:ind w:firstLine="0"/>
              <w:jc w:val="center"/>
              <w:rPr>
                <w:rFonts w:eastAsia="Calibri" w:cs="Arial"/>
                <w:bCs/>
                <w:lang w:val="en-US"/>
              </w:rPr>
            </w:pPr>
            <w:r w:rsidRPr="005A68E6">
              <w:t>15,842.5</w:t>
            </w:r>
          </w:p>
        </w:tc>
        <w:tc>
          <w:tcPr>
            <w:tcW w:w="1110" w:type="dxa"/>
            <w:tcBorders>
              <w:left w:val="nil"/>
              <w:right w:val="nil"/>
            </w:tcBorders>
            <w:vAlign w:val="center"/>
          </w:tcPr>
          <w:p w14:paraId="018BE34F" w14:textId="77777777" w:rsidR="00FC1F78" w:rsidRPr="005A68E6" w:rsidDel="00A75F14" w:rsidRDefault="00FC1F78" w:rsidP="00FC1F78">
            <w:pPr>
              <w:spacing w:line="240" w:lineRule="auto"/>
              <w:ind w:firstLine="0"/>
              <w:jc w:val="center"/>
              <w:rPr>
                <w:rFonts w:eastAsia="Calibri" w:cs="Arial"/>
                <w:bCs/>
                <w:lang w:val="en-US"/>
              </w:rPr>
            </w:pPr>
            <w:r w:rsidRPr="005A68E6">
              <w:t>17,545.6</w:t>
            </w:r>
          </w:p>
        </w:tc>
      </w:tr>
      <w:tr w:rsidR="00FC1F78" w:rsidRPr="005A68E6" w14:paraId="72D0F11E" w14:textId="77777777" w:rsidTr="001C187B">
        <w:trPr>
          <w:trHeight w:val="452"/>
          <w:jc w:val="center"/>
        </w:trPr>
        <w:tc>
          <w:tcPr>
            <w:tcW w:w="3502" w:type="dxa"/>
            <w:tcBorders>
              <w:left w:val="nil"/>
              <w:right w:val="nil"/>
            </w:tcBorders>
            <w:vAlign w:val="center"/>
          </w:tcPr>
          <w:p w14:paraId="72058B98" w14:textId="20315B3B" w:rsidR="00FC1F78" w:rsidRPr="005A68E6" w:rsidDel="00A75F14" w:rsidRDefault="00FC1F78" w:rsidP="00FC1F78">
            <w:pPr>
              <w:spacing w:line="240" w:lineRule="auto"/>
              <w:ind w:firstLine="0"/>
              <w:jc w:val="left"/>
            </w:pPr>
            <w:r w:rsidRPr="005A68E6">
              <w:t>Imports of goods and services (million USD)</w:t>
            </w:r>
          </w:p>
        </w:tc>
        <w:tc>
          <w:tcPr>
            <w:tcW w:w="1322" w:type="dxa"/>
            <w:tcBorders>
              <w:left w:val="double" w:sz="4" w:space="0" w:color="auto"/>
              <w:right w:val="nil"/>
            </w:tcBorders>
            <w:vAlign w:val="center"/>
          </w:tcPr>
          <w:p w14:paraId="59C94A9E" w14:textId="77777777" w:rsidR="00FC1F78" w:rsidRPr="005A68E6" w:rsidDel="00A75F14" w:rsidRDefault="00FC1F78" w:rsidP="00FC1F78">
            <w:pPr>
              <w:spacing w:line="240" w:lineRule="auto"/>
              <w:ind w:firstLine="0"/>
              <w:jc w:val="center"/>
              <w:rPr>
                <w:rFonts w:eastAsia="Calibri" w:cs="Arial"/>
                <w:bCs/>
                <w:lang w:val="en-US"/>
              </w:rPr>
            </w:pPr>
            <w:r w:rsidRPr="005A68E6">
              <w:t>10,117.5</w:t>
            </w:r>
          </w:p>
        </w:tc>
        <w:tc>
          <w:tcPr>
            <w:tcW w:w="1277" w:type="dxa"/>
            <w:tcBorders>
              <w:left w:val="nil"/>
              <w:right w:val="nil"/>
            </w:tcBorders>
            <w:vAlign w:val="center"/>
          </w:tcPr>
          <w:p w14:paraId="1A4067BE" w14:textId="77777777" w:rsidR="00FC1F78" w:rsidRPr="005A68E6" w:rsidRDefault="00FC1F78" w:rsidP="00FC1F78">
            <w:pPr>
              <w:spacing w:line="240" w:lineRule="auto"/>
              <w:ind w:firstLine="0"/>
              <w:jc w:val="center"/>
              <w:rPr>
                <w:rFonts w:eastAsia="Calibri" w:cs="Arial"/>
                <w:bCs/>
                <w:lang w:val="en-US"/>
              </w:rPr>
            </w:pPr>
            <w:r w:rsidRPr="005A68E6">
              <w:t>13,488.0</w:t>
            </w:r>
          </w:p>
        </w:tc>
        <w:tc>
          <w:tcPr>
            <w:tcW w:w="1322" w:type="dxa"/>
            <w:tcBorders>
              <w:left w:val="nil"/>
              <w:right w:val="nil"/>
            </w:tcBorders>
            <w:vAlign w:val="center"/>
          </w:tcPr>
          <w:p w14:paraId="33D89D6B" w14:textId="77777777" w:rsidR="00FC1F78" w:rsidRPr="005A68E6" w:rsidDel="00A75F14" w:rsidRDefault="00FC1F78" w:rsidP="00FC1F78">
            <w:pPr>
              <w:spacing w:line="240" w:lineRule="auto"/>
              <w:ind w:firstLine="0"/>
              <w:jc w:val="center"/>
              <w:rPr>
                <w:rFonts w:eastAsia="Calibri" w:cs="Arial"/>
                <w:bCs/>
                <w:lang w:val="en-US"/>
              </w:rPr>
            </w:pPr>
            <w:r w:rsidRPr="005A68E6">
              <w:t>15,021.3</w:t>
            </w:r>
          </w:p>
        </w:tc>
        <w:tc>
          <w:tcPr>
            <w:tcW w:w="1233" w:type="dxa"/>
            <w:tcBorders>
              <w:left w:val="nil"/>
              <w:right w:val="nil"/>
            </w:tcBorders>
            <w:vAlign w:val="center"/>
          </w:tcPr>
          <w:p w14:paraId="181BF0F5" w14:textId="77777777" w:rsidR="00FC1F78" w:rsidRPr="005A68E6" w:rsidDel="00A75F14" w:rsidRDefault="00FC1F78" w:rsidP="00FC1F78">
            <w:pPr>
              <w:spacing w:line="240" w:lineRule="auto"/>
              <w:ind w:firstLine="0"/>
              <w:jc w:val="center"/>
              <w:rPr>
                <w:rFonts w:eastAsia="Calibri" w:cs="Arial"/>
                <w:bCs/>
                <w:lang w:val="en-US"/>
              </w:rPr>
            </w:pPr>
            <w:r w:rsidRPr="005A68E6">
              <w:t>16,727.5</w:t>
            </w:r>
          </w:p>
        </w:tc>
        <w:tc>
          <w:tcPr>
            <w:tcW w:w="1110" w:type="dxa"/>
            <w:tcBorders>
              <w:left w:val="nil"/>
              <w:right w:val="nil"/>
            </w:tcBorders>
            <w:vAlign w:val="center"/>
          </w:tcPr>
          <w:p w14:paraId="02F7ADBE" w14:textId="77777777" w:rsidR="00FC1F78" w:rsidRPr="005A68E6" w:rsidDel="00A75F14" w:rsidRDefault="00FC1F78" w:rsidP="00FC1F78">
            <w:pPr>
              <w:spacing w:line="240" w:lineRule="auto"/>
              <w:ind w:firstLine="0"/>
              <w:jc w:val="center"/>
              <w:rPr>
                <w:rFonts w:eastAsia="Calibri" w:cs="Arial"/>
                <w:bCs/>
                <w:lang w:val="en-US"/>
              </w:rPr>
            </w:pPr>
            <w:r w:rsidRPr="005A68E6">
              <w:t>18,629.5</w:t>
            </w:r>
          </w:p>
        </w:tc>
      </w:tr>
      <w:tr w:rsidR="00FC1F78" w:rsidRPr="005A68E6" w14:paraId="4E6F4F0C" w14:textId="77777777" w:rsidTr="001C187B">
        <w:trPr>
          <w:trHeight w:val="452"/>
          <w:jc w:val="center"/>
        </w:trPr>
        <w:tc>
          <w:tcPr>
            <w:tcW w:w="3502" w:type="dxa"/>
            <w:tcBorders>
              <w:left w:val="nil"/>
              <w:right w:val="nil"/>
            </w:tcBorders>
            <w:vAlign w:val="center"/>
          </w:tcPr>
          <w:p w14:paraId="54BEF45A" w14:textId="4459842F" w:rsidR="00FC1F78" w:rsidRPr="005A68E6" w:rsidDel="00A75F14" w:rsidRDefault="00FC1F78" w:rsidP="00FC1F78">
            <w:pPr>
              <w:spacing w:line="240" w:lineRule="auto"/>
              <w:ind w:firstLine="0"/>
              <w:jc w:val="left"/>
            </w:pPr>
            <w:r w:rsidRPr="005A68E6">
              <w:t>Current account balance (% share of GDP)</w:t>
            </w:r>
          </w:p>
        </w:tc>
        <w:tc>
          <w:tcPr>
            <w:tcW w:w="1322" w:type="dxa"/>
            <w:tcBorders>
              <w:left w:val="double" w:sz="4" w:space="0" w:color="auto"/>
              <w:right w:val="nil"/>
            </w:tcBorders>
            <w:vAlign w:val="center"/>
          </w:tcPr>
          <w:p w14:paraId="3CB0F331" w14:textId="77777777" w:rsidR="00FC1F78" w:rsidRPr="005A68E6" w:rsidDel="00A75F14" w:rsidRDefault="00FC1F78" w:rsidP="00FC1F78">
            <w:pPr>
              <w:spacing w:line="240" w:lineRule="auto"/>
              <w:ind w:firstLine="0"/>
              <w:jc w:val="center"/>
              <w:rPr>
                <w:rFonts w:eastAsia="Calibri" w:cs="Arial"/>
                <w:bCs/>
                <w:lang w:val="en-US"/>
              </w:rPr>
            </w:pPr>
            <w:r w:rsidRPr="005A68E6">
              <w:t>-0.9</w:t>
            </w:r>
          </w:p>
        </w:tc>
        <w:tc>
          <w:tcPr>
            <w:tcW w:w="1277" w:type="dxa"/>
            <w:tcBorders>
              <w:left w:val="nil"/>
              <w:right w:val="nil"/>
            </w:tcBorders>
            <w:vAlign w:val="center"/>
          </w:tcPr>
          <w:p w14:paraId="6B6E781D" w14:textId="77777777" w:rsidR="00FC1F78" w:rsidRPr="005A68E6" w:rsidRDefault="00FC1F78" w:rsidP="00FC1F78">
            <w:pPr>
              <w:spacing w:line="240" w:lineRule="auto"/>
              <w:ind w:firstLine="0"/>
              <w:jc w:val="center"/>
              <w:rPr>
                <w:rFonts w:eastAsia="Calibri" w:cs="Arial"/>
                <w:bCs/>
                <w:lang w:val="en-US"/>
              </w:rPr>
            </w:pPr>
            <w:r w:rsidRPr="005A68E6">
              <w:t>-2.7</w:t>
            </w:r>
          </w:p>
        </w:tc>
        <w:tc>
          <w:tcPr>
            <w:tcW w:w="1322" w:type="dxa"/>
            <w:tcBorders>
              <w:left w:val="nil"/>
              <w:right w:val="nil"/>
            </w:tcBorders>
            <w:vAlign w:val="center"/>
          </w:tcPr>
          <w:p w14:paraId="0802DE29" w14:textId="77777777" w:rsidR="00FC1F78" w:rsidRPr="005A68E6" w:rsidDel="00A75F14" w:rsidRDefault="00FC1F78" w:rsidP="00FC1F78">
            <w:pPr>
              <w:spacing w:line="240" w:lineRule="auto"/>
              <w:ind w:firstLine="0"/>
              <w:jc w:val="center"/>
              <w:rPr>
                <w:rFonts w:eastAsia="Calibri" w:cs="Arial"/>
                <w:bCs/>
                <w:lang w:val="en-US"/>
              </w:rPr>
            </w:pPr>
            <w:r w:rsidRPr="005A68E6">
              <w:t>-3.5</w:t>
            </w:r>
          </w:p>
        </w:tc>
        <w:tc>
          <w:tcPr>
            <w:tcW w:w="1233" w:type="dxa"/>
            <w:tcBorders>
              <w:left w:val="nil"/>
              <w:right w:val="nil"/>
            </w:tcBorders>
            <w:vAlign w:val="center"/>
          </w:tcPr>
          <w:p w14:paraId="7111747A" w14:textId="77777777" w:rsidR="00FC1F78" w:rsidRPr="005A68E6" w:rsidDel="00A75F14" w:rsidRDefault="00FC1F78" w:rsidP="00FC1F78">
            <w:pPr>
              <w:spacing w:line="240" w:lineRule="auto"/>
              <w:ind w:firstLine="0"/>
              <w:jc w:val="center"/>
              <w:rPr>
                <w:rFonts w:eastAsia="Calibri" w:cs="Arial"/>
                <w:bCs/>
                <w:lang w:val="en-US"/>
              </w:rPr>
            </w:pPr>
            <w:r w:rsidRPr="005A68E6">
              <w:t>-4.2</w:t>
            </w:r>
          </w:p>
        </w:tc>
        <w:tc>
          <w:tcPr>
            <w:tcW w:w="1110" w:type="dxa"/>
            <w:tcBorders>
              <w:left w:val="nil"/>
              <w:right w:val="nil"/>
            </w:tcBorders>
            <w:vAlign w:val="center"/>
          </w:tcPr>
          <w:p w14:paraId="45AE6541" w14:textId="77777777" w:rsidR="00FC1F78" w:rsidRPr="005A68E6" w:rsidDel="00A75F14" w:rsidRDefault="00FC1F78" w:rsidP="00FC1F78">
            <w:pPr>
              <w:spacing w:line="240" w:lineRule="auto"/>
              <w:ind w:firstLine="0"/>
              <w:jc w:val="center"/>
              <w:rPr>
                <w:rFonts w:eastAsia="Calibri" w:cs="Arial"/>
                <w:bCs/>
                <w:lang w:val="en-US"/>
              </w:rPr>
            </w:pPr>
            <w:r w:rsidRPr="005A68E6">
              <w:t>-4.9</w:t>
            </w:r>
          </w:p>
        </w:tc>
      </w:tr>
      <w:tr w:rsidR="00FC1F78" w:rsidRPr="005A68E6" w14:paraId="3BD05C28" w14:textId="77777777" w:rsidTr="001C187B">
        <w:trPr>
          <w:trHeight w:val="118"/>
          <w:jc w:val="center"/>
        </w:trPr>
        <w:tc>
          <w:tcPr>
            <w:tcW w:w="3502" w:type="dxa"/>
            <w:tcBorders>
              <w:left w:val="nil"/>
              <w:right w:val="nil"/>
            </w:tcBorders>
            <w:shd w:val="clear" w:color="auto" w:fill="D9D9D9"/>
            <w:vAlign w:val="center"/>
          </w:tcPr>
          <w:p w14:paraId="1F38506F" w14:textId="77777777" w:rsidR="00FC1F78" w:rsidRPr="005A68E6" w:rsidDel="00A75F14" w:rsidRDefault="00FC1F78" w:rsidP="00FC1F78">
            <w:pPr>
              <w:spacing w:line="240" w:lineRule="auto"/>
              <w:ind w:firstLine="0"/>
              <w:jc w:val="left"/>
              <w:rPr>
                <w:color w:val="FF0000"/>
                <w:sz w:val="8"/>
                <w:szCs w:val="8"/>
              </w:rPr>
            </w:pPr>
          </w:p>
        </w:tc>
        <w:tc>
          <w:tcPr>
            <w:tcW w:w="1322" w:type="dxa"/>
            <w:tcBorders>
              <w:left w:val="double" w:sz="4" w:space="0" w:color="auto"/>
              <w:right w:val="nil"/>
            </w:tcBorders>
            <w:shd w:val="clear" w:color="auto" w:fill="D9D9D9"/>
            <w:vAlign w:val="center"/>
          </w:tcPr>
          <w:p w14:paraId="4E727A54" w14:textId="77777777" w:rsidR="00FC1F78" w:rsidRPr="005A68E6" w:rsidDel="00A75F14" w:rsidRDefault="00FC1F78" w:rsidP="00FC1F78">
            <w:pPr>
              <w:spacing w:line="240" w:lineRule="auto"/>
              <w:ind w:firstLine="0"/>
              <w:jc w:val="center"/>
              <w:rPr>
                <w:rFonts w:eastAsia="Calibri" w:cs="Arial"/>
                <w:bCs/>
                <w:color w:val="FF0000"/>
                <w:sz w:val="8"/>
                <w:szCs w:val="8"/>
                <w:lang w:val="en-US"/>
              </w:rPr>
            </w:pPr>
          </w:p>
        </w:tc>
        <w:tc>
          <w:tcPr>
            <w:tcW w:w="1277" w:type="dxa"/>
            <w:tcBorders>
              <w:left w:val="nil"/>
              <w:right w:val="nil"/>
            </w:tcBorders>
            <w:shd w:val="clear" w:color="auto" w:fill="D9D9D9"/>
            <w:vAlign w:val="center"/>
          </w:tcPr>
          <w:p w14:paraId="18CBD7B6" w14:textId="77777777" w:rsidR="00FC1F78" w:rsidRPr="005A68E6" w:rsidRDefault="00FC1F78" w:rsidP="00FC1F78">
            <w:pPr>
              <w:spacing w:line="240" w:lineRule="auto"/>
              <w:ind w:firstLine="0"/>
              <w:jc w:val="center"/>
              <w:rPr>
                <w:rFonts w:eastAsia="Calibri" w:cs="Arial"/>
                <w:bCs/>
                <w:color w:val="FF0000"/>
                <w:sz w:val="8"/>
                <w:szCs w:val="8"/>
                <w:lang w:val="en-US"/>
              </w:rPr>
            </w:pPr>
          </w:p>
        </w:tc>
        <w:tc>
          <w:tcPr>
            <w:tcW w:w="1322" w:type="dxa"/>
            <w:tcBorders>
              <w:left w:val="nil"/>
              <w:right w:val="nil"/>
            </w:tcBorders>
            <w:shd w:val="clear" w:color="auto" w:fill="D9D9D9"/>
            <w:vAlign w:val="center"/>
          </w:tcPr>
          <w:p w14:paraId="5F1F29DF" w14:textId="77777777" w:rsidR="00FC1F78" w:rsidRPr="005A68E6" w:rsidDel="00A75F14" w:rsidRDefault="00FC1F78" w:rsidP="00FC1F78">
            <w:pPr>
              <w:spacing w:line="240" w:lineRule="auto"/>
              <w:ind w:firstLine="0"/>
              <w:jc w:val="center"/>
              <w:rPr>
                <w:rFonts w:eastAsia="Calibri" w:cs="Arial"/>
                <w:bCs/>
                <w:color w:val="FF0000"/>
                <w:sz w:val="8"/>
                <w:szCs w:val="8"/>
                <w:lang w:val="en-US"/>
              </w:rPr>
            </w:pPr>
          </w:p>
        </w:tc>
        <w:tc>
          <w:tcPr>
            <w:tcW w:w="1233" w:type="dxa"/>
            <w:tcBorders>
              <w:left w:val="nil"/>
              <w:right w:val="nil"/>
            </w:tcBorders>
            <w:shd w:val="clear" w:color="auto" w:fill="D9D9D9"/>
            <w:vAlign w:val="center"/>
          </w:tcPr>
          <w:p w14:paraId="49963829" w14:textId="77777777" w:rsidR="00FC1F78" w:rsidRPr="005A68E6" w:rsidDel="00A75F14" w:rsidRDefault="00FC1F78" w:rsidP="00FC1F78">
            <w:pPr>
              <w:spacing w:line="240" w:lineRule="auto"/>
              <w:ind w:firstLine="0"/>
              <w:jc w:val="center"/>
              <w:rPr>
                <w:rFonts w:eastAsia="Calibri" w:cs="Arial"/>
                <w:bCs/>
                <w:color w:val="FF0000"/>
                <w:sz w:val="8"/>
                <w:szCs w:val="8"/>
                <w:lang w:val="en-US"/>
              </w:rPr>
            </w:pPr>
          </w:p>
        </w:tc>
        <w:tc>
          <w:tcPr>
            <w:tcW w:w="1110" w:type="dxa"/>
            <w:tcBorders>
              <w:left w:val="nil"/>
              <w:right w:val="nil"/>
            </w:tcBorders>
            <w:shd w:val="clear" w:color="auto" w:fill="D9D9D9"/>
            <w:vAlign w:val="center"/>
          </w:tcPr>
          <w:p w14:paraId="22F5692B" w14:textId="77777777" w:rsidR="00FC1F78" w:rsidRPr="005A68E6" w:rsidDel="00A75F14" w:rsidRDefault="00FC1F78" w:rsidP="00FC1F78">
            <w:pPr>
              <w:spacing w:line="240" w:lineRule="auto"/>
              <w:ind w:firstLine="0"/>
              <w:jc w:val="center"/>
              <w:rPr>
                <w:rFonts w:eastAsia="Calibri" w:cs="Arial"/>
                <w:bCs/>
                <w:color w:val="FF0000"/>
                <w:sz w:val="8"/>
                <w:szCs w:val="8"/>
                <w:lang w:val="en-US"/>
              </w:rPr>
            </w:pPr>
          </w:p>
        </w:tc>
      </w:tr>
      <w:tr w:rsidR="00FC1F78" w:rsidRPr="005A68E6" w14:paraId="4025C2ED" w14:textId="77777777" w:rsidTr="001C187B">
        <w:trPr>
          <w:trHeight w:val="275"/>
          <w:jc w:val="center"/>
        </w:trPr>
        <w:tc>
          <w:tcPr>
            <w:tcW w:w="3502" w:type="dxa"/>
            <w:tcBorders>
              <w:left w:val="nil"/>
              <w:right w:val="nil"/>
            </w:tcBorders>
            <w:vAlign w:val="center"/>
          </w:tcPr>
          <w:p w14:paraId="436C3396" w14:textId="1F1B9BEB" w:rsidR="00FC1F78" w:rsidRPr="005A68E6" w:rsidDel="00A75F14" w:rsidRDefault="00FC1F78" w:rsidP="00FC1F78">
            <w:pPr>
              <w:spacing w:line="240" w:lineRule="auto"/>
              <w:ind w:firstLine="0"/>
              <w:jc w:val="left"/>
            </w:pPr>
            <w:r w:rsidRPr="005A68E6">
              <w:t>RA Government debt (billion AMD)</w:t>
            </w:r>
          </w:p>
        </w:tc>
        <w:tc>
          <w:tcPr>
            <w:tcW w:w="1322" w:type="dxa"/>
            <w:tcBorders>
              <w:left w:val="double" w:sz="4" w:space="0" w:color="auto"/>
              <w:right w:val="nil"/>
            </w:tcBorders>
            <w:vAlign w:val="center"/>
          </w:tcPr>
          <w:p w14:paraId="2903DF27" w14:textId="23AA23F2" w:rsidR="00FC1F78" w:rsidRPr="005A68E6" w:rsidDel="00A75F14" w:rsidRDefault="00FC1F78" w:rsidP="00FC1F78">
            <w:pPr>
              <w:ind w:firstLine="0"/>
              <w:jc w:val="center"/>
              <w:rPr>
                <w:rFonts w:eastAsia="Calibri" w:cs="Arial"/>
                <w:bCs/>
                <w:lang w:val="en-US"/>
              </w:rPr>
            </w:pPr>
            <w:r w:rsidRPr="005A68E6">
              <w:t>3</w:t>
            </w:r>
            <w:r w:rsidR="00781110" w:rsidRPr="005A68E6">
              <w:rPr>
                <w:lang w:val="en-US"/>
              </w:rPr>
              <w:t>,</w:t>
            </w:r>
            <w:r w:rsidRPr="005A68E6">
              <w:t>969.7</w:t>
            </w:r>
          </w:p>
        </w:tc>
        <w:tc>
          <w:tcPr>
            <w:tcW w:w="1277" w:type="dxa"/>
            <w:tcBorders>
              <w:left w:val="nil"/>
              <w:right w:val="nil"/>
            </w:tcBorders>
            <w:vAlign w:val="center"/>
          </w:tcPr>
          <w:p w14:paraId="1494B6F5" w14:textId="6DE7A5BB" w:rsidR="00FC1F78" w:rsidRPr="005A68E6" w:rsidRDefault="00FC1F78" w:rsidP="00FC1F78">
            <w:pPr>
              <w:ind w:firstLine="0"/>
              <w:jc w:val="center"/>
              <w:rPr>
                <w:rFonts w:eastAsia="Calibri" w:cs="Arial"/>
                <w:bCs/>
                <w:lang w:val="en-US"/>
              </w:rPr>
            </w:pPr>
            <w:r w:rsidRPr="005A68E6">
              <w:t>4</w:t>
            </w:r>
            <w:r w:rsidR="00781110" w:rsidRPr="005A68E6">
              <w:rPr>
                <w:lang w:val="en-US"/>
              </w:rPr>
              <w:t>,</w:t>
            </w:r>
            <w:r w:rsidRPr="005A68E6">
              <w:t>756.3</w:t>
            </w:r>
          </w:p>
        </w:tc>
        <w:tc>
          <w:tcPr>
            <w:tcW w:w="1322" w:type="dxa"/>
            <w:tcBorders>
              <w:left w:val="nil"/>
              <w:right w:val="nil"/>
            </w:tcBorders>
            <w:vAlign w:val="center"/>
          </w:tcPr>
          <w:p w14:paraId="283B9C0A" w14:textId="252D7AE8" w:rsidR="00FC1F78" w:rsidRPr="005A68E6" w:rsidDel="00A75F14" w:rsidRDefault="00FC1F78" w:rsidP="00FC1F78">
            <w:pPr>
              <w:ind w:firstLine="0"/>
              <w:jc w:val="center"/>
              <w:rPr>
                <w:rFonts w:eastAsia="Calibri" w:cs="Arial"/>
                <w:bCs/>
                <w:lang w:val="en-US"/>
              </w:rPr>
            </w:pPr>
            <w:r w:rsidRPr="005A68E6">
              <w:t>5</w:t>
            </w:r>
            <w:r w:rsidR="00781110" w:rsidRPr="005A68E6">
              <w:rPr>
                <w:lang w:val="en-US"/>
              </w:rPr>
              <w:t>,</w:t>
            </w:r>
            <w:r w:rsidRPr="005A68E6">
              <w:t>293.0</w:t>
            </w:r>
          </w:p>
        </w:tc>
        <w:tc>
          <w:tcPr>
            <w:tcW w:w="1233" w:type="dxa"/>
            <w:tcBorders>
              <w:left w:val="nil"/>
              <w:right w:val="nil"/>
            </w:tcBorders>
            <w:vAlign w:val="center"/>
          </w:tcPr>
          <w:p w14:paraId="11DDE69B" w14:textId="7382CB77" w:rsidR="00FC1F78" w:rsidRPr="005A68E6" w:rsidDel="00A75F14" w:rsidRDefault="00FC1F78" w:rsidP="00FC1F78">
            <w:pPr>
              <w:ind w:firstLine="0"/>
              <w:jc w:val="center"/>
              <w:rPr>
                <w:rFonts w:eastAsia="Calibri" w:cs="Arial"/>
                <w:bCs/>
                <w:lang w:val="en-US"/>
              </w:rPr>
            </w:pPr>
            <w:r w:rsidRPr="005A68E6">
              <w:t>5</w:t>
            </w:r>
            <w:r w:rsidR="00781110" w:rsidRPr="005A68E6">
              <w:rPr>
                <w:lang w:val="en-US"/>
              </w:rPr>
              <w:t>,</w:t>
            </w:r>
            <w:r w:rsidRPr="005A68E6">
              <w:t>880.7</w:t>
            </w:r>
          </w:p>
        </w:tc>
        <w:tc>
          <w:tcPr>
            <w:tcW w:w="1110" w:type="dxa"/>
            <w:tcBorders>
              <w:left w:val="nil"/>
              <w:right w:val="nil"/>
            </w:tcBorders>
            <w:vAlign w:val="center"/>
          </w:tcPr>
          <w:p w14:paraId="08E479EA" w14:textId="49C2F802" w:rsidR="00FC1F78" w:rsidRPr="005A68E6" w:rsidDel="00A75F14" w:rsidRDefault="00FC1F78" w:rsidP="00FC1F78">
            <w:pPr>
              <w:ind w:firstLine="0"/>
              <w:jc w:val="center"/>
              <w:rPr>
                <w:rFonts w:eastAsia="Calibri" w:cs="Arial"/>
                <w:bCs/>
                <w:lang w:val="en-US"/>
              </w:rPr>
            </w:pPr>
            <w:r w:rsidRPr="005A68E6">
              <w:t>6</w:t>
            </w:r>
            <w:r w:rsidR="00781110" w:rsidRPr="005A68E6">
              <w:rPr>
                <w:lang w:val="en-US"/>
              </w:rPr>
              <w:t>,</w:t>
            </w:r>
            <w:r w:rsidRPr="005A68E6">
              <w:t>476.8</w:t>
            </w:r>
          </w:p>
        </w:tc>
      </w:tr>
      <w:tr w:rsidR="00FC1F78" w:rsidRPr="005A68E6" w14:paraId="4CFCC4E3" w14:textId="77777777" w:rsidTr="00A47350">
        <w:trPr>
          <w:trHeight w:val="452"/>
          <w:jc w:val="center"/>
        </w:trPr>
        <w:tc>
          <w:tcPr>
            <w:tcW w:w="3502" w:type="dxa"/>
            <w:tcBorders>
              <w:left w:val="nil"/>
              <w:bottom w:val="thickThinSmallGap" w:sz="24" w:space="0" w:color="auto"/>
              <w:right w:val="nil"/>
            </w:tcBorders>
            <w:vAlign w:val="center"/>
          </w:tcPr>
          <w:p w14:paraId="03B3CB6D" w14:textId="0ED9C410" w:rsidR="00FC1F78" w:rsidRPr="005A68E6" w:rsidRDefault="00FC1F78" w:rsidP="00FC1F78">
            <w:pPr>
              <w:spacing w:line="240" w:lineRule="auto"/>
              <w:ind w:firstLine="0"/>
              <w:jc w:val="left"/>
            </w:pPr>
            <w:r w:rsidRPr="005A68E6">
              <w:rPr>
                <w:lang w:val="ru-RU"/>
              </w:rPr>
              <w:t>Nominal GDP (billion AMD)</w:t>
            </w:r>
          </w:p>
        </w:tc>
        <w:tc>
          <w:tcPr>
            <w:tcW w:w="1322" w:type="dxa"/>
            <w:tcBorders>
              <w:left w:val="double" w:sz="4" w:space="0" w:color="auto"/>
              <w:bottom w:val="thickThinSmallGap" w:sz="24" w:space="0" w:color="auto"/>
              <w:right w:val="nil"/>
            </w:tcBorders>
            <w:vAlign w:val="center"/>
          </w:tcPr>
          <w:p w14:paraId="238FD975" w14:textId="77777777" w:rsidR="00FC1F78" w:rsidRPr="005A68E6" w:rsidRDefault="00FC1F78" w:rsidP="00FC1F78">
            <w:pPr>
              <w:spacing w:line="240" w:lineRule="auto"/>
              <w:ind w:firstLine="0"/>
              <w:jc w:val="center"/>
              <w:rPr>
                <w:rFonts w:eastAsia="Calibri" w:cs="Arial"/>
                <w:lang w:val="en-US"/>
              </w:rPr>
            </w:pPr>
            <w:r w:rsidRPr="005A68E6">
              <w:t>8,501.4</w:t>
            </w:r>
          </w:p>
        </w:tc>
        <w:tc>
          <w:tcPr>
            <w:tcW w:w="1277" w:type="dxa"/>
            <w:tcBorders>
              <w:left w:val="nil"/>
              <w:bottom w:val="thickThinSmallGap" w:sz="24" w:space="0" w:color="auto"/>
              <w:right w:val="nil"/>
            </w:tcBorders>
            <w:vAlign w:val="center"/>
          </w:tcPr>
          <w:p w14:paraId="60963492" w14:textId="77777777" w:rsidR="00FC1F78" w:rsidRPr="005A68E6" w:rsidRDefault="00FC1F78" w:rsidP="00FC1F78">
            <w:pPr>
              <w:spacing w:line="240" w:lineRule="auto"/>
              <w:ind w:firstLine="0"/>
              <w:jc w:val="center"/>
              <w:rPr>
                <w:rFonts w:eastAsia="Calibri" w:cs="Arial"/>
                <w:lang w:val="en-US"/>
              </w:rPr>
            </w:pPr>
            <w:r w:rsidRPr="005A68E6">
              <w:t>9,533.0</w:t>
            </w:r>
          </w:p>
        </w:tc>
        <w:tc>
          <w:tcPr>
            <w:tcW w:w="1322" w:type="dxa"/>
            <w:tcBorders>
              <w:left w:val="nil"/>
              <w:bottom w:val="thickThinSmallGap" w:sz="24" w:space="0" w:color="auto"/>
              <w:right w:val="nil"/>
            </w:tcBorders>
            <w:vAlign w:val="center"/>
          </w:tcPr>
          <w:p w14:paraId="7D6BA16C" w14:textId="77777777" w:rsidR="00FC1F78" w:rsidRPr="005A68E6" w:rsidRDefault="00FC1F78" w:rsidP="00FC1F78">
            <w:pPr>
              <w:spacing w:line="240" w:lineRule="auto"/>
              <w:ind w:firstLine="0"/>
              <w:jc w:val="center"/>
              <w:rPr>
                <w:rFonts w:eastAsia="Calibri" w:cs="Arial"/>
                <w:lang w:val="en-US"/>
              </w:rPr>
            </w:pPr>
            <w:r w:rsidRPr="005A68E6">
              <w:t>10,608.1</w:t>
            </w:r>
          </w:p>
        </w:tc>
        <w:tc>
          <w:tcPr>
            <w:tcW w:w="1233" w:type="dxa"/>
            <w:tcBorders>
              <w:left w:val="nil"/>
              <w:bottom w:val="thickThinSmallGap" w:sz="24" w:space="0" w:color="auto"/>
              <w:right w:val="nil"/>
            </w:tcBorders>
            <w:vAlign w:val="center"/>
          </w:tcPr>
          <w:p w14:paraId="251CAB04" w14:textId="77777777" w:rsidR="00FC1F78" w:rsidRPr="005A68E6" w:rsidRDefault="00FC1F78" w:rsidP="00FC1F78">
            <w:pPr>
              <w:spacing w:line="240" w:lineRule="auto"/>
              <w:ind w:firstLine="0"/>
              <w:jc w:val="center"/>
              <w:rPr>
                <w:rFonts w:eastAsia="Calibri" w:cs="Arial"/>
                <w:lang w:val="en-US"/>
              </w:rPr>
            </w:pPr>
            <w:r w:rsidRPr="005A68E6">
              <w:t>11,804.6</w:t>
            </w:r>
          </w:p>
        </w:tc>
        <w:tc>
          <w:tcPr>
            <w:tcW w:w="1110" w:type="dxa"/>
            <w:tcBorders>
              <w:left w:val="nil"/>
              <w:bottom w:val="thickThinSmallGap" w:sz="24" w:space="0" w:color="auto"/>
              <w:right w:val="nil"/>
            </w:tcBorders>
            <w:vAlign w:val="center"/>
          </w:tcPr>
          <w:p w14:paraId="57D978D1" w14:textId="77777777" w:rsidR="00FC1F78" w:rsidRPr="005A68E6" w:rsidRDefault="00FC1F78" w:rsidP="00FC1F78">
            <w:pPr>
              <w:spacing w:line="240" w:lineRule="auto"/>
              <w:ind w:firstLine="0"/>
              <w:jc w:val="center"/>
              <w:rPr>
                <w:rFonts w:eastAsia="Calibri" w:cs="Arial"/>
                <w:lang w:val="en-US"/>
              </w:rPr>
            </w:pPr>
            <w:r w:rsidRPr="005A68E6">
              <w:t>13,136.0</w:t>
            </w:r>
          </w:p>
        </w:tc>
      </w:tr>
    </w:tbl>
    <w:p w14:paraId="181A25F0" w14:textId="025742C4" w:rsidR="0030505D" w:rsidRPr="005A68E6" w:rsidRDefault="0030505D" w:rsidP="0030505D">
      <w:pPr>
        <w:rPr>
          <w:color w:val="FF0000"/>
        </w:rPr>
      </w:pPr>
    </w:p>
    <w:p w14:paraId="68A919A4" w14:textId="77777777" w:rsidR="00D17AC4" w:rsidRPr="005A68E6" w:rsidRDefault="00D17AC4" w:rsidP="0030505D">
      <w:pPr>
        <w:rPr>
          <w:color w:val="FF0000"/>
        </w:rPr>
      </w:pPr>
    </w:p>
    <w:p w14:paraId="3E2E2A20" w14:textId="77777777" w:rsidR="0030505D" w:rsidRPr="005A68E6" w:rsidRDefault="0030505D" w:rsidP="0030505D">
      <w:pPr>
        <w:rPr>
          <w:color w:val="FF0000"/>
          <w:lang w:val="en-US"/>
        </w:rPr>
      </w:pPr>
    </w:p>
    <w:p w14:paraId="0C12E179" w14:textId="77777777" w:rsidR="00C1444D" w:rsidRPr="005A68E6" w:rsidRDefault="00C1444D" w:rsidP="00F1016F">
      <w:pPr>
        <w:pStyle w:val="ListParagraph"/>
        <w:spacing w:after="0"/>
        <w:ind w:left="709" w:firstLine="0"/>
        <w:rPr>
          <w:rFonts w:ascii="GHEA Grapalat" w:hAnsi="GHEA Grapalat"/>
          <w:color w:val="FF0000"/>
        </w:rPr>
      </w:pPr>
    </w:p>
    <w:p w14:paraId="7778873B" w14:textId="77777777" w:rsidR="003D49C0" w:rsidRPr="005A68E6" w:rsidRDefault="003D49C0">
      <w:pPr>
        <w:spacing w:line="240" w:lineRule="auto"/>
        <w:ind w:firstLine="0"/>
        <w:jc w:val="left"/>
        <w:rPr>
          <w:b/>
          <w:kern w:val="16"/>
          <w:sz w:val="26"/>
          <w:lang w:val="af-ZA" w:eastAsia="x-none"/>
        </w:rPr>
      </w:pPr>
      <w:r w:rsidRPr="005A68E6">
        <w:br w:type="page"/>
      </w:r>
    </w:p>
    <w:p w14:paraId="4B609C3F" w14:textId="1D524046" w:rsidR="00025E2D" w:rsidRPr="005A68E6" w:rsidRDefault="006474B3" w:rsidP="00941791">
      <w:pPr>
        <w:pStyle w:val="Heading2"/>
      </w:pPr>
      <w:bookmarkStart w:id="11" w:name="_Toc150627822"/>
      <w:r w:rsidRPr="005A68E6">
        <w:lastRenderedPageBreak/>
        <w:t>Targets and measures to be implemented</w:t>
      </w:r>
      <w:bookmarkEnd w:id="11"/>
    </w:p>
    <w:p w14:paraId="2A9CA8B4" w14:textId="7FE2B2BB" w:rsidR="004B7D2D" w:rsidRPr="005A68E6" w:rsidRDefault="004B7D2D" w:rsidP="003F66CB">
      <w:pPr>
        <w:rPr>
          <w:color w:val="FF0000"/>
        </w:rPr>
      </w:pPr>
    </w:p>
    <w:p w14:paraId="6E2F1F1C" w14:textId="0F190BB9" w:rsidR="00FA37E9" w:rsidRPr="005A68E6" w:rsidRDefault="00FA37E9" w:rsidP="00FA37E9">
      <w:r w:rsidRPr="005A68E6">
        <w:rPr>
          <w:lang w:val="en-US"/>
        </w:rPr>
        <w:t>This</w:t>
      </w:r>
      <w:r w:rsidRPr="005A68E6">
        <w:t xml:space="preserve"> section presents the </w:t>
      </w:r>
      <w:r w:rsidR="006A240D" w:rsidRPr="005A68E6">
        <w:rPr>
          <w:lang w:val="en-US"/>
        </w:rPr>
        <w:t xml:space="preserve">RA </w:t>
      </w:r>
      <w:r w:rsidR="004D6547" w:rsidRPr="005A68E6">
        <w:rPr>
          <w:lang w:val="en-US"/>
        </w:rPr>
        <w:t>G</w:t>
      </w:r>
      <w:r w:rsidR="006A240D" w:rsidRPr="005A68E6">
        <w:rPr>
          <w:lang w:val="en-US"/>
        </w:rPr>
        <w:t xml:space="preserve">overnment debt management </w:t>
      </w:r>
      <w:r w:rsidRPr="005A68E6">
        <w:rPr>
          <w:lang w:val="en-US"/>
        </w:rPr>
        <w:t>targets and measures</w:t>
      </w:r>
      <w:r w:rsidRPr="005A68E6">
        <w:t xml:space="preserve"> </w:t>
      </w:r>
      <w:r w:rsidR="006A240D" w:rsidRPr="005A68E6">
        <w:rPr>
          <w:lang w:val="en-US"/>
        </w:rPr>
        <w:t>to</w:t>
      </w:r>
      <w:r w:rsidRPr="005A68E6">
        <w:t xml:space="preserve"> be implemented in the medium</w:t>
      </w:r>
      <w:r w:rsidR="00941791" w:rsidRPr="005A68E6">
        <w:rPr>
          <w:lang w:val="en-US"/>
        </w:rPr>
        <w:t>-</w:t>
      </w:r>
      <w:r w:rsidRPr="005A68E6">
        <w:t>term:</w:t>
      </w:r>
    </w:p>
    <w:p w14:paraId="73F510BF" w14:textId="51488422" w:rsidR="00FA37E9" w:rsidRPr="005A68E6" w:rsidRDefault="00FA37E9" w:rsidP="008B5090">
      <w:pPr>
        <w:numPr>
          <w:ilvl w:val="0"/>
          <w:numId w:val="11"/>
        </w:numPr>
      </w:pPr>
      <w:r w:rsidRPr="005A68E6">
        <w:t xml:space="preserve">The legislation regulating debt operations will be reviewed </w:t>
      </w:r>
      <w:r w:rsidR="008B5090" w:rsidRPr="005A68E6">
        <w:rPr>
          <w:lang w:val="en-US"/>
        </w:rPr>
        <w:t>in accordance with</w:t>
      </w:r>
      <w:r w:rsidR="008B5090" w:rsidRPr="005A68E6">
        <w:t xml:space="preserve"> </w:t>
      </w:r>
      <w:r w:rsidRPr="005A68E6">
        <w:t xml:space="preserve">the international best practice, in particular, the RA Law “On Public Debt” will be </w:t>
      </w:r>
      <w:r w:rsidR="004D3989" w:rsidRPr="005A68E6">
        <w:t>revi</w:t>
      </w:r>
      <w:r w:rsidR="004D3989" w:rsidRPr="005A68E6">
        <w:rPr>
          <w:lang w:val="en-US"/>
        </w:rPr>
        <w:t>s</w:t>
      </w:r>
      <w:r w:rsidR="004D3989" w:rsidRPr="005A68E6">
        <w:t>ed</w:t>
      </w:r>
      <w:r w:rsidRPr="005A68E6">
        <w:t xml:space="preserve">. The </w:t>
      </w:r>
      <w:r w:rsidR="006A240D" w:rsidRPr="005A68E6">
        <w:rPr>
          <w:lang w:val="en-US"/>
        </w:rPr>
        <w:t>upgrading</w:t>
      </w:r>
      <w:r w:rsidRPr="005A68E6">
        <w:t xml:space="preserve"> of the RA Law “On Public Debt” is also included as an action in the "2019-2023 Strategy of the Public Financial Management System Reforms" approved by the RA Government Decree N 1716-L dated November 28, 2019, and in the "2019-2023 Action Plan of the Public Financial Management System Reforms".</w:t>
      </w:r>
    </w:p>
    <w:p w14:paraId="25D501A9" w14:textId="66305CAA" w:rsidR="00FA37E9" w:rsidRPr="005A68E6" w:rsidRDefault="00FA37E9" w:rsidP="00152228">
      <w:pPr>
        <w:numPr>
          <w:ilvl w:val="0"/>
          <w:numId w:val="11"/>
        </w:numPr>
      </w:pPr>
      <w:r w:rsidRPr="005A68E6">
        <w:t>In the medium and long</w:t>
      </w:r>
      <w:r w:rsidR="000A58DF" w:rsidRPr="005A68E6">
        <w:rPr>
          <w:lang w:val="en-US"/>
        </w:rPr>
        <w:t>-</w:t>
      </w:r>
      <w:r w:rsidRPr="005A68E6">
        <w:t>term, the volume of placement</w:t>
      </w:r>
      <w:r w:rsidR="00211B12" w:rsidRPr="005A68E6">
        <w:rPr>
          <w:lang w:val="en-US"/>
        </w:rPr>
        <w:t>s</w:t>
      </w:r>
      <w:r w:rsidRPr="005A68E6">
        <w:t xml:space="preserve"> of </w:t>
      </w:r>
      <w:r w:rsidR="000A58DF" w:rsidRPr="005A68E6">
        <w:rPr>
          <w:lang w:val="en-US"/>
        </w:rPr>
        <w:t>G</w:t>
      </w:r>
      <w:r w:rsidRPr="005A68E6">
        <w:t xml:space="preserve">overnment treasury </w:t>
      </w:r>
      <w:r w:rsidR="00754798" w:rsidRPr="005A68E6">
        <w:rPr>
          <w:lang w:val="en-US"/>
        </w:rPr>
        <w:t>securities</w:t>
      </w:r>
      <w:r w:rsidR="00754798" w:rsidRPr="005A68E6">
        <w:t xml:space="preserve"> </w:t>
      </w:r>
      <w:r w:rsidRPr="005A68E6">
        <w:t xml:space="preserve">will </w:t>
      </w:r>
      <w:r w:rsidR="00152228" w:rsidRPr="005A68E6">
        <w:rPr>
          <w:lang w:val="en-US"/>
        </w:rPr>
        <w:t xml:space="preserve">be </w:t>
      </w:r>
      <w:r w:rsidRPr="005A68E6">
        <w:t>constantly increase</w:t>
      </w:r>
      <w:r w:rsidR="00152228" w:rsidRPr="005A68E6">
        <w:rPr>
          <w:lang w:val="en-US"/>
        </w:rPr>
        <w:t>d</w:t>
      </w:r>
      <w:r w:rsidRPr="005A68E6">
        <w:t xml:space="preserve"> to maintain </w:t>
      </w:r>
      <w:r w:rsidR="00E67E08" w:rsidRPr="005A68E6">
        <w:rPr>
          <w:lang w:val="en-US"/>
        </w:rPr>
        <w:t>a</w:t>
      </w:r>
      <w:r w:rsidR="00E67E08" w:rsidRPr="005A68E6">
        <w:t xml:space="preserve"> </w:t>
      </w:r>
      <w:r w:rsidRPr="005A68E6">
        <w:t xml:space="preserve">share of domestic net borrowings in the sources of State budget deficit financing higher </w:t>
      </w:r>
      <w:r w:rsidR="00E67E08" w:rsidRPr="005A68E6">
        <w:rPr>
          <w:lang w:val="en-US"/>
        </w:rPr>
        <w:t xml:space="preserve">than </w:t>
      </w:r>
      <w:r w:rsidRPr="005A68E6">
        <w:t xml:space="preserve">the share of external net borrowings.  It will be aimed at reducing the exchange rate risk by increasing the </w:t>
      </w:r>
      <w:r w:rsidR="00E67E08" w:rsidRPr="005A68E6">
        <w:rPr>
          <w:lang w:val="en-US"/>
        </w:rPr>
        <w:t>share</w:t>
      </w:r>
      <w:r w:rsidR="00E67E08" w:rsidRPr="005A68E6">
        <w:t xml:space="preserve"> </w:t>
      </w:r>
      <w:r w:rsidRPr="005A68E6">
        <w:t xml:space="preserve">of AMD denominated debt, as well as forming the basis for the application of new instruments in the financial market (floating, index-linked, targeted, etc.) and for further development of the market. </w:t>
      </w:r>
    </w:p>
    <w:p w14:paraId="5F0E7326" w14:textId="66935F52" w:rsidR="00FA37E9" w:rsidRPr="005A68E6" w:rsidRDefault="00754798" w:rsidP="00AB7410">
      <w:pPr>
        <w:numPr>
          <w:ilvl w:val="0"/>
          <w:numId w:val="11"/>
        </w:numPr>
      </w:pPr>
      <w:r w:rsidRPr="005A68E6">
        <w:rPr>
          <w:lang w:val="en-US"/>
        </w:rPr>
        <w:t xml:space="preserve">The increase of the liquidity of the Government treasury securities through enhancing volumes of the outstanding securities </w:t>
      </w:r>
      <w:r w:rsidR="00FA37E9" w:rsidRPr="005A68E6">
        <w:t>will continue</w:t>
      </w:r>
      <w:r w:rsidRPr="005A68E6">
        <w:rPr>
          <w:lang w:val="en-US"/>
        </w:rPr>
        <w:t xml:space="preserve"> to be considered as a domes</w:t>
      </w:r>
      <w:r w:rsidR="00577719">
        <w:rPr>
          <w:lang w:val="en-US"/>
        </w:rPr>
        <w:t>t</w:t>
      </w:r>
      <w:r w:rsidRPr="005A68E6">
        <w:rPr>
          <w:lang w:val="en-US"/>
        </w:rPr>
        <w:t xml:space="preserve">ic public debt management target. </w:t>
      </w:r>
    </w:p>
    <w:p w14:paraId="0284D953" w14:textId="2BA69A35" w:rsidR="00A16196" w:rsidRPr="005A68E6" w:rsidRDefault="00FA37E9" w:rsidP="000A39A7">
      <w:pPr>
        <w:numPr>
          <w:ilvl w:val="0"/>
          <w:numId w:val="11"/>
        </w:numPr>
      </w:pPr>
      <w:r w:rsidRPr="005A68E6">
        <w:t xml:space="preserve">The </w:t>
      </w:r>
      <w:r w:rsidR="009939DF" w:rsidRPr="005A68E6">
        <w:rPr>
          <w:lang w:val="en-US"/>
        </w:rPr>
        <w:t xml:space="preserve">RA </w:t>
      </w:r>
      <w:r w:rsidRPr="005A68E6">
        <w:t>Ministry of Finance</w:t>
      </w:r>
      <w:r w:rsidRPr="005A68E6">
        <w:rPr>
          <w:lang w:val="en-US"/>
        </w:rPr>
        <w:t xml:space="preserve"> </w:t>
      </w:r>
      <w:r w:rsidRPr="005A68E6">
        <w:t xml:space="preserve">will continue the buybacks and exchanges of the </w:t>
      </w:r>
      <w:r w:rsidR="00325B6F" w:rsidRPr="005A68E6">
        <w:rPr>
          <w:lang w:val="en-US"/>
        </w:rPr>
        <w:t>G</w:t>
      </w:r>
      <w:r w:rsidRPr="005A68E6">
        <w:t xml:space="preserve">overnment treasury </w:t>
      </w:r>
      <w:r w:rsidR="00325B6F" w:rsidRPr="005A68E6">
        <w:rPr>
          <w:lang w:val="en-US"/>
        </w:rPr>
        <w:t>securities</w:t>
      </w:r>
      <w:r w:rsidR="00325B6F" w:rsidRPr="005A68E6">
        <w:t xml:space="preserve"> </w:t>
      </w:r>
      <w:r w:rsidRPr="005A68E6">
        <w:t xml:space="preserve">to smooth the </w:t>
      </w:r>
      <w:r w:rsidR="00DD2077" w:rsidRPr="005A68E6">
        <w:rPr>
          <w:lang w:val="en-US"/>
        </w:rPr>
        <w:t xml:space="preserve">debt redemption profile </w:t>
      </w:r>
      <w:r w:rsidRPr="005A68E6">
        <w:t xml:space="preserve">and </w:t>
      </w:r>
      <w:r w:rsidR="00DD2077" w:rsidRPr="005A68E6">
        <w:rPr>
          <w:lang w:val="en-US"/>
        </w:rPr>
        <w:t xml:space="preserve">to </w:t>
      </w:r>
      <w:r w:rsidRPr="005A68E6">
        <w:t xml:space="preserve">reduce the refinancing risk , as well as </w:t>
      </w:r>
      <w:r w:rsidR="00DD2077" w:rsidRPr="005A68E6">
        <w:rPr>
          <w:lang w:val="en-US"/>
        </w:rPr>
        <w:t xml:space="preserve">to </w:t>
      </w:r>
      <w:r w:rsidRPr="005A68E6">
        <w:t xml:space="preserve">increase the liquidity of the </w:t>
      </w:r>
      <w:r w:rsidR="00DD2077" w:rsidRPr="005A68E6">
        <w:rPr>
          <w:lang w:val="en-US"/>
        </w:rPr>
        <w:t xml:space="preserve">on-the-run securities </w:t>
      </w:r>
      <w:r w:rsidRPr="005A68E6">
        <w:t xml:space="preserve">and </w:t>
      </w:r>
      <w:r w:rsidR="00DD2077" w:rsidRPr="005A68E6">
        <w:rPr>
          <w:lang w:val="en-US"/>
        </w:rPr>
        <w:t xml:space="preserve">to </w:t>
      </w:r>
      <w:r w:rsidRPr="005A68E6">
        <w:t>promote the deve</w:t>
      </w:r>
      <w:r w:rsidR="0024298B" w:rsidRPr="005A68E6">
        <w:t>lopment of the secondary market.</w:t>
      </w:r>
    </w:p>
    <w:p w14:paraId="3D91EE70" w14:textId="5AAF7440" w:rsidR="00A16196" w:rsidRPr="005A68E6" w:rsidRDefault="008A447F" w:rsidP="00F80A17">
      <w:pPr>
        <w:numPr>
          <w:ilvl w:val="0"/>
          <w:numId w:val="11"/>
        </w:numPr>
      </w:pPr>
      <w:r w:rsidRPr="005A68E6">
        <w:rPr>
          <w:lang w:val="en-US"/>
        </w:rPr>
        <w:t xml:space="preserve">Availability of funds in the Stabilization Account in the amount of </w:t>
      </w:r>
      <w:r w:rsidR="000E4D70" w:rsidRPr="005A68E6">
        <w:rPr>
          <w:lang w:val="en-US"/>
        </w:rPr>
        <w:t xml:space="preserve">at least one percent of GDP projected </w:t>
      </w:r>
      <w:r w:rsidR="00352D67" w:rsidRPr="005A68E6">
        <w:rPr>
          <w:lang w:val="en-US"/>
        </w:rPr>
        <w:t>for the given year by the Budget Message of the RA Government will be ensured in line with the legal provisions on</w:t>
      </w:r>
      <w:r w:rsidR="00742D14" w:rsidRPr="005A68E6">
        <w:rPr>
          <w:lang w:val="en-US"/>
        </w:rPr>
        <w:t xml:space="preserve"> the</w:t>
      </w:r>
      <w:r w:rsidR="00352D67" w:rsidRPr="005A68E6">
        <w:rPr>
          <w:lang w:val="en-US"/>
        </w:rPr>
        <w:t xml:space="preserve"> Stabilization Fund. </w:t>
      </w:r>
      <w:r w:rsidR="0024298B" w:rsidRPr="005A68E6">
        <w:t xml:space="preserve">In case of undesirable processes in the domestic and foreign markets, it will ensure the smooth </w:t>
      </w:r>
      <w:r w:rsidR="00AD26BD" w:rsidRPr="005A68E6">
        <w:rPr>
          <w:lang w:val="en-US"/>
        </w:rPr>
        <w:t>execution</w:t>
      </w:r>
      <w:r w:rsidR="009939DF" w:rsidRPr="005A68E6">
        <w:t xml:space="preserve"> </w:t>
      </w:r>
      <w:r w:rsidR="0024298B" w:rsidRPr="005A68E6">
        <w:t xml:space="preserve">of payments on </w:t>
      </w:r>
      <w:r w:rsidR="009939DF" w:rsidRPr="005A68E6">
        <w:rPr>
          <w:lang w:val="en-US"/>
        </w:rPr>
        <w:t>G</w:t>
      </w:r>
      <w:r w:rsidR="0024298B" w:rsidRPr="005A68E6">
        <w:t xml:space="preserve">overnment debt and, if necessary, </w:t>
      </w:r>
      <w:r w:rsidR="00AD26BD" w:rsidRPr="005A68E6">
        <w:rPr>
          <w:lang w:val="en-US"/>
        </w:rPr>
        <w:t xml:space="preserve">it will </w:t>
      </w:r>
      <w:r w:rsidR="0024298B" w:rsidRPr="005A68E6">
        <w:t xml:space="preserve">support the </w:t>
      </w:r>
      <w:r w:rsidR="009939DF" w:rsidRPr="005A68E6">
        <w:rPr>
          <w:lang w:val="en-US"/>
        </w:rPr>
        <w:t>execution</w:t>
      </w:r>
      <w:r w:rsidR="009939DF" w:rsidRPr="005A68E6">
        <w:t xml:space="preserve"> </w:t>
      </w:r>
      <w:r w:rsidR="0024298B" w:rsidRPr="005A68E6">
        <w:t xml:space="preserve">of the </w:t>
      </w:r>
      <w:r w:rsidR="009939DF" w:rsidRPr="005A68E6">
        <w:rPr>
          <w:lang w:val="en-US"/>
        </w:rPr>
        <w:t xml:space="preserve">RA </w:t>
      </w:r>
      <w:r w:rsidR="0024298B" w:rsidRPr="005A68E6">
        <w:t>State budget.</w:t>
      </w:r>
    </w:p>
    <w:p w14:paraId="5527A364" w14:textId="1DF91C68" w:rsidR="00373AB4" w:rsidRPr="005A68E6" w:rsidRDefault="004D6D5D" w:rsidP="00F80A17">
      <w:pPr>
        <w:numPr>
          <w:ilvl w:val="0"/>
          <w:numId w:val="11"/>
        </w:numPr>
        <w:rPr>
          <w:lang w:val="en-US"/>
        </w:rPr>
      </w:pPr>
      <w:r w:rsidRPr="005A68E6">
        <w:rPr>
          <w:lang w:val="en-US"/>
        </w:rPr>
        <w:t>As part of this Strategy</w:t>
      </w:r>
      <w:r w:rsidR="00577719">
        <w:rPr>
          <w:lang w:val="en-US"/>
        </w:rPr>
        <w:t>,</w:t>
      </w:r>
      <w:r w:rsidRPr="005A68E6">
        <w:rPr>
          <w:lang w:val="en-US"/>
        </w:rPr>
        <w:t xml:space="preserve"> </w:t>
      </w:r>
      <w:r w:rsidR="0024298B" w:rsidRPr="005A68E6">
        <w:t xml:space="preserve">it is </w:t>
      </w:r>
      <w:r w:rsidR="009E56E4" w:rsidRPr="005A68E6">
        <w:rPr>
          <w:lang w:val="en-US"/>
        </w:rPr>
        <w:t>envisag</w:t>
      </w:r>
      <w:r w:rsidR="007D0709">
        <w:t>ed</w:t>
      </w:r>
      <w:r w:rsidR="0024298B" w:rsidRPr="005A68E6">
        <w:t xml:space="preserve"> to </w:t>
      </w:r>
      <w:r w:rsidRPr="005A68E6">
        <w:rPr>
          <w:lang w:val="en-US"/>
        </w:rPr>
        <w:t>issue</w:t>
      </w:r>
      <w:r w:rsidRPr="005A68E6">
        <w:t xml:space="preserve"> </w:t>
      </w:r>
      <w:r w:rsidR="0024298B" w:rsidRPr="005A68E6">
        <w:t>new Eurobonds</w:t>
      </w:r>
      <w:r w:rsidRPr="005A68E6">
        <w:rPr>
          <w:lang w:val="en-US"/>
        </w:rPr>
        <w:t xml:space="preserve"> </w:t>
      </w:r>
      <w:r w:rsidR="009E56E4" w:rsidRPr="005A68E6">
        <w:rPr>
          <w:lang w:val="en-US"/>
        </w:rPr>
        <w:t xml:space="preserve">in order </w:t>
      </w:r>
      <w:r w:rsidRPr="005A68E6">
        <w:rPr>
          <w:lang w:val="en-US"/>
        </w:rPr>
        <w:t>to refinance Eurobonds</w:t>
      </w:r>
      <w:r w:rsidR="00B26C9B" w:rsidRPr="005A68E6">
        <w:rPr>
          <w:lang w:val="en-US"/>
        </w:rPr>
        <w:t xml:space="preserve"> maturing in 2025</w:t>
      </w:r>
      <w:r w:rsidR="0024298B" w:rsidRPr="005A68E6">
        <w:rPr>
          <w:lang w:val="en-US"/>
        </w:rPr>
        <w:t>.</w:t>
      </w:r>
      <w:r w:rsidR="0024298B" w:rsidRPr="005A68E6">
        <w:t xml:space="preserve"> </w:t>
      </w:r>
      <w:r w:rsidR="0024298B" w:rsidRPr="005A68E6">
        <w:rPr>
          <w:lang w:val="en-US"/>
        </w:rPr>
        <w:t>However, in the medium</w:t>
      </w:r>
      <w:r w:rsidR="00941791" w:rsidRPr="005A68E6">
        <w:rPr>
          <w:lang w:val="en-US"/>
        </w:rPr>
        <w:t>-</w:t>
      </w:r>
      <w:r w:rsidR="0024298B" w:rsidRPr="005A68E6">
        <w:rPr>
          <w:lang w:val="en-US"/>
        </w:rPr>
        <w:t xml:space="preserve">term, </w:t>
      </w:r>
      <w:r w:rsidR="009C7262" w:rsidRPr="005A68E6">
        <w:rPr>
          <w:lang w:val="en-US"/>
        </w:rPr>
        <w:t xml:space="preserve">in case of possibility </w:t>
      </w:r>
      <w:r w:rsidR="0024298B" w:rsidRPr="005A68E6">
        <w:rPr>
          <w:lang w:val="en-US"/>
        </w:rPr>
        <w:t xml:space="preserve">to attract loans from international financial institutions on more favorable terms or </w:t>
      </w:r>
      <w:r w:rsidR="00861FB5" w:rsidRPr="005A68E6">
        <w:rPr>
          <w:lang w:val="en-US"/>
        </w:rPr>
        <w:t xml:space="preserve">amid </w:t>
      </w:r>
      <w:r w:rsidR="0024298B" w:rsidRPr="005A68E6">
        <w:rPr>
          <w:lang w:val="en-US"/>
        </w:rPr>
        <w:t xml:space="preserve">favorable conditions on the domestic market, the </w:t>
      </w:r>
      <w:r w:rsidR="009C7262" w:rsidRPr="005A68E6">
        <w:rPr>
          <w:lang w:val="en-US"/>
        </w:rPr>
        <w:t>G</w:t>
      </w:r>
      <w:r w:rsidR="0024298B" w:rsidRPr="005A68E6">
        <w:rPr>
          <w:lang w:val="en-US"/>
        </w:rPr>
        <w:t xml:space="preserve">overnment will consider the feasibility of refinancing </w:t>
      </w:r>
      <w:r w:rsidR="009C7262" w:rsidRPr="005A68E6">
        <w:rPr>
          <w:lang w:val="en-US"/>
        </w:rPr>
        <w:t xml:space="preserve">2025 </w:t>
      </w:r>
      <w:r w:rsidR="0024298B" w:rsidRPr="005A68E6">
        <w:rPr>
          <w:lang w:val="en-US"/>
        </w:rPr>
        <w:t xml:space="preserve">Eurobonds </w:t>
      </w:r>
      <w:r w:rsidR="00861FB5" w:rsidRPr="005A68E6">
        <w:rPr>
          <w:lang w:val="en-US"/>
        </w:rPr>
        <w:t xml:space="preserve">through each of these sources or their combination </w:t>
      </w:r>
      <w:r w:rsidR="0024298B" w:rsidRPr="005A68E6">
        <w:rPr>
          <w:lang w:val="en-US"/>
        </w:rPr>
        <w:t xml:space="preserve">or early </w:t>
      </w:r>
      <w:r w:rsidR="009E56E4" w:rsidRPr="005A68E6">
        <w:rPr>
          <w:lang w:val="en-US"/>
        </w:rPr>
        <w:t>buy back</w:t>
      </w:r>
      <w:r w:rsidR="0024298B" w:rsidRPr="005A68E6">
        <w:rPr>
          <w:lang w:val="en-US"/>
        </w:rPr>
        <w:t xml:space="preserve"> of Eurobonds in parallel with </w:t>
      </w:r>
      <w:r w:rsidR="00861FB5" w:rsidRPr="005A68E6">
        <w:rPr>
          <w:lang w:val="en-US"/>
        </w:rPr>
        <w:t xml:space="preserve">borrowings. </w:t>
      </w:r>
    </w:p>
    <w:p w14:paraId="6CB41808" w14:textId="6C3A389B" w:rsidR="00A278C6" w:rsidRPr="005A68E6" w:rsidRDefault="0024298B" w:rsidP="00F80A17">
      <w:pPr>
        <w:numPr>
          <w:ilvl w:val="0"/>
          <w:numId w:val="11"/>
        </w:numPr>
      </w:pPr>
      <w:r w:rsidRPr="005A68E6">
        <w:t xml:space="preserve">The cooperation with the external creditors will be continued, giving preference to the cooperation with the creditors providing loans with </w:t>
      </w:r>
      <w:r w:rsidRPr="005A68E6">
        <w:rPr>
          <w:lang w:val="en-US"/>
        </w:rPr>
        <w:t xml:space="preserve">the most </w:t>
      </w:r>
      <w:r w:rsidRPr="005A68E6">
        <w:t xml:space="preserve">favorable terms and in freely convertible currency, </w:t>
      </w:r>
      <w:r w:rsidRPr="005A68E6">
        <w:lastRenderedPageBreak/>
        <w:t xml:space="preserve">and there will be a gradual shift to deficit financing through market instruments. </w:t>
      </w:r>
      <w:r w:rsidR="00F050FF" w:rsidRPr="005A68E6">
        <w:rPr>
          <w:lang w:val="en-US"/>
        </w:rPr>
        <w:t>W</w:t>
      </w:r>
      <w:r w:rsidR="00F050FF" w:rsidRPr="005A68E6">
        <w:t xml:space="preserve">ithin the </w:t>
      </w:r>
      <w:r w:rsidR="000302F4" w:rsidRPr="005A68E6">
        <w:rPr>
          <w:lang w:val="en-US"/>
        </w:rPr>
        <w:t>scope</w:t>
      </w:r>
      <w:r w:rsidR="00F050FF" w:rsidRPr="005A68E6">
        <w:t xml:space="preserve"> of cooperation with external creditors</w:t>
      </w:r>
      <w:r w:rsidR="007D0709">
        <w:rPr>
          <w:lang w:val="en-US"/>
        </w:rPr>
        <w:t>,</w:t>
      </w:r>
      <w:r w:rsidR="00F050FF" w:rsidRPr="005A68E6">
        <w:t xml:space="preserve"> </w:t>
      </w:r>
      <w:r w:rsidR="007D0709">
        <w:rPr>
          <w:lang w:val="en-US"/>
        </w:rPr>
        <w:t>i</w:t>
      </w:r>
      <w:r w:rsidR="000302F4" w:rsidRPr="005A68E6">
        <w:t>t is also planned</w:t>
      </w:r>
      <w:r w:rsidRPr="005A68E6">
        <w:t xml:space="preserve"> to implement new </w:t>
      </w:r>
      <w:r w:rsidR="00724D5E" w:rsidRPr="005A68E6">
        <w:rPr>
          <w:lang w:val="en-US"/>
        </w:rPr>
        <w:t>projects</w:t>
      </w:r>
      <w:r w:rsidR="00724D5E" w:rsidRPr="005A68E6">
        <w:t xml:space="preserve"> </w:t>
      </w:r>
      <w:r w:rsidR="00724D5E" w:rsidRPr="005A68E6">
        <w:rPr>
          <w:lang w:val="en-US"/>
        </w:rPr>
        <w:t xml:space="preserve">in the water, healthcare and other sectors </w:t>
      </w:r>
      <w:r w:rsidR="000302F4" w:rsidRPr="005A68E6">
        <w:rPr>
          <w:lang w:val="en-US"/>
        </w:rPr>
        <w:t xml:space="preserve">by </w:t>
      </w:r>
      <w:r w:rsidRPr="005A68E6">
        <w:t>using the "</w:t>
      </w:r>
      <w:r w:rsidR="00F050FF" w:rsidRPr="005A68E6">
        <w:rPr>
          <w:lang w:val="en-US"/>
        </w:rPr>
        <w:t>Projects</w:t>
      </w:r>
      <w:r w:rsidRPr="005A68E6">
        <w:t xml:space="preserve"> for result" financing tool</w:t>
      </w:r>
      <w:r w:rsidR="00F050FF" w:rsidRPr="005A68E6">
        <w:rPr>
          <w:lang w:val="en-US"/>
        </w:rPr>
        <w:t>.</w:t>
      </w:r>
      <w:r w:rsidRPr="005A68E6">
        <w:t xml:space="preserve"> </w:t>
      </w:r>
    </w:p>
    <w:p w14:paraId="5442C4E6" w14:textId="2CFF9CA9" w:rsidR="0024298B" w:rsidRPr="005A68E6" w:rsidRDefault="00534FC8" w:rsidP="00F80A17">
      <w:pPr>
        <w:numPr>
          <w:ilvl w:val="0"/>
          <w:numId w:val="11"/>
        </w:numPr>
      </w:pPr>
      <w:r w:rsidRPr="005A68E6">
        <w:rPr>
          <w:lang w:val="en-US"/>
        </w:rPr>
        <w:t>A</w:t>
      </w:r>
      <w:r w:rsidR="0024298B" w:rsidRPr="005A68E6">
        <w:t xml:space="preserve"> new electronic system </w:t>
      </w:r>
      <w:r w:rsidR="002622DF" w:rsidRPr="005A68E6">
        <w:rPr>
          <w:lang w:val="en-US"/>
        </w:rPr>
        <w:t>for</w:t>
      </w:r>
      <w:r w:rsidR="002622DF" w:rsidRPr="005A68E6">
        <w:t xml:space="preserve"> </w:t>
      </w:r>
      <w:r w:rsidR="002622DF" w:rsidRPr="005A68E6">
        <w:rPr>
          <w:lang w:val="en-US"/>
        </w:rPr>
        <w:t>recording,</w:t>
      </w:r>
      <w:r w:rsidRPr="005A68E6">
        <w:rPr>
          <w:lang w:val="en-US"/>
        </w:rPr>
        <w:t xml:space="preserve"> </w:t>
      </w:r>
      <w:r w:rsidR="0024298B" w:rsidRPr="005A68E6">
        <w:t xml:space="preserve">servicing and </w:t>
      </w:r>
      <w:r w:rsidR="002622DF" w:rsidRPr="005A68E6">
        <w:rPr>
          <w:lang w:val="en-US"/>
        </w:rPr>
        <w:t>organizing</w:t>
      </w:r>
      <w:r w:rsidR="0024298B" w:rsidRPr="005A68E6">
        <w:t xml:space="preserve"> other processes </w:t>
      </w:r>
      <w:r w:rsidR="002622DF" w:rsidRPr="005A68E6">
        <w:rPr>
          <w:lang w:val="en-US"/>
        </w:rPr>
        <w:t xml:space="preserve">related to the RA Government debt </w:t>
      </w:r>
      <w:r w:rsidR="0024298B" w:rsidRPr="005A68E6">
        <w:t>will be introduced</w:t>
      </w:r>
      <w:r w:rsidRPr="005A68E6">
        <w:t xml:space="preserve"> </w:t>
      </w:r>
      <w:r w:rsidRPr="005A68E6">
        <w:rPr>
          <w:lang w:val="en-US"/>
        </w:rPr>
        <w:t>a</w:t>
      </w:r>
      <w:r w:rsidRPr="005A68E6">
        <w:t>s</w:t>
      </w:r>
      <w:r w:rsidRPr="005A68E6">
        <w:rPr>
          <w:lang w:val="en-US"/>
        </w:rPr>
        <w:t xml:space="preserve"> a</w:t>
      </w:r>
      <w:r w:rsidRPr="005A68E6">
        <w:t xml:space="preserve"> part of the development of the RA Government financial management information system</w:t>
      </w:r>
      <w:r w:rsidR="0024298B" w:rsidRPr="005A68E6">
        <w:t>.</w:t>
      </w:r>
    </w:p>
    <w:p w14:paraId="5CA862B6" w14:textId="092E2CD3" w:rsidR="00B95955" w:rsidRPr="005A68E6" w:rsidRDefault="00B95955" w:rsidP="00F80A17">
      <w:pPr>
        <w:numPr>
          <w:ilvl w:val="0"/>
          <w:numId w:val="11"/>
        </w:numPr>
      </w:pPr>
      <w:r w:rsidRPr="005A68E6">
        <w:rPr>
          <w:color w:val="FF0000"/>
        </w:rPr>
        <w:t xml:space="preserve"> </w:t>
      </w:r>
      <w:r w:rsidR="0024298B" w:rsidRPr="005A68E6">
        <w:t xml:space="preserve">An electronic system for organizing the Government treasury </w:t>
      </w:r>
      <w:r w:rsidR="00F80A17" w:rsidRPr="005A68E6">
        <w:rPr>
          <w:lang w:val="en-US"/>
        </w:rPr>
        <w:t>securities</w:t>
      </w:r>
      <w:r w:rsidR="00F80A17" w:rsidRPr="005A68E6">
        <w:t xml:space="preserve"> </w:t>
      </w:r>
      <w:r w:rsidR="0024298B" w:rsidRPr="005A68E6">
        <w:t>switch auctions will be introduced.</w:t>
      </w:r>
    </w:p>
    <w:p w14:paraId="42DFC233" w14:textId="228D20DE" w:rsidR="00025E2D" w:rsidRPr="005A68E6" w:rsidRDefault="00534FC8" w:rsidP="00F80A17">
      <w:pPr>
        <w:numPr>
          <w:ilvl w:val="0"/>
          <w:numId w:val="11"/>
        </w:numPr>
      </w:pPr>
      <w:r w:rsidRPr="005A68E6">
        <w:rPr>
          <w:lang w:val="en-US"/>
        </w:rPr>
        <w:t>Highlighting the</w:t>
      </w:r>
      <w:r w:rsidR="0024298B" w:rsidRPr="005A68E6">
        <w:t xml:space="preserve"> importance </w:t>
      </w:r>
      <w:r w:rsidR="0067755F" w:rsidRPr="005A68E6">
        <w:t>of</w:t>
      </w:r>
      <w:r w:rsidR="0024298B" w:rsidRPr="005A68E6">
        <w:t xml:space="preserve"> the development of the retail market of </w:t>
      </w:r>
      <w:r w:rsidR="00820FE4" w:rsidRPr="005A68E6">
        <w:rPr>
          <w:lang w:val="en-US"/>
        </w:rPr>
        <w:t>G</w:t>
      </w:r>
      <w:r w:rsidR="0024298B" w:rsidRPr="005A68E6">
        <w:t xml:space="preserve">overnment treasury </w:t>
      </w:r>
      <w:r w:rsidR="00820FE4" w:rsidRPr="005A68E6">
        <w:rPr>
          <w:lang w:val="en-US"/>
        </w:rPr>
        <w:t>securities</w:t>
      </w:r>
      <w:r w:rsidR="0024298B" w:rsidRPr="005A68E6">
        <w:t xml:space="preserve">, </w:t>
      </w:r>
      <w:r w:rsidR="0067755F" w:rsidRPr="005A68E6">
        <w:rPr>
          <w:lang w:val="en-US"/>
        </w:rPr>
        <w:t xml:space="preserve">some </w:t>
      </w:r>
      <w:r w:rsidRPr="005A68E6">
        <w:rPr>
          <w:lang w:val="en-US"/>
        </w:rPr>
        <w:t>measures</w:t>
      </w:r>
      <w:r w:rsidR="0024298B" w:rsidRPr="005A68E6">
        <w:t xml:space="preserve"> will be </w:t>
      </w:r>
      <w:r w:rsidRPr="005A68E6">
        <w:rPr>
          <w:lang w:val="en-US"/>
        </w:rPr>
        <w:t>under</w:t>
      </w:r>
      <w:r w:rsidR="0024298B" w:rsidRPr="005A68E6">
        <w:t>taken</w:t>
      </w:r>
      <w:r w:rsidRPr="005A68E6">
        <w:rPr>
          <w:lang w:val="en-US"/>
        </w:rPr>
        <w:t xml:space="preserve"> </w:t>
      </w:r>
      <w:r w:rsidR="0024298B" w:rsidRPr="005A68E6">
        <w:t xml:space="preserve">to ensure accessibility </w:t>
      </w:r>
      <w:r w:rsidR="00820FE4" w:rsidRPr="005A68E6">
        <w:rPr>
          <w:lang w:val="en-US"/>
        </w:rPr>
        <w:t xml:space="preserve">of </w:t>
      </w:r>
      <w:r w:rsidR="00820FE4" w:rsidRPr="005A68E6">
        <w:t xml:space="preserve">the retail platform (gp.minfin.am) </w:t>
      </w:r>
      <w:r w:rsidR="0024298B" w:rsidRPr="005A68E6">
        <w:t xml:space="preserve">outside </w:t>
      </w:r>
      <w:r w:rsidR="0067755F" w:rsidRPr="005A68E6">
        <w:rPr>
          <w:lang w:val="en-US"/>
        </w:rPr>
        <w:t xml:space="preserve">of </w:t>
      </w:r>
      <w:r w:rsidR="0024298B" w:rsidRPr="005A68E6">
        <w:t xml:space="preserve">the territory of the </w:t>
      </w:r>
      <w:r w:rsidR="0024298B" w:rsidRPr="005A68E6">
        <w:rPr>
          <w:lang w:val="en-US"/>
        </w:rPr>
        <w:t xml:space="preserve">RA </w:t>
      </w:r>
      <w:r w:rsidR="0024298B" w:rsidRPr="005A68E6">
        <w:t xml:space="preserve">and to make the </w:t>
      </w:r>
      <w:r w:rsidR="0067755F" w:rsidRPr="005A68E6">
        <w:rPr>
          <w:lang w:val="en-US"/>
        </w:rPr>
        <w:t>G</w:t>
      </w:r>
      <w:r w:rsidR="0024298B" w:rsidRPr="005A68E6">
        <w:rPr>
          <w:lang w:val="en-US"/>
        </w:rPr>
        <w:t>overnment</w:t>
      </w:r>
      <w:r w:rsidR="0024298B" w:rsidRPr="005A68E6">
        <w:t xml:space="preserve"> </w:t>
      </w:r>
      <w:r w:rsidR="0024298B" w:rsidRPr="005A68E6">
        <w:rPr>
          <w:lang w:val="en-US"/>
        </w:rPr>
        <w:t>t</w:t>
      </w:r>
      <w:r w:rsidR="0024298B" w:rsidRPr="005A68E6">
        <w:t>reasury bonds market more accessible</w:t>
      </w:r>
      <w:r w:rsidR="00165881" w:rsidRPr="005A68E6">
        <w:rPr>
          <w:lang w:val="en-US"/>
        </w:rPr>
        <w:t xml:space="preserve"> for non-residents. </w:t>
      </w:r>
      <w:r w:rsidR="00820FE4" w:rsidRPr="005A68E6">
        <w:rPr>
          <w:lang w:val="en-US"/>
        </w:rPr>
        <w:t>Along</w:t>
      </w:r>
      <w:r w:rsidR="0024298B" w:rsidRPr="005A68E6">
        <w:t xml:space="preserve"> with the steps to strengthen the confidence </w:t>
      </w:r>
      <w:r w:rsidR="00820FE4" w:rsidRPr="005A68E6">
        <w:rPr>
          <w:lang w:val="en-US"/>
        </w:rPr>
        <w:t>towards</w:t>
      </w:r>
      <w:r w:rsidR="00820FE4" w:rsidRPr="005A68E6">
        <w:t xml:space="preserve"> </w:t>
      </w:r>
      <w:r w:rsidR="0024298B" w:rsidRPr="005A68E6">
        <w:t xml:space="preserve">the </w:t>
      </w:r>
      <w:r w:rsidR="00820FE4" w:rsidRPr="005A68E6">
        <w:rPr>
          <w:lang w:val="en-US"/>
        </w:rPr>
        <w:t>G</w:t>
      </w:r>
      <w:r w:rsidR="0024298B" w:rsidRPr="005A68E6">
        <w:t xml:space="preserve">overnment, </w:t>
      </w:r>
      <w:r w:rsidR="009510D5" w:rsidRPr="005A68E6">
        <w:rPr>
          <w:lang w:val="en-US"/>
        </w:rPr>
        <w:t>p</w:t>
      </w:r>
      <w:r w:rsidR="00820FE4" w:rsidRPr="005A68E6">
        <w:rPr>
          <w:lang w:val="en-US"/>
        </w:rPr>
        <w:t xml:space="preserve">ublic awareness activities </w:t>
      </w:r>
      <w:r w:rsidR="0024298B" w:rsidRPr="005A68E6">
        <w:t xml:space="preserve">will continue </w:t>
      </w:r>
      <w:r w:rsidR="00164871" w:rsidRPr="005A68E6">
        <w:rPr>
          <w:lang w:val="en-US"/>
        </w:rPr>
        <w:t xml:space="preserve">to be implemented </w:t>
      </w:r>
      <w:r w:rsidR="0024298B" w:rsidRPr="005A68E6">
        <w:t>among potential investors.</w:t>
      </w:r>
    </w:p>
    <w:p w14:paraId="3983742D" w14:textId="77777777" w:rsidR="0024298B" w:rsidRPr="005A68E6" w:rsidRDefault="0024298B" w:rsidP="00F80A17">
      <w:pPr>
        <w:numPr>
          <w:ilvl w:val="0"/>
          <w:numId w:val="11"/>
        </w:numPr>
      </w:pPr>
      <w:r w:rsidRPr="005A68E6">
        <w:t>One of the most important factors of efficient debt management is the insurance of transparency and permanent communication with society. To this end, the Government will continue the open and public activities with the investors and society, as well as the presentations of debt reports.</w:t>
      </w:r>
    </w:p>
    <w:p w14:paraId="198CBBB1" w14:textId="77777777" w:rsidR="008E36CD" w:rsidRPr="005A68E6" w:rsidRDefault="008E36CD" w:rsidP="00A1274B"/>
    <w:p w14:paraId="47093D75" w14:textId="77777777" w:rsidR="00EE6EFA" w:rsidRPr="005A68E6" w:rsidRDefault="00025E2D" w:rsidP="00A1274B">
      <w:r w:rsidRPr="005A68E6">
        <w:t xml:space="preserve"> </w:t>
      </w:r>
    </w:p>
    <w:p w14:paraId="6AA56627" w14:textId="1F0216B5" w:rsidR="0024298B" w:rsidRPr="005A68E6" w:rsidRDefault="00EE6EFA" w:rsidP="00941791">
      <w:pPr>
        <w:pStyle w:val="Heading2"/>
      </w:pPr>
      <w:r w:rsidRPr="005A68E6">
        <w:br w:type="page"/>
      </w:r>
      <w:bookmarkStart w:id="12" w:name="_Toc150627823"/>
      <w:r w:rsidR="006474B3" w:rsidRPr="005A68E6">
        <w:lastRenderedPageBreak/>
        <w:t>Selection of the RA Government Debt Management Strategy</w:t>
      </w:r>
      <w:bookmarkEnd w:id="12"/>
      <w:r w:rsidR="006474B3" w:rsidRPr="005A68E6">
        <w:t xml:space="preserve"> </w:t>
      </w:r>
    </w:p>
    <w:p w14:paraId="1283A5F2" w14:textId="58FBBF8C" w:rsidR="00581DD1" w:rsidRPr="005A68E6" w:rsidRDefault="00581DD1" w:rsidP="00A1274B">
      <w:pPr>
        <w:rPr>
          <w:color w:val="FF0000"/>
          <w:lang w:eastAsia="ru-RU"/>
        </w:rPr>
      </w:pPr>
    </w:p>
    <w:p w14:paraId="3A5AAFC1" w14:textId="2AB00A38" w:rsidR="0024298B" w:rsidRPr="005A68E6" w:rsidRDefault="0024298B" w:rsidP="00A4497D">
      <w:pPr>
        <w:rPr>
          <w:lang w:val="en-US"/>
        </w:rPr>
      </w:pPr>
      <w:r w:rsidRPr="005A68E6">
        <w:rPr>
          <w:lang w:eastAsia="ru-RU"/>
        </w:rPr>
        <w:t>The macroeconomic and fiscal indicators used in the</w:t>
      </w:r>
      <w:r w:rsidRPr="005A68E6">
        <w:rPr>
          <w:lang w:val="en-US" w:eastAsia="ru-RU"/>
        </w:rPr>
        <w:t xml:space="preserve"> RA </w:t>
      </w:r>
      <w:r w:rsidR="004D6547" w:rsidRPr="005A68E6">
        <w:rPr>
          <w:lang w:val="en-US" w:eastAsia="ru-RU"/>
        </w:rPr>
        <w:t>G</w:t>
      </w:r>
      <w:r w:rsidRPr="005A68E6">
        <w:rPr>
          <w:lang w:val="en-US" w:eastAsia="ru-RU"/>
        </w:rPr>
        <w:t xml:space="preserve">overnment debt management strategy </w:t>
      </w:r>
      <w:r w:rsidRPr="005A68E6">
        <w:rPr>
          <w:lang w:eastAsia="ru-RU"/>
        </w:rPr>
        <w:t xml:space="preserve"> are </w:t>
      </w:r>
      <w:r w:rsidR="00287EE6" w:rsidRPr="005A68E6">
        <w:rPr>
          <w:lang w:val="en-US" w:eastAsia="ru-RU"/>
        </w:rPr>
        <w:t>aligned</w:t>
      </w:r>
      <w:r w:rsidRPr="005A68E6">
        <w:rPr>
          <w:lang w:eastAsia="ru-RU"/>
        </w:rPr>
        <w:t xml:space="preserve"> with the macroeconomic and fiscal frameworks projected by the </w:t>
      </w:r>
      <w:r w:rsidR="00287EE6" w:rsidRPr="005A68E6">
        <w:rPr>
          <w:lang w:val="en-US" w:eastAsia="ru-RU"/>
        </w:rPr>
        <w:t>MTEF</w:t>
      </w:r>
      <w:r w:rsidRPr="005A68E6">
        <w:rPr>
          <w:lang w:val="en-US" w:eastAsia="ru-RU"/>
        </w:rPr>
        <w:t xml:space="preserve"> </w:t>
      </w:r>
      <w:r w:rsidRPr="005A68E6">
        <w:rPr>
          <w:lang w:eastAsia="ru-RU"/>
        </w:rPr>
        <w:t>for 2024-2026.</w:t>
      </w:r>
      <w:r w:rsidRPr="005A68E6">
        <w:rPr>
          <w:lang w:val="en-US"/>
        </w:rPr>
        <w:t xml:space="preserve">  </w:t>
      </w:r>
      <w:r w:rsidR="00BF0312" w:rsidRPr="005A68E6">
        <w:rPr>
          <w:lang w:val="en-US"/>
        </w:rPr>
        <w:t>T</w:t>
      </w:r>
      <w:r w:rsidRPr="005A68E6">
        <w:rPr>
          <w:lang w:val="en-US"/>
        </w:rPr>
        <w:t xml:space="preserve">he </w:t>
      </w:r>
      <w:r w:rsidRPr="005A68E6">
        <w:rPr>
          <w:lang w:val="en-US" w:eastAsia="ru-RU"/>
        </w:rPr>
        <w:t xml:space="preserve">RA </w:t>
      </w:r>
      <w:r w:rsidR="00BF0312" w:rsidRPr="005A68E6">
        <w:rPr>
          <w:lang w:eastAsia="ru-RU"/>
        </w:rPr>
        <w:t>G</w:t>
      </w:r>
      <w:r w:rsidRPr="005A68E6">
        <w:rPr>
          <w:lang w:val="en-US" w:eastAsia="ru-RU"/>
        </w:rPr>
        <w:t xml:space="preserve">overnment debt management strategy </w:t>
      </w:r>
      <w:r w:rsidR="00BF0312" w:rsidRPr="005A68E6">
        <w:rPr>
          <w:lang w:val="en-US"/>
        </w:rPr>
        <w:t>envisaged</w:t>
      </w:r>
      <w:r w:rsidRPr="005A68E6">
        <w:rPr>
          <w:lang w:val="en-US"/>
        </w:rPr>
        <w:t xml:space="preserve"> that </w:t>
      </w:r>
      <w:r w:rsidRPr="005A68E6">
        <w:rPr>
          <w:color w:val="000000"/>
        </w:rPr>
        <w:t>the RA Government debt/GDP ratio</w:t>
      </w:r>
      <w:r w:rsidRPr="005A68E6">
        <w:rPr>
          <w:lang w:val="en-US"/>
        </w:rPr>
        <w:t xml:space="preserve"> should not exceed 50%</w:t>
      </w:r>
      <w:r w:rsidR="00997F25" w:rsidRPr="005A68E6">
        <w:rPr>
          <w:lang w:val="en-US"/>
        </w:rPr>
        <w:t xml:space="preserve"> in the medium</w:t>
      </w:r>
      <w:r w:rsidR="00941791" w:rsidRPr="005A68E6">
        <w:rPr>
          <w:lang w:val="en-US"/>
        </w:rPr>
        <w:t>-</w:t>
      </w:r>
      <w:r w:rsidR="00997F25" w:rsidRPr="005A68E6">
        <w:rPr>
          <w:lang w:val="en-US"/>
        </w:rPr>
        <w:t>term</w:t>
      </w:r>
      <w:r w:rsidR="00BF0312" w:rsidRPr="005A68E6">
        <w:rPr>
          <w:lang w:val="en-US"/>
        </w:rPr>
        <w:t xml:space="preserve"> in order to retain and strengthen debt stability</w:t>
      </w:r>
      <w:r w:rsidRPr="005A68E6">
        <w:rPr>
          <w:lang w:val="en-US"/>
        </w:rPr>
        <w:t xml:space="preserve">, moreover, </w:t>
      </w:r>
      <w:r w:rsidR="00997F25" w:rsidRPr="005A68E6">
        <w:rPr>
          <w:lang w:val="en-US"/>
        </w:rPr>
        <w:t xml:space="preserve">it </w:t>
      </w:r>
      <w:r w:rsidRPr="005A68E6">
        <w:rPr>
          <w:lang w:val="en-US"/>
        </w:rPr>
        <w:t>should have a downward trend.</w:t>
      </w:r>
      <w:r w:rsidRPr="005A68E6">
        <w:t xml:space="preserve"> </w:t>
      </w:r>
      <w:r w:rsidRPr="005A68E6">
        <w:rPr>
          <w:lang w:val="en-US"/>
        </w:rPr>
        <w:t xml:space="preserve">The growth </w:t>
      </w:r>
      <w:r w:rsidR="00993CB6" w:rsidRPr="005A68E6">
        <w:rPr>
          <w:lang w:val="en-US"/>
        </w:rPr>
        <w:t xml:space="preserve">rate </w:t>
      </w:r>
      <w:r w:rsidRPr="005A68E6">
        <w:rPr>
          <w:lang w:val="en-US"/>
        </w:rPr>
        <w:t xml:space="preserve">of </w:t>
      </w:r>
      <w:r w:rsidR="00993CB6" w:rsidRPr="005A68E6">
        <w:rPr>
          <w:lang w:val="en-US"/>
        </w:rPr>
        <w:t xml:space="preserve">the </w:t>
      </w:r>
      <w:r w:rsidRPr="005A68E6">
        <w:rPr>
          <w:lang w:val="en-US"/>
        </w:rPr>
        <w:t xml:space="preserve">domestic debt, as well as AMD denominated debt in the structure of the </w:t>
      </w:r>
      <w:r w:rsidRPr="005A68E6">
        <w:rPr>
          <w:lang w:val="en-US" w:eastAsia="ru-RU"/>
        </w:rPr>
        <w:t xml:space="preserve">RA Government debt </w:t>
      </w:r>
      <w:r w:rsidRPr="005A68E6">
        <w:rPr>
          <w:lang w:val="en-US"/>
        </w:rPr>
        <w:t>was estimated at</w:t>
      </w:r>
      <w:r w:rsidR="00997F25" w:rsidRPr="005A68E6">
        <w:rPr>
          <w:lang w:val="en-US"/>
        </w:rPr>
        <w:t xml:space="preserve"> about</w:t>
      </w:r>
      <w:r w:rsidRPr="005A68E6">
        <w:rPr>
          <w:lang w:val="en-US"/>
        </w:rPr>
        <w:t xml:space="preserve"> one percentage point per year to </w:t>
      </w:r>
      <w:r w:rsidR="00980A0F" w:rsidRPr="005A68E6">
        <w:rPr>
          <w:lang w:val="en-US"/>
        </w:rPr>
        <w:t>keep the</w:t>
      </w:r>
      <w:r w:rsidR="00993CB6" w:rsidRPr="005A68E6">
        <w:rPr>
          <w:lang w:val="en-US"/>
        </w:rPr>
        <w:t xml:space="preserve"> </w:t>
      </w:r>
      <w:r w:rsidRPr="005A68E6">
        <w:rPr>
          <w:lang w:val="en-US"/>
        </w:rPr>
        <w:t xml:space="preserve">burden of </w:t>
      </w:r>
      <w:r w:rsidR="00993CB6" w:rsidRPr="005A68E6">
        <w:rPr>
          <w:lang w:val="en-US"/>
        </w:rPr>
        <w:t xml:space="preserve">the </w:t>
      </w:r>
      <w:r w:rsidRPr="005A68E6">
        <w:rPr>
          <w:lang w:val="en-US"/>
        </w:rPr>
        <w:t xml:space="preserve">interest payments </w:t>
      </w:r>
      <w:r w:rsidR="00980A0F" w:rsidRPr="005A68E6">
        <w:rPr>
          <w:lang w:val="en-US"/>
        </w:rPr>
        <w:t xml:space="preserve">stable </w:t>
      </w:r>
      <w:r w:rsidRPr="005A68E6">
        <w:rPr>
          <w:lang w:val="en-US"/>
        </w:rPr>
        <w:t>in the medium</w:t>
      </w:r>
      <w:r w:rsidR="00941791" w:rsidRPr="005A68E6">
        <w:rPr>
          <w:lang w:val="en-US"/>
        </w:rPr>
        <w:t>-</w:t>
      </w:r>
      <w:r w:rsidRPr="005A68E6">
        <w:rPr>
          <w:lang w:val="en-US"/>
        </w:rPr>
        <w:t>term.</w:t>
      </w:r>
    </w:p>
    <w:p w14:paraId="29E2766C" w14:textId="61D51FA2" w:rsidR="0024298B" w:rsidRPr="005A68E6" w:rsidRDefault="0024298B" w:rsidP="0024298B">
      <w:r w:rsidRPr="005A68E6">
        <w:rPr>
          <w:lang w:val="en-US"/>
        </w:rPr>
        <w:t>D</w:t>
      </w:r>
      <w:r w:rsidRPr="005A68E6">
        <w:t xml:space="preserve">eficit financing through domestic net borrowings will be </w:t>
      </w:r>
      <w:r w:rsidR="00993CB6" w:rsidRPr="005A68E6">
        <w:rPr>
          <w:lang w:val="en-US"/>
        </w:rPr>
        <w:t>execut</w:t>
      </w:r>
      <w:r w:rsidRPr="005A68E6">
        <w:t>ed by allocating up to one</w:t>
      </w:r>
      <w:r w:rsidR="007D0709">
        <w:rPr>
          <w:lang w:val="en-US"/>
        </w:rPr>
        <w:t>-</w:t>
      </w:r>
      <w:r w:rsidRPr="005A68E6">
        <w:t xml:space="preserve">year maturity </w:t>
      </w:r>
      <w:r w:rsidR="00993CB6" w:rsidRPr="005A68E6">
        <w:rPr>
          <w:lang w:val="en-US"/>
        </w:rPr>
        <w:t>G</w:t>
      </w:r>
      <w:r w:rsidRPr="005A68E6">
        <w:t>overnment short</w:t>
      </w:r>
      <w:r w:rsidR="00941791" w:rsidRPr="005A68E6">
        <w:rPr>
          <w:lang w:val="en-US"/>
        </w:rPr>
        <w:t>-</w:t>
      </w:r>
      <w:r w:rsidRPr="005A68E6">
        <w:t xml:space="preserve">term </w:t>
      </w:r>
      <w:r w:rsidRPr="005A68E6">
        <w:rPr>
          <w:lang w:val="en-US"/>
        </w:rPr>
        <w:t>bonds</w:t>
      </w:r>
      <w:r w:rsidRPr="005A68E6">
        <w:t>, 3 and 5</w:t>
      </w:r>
      <w:r w:rsidR="007D0709">
        <w:rPr>
          <w:lang w:val="en-US"/>
        </w:rPr>
        <w:t>-</w:t>
      </w:r>
      <w:r w:rsidRPr="005A68E6">
        <w:t>year maturity medium</w:t>
      </w:r>
      <w:r w:rsidR="00941791" w:rsidRPr="005A68E6">
        <w:rPr>
          <w:lang w:val="en-US"/>
        </w:rPr>
        <w:t>-</w:t>
      </w:r>
      <w:r w:rsidRPr="005A68E6">
        <w:t xml:space="preserve">term coupon </w:t>
      </w:r>
      <w:r w:rsidRPr="005A68E6">
        <w:rPr>
          <w:lang w:val="en-US"/>
        </w:rPr>
        <w:t>bonds</w:t>
      </w:r>
      <w:r w:rsidRPr="005A68E6">
        <w:t>, 10 and 30</w:t>
      </w:r>
      <w:r w:rsidR="007D0709">
        <w:rPr>
          <w:lang w:val="en-US"/>
        </w:rPr>
        <w:t>-</w:t>
      </w:r>
      <w:r w:rsidRPr="005A68E6">
        <w:t>year maturity long-term coupon bonds, as well as 6 month</w:t>
      </w:r>
      <w:r w:rsidR="007D0709">
        <w:rPr>
          <w:lang w:val="en-US"/>
        </w:rPr>
        <w:t>s</w:t>
      </w:r>
      <w:r w:rsidRPr="005A68E6">
        <w:t>, 1, 2, and 3</w:t>
      </w:r>
      <w:r w:rsidR="007D0709">
        <w:rPr>
          <w:lang w:val="en-US"/>
        </w:rPr>
        <w:t>-</w:t>
      </w:r>
      <w:r w:rsidRPr="005A68E6">
        <w:t>year saving coupon bonds.</w:t>
      </w:r>
    </w:p>
    <w:p w14:paraId="20C5345F" w14:textId="5A1831AE" w:rsidR="0024298B" w:rsidRPr="005A68E6" w:rsidRDefault="0024298B" w:rsidP="00A4497D">
      <w:pPr>
        <w:rPr>
          <w:lang w:eastAsia="ru-RU"/>
        </w:rPr>
      </w:pPr>
      <w:r w:rsidRPr="005A68E6">
        <w:rPr>
          <w:lang w:val="en-US" w:eastAsia="ru-RU"/>
        </w:rPr>
        <w:t>D</w:t>
      </w:r>
      <w:r w:rsidRPr="005A68E6">
        <w:rPr>
          <w:lang w:eastAsia="ru-RU"/>
        </w:rPr>
        <w:t xml:space="preserve">eficit financing through external net borrowings will be fulfilled by </w:t>
      </w:r>
      <w:r w:rsidRPr="005A68E6">
        <w:rPr>
          <w:lang w:val="en-US" w:eastAsia="ru-RU"/>
        </w:rPr>
        <w:t>borrowing</w:t>
      </w:r>
      <w:r w:rsidRPr="005A68E6">
        <w:rPr>
          <w:lang w:eastAsia="ru-RU"/>
        </w:rPr>
        <w:t xml:space="preserve"> project loans from </w:t>
      </w:r>
      <w:r w:rsidR="00993CB6" w:rsidRPr="005A68E6">
        <w:rPr>
          <w:lang w:val="en-US" w:eastAsia="ru-RU"/>
        </w:rPr>
        <w:t xml:space="preserve">the </w:t>
      </w:r>
      <w:r w:rsidRPr="005A68E6">
        <w:rPr>
          <w:lang w:eastAsia="ru-RU"/>
        </w:rPr>
        <w:t>bilateral and multilateral international creditors</w:t>
      </w:r>
      <w:r w:rsidR="005368F7" w:rsidRPr="005A68E6">
        <w:rPr>
          <w:lang w:val="en-US" w:eastAsia="ru-RU"/>
        </w:rPr>
        <w:t>,</w:t>
      </w:r>
      <w:r w:rsidRPr="005A68E6">
        <w:t xml:space="preserve"> </w:t>
      </w:r>
      <w:r w:rsidRPr="005A68E6">
        <w:rPr>
          <w:lang w:eastAsia="ru-RU"/>
        </w:rPr>
        <w:t>as well as</w:t>
      </w:r>
      <w:r w:rsidR="005368F7" w:rsidRPr="005A68E6">
        <w:rPr>
          <w:lang w:val="en-US" w:eastAsia="ru-RU"/>
        </w:rPr>
        <w:t xml:space="preserve"> by</w:t>
      </w:r>
      <w:r w:rsidRPr="005A68E6">
        <w:rPr>
          <w:lang w:eastAsia="ru-RU"/>
        </w:rPr>
        <w:t xml:space="preserve"> issuing Eurobonds on the international capital market.</w:t>
      </w:r>
    </w:p>
    <w:p w14:paraId="1E1E26DB" w14:textId="2F4A6993" w:rsidR="0024298B" w:rsidRPr="005A68E6" w:rsidRDefault="00485FFC" w:rsidP="0024298B">
      <w:pPr>
        <w:rPr>
          <w:lang w:val="en-US"/>
        </w:rPr>
      </w:pPr>
      <w:r w:rsidRPr="005A68E6">
        <w:rPr>
          <w:lang w:val="en-US"/>
        </w:rPr>
        <w:t>S</w:t>
      </w:r>
      <w:r w:rsidRPr="005A68E6">
        <w:t xml:space="preserve">election </w:t>
      </w:r>
      <w:r w:rsidR="0024298B" w:rsidRPr="005A68E6">
        <w:t xml:space="preserve">of </w:t>
      </w:r>
      <w:r w:rsidRPr="005A68E6">
        <w:rPr>
          <w:lang w:val="en-US"/>
        </w:rPr>
        <w:t xml:space="preserve">the </w:t>
      </w:r>
      <w:r w:rsidR="0024298B" w:rsidRPr="005A68E6">
        <w:t>strategy is made as a result of studying and analyzing the entire system of cost and risk indicators</w:t>
      </w:r>
      <w:r w:rsidR="0024298B" w:rsidRPr="005A68E6">
        <w:rPr>
          <w:lang w:val="en-US"/>
        </w:rPr>
        <w:t>.</w:t>
      </w:r>
      <w:r w:rsidR="0024298B" w:rsidRPr="005A68E6">
        <w:t xml:space="preserve"> As a result of a comprehensive study of the costs and risks characterizing the</w:t>
      </w:r>
      <w:r w:rsidR="0024298B" w:rsidRPr="005A68E6">
        <w:rPr>
          <w:lang w:val="en-US"/>
        </w:rPr>
        <w:t xml:space="preserve"> RA Government debt</w:t>
      </w:r>
      <w:r w:rsidR="0024298B" w:rsidRPr="005A68E6">
        <w:t xml:space="preserve">, </w:t>
      </w:r>
      <w:r w:rsidR="007529F2" w:rsidRPr="005A68E6">
        <w:rPr>
          <w:lang w:val="en-US"/>
        </w:rPr>
        <w:t xml:space="preserve">such </w:t>
      </w:r>
      <w:r w:rsidR="0024298B" w:rsidRPr="005A68E6">
        <w:t xml:space="preserve">a strategy was </w:t>
      </w:r>
      <w:r w:rsidR="00BC633E" w:rsidRPr="005A68E6">
        <w:rPr>
          <w:lang w:val="en-US"/>
        </w:rPr>
        <w:t>selected</w:t>
      </w:r>
      <w:r w:rsidR="00BC633E" w:rsidRPr="005A68E6">
        <w:t xml:space="preserve"> </w:t>
      </w:r>
      <w:r w:rsidR="0024298B" w:rsidRPr="005A68E6">
        <w:t>that will contribute to the development of the domestic debt market, ensure a moderate level of risks on the</w:t>
      </w:r>
      <w:r w:rsidR="0024298B" w:rsidRPr="005A68E6">
        <w:rPr>
          <w:lang w:val="en-US"/>
        </w:rPr>
        <w:t xml:space="preserve"> RA Government debt</w:t>
      </w:r>
      <w:r w:rsidR="000E20B8" w:rsidRPr="005A68E6">
        <w:t>, at the same time it</w:t>
      </w:r>
      <w:r w:rsidR="0024298B" w:rsidRPr="005A68E6">
        <w:t xml:space="preserve"> </w:t>
      </w:r>
      <w:r w:rsidR="00BC633E" w:rsidRPr="005A68E6">
        <w:rPr>
          <w:lang w:val="en-US"/>
        </w:rPr>
        <w:t>will</w:t>
      </w:r>
      <w:r w:rsidR="0024298B" w:rsidRPr="005A68E6">
        <w:t xml:space="preserve"> limit the </w:t>
      </w:r>
      <w:r w:rsidR="00BC633E" w:rsidRPr="005A68E6">
        <w:rPr>
          <w:lang w:val="en-US"/>
        </w:rPr>
        <w:t>increase in costs on</w:t>
      </w:r>
      <w:r w:rsidR="00BC633E" w:rsidRPr="005A68E6">
        <w:t xml:space="preserve"> </w:t>
      </w:r>
      <w:r w:rsidR="0024298B" w:rsidRPr="005A68E6">
        <w:t xml:space="preserve">public debt </w:t>
      </w:r>
      <w:r w:rsidR="00BC633E" w:rsidRPr="005A68E6">
        <w:rPr>
          <w:lang w:val="en-US"/>
        </w:rPr>
        <w:t>as possible</w:t>
      </w:r>
      <w:r w:rsidR="000E20B8" w:rsidRPr="005A68E6">
        <w:t xml:space="preserve"> in the medium</w:t>
      </w:r>
      <w:r w:rsidR="00941791" w:rsidRPr="005A68E6">
        <w:rPr>
          <w:lang w:val="en-US"/>
        </w:rPr>
        <w:t>-</w:t>
      </w:r>
      <w:r w:rsidR="000E20B8" w:rsidRPr="005A68E6">
        <w:t>term</w:t>
      </w:r>
      <w:r w:rsidR="0024298B" w:rsidRPr="005A68E6">
        <w:rPr>
          <w:lang w:val="en-US"/>
        </w:rPr>
        <w:t>.</w:t>
      </w:r>
    </w:p>
    <w:p w14:paraId="05C572F5" w14:textId="74177886" w:rsidR="0024298B" w:rsidRPr="005A68E6" w:rsidRDefault="000E20B8" w:rsidP="0024298B">
      <w:r w:rsidRPr="005A68E6">
        <w:rPr>
          <w:lang w:val="en-US"/>
        </w:rPr>
        <w:t>T</w:t>
      </w:r>
      <w:r w:rsidR="0024298B" w:rsidRPr="005A68E6">
        <w:t>he trends in improving the macro-environment in the economy, the existing level of liquidity</w:t>
      </w:r>
      <w:r w:rsidR="00BC633E" w:rsidRPr="005A68E6">
        <w:rPr>
          <w:lang w:val="en-US"/>
        </w:rPr>
        <w:t xml:space="preserve">, </w:t>
      </w:r>
      <w:r w:rsidR="0024298B" w:rsidRPr="005A68E6">
        <w:t xml:space="preserve">the stable demand for </w:t>
      </w:r>
      <w:r w:rsidR="004D6547" w:rsidRPr="005A68E6">
        <w:rPr>
          <w:lang w:val="en-US"/>
        </w:rPr>
        <w:t>G</w:t>
      </w:r>
      <w:r w:rsidR="0024298B" w:rsidRPr="005A68E6">
        <w:t xml:space="preserve">overnment treasury </w:t>
      </w:r>
      <w:r w:rsidR="0024298B" w:rsidRPr="005A68E6">
        <w:rPr>
          <w:lang w:val="en-US"/>
        </w:rPr>
        <w:t>bonds</w:t>
      </w:r>
      <w:r w:rsidR="0024298B" w:rsidRPr="005A68E6">
        <w:t xml:space="preserve"> </w:t>
      </w:r>
      <w:r w:rsidR="0024298B" w:rsidRPr="005A68E6">
        <w:rPr>
          <w:lang w:val="en-US"/>
        </w:rPr>
        <w:t xml:space="preserve">and the gauge of debt service </w:t>
      </w:r>
      <w:r w:rsidR="0024298B" w:rsidRPr="005A68E6">
        <w:t>were taken into account</w:t>
      </w:r>
      <w:r w:rsidRPr="005A68E6">
        <w:rPr>
          <w:lang w:val="en-US"/>
        </w:rPr>
        <w:t xml:space="preserve"> w</w:t>
      </w:r>
      <w:r w:rsidRPr="005A68E6">
        <w:t>hile planning the structure of deficit financing through domestic net borrowings</w:t>
      </w:r>
      <w:r w:rsidR="0024298B" w:rsidRPr="005A68E6">
        <w:t>.</w:t>
      </w:r>
    </w:p>
    <w:p w14:paraId="02D7DADA" w14:textId="60D8633F" w:rsidR="0024298B" w:rsidRPr="005A68E6" w:rsidRDefault="0024298B" w:rsidP="0024298B">
      <w:pPr>
        <w:rPr>
          <w:lang w:val="en-US"/>
        </w:rPr>
      </w:pPr>
      <w:r w:rsidRPr="005A68E6">
        <w:t>The State budget deficit financing through net borrowings for 202</w:t>
      </w:r>
      <w:r w:rsidRPr="005A68E6">
        <w:rPr>
          <w:lang w:val="en-US"/>
        </w:rPr>
        <w:t>3</w:t>
      </w:r>
      <w:r w:rsidRPr="005A68E6">
        <w:t>-202</w:t>
      </w:r>
      <w:r w:rsidRPr="005A68E6">
        <w:rPr>
          <w:lang w:val="en-US"/>
        </w:rPr>
        <w:t>6</w:t>
      </w:r>
      <w:r w:rsidRPr="005A68E6">
        <w:t xml:space="preserve"> is planned</w:t>
      </w:r>
      <w:r w:rsidRPr="005A68E6">
        <w:rPr>
          <w:lang w:val="en-US"/>
        </w:rPr>
        <w:t xml:space="preserve"> to be carried out </w:t>
      </w:r>
      <w:r w:rsidR="000E20B8" w:rsidRPr="005A68E6">
        <w:rPr>
          <w:lang w:val="en-US"/>
        </w:rPr>
        <w:t xml:space="preserve">in larger volumes </w:t>
      </w:r>
      <w:r w:rsidRPr="005A68E6">
        <w:rPr>
          <w:lang w:val="en-US"/>
        </w:rPr>
        <w:t xml:space="preserve">at the expense of domestic </w:t>
      </w:r>
      <w:r w:rsidR="00BC633E" w:rsidRPr="005A68E6">
        <w:rPr>
          <w:lang w:val="en-US"/>
        </w:rPr>
        <w:t xml:space="preserve">net </w:t>
      </w:r>
      <w:r w:rsidRPr="005A68E6">
        <w:rPr>
          <w:lang w:val="en-US"/>
        </w:rPr>
        <w:t>borrow</w:t>
      </w:r>
      <w:r w:rsidR="00BC633E" w:rsidRPr="005A68E6">
        <w:rPr>
          <w:lang w:val="en-US"/>
        </w:rPr>
        <w:t>ings</w:t>
      </w:r>
      <w:r w:rsidRPr="005A68E6">
        <w:rPr>
          <w:lang w:val="en-US"/>
        </w:rPr>
        <w:t xml:space="preserve"> than at the expense of external </w:t>
      </w:r>
      <w:r w:rsidR="00BC633E" w:rsidRPr="005A68E6">
        <w:rPr>
          <w:lang w:val="en-US"/>
        </w:rPr>
        <w:t xml:space="preserve">net </w:t>
      </w:r>
      <w:r w:rsidRPr="005A68E6">
        <w:rPr>
          <w:lang w:val="en-US"/>
        </w:rPr>
        <w:t>borrow</w:t>
      </w:r>
      <w:r w:rsidR="005A04DE" w:rsidRPr="005A68E6">
        <w:rPr>
          <w:lang w:val="en-US"/>
        </w:rPr>
        <w:t>ings</w:t>
      </w:r>
      <w:r w:rsidRPr="005A68E6">
        <w:rPr>
          <w:lang w:val="en-US"/>
        </w:rPr>
        <w:t>.</w:t>
      </w:r>
    </w:p>
    <w:p w14:paraId="4C4B17A7" w14:textId="3579E222" w:rsidR="0024298B" w:rsidRPr="005A68E6" w:rsidRDefault="0024298B" w:rsidP="00A1274B">
      <w:pPr>
        <w:rPr>
          <w:color w:val="FF0000"/>
        </w:rPr>
      </w:pPr>
    </w:p>
    <w:p w14:paraId="1FE4FF01" w14:textId="77777777" w:rsidR="00C45A7F" w:rsidRPr="005A68E6" w:rsidRDefault="00C45A7F" w:rsidP="00A1274B">
      <w:pPr>
        <w:rPr>
          <w:color w:val="FF0000"/>
        </w:rPr>
      </w:pPr>
    </w:p>
    <w:p w14:paraId="6B11C7CD" w14:textId="28DD9311" w:rsidR="00594506" w:rsidRPr="005A68E6" w:rsidRDefault="00013D78" w:rsidP="00C45A7F">
      <w:pPr>
        <w:pStyle w:val="af6"/>
        <w:numPr>
          <w:ilvl w:val="0"/>
          <w:numId w:val="35"/>
        </w:numPr>
        <w:spacing w:after="240"/>
        <w:ind w:left="1276" w:hanging="1276"/>
        <w:rPr>
          <w:iCs/>
        </w:rPr>
      </w:pPr>
      <w:r w:rsidRPr="005A68E6">
        <w:lastRenderedPageBreak/>
        <w:t xml:space="preserve"> </w:t>
      </w:r>
      <w:r w:rsidR="00594506" w:rsidRPr="005A68E6">
        <w:rPr>
          <w:iCs/>
        </w:rPr>
        <w:t>State budget deficit financing through net borrowings for 2022-2026 (AMD billion)</w:t>
      </w: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9"/>
        <w:gridCol w:w="981"/>
        <w:gridCol w:w="1260"/>
        <w:gridCol w:w="1170"/>
        <w:gridCol w:w="990"/>
        <w:gridCol w:w="1080"/>
        <w:gridCol w:w="1006"/>
      </w:tblGrid>
      <w:tr w:rsidR="008C6138" w:rsidRPr="005A68E6" w14:paraId="305B0509" w14:textId="77777777" w:rsidTr="00594506">
        <w:trPr>
          <w:trHeight w:val="770"/>
          <w:tblHeader/>
          <w:jc w:val="center"/>
        </w:trPr>
        <w:tc>
          <w:tcPr>
            <w:tcW w:w="4419" w:type="dxa"/>
            <w:tcBorders>
              <w:top w:val="thinThickThinSmallGap" w:sz="24" w:space="0" w:color="auto"/>
              <w:left w:val="nil"/>
              <w:bottom w:val="thinThickSmallGap" w:sz="24" w:space="0" w:color="auto"/>
              <w:right w:val="nil"/>
            </w:tcBorders>
            <w:shd w:val="clear" w:color="auto" w:fill="5B9BD5"/>
            <w:vAlign w:val="center"/>
          </w:tcPr>
          <w:p w14:paraId="1B92F010" w14:textId="77777777" w:rsidR="008C6138" w:rsidRPr="005A68E6" w:rsidRDefault="008C6138" w:rsidP="008B2ACD">
            <w:pPr>
              <w:ind w:firstLine="94"/>
              <w:jc w:val="center"/>
            </w:pPr>
          </w:p>
        </w:tc>
        <w:tc>
          <w:tcPr>
            <w:tcW w:w="981" w:type="dxa"/>
            <w:tcBorders>
              <w:top w:val="thinThickThinSmallGap" w:sz="24" w:space="0" w:color="auto"/>
              <w:left w:val="nil"/>
              <w:bottom w:val="thinThickSmallGap" w:sz="24" w:space="0" w:color="auto"/>
              <w:right w:val="nil"/>
            </w:tcBorders>
            <w:shd w:val="clear" w:color="auto" w:fill="5B9BD5"/>
          </w:tcPr>
          <w:p w14:paraId="6F105772" w14:textId="4F4B6C13" w:rsidR="008C6138" w:rsidRPr="005A68E6" w:rsidRDefault="008C6138" w:rsidP="00594506">
            <w:pPr>
              <w:spacing w:line="240" w:lineRule="auto"/>
              <w:ind w:firstLine="94"/>
              <w:jc w:val="center"/>
              <w:rPr>
                <w:lang w:val="en-US"/>
              </w:rPr>
            </w:pPr>
            <w:r w:rsidRPr="005A68E6">
              <w:t>202</w:t>
            </w:r>
            <w:r w:rsidRPr="005A68E6">
              <w:rPr>
                <w:lang w:val="en-US"/>
              </w:rPr>
              <w:t>2</w:t>
            </w:r>
            <w:r w:rsidRPr="005A68E6">
              <w:t xml:space="preserve"> </w:t>
            </w:r>
            <w:r w:rsidR="00594506" w:rsidRPr="005A68E6">
              <w:rPr>
                <w:lang w:val="en-US"/>
              </w:rPr>
              <w:t>actual</w:t>
            </w:r>
          </w:p>
        </w:tc>
        <w:tc>
          <w:tcPr>
            <w:tcW w:w="1260" w:type="dxa"/>
            <w:tcBorders>
              <w:top w:val="thinThickThinSmallGap" w:sz="24" w:space="0" w:color="auto"/>
              <w:left w:val="nil"/>
              <w:bottom w:val="thinThickSmallGap" w:sz="24" w:space="0" w:color="auto"/>
              <w:right w:val="double" w:sz="4" w:space="0" w:color="auto"/>
            </w:tcBorders>
            <w:shd w:val="clear" w:color="auto" w:fill="5B9BD5"/>
            <w:vAlign w:val="center"/>
          </w:tcPr>
          <w:p w14:paraId="0C9551B0" w14:textId="77777777" w:rsidR="00594506" w:rsidRPr="005A68E6" w:rsidRDefault="008C6138" w:rsidP="005341FA">
            <w:pPr>
              <w:spacing w:line="240" w:lineRule="auto"/>
              <w:ind w:firstLine="94"/>
              <w:jc w:val="center"/>
            </w:pPr>
            <w:r w:rsidRPr="005A68E6">
              <w:t xml:space="preserve">2023 </w:t>
            </w:r>
          </w:p>
          <w:p w14:paraId="60F7B51C" w14:textId="100435EC" w:rsidR="008C6138" w:rsidRPr="005A68E6" w:rsidRDefault="00594506" w:rsidP="005341FA">
            <w:pPr>
              <w:spacing w:line="240" w:lineRule="auto"/>
              <w:ind w:firstLine="94"/>
              <w:jc w:val="center"/>
            </w:pPr>
            <w:r w:rsidRPr="005A68E6">
              <w:t>State budget program</w:t>
            </w:r>
          </w:p>
        </w:tc>
        <w:tc>
          <w:tcPr>
            <w:tcW w:w="1170" w:type="dxa"/>
            <w:tcBorders>
              <w:top w:val="thinThickThinSmallGap" w:sz="24" w:space="0" w:color="auto"/>
              <w:left w:val="double" w:sz="4" w:space="0" w:color="auto"/>
              <w:bottom w:val="thinThickSmallGap" w:sz="24" w:space="0" w:color="auto"/>
              <w:right w:val="nil"/>
            </w:tcBorders>
            <w:shd w:val="clear" w:color="auto" w:fill="5B9BD5"/>
            <w:vAlign w:val="center"/>
          </w:tcPr>
          <w:p w14:paraId="19EBE763" w14:textId="1576AA48" w:rsidR="008C6138" w:rsidRPr="005A68E6" w:rsidRDefault="008C6138" w:rsidP="005341FA">
            <w:pPr>
              <w:spacing w:line="240" w:lineRule="auto"/>
              <w:ind w:firstLine="94"/>
              <w:jc w:val="center"/>
            </w:pPr>
            <w:r w:rsidRPr="005A68E6">
              <w:t xml:space="preserve">2023 </w:t>
            </w:r>
            <w:r w:rsidR="00594506" w:rsidRPr="005A68E6">
              <w:t>forecast</w:t>
            </w:r>
          </w:p>
        </w:tc>
        <w:tc>
          <w:tcPr>
            <w:tcW w:w="990" w:type="dxa"/>
            <w:tcBorders>
              <w:top w:val="thinThickThinSmallGap" w:sz="24" w:space="0" w:color="auto"/>
              <w:left w:val="nil"/>
              <w:bottom w:val="thinThickSmallGap" w:sz="24" w:space="0" w:color="auto"/>
              <w:right w:val="nil"/>
            </w:tcBorders>
            <w:shd w:val="clear" w:color="auto" w:fill="5B9BD5"/>
            <w:vAlign w:val="center"/>
          </w:tcPr>
          <w:p w14:paraId="0A18903E" w14:textId="39F8705B" w:rsidR="008C6138" w:rsidRPr="005A68E6" w:rsidRDefault="008C6138" w:rsidP="00BD4200">
            <w:pPr>
              <w:spacing w:line="240" w:lineRule="auto"/>
              <w:ind w:firstLine="94"/>
              <w:jc w:val="center"/>
            </w:pPr>
            <w:r w:rsidRPr="005A68E6">
              <w:t xml:space="preserve">2024 </w:t>
            </w:r>
            <w:r w:rsidR="00594506" w:rsidRPr="005A68E6">
              <w:t>forecast</w:t>
            </w:r>
          </w:p>
        </w:tc>
        <w:tc>
          <w:tcPr>
            <w:tcW w:w="1080" w:type="dxa"/>
            <w:tcBorders>
              <w:top w:val="thinThickThinSmallGap" w:sz="24" w:space="0" w:color="auto"/>
              <w:left w:val="nil"/>
              <w:bottom w:val="thinThickSmallGap" w:sz="24" w:space="0" w:color="auto"/>
              <w:right w:val="nil"/>
            </w:tcBorders>
            <w:shd w:val="clear" w:color="auto" w:fill="5B9BD5"/>
            <w:vAlign w:val="center"/>
          </w:tcPr>
          <w:p w14:paraId="6B6254BE" w14:textId="74AAD5FE" w:rsidR="008C6138" w:rsidRPr="005A68E6" w:rsidRDefault="008C6138" w:rsidP="00074649">
            <w:pPr>
              <w:spacing w:line="240" w:lineRule="auto"/>
              <w:ind w:firstLine="94"/>
              <w:jc w:val="center"/>
            </w:pPr>
            <w:r w:rsidRPr="005A68E6">
              <w:t xml:space="preserve">2025 </w:t>
            </w:r>
            <w:r w:rsidR="00594506" w:rsidRPr="005A68E6">
              <w:t>forecast</w:t>
            </w:r>
          </w:p>
        </w:tc>
        <w:tc>
          <w:tcPr>
            <w:tcW w:w="1006" w:type="dxa"/>
            <w:tcBorders>
              <w:top w:val="thinThickThinSmallGap" w:sz="24" w:space="0" w:color="auto"/>
              <w:left w:val="nil"/>
              <w:bottom w:val="thinThickSmallGap" w:sz="24" w:space="0" w:color="auto"/>
              <w:right w:val="nil"/>
            </w:tcBorders>
            <w:shd w:val="clear" w:color="auto" w:fill="5B9BD5"/>
            <w:vAlign w:val="center"/>
          </w:tcPr>
          <w:p w14:paraId="3659DC09" w14:textId="431206CD" w:rsidR="008C6138" w:rsidRPr="005A68E6" w:rsidRDefault="008C6138" w:rsidP="006D07E7">
            <w:pPr>
              <w:spacing w:line="240" w:lineRule="auto"/>
              <w:ind w:firstLine="94"/>
              <w:jc w:val="center"/>
            </w:pPr>
            <w:r w:rsidRPr="005A68E6">
              <w:t xml:space="preserve">2026 </w:t>
            </w:r>
            <w:r w:rsidR="00594506" w:rsidRPr="005A68E6">
              <w:t>forecast</w:t>
            </w:r>
          </w:p>
        </w:tc>
      </w:tr>
      <w:tr w:rsidR="00BD1340" w:rsidRPr="005A68E6" w14:paraId="5358E397" w14:textId="77777777" w:rsidTr="00594506">
        <w:trPr>
          <w:trHeight w:val="507"/>
          <w:jc w:val="center"/>
        </w:trPr>
        <w:tc>
          <w:tcPr>
            <w:tcW w:w="4419" w:type="dxa"/>
            <w:tcBorders>
              <w:top w:val="thinThickSmallGap" w:sz="24" w:space="0" w:color="auto"/>
              <w:left w:val="nil"/>
              <w:right w:val="nil"/>
            </w:tcBorders>
            <w:vAlign w:val="center"/>
          </w:tcPr>
          <w:p w14:paraId="2EDCF3DA" w14:textId="5B963513" w:rsidR="00BD1340" w:rsidRPr="005A68E6" w:rsidRDefault="00BD1340" w:rsidP="00BD1340">
            <w:pPr>
              <w:spacing w:line="240" w:lineRule="auto"/>
              <w:ind w:firstLine="94"/>
              <w:jc w:val="left"/>
            </w:pPr>
            <w:r w:rsidRPr="005A68E6">
              <w:t>State budget deficit financing through net borrowings</w:t>
            </w:r>
          </w:p>
        </w:tc>
        <w:tc>
          <w:tcPr>
            <w:tcW w:w="981" w:type="dxa"/>
            <w:tcBorders>
              <w:top w:val="thinThickSmallGap" w:sz="24" w:space="0" w:color="auto"/>
              <w:left w:val="nil"/>
              <w:right w:val="nil"/>
            </w:tcBorders>
            <w:vAlign w:val="center"/>
          </w:tcPr>
          <w:p w14:paraId="6D83B3E8" w14:textId="77777777" w:rsidR="00BD1340" w:rsidRPr="005A68E6" w:rsidRDefault="00BD1340" w:rsidP="00BD1340">
            <w:pPr>
              <w:ind w:firstLine="94"/>
              <w:jc w:val="center"/>
            </w:pPr>
            <w:r w:rsidRPr="005A68E6">
              <w:t>318.2</w:t>
            </w:r>
          </w:p>
        </w:tc>
        <w:tc>
          <w:tcPr>
            <w:tcW w:w="1260" w:type="dxa"/>
            <w:tcBorders>
              <w:top w:val="thinThickSmallGap" w:sz="24" w:space="0" w:color="auto"/>
              <w:left w:val="nil"/>
              <w:right w:val="double" w:sz="4" w:space="0" w:color="auto"/>
            </w:tcBorders>
            <w:vAlign w:val="center"/>
          </w:tcPr>
          <w:p w14:paraId="7099B095" w14:textId="77777777" w:rsidR="00BD1340" w:rsidRPr="005A68E6" w:rsidRDefault="00BD1340" w:rsidP="00BD1340">
            <w:pPr>
              <w:ind w:firstLine="94"/>
              <w:jc w:val="center"/>
              <w:rPr>
                <w:color w:val="FF0000"/>
                <w:lang w:val="en-US"/>
              </w:rPr>
            </w:pPr>
            <w:r w:rsidRPr="005A68E6">
              <w:t xml:space="preserve"> 422.5 </w:t>
            </w:r>
          </w:p>
        </w:tc>
        <w:tc>
          <w:tcPr>
            <w:tcW w:w="1170" w:type="dxa"/>
            <w:tcBorders>
              <w:top w:val="thinThickSmallGap" w:sz="24" w:space="0" w:color="auto"/>
              <w:left w:val="double" w:sz="4" w:space="0" w:color="auto"/>
              <w:right w:val="nil"/>
            </w:tcBorders>
            <w:vAlign w:val="center"/>
          </w:tcPr>
          <w:p w14:paraId="53183425" w14:textId="77777777" w:rsidR="00BD1340" w:rsidRPr="005A68E6" w:rsidRDefault="00BD1340" w:rsidP="00BD1340">
            <w:pPr>
              <w:ind w:firstLine="94"/>
              <w:jc w:val="center"/>
              <w:rPr>
                <w:color w:val="FF0000"/>
                <w:lang w:val="en-US"/>
              </w:rPr>
            </w:pPr>
            <w:r w:rsidRPr="005A68E6">
              <w:t xml:space="preserve"> 422.5 </w:t>
            </w:r>
          </w:p>
        </w:tc>
        <w:tc>
          <w:tcPr>
            <w:tcW w:w="990" w:type="dxa"/>
            <w:tcBorders>
              <w:top w:val="thinThickSmallGap" w:sz="24" w:space="0" w:color="auto"/>
              <w:left w:val="nil"/>
              <w:right w:val="nil"/>
            </w:tcBorders>
            <w:vAlign w:val="center"/>
          </w:tcPr>
          <w:p w14:paraId="62955E8F" w14:textId="3615D047" w:rsidR="00BD1340" w:rsidRPr="005A68E6" w:rsidRDefault="00BD1340" w:rsidP="00BD1340">
            <w:pPr>
              <w:ind w:firstLine="94"/>
              <w:jc w:val="center"/>
              <w:rPr>
                <w:color w:val="FF0000"/>
                <w:lang w:val="en-US"/>
              </w:rPr>
            </w:pPr>
            <w:r w:rsidRPr="005A68E6">
              <w:t xml:space="preserve">407.4 </w:t>
            </w:r>
          </w:p>
        </w:tc>
        <w:tc>
          <w:tcPr>
            <w:tcW w:w="1080" w:type="dxa"/>
            <w:tcBorders>
              <w:top w:val="thinThickSmallGap" w:sz="24" w:space="0" w:color="auto"/>
              <w:left w:val="nil"/>
              <w:right w:val="nil"/>
            </w:tcBorders>
            <w:vAlign w:val="center"/>
          </w:tcPr>
          <w:p w14:paraId="17597C1A" w14:textId="7DE41652" w:rsidR="00BD1340" w:rsidRPr="005A68E6" w:rsidRDefault="00BD1340" w:rsidP="00BD1340">
            <w:pPr>
              <w:ind w:firstLine="94"/>
              <w:jc w:val="center"/>
              <w:rPr>
                <w:color w:val="FF0000"/>
                <w:lang w:val="en-US"/>
              </w:rPr>
            </w:pPr>
            <w:r w:rsidRPr="005A68E6">
              <w:t xml:space="preserve">453.2 </w:t>
            </w:r>
          </w:p>
        </w:tc>
        <w:tc>
          <w:tcPr>
            <w:tcW w:w="1006" w:type="dxa"/>
            <w:tcBorders>
              <w:top w:val="thinThickSmallGap" w:sz="24" w:space="0" w:color="auto"/>
              <w:left w:val="nil"/>
              <w:right w:val="nil"/>
            </w:tcBorders>
            <w:vAlign w:val="center"/>
          </w:tcPr>
          <w:p w14:paraId="5EFAB75A" w14:textId="32394286" w:rsidR="00BD1340" w:rsidRPr="005A68E6" w:rsidRDefault="00BD1340" w:rsidP="00BD1340">
            <w:pPr>
              <w:ind w:firstLine="94"/>
              <w:jc w:val="center"/>
              <w:rPr>
                <w:color w:val="FF0000"/>
                <w:lang w:val="en-US"/>
              </w:rPr>
            </w:pPr>
            <w:r w:rsidRPr="005A68E6">
              <w:t xml:space="preserve">510.5 </w:t>
            </w:r>
          </w:p>
        </w:tc>
      </w:tr>
      <w:tr w:rsidR="00BD1340" w:rsidRPr="005A68E6" w14:paraId="170DE2C1" w14:textId="77777777" w:rsidTr="00594506">
        <w:trPr>
          <w:trHeight w:val="311"/>
          <w:jc w:val="center"/>
        </w:trPr>
        <w:tc>
          <w:tcPr>
            <w:tcW w:w="4419" w:type="dxa"/>
            <w:tcBorders>
              <w:left w:val="nil"/>
              <w:right w:val="nil"/>
            </w:tcBorders>
            <w:vAlign w:val="center"/>
          </w:tcPr>
          <w:p w14:paraId="14200747" w14:textId="219820D0" w:rsidR="00BD1340" w:rsidRPr="005A68E6" w:rsidRDefault="00BD1340" w:rsidP="00BD1340">
            <w:pPr>
              <w:spacing w:line="240" w:lineRule="auto"/>
              <w:ind w:firstLine="94"/>
              <w:jc w:val="left"/>
            </w:pPr>
            <w:r w:rsidRPr="005A68E6">
              <w:rPr>
                <w:lang w:val="en-US"/>
              </w:rPr>
              <w:t>of which:</w:t>
            </w:r>
          </w:p>
        </w:tc>
        <w:tc>
          <w:tcPr>
            <w:tcW w:w="981" w:type="dxa"/>
            <w:tcBorders>
              <w:left w:val="nil"/>
              <w:right w:val="nil"/>
            </w:tcBorders>
            <w:vAlign w:val="center"/>
          </w:tcPr>
          <w:p w14:paraId="2BC3E617" w14:textId="77777777" w:rsidR="00BD1340" w:rsidRPr="005A68E6" w:rsidRDefault="00BD1340" w:rsidP="00BD1340">
            <w:pPr>
              <w:ind w:firstLine="94"/>
              <w:jc w:val="center"/>
            </w:pPr>
          </w:p>
        </w:tc>
        <w:tc>
          <w:tcPr>
            <w:tcW w:w="1260" w:type="dxa"/>
            <w:tcBorders>
              <w:left w:val="nil"/>
              <w:right w:val="double" w:sz="4" w:space="0" w:color="auto"/>
            </w:tcBorders>
            <w:vAlign w:val="center"/>
          </w:tcPr>
          <w:p w14:paraId="155EDC25" w14:textId="77777777" w:rsidR="00BD1340" w:rsidRPr="005A68E6" w:rsidRDefault="00BD1340" w:rsidP="00BD1340">
            <w:pPr>
              <w:ind w:firstLine="94"/>
              <w:jc w:val="center"/>
              <w:rPr>
                <w:color w:val="FF0000"/>
              </w:rPr>
            </w:pPr>
          </w:p>
        </w:tc>
        <w:tc>
          <w:tcPr>
            <w:tcW w:w="1170" w:type="dxa"/>
            <w:tcBorders>
              <w:left w:val="double" w:sz="4" w:space="0" w:color="auto"/>
              <w:right w:val="nil"/>
            </w:tcBorders>
            <w:vAlign w:val="center"/>
          </w:tcPr>
          <w:p w14:paraId="73303E78" w14:textId="77777777" w:rsidR="00BD1340" w:rsidRPr="005A68E6" w:rsidRDefault="00BD1340" w:rsidP="00BD1340">
            <w:pPr>
              <w:ind w:firstLine="94"/>
              <w:jc w:val="center"/>
              <w:rPr>
                <w:color w:val="FF0000"/>
              </w:rPr>
            </w:pPr>
          </w:p>
        </w:tc>
        <w:tc>
          <w:tcPr>
            <w:tcW w:w="990" w:type="dxa"/>
            <w:tcBorders>
              <w:left w:val="nil"/>
              <w:right w:val="nil"/>
            </w:tcBorders>
            <w:vAlign w:val="center"/>
          </w:tcPr>
          <w:p w14:paraId="1CD9894B" w14:textId="77777777" w:rsidR="00BD1340" w:rsidRPr="005A68E6" w:rsidRDefault="00BD1340" w:rsidP="00BD1340">
            <w:pPr>
              <w:ind w:firstLine="94"/>
              <w:jc w:val="center"/>
              <w:rPr>
                <w:color w:val="FF0000"/>
              </w:rPr>
            </w:pPr>
          </w:p>
        </w:tc>
        <w:tc>
          <w:tcPr>
            <w:tcW w:w="1080" w:type="dxa"/>
            <w:tcBorders>
              <w:left w:val="nil"/>
              <w:right w:val="nil"/>
            </w:tcBorders>
            <w:vAlign w:val="center"/>
          </w:tcPr>
          <w:p w14:paraId="6074B3EC" w14:textId="77777777" w:rsidR="00BD1340" w:rsidRPr="005A68E6" w:rsidRDefault="00BD1340" w:rsidP="00BD1340">
            <w:pPr>
              <w:ind w:firstLine="94"/>
              <w:jc w:val="center"/>
              <w:rPr>
                <w:color w:val="FF0000"/>
              </w:rPr>
            </w:pPr>
          </w:p>
        </w:tc>
        <w:tc>
          <w:tcPr>
            <w:tcW w:w="1006" w:type="dxa"/>
            <w:tcBorders>
              <w:left w:val="nil"/>
              <w:right w:val="nil"/>
            </w:tcBorders>
            <w:vAlign w:val="center"/>
          </w:tcPr>
          <w:p w14:paraId="78274EFB" w14:textId="77777777" w:rsidR="00BD1340" w:rsidRPr="005A68E6" w:rsidRDefault="00BD1340" w:rsidP="00BD1340">
            <w:pPr>
              <w:ind w:firstLine="94"/>
              <w:jc w:val="center"/>
              <w:rPr>
                <w:color w:val="FF0000"/>
              </w:rPr>
            </w:pPr>
          </w:p>
        </w:tc>
      </w:tr>
      <w:tr w:rsidR="00BD1340" w:rsidRPr="005A68E6" w14:paraId="2CE72E80" w14:textId="77777777" w:rsidTr="00594506">
        <w:trPr>
          <w:trHeight w:val="488"/>
          <w:jc w:val="center"/>
        </w:trPr>
        <w:tc>
          <w:tcPr>
            <w:tcW w:w="4419" w:type="dxa"/>
            <w:tcBorders>
              <w:left w:val="nil"/>
              <w:right w:val="nil"/>
            </w:tcBorders>
            <w:vAlign w:val="center"/>
          </w:tcPr>
          <w:p w14:paraId="0AC0CB6D" w14:textId="0F5CDAF6" w:rsidR="00BD1340" w:rsidRPr="005A68E6" w:rsidRDefault="00BD1340" w:rsidP="00BD1340">
            <w:pPr>
              <w:spacing w:line="240" w:lineRule="auto"/>
              <w:ind w:firstLine="94"/>
              <w:jc w:val="left"/>
            </w:pPr>
            <w:r w:rsidRPr="005A68E6">
              <w:t>Domestic net borrowings (without promissory notes)</w:t>
            </w:r>
          </w:p>
        </w:tc>
        <w:tc>
          <w:tcPr>
            <w:tcW w:w="981" w:type="dxa"/>
            <w:tcBorders>
              <w:left w:val="nil"/>
              <w:right w:val="nil"/>
            </w:tcBorders>
            <w:vAlign w:val="center"/>
          </w:tcPr>
          <w:p w14:paraId="2148C8C0" w14:textId="77777777" w:rsidR="00BD1340" w:rsidRPr="005A68E6" w:rsidRDefault="00BD1340" w:rsidP="00BD1340">
            <w:pPr>
              <w:ind w:firstLine="94"/>
              <w:jc w:val="center"/>
            </w:pPr>
            <w:r w:rsidRPr="005A68E6">
              <w:t>252.0</w:t>
            </w:r>
          </w:p>
        </w:tc>
        <w:tc>
          <w:tcPr>
            <w:tcW w:w="1260" w:type="dxa"/>
            <w:tcBorders>
              <w:left w:val="nil"/>
              <w:right w:val="double" w:sz="4" w:space="0" w:color="auto"/>
            </w:tcBorders>
            <w:vAlign w:val="center"/>
          </w:tcPr>
          <w:p w14:paraId="004A316A" w14:textId="77777777" w:rsidR="00BD1340" w:rsidRPr="005A68E6" w:rsidRDefault="00BD1340" w:rsidP="00BD1340">
            <w:pPr>
              <w:ind w:firstLine="94"/>
              <w:jc w:val="center"/>
              <w:rPr>
                <w:color w:val="FF0000"/>
                <w:lang w:val="en-US"/>
              </w:rPr>
            </w:pPr>
            <w:r w:rsidRPr="005A68E6">
              <w:t xml:space="preserve"> 295.2 </w:t>
            </w:r>
          </w:p>
        </w:tc>
        <w:tc>
          <w:tcPr>
            <w:tcW w:w="1170" w:type="dxa"/>
            <w:tcBorders>
              <w:left w:val="double" w:sz="4" w:space="0" w:color="auto"/>
              <w:right w:val="nil"/>
            </w:tcBorders>
            <w:vAlign w:val="center"/>
          </w:tcPr>
          <w:p w14:paraId="395663CF" w14:textId="77777777" w:rsidR="00BD1340" w:rsidRPr="005A68E6" w:rsidRDefault="00BD1340" w:rsidP="00BD1340">
            <w:pPr>
              <w:ind w:firstLine="94"/>
              <w:jc w:val="center"/>
              <w:rPr>
                <w:color w:val="FF0000"/>
              </w:rPr>
            </w:pPr>
            <w:r w:rsidRPr="005A68E6">
              <w:t xml:space="preserve"> 295.2 </w:t>
            </w:r>
          </w:p>
        </w:tc>
        <w:tc>
          <w:tcPr>
            <w:tcW w:w="990" w:type="dxa"/>
            <w:tcBorders>
              <w:left w:val="nil"/>
              <w:right w:val="nil"/>
            </w:tcBorders>
            <w:vAlign w:val="center"/>
          </w:tcPr>
          <w:p w14:paraId="423FCDCC" w14:textId="59B9D689" w:rsidR="00BD1340" w:rsidRPr="005A68E6" w:rsidDel="00796972" w:rsidRDefault="00BD1340" w:rsidP="00BD1340">
            <w:pPr>
              <w:ind w:firstLine="94"/>
              <w:jc w:val="center"/>
              <w:rPr>
                <w:color w:val="FF0000"/>
                <w:lang w:val="en-US"/>
              </w:rPr>
            </w:pPr>
            <w:r w:rsidRPr="005A68E6">
              <w:t xml:space="preserve">300.0 </w:t>
            </w:r>
          </w:p>
        </w:tc>
        <w:tc>
          <w:tcPr>
            <w:tcW w:w="1080" w:type="dxa"/>
            <w:tcBorders>
              <w:left w:val="nil"/>
              <w:right w:val="nil"/>
            </w:tcBorders>
            <w:vAlign w:val="center"/>
          </w:tcPr>
          <w:p w14:paraId="24C6EBEB" w14:textId="49682707" w:rsidR="00BD1340" w:rsidRPr="005A68E6" w:rsidRDefault="00BD1340" w:rsidP="00BD1340">
            <w:pPr>
              <w:ind w:firstLine="94"/>
              <w:jc w:val="center"/>
              <w:rPr>
                <w:color w:val="FF0000"/>
              </w:rPr>
            </w:pPr>
            <w:r w:rsidRPr="005A68E6">
              <w:t xml:space="preserve">320.0 </w:t>
            </w:r>
          </w:p>
        </w:tc>
        <w:tc>
          <w:tcPr>
            <w:tcW w:w="1006" w:type="dxa"/>
            <w:tcBorders>
              <w:left w:val="nil"/>
              <w:right w:val="nil"/>
            </w:tcBorders>
            <w:vAlign w:val="center"/>
          </w:tcPr>
          <w:p w14:paraId="7E5563EB" w14:textId="3BAE088B" w:rsidR="00BD1340" w:rsidRPr="005A68E6" w:rsidRDefault="00BD1340" w:rsidP="00BD1340">
            <w:pPr>
              <w:ind w:firstLine="94"/>
              <w:jc w:val="center"/>
              <w:rPr>
                <w:color w:val="FF0000"/>
              </w:rPr>
            </w:pPr>
            <w:r w:rsidRPr="005A68E6">
              <w:t xml:space="preserve">320.0 </w:t>
            </w:r>
          </w:p>
        </w:tc>
      </w:tr>
      <w:tr w:rsidR="00BD1340" w:rsidRPr="005A68E6" w14:paraId="4085B27E" w14:textId="77777777" w:rsidTr="00594506">
        <w:trPr>
          <w:trHeight w:val="551"/>
          <w:jc w:val="center"/>
        </w:trPr>
        <w:tc>
          <w:tcPr>
            <w:tcW w:w="4419" w:type="dxa"/>
            <w:tcBorders>
              <w:left w:val="nil"/>
              <w:bottom w:val="thickThinSmallGap" w:sz="24" w:space="0" w:color="auto"/>
              <w:right w:val="nil"/>
            </w:tcBorders>
            <w:vAlign w:val="center"/>
          </w:tcPr>
          <w:p w14:paraId="3BEFAF5B" w14:textId="1A05EE8A" w:rsidR="00BD1340" w:rsidRPr="005A68E6" w:rsidRDefault="00BD1340" w:rsidP="00BD1340">
            <w:pPr>
              <w:spacing w:line="240" w:lineRule="auto"/>
              <w:ind w:firstLine="94"/>
              <w:jc w:val="left"/>
            </w:pPr>
            <w:r w:rsidRPr="005A68E6">
              <w:t>External net borrowings</w:t>
            </w:r>
          </w:p>
        </w:tc>
        <w:tc>
          <w:tcPr>
            <w:tcW w:w="981" w:type="dxa"/>
            <w:tcBorders>
              <w:left w:val="nil"/>
              <w:bottom w:val="thickThinSmallGap" w:sz="24" w:space="0" w:color="auto"/>
              <w:right w:val="nil"/>
            </w:tcBorders>
            <w:vAlign w:val="center"/>
          </w:tcPr>
          <w:p w14:paraId="7526FB24" w14:textId="77777777" w:rsidR="00BD1340" w:rsidRPr="005A68E6" w:rsidRDefault="00BD1340" w:rsidP="00BD1340">
            <w:pPr>
              <w:ind w:firstLine="94"/>
              <w:jc w:val="center"/>
            </w:pPr>
            <w:r w:rsidRPr="005A68E6">
              <w:t>66.2</w:t>
            </w:r>
          </w:p>
        </w:tc>
        <w:tc>
          <w:tcPr>
            <w:tcW w:w="1260" w:type="dxa"/>
            <w:tcBorders>
              <w:left w:val="nil"/>
              <w:bottom w:val="thickThinSmallGap" w:sz="24" w:space="0" w:color="auto"/>
              <w:right w:val="double" w:sz="4" w:space="0" w:color="auto"/>
            </w:tcBorders>
            <w:vAlign w:val="center"/>
          </w:tcPr>
          <w:p w14:paraId="737D800C" w14:textId="77777777" w:rsidR="00BD1340" w:rsidRPr="005A68E6" w:rsidRDefault="00BD1340" w:rsidP="00BD1340">
            <w:pPr>
              <w:ind w:firstLine="94"/>
              <w:jc w:val="center"/>
              <w:rPr>
                <w:color w:val="FF0000"/>
                <w:lang w:val="en-US"/>
              </w:rPr>
            </w:pPr>
            <w:r w:rsidRPr="005A68E6">
              <w:t xml:space="preserve"> 127.3 </w:t>
            </w:r>
          </w:p>
        </w:tc>
        <w:tc>
          <w:tcPr>
            <w:tcW w:w="1170" w:type="dxa"/>
            <w:tcBorders>
              <w:left w:val="double" w:sz="4" w:space="0" w:color="auto"/>
              <w:bottom w:val="thickThinSmallGap" w:sz="24" w:space="0" w:color="auto"/>
              <w:right w:val="nil"/>
            </w:tcBorders>
            <w:vAlign w:val="center"/>
          </w:tcPr>
          <w:p w14:paraId="30A642D3" w14:textId="77777777" w:rsidR="00BD1340" w:rsidRPr="005A68E6" w:rsidRDefault="00BD1340" w:rsidP="00BD1340">
            <w:pPr>
              <w:ind w:firstLine="94"/>
              <w:jc w:val="center"/>
              <w:rPr>
                <w:color w:val="FF0000"/>
              </w:rPr>
            </w:pPr>
            <w:r w:rsidRPr="005A68E6">
              <w:t xml:space="preserve"> 127.3 </w:t>
            </w:r>
          </w:p>
        </w:tc>
        <w:tc>
          <w:tcPr>
            <w:tcW w:w="990" w:type="dxa"/>
            <w:tcBorders>
              <w:left w:val="nil"/>
              <w:bottom w:val="thickThinSmallGap" w:sz="24" w:space="0" w:color="auto"/>
              <w:right w:val="nil"/>
            </w:tcBorders>
            <w:vAlign w:val="center"/>
          </w:tcPr>
          <w:p w14:paraId="755E52DE" w14:textId="77777777" w:rsidR="00BD1340" w:rsidRPr="005A68E6" w:rsidRDefault="00BD1340" w:rsidP="00BD1340">
            <w:pPr>
              <w:ind w:firstLine="94"/>
              <w:jc w:val="center"/>
              <w:rPr>
                <w:color w:val="FF0000"/>
                <w:lang w:val="en-US"/>
              </w:rPr>
            </w:pPr>
            <w:r w:rsidRPr="005A68E6">
              <w:t xml:space="preserve"> 107.4 </w:t>
            </w:r>
          </w:p>
        </w:tc>
        <w:tc>
          <w:tcPr>
            <w:tcW w:w="1080" w:type="dxa"/>
            <w:tcBorders>
              <w:left w:val="nil"/>
              <w:bottom w:val="thickThinSmallGap" w:sz="24" w:space="0" w:color="auto"/>
              <w:right w:val="nil"/>
            </w:tcBorders>
            <w:vAlign w:val="center"/>
          </w:tcPr>
          <w:p w14:paraId="3E9E1405" w14:textId="77777777" w:rsidR="00BD1340" w:rsidRPr="005A68E6" w:rsidRDefault="00BD1340" w:rsidP="00BD1340">
            <w:pPr>
              <w:ind w:firstLine="94"/>
              <w:jc w:val="center"/>
              <w:rPr>
                <w:color w:val="FF0000"/>
                <w:lang w:val="en-US"/>
              </w:rPr>
            </w:pPr>
            <w:r w:rsidRPr="005A68E6">
              <w:t xml:space="preserve"> 133.2 </w:t>
            </w:r>
          </w:p>
        </w:tc>
        <w:tc>
          <w:tcPr>
            <w:tcW w:w="1006" w:type="dxa"/>
            <w:tcBorders>
              <w:left w:val="nil"/>
              <w:bottom w:val="thickThinSmallGap" w:sz="24" w:space="0" w:color="auto"/>
              <w:right w:val="nil"/>
            </w:tcBorders>
            <w:vAlign w:val="center"/>
          </w:tcPr>
          <w:p w14:paraId="5172E9F1" w14:textId="77777777" w:rsidR="00BD1340" w:rsidRPr="005A68E6" w:rsidRDefault="00BD1340" w:rsidP="00BD1340">
            <w:pPr>
              <w:ind w:firstLine="94"/>
              <w:jc w:val="center"/>
              <w:rPr>
                <w:color w:val="FF0000"/>
                <w:lang w:val="en-US"/>
              </w:rPr>
            </w:pPr>
            <w:r w:rsidRPr="005A68E6">
              <w:t xml:space="preserve"> 190.5 </w:t>
            </w:r>
          </w:p>
        </w:tc>
      </w:tr>
    </w:tbl>
    <w:p w14:paraId="436E5A10" w14:textId="64C01555" w:rsidR="009949F9" w:rsidRPr="005A68E6" w:rsidRDefault="009949F9" w:rsidP="00581010">
      <w:pPr>
        <w:spacing w:before="120"/>
        <w:rPr>
          <w:sz w:val="16"/>
          <w:lang w:val="en-US"/>
        </w:rPr>
      </w:pPr>
      <w:r w:rsidRPr="005A68E6">
        <w:rPr>
          <w:sz w:val="16"/>
          <w:lang w:val="en-US"/>
        </w:rPr>
        <w:t xml:space="preserve">Source: RA MoF calculations and forecasts </w:t>
      </w:r>
    </w:p>
    <w:p w14:paraId="4EA475CC" w14:textId="77777777" w:rsidR="00820547" w:rsidRPr="005A68E6" w:rsidRDefault="00820547" w:rsidP="00581010">
      <w:pPr>
        <w:spacing w:before="120"/>
        <w:rPr>
          <w:sz w:val="16"/>
        </w:rPr>
      </w:pPr>
    </w:p>
    <w:p w14:paraId="3D4BCE60" w14:textId="77777777" w:rsidR="00581010" w:rsidRPr="005A68E6" w:rsidRDefault="00581010" w:rsidP="00A1274B">
      <w:pPr>
        <w:rPr>
          <w:color w:val="FF0000"/>
        </w:rPr>
      </w:pPr>
    </w:p>
    <w:p w14:paraId="269F70A5" w14:textId="0F5EEA98" w:rsidR="000A0A81" w:rsidRPr="005A68E6" w:rsidRDefault="000A0A81" w:rsidP="00C45A7F">
      <w:pPr>
        <w:pStyle w:val="Heading5"/>
        <w:keepNext/>
        <w:numPr>
          <w:ilvl w:val="0"/>
          <w:numId w:val="42"/>
        </w:numPr>
        <w:spacing w:before="120" w:after="240" w:line="240" w:lineRule="auto"/>
        <w:ind w:left="1276" w:hanging="1276"/>
        <w:jc w:val="left"/>
        <w:rPr>
          <w:rFonts w:cs="Arial"/>
          <w:bCs w:val="0"/>
          <w:i w:val="0"/>
          <w:iCs w:val="0"/>
          <w:sz w:val="22"/>
          <w:szCs w:val="24"/>
          <w:lang w:val="en-US"/>
        </w:rPr>
      </w:pPr>
      <w:r w:rsidRPr="005A68E6">
        <w:rPr>
          <w:rFonts w:cs="Arial"/>
          <w:bCs w:val="0"/>
          <w:i w:val="0"/>
          <w:iCs w:val="0"/>
          <w:sz w:val="22"/>
          <w:szCs w:val="24"/>
          <w:lang w:val="en-US"/>
        </w:rPr>
        <w:t>The structure of deficit financing through domestic and external net borrowings for 2022-2026</w:t>
      </w:r>
    </w:p>
    <w:p w14:paraId="07DA2340" w14:textId="03F519FE" w:rsidR="00705AD6" w:rsidRPr="005A68E6" w:rsidRDefault="00705AD6" w:rsidP="009949F9">
      <w:pPr>
        <w:ind w:firstLine="0"/>
        <w:jc w:val="left"/>
      </w:pPr>
      <w:r w:rsidRPr="005A68E6">
        <w:rPr>
          <w:noProof/>
          <w:lang w:val="en-US"/>
        </w:rPr>
        <w:drawing>
          <wp:inline distT="0" distB="0" distL="0" distR="0" wp14:anchorId="6CF2C634" wp14:editId="69F067B6">
            <wp:extent cx="6482080" cy="3736975"/>
            <wp:effectExtent l="0" t="0" r="13970" b="15875"/>
            <wp:docPr id="4" name="Chart 4">
              <a:extLst xmlns:a="http://schemas.openxmlformats.org/drawingml/2006/main">
                <a:ext uri="{FF2B5EF4-FFF2-40B4-BE49-F238E27FC236}">
                  <a16:creationId xmlns:a16="http://schemas.microsoft.com/office/drawing/2014/main" id="{00000000-0008-0000-0E00-00009408D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98C529" w14:textId="4F88E07D" w:rsidR="009949F9" w:rsidRPr="005A68E6" w:rsidRDefault="009949F9" w:rsidP="00C45A7F">
      <w:pPr>
        <w:spacing w:after="240"/>
        <w:jc w:val="left"/>
        <w:rPr>
          <w:sz w:val="16"/>
          <w:szCs w:val="16"/>
          <w:lang w:val="en-US"/>
        </w:rPr>
      </w:pPr>
      <w:r w:rsidRPr="005A68E6">
        <w:rPr>
          <w:sz w:val="16"/>
          <w:szCs w:val="16"/>
        </w:rPr>
        <w:t>S</w:t>
      </w:r>
      <w:r w:rsidRPr="005A68E6">
        <w:rPr>
          <w:sz w:val="16"/>
          <w:szCs w:val="16"/>
          <w:lang w:val="en-US"/>
        </w:rPr>
        <w:t>ource: RA MoF calculations and forecasts</w:t>
      </w:r>
    </w:p>
    <w:p w14:paraId="7E978291" w14:textId="28BF10CD" w:rsidR="0024298B" w:rsidRPr="005A68E6" w:rsidRDefault="0024298B" w:rsidP="0024298B">
      <w:pPr>
        <w:rPr>
          <w:lang w:val="en-US"/>
        </w:rPr>
      </w:pPr>
      <w:r w:rsidRPr="005A68E6">
        <w:rPr>
          <w:lang w:val="en-US"/>
        </w:rPr>
        <w:t>In the medium</w:t>
      </w:r>
      <w:r w:rsidR="00941791" w:rsidRPr="005A68E6">
        <w:rPr>
          <w:lang w:val="en-US"/>
        </w:rPr>
        <w:t>-</w:t>
      </w:r>
      <w:r w:rsidRPr="005A68E6">
        <w:rPr>
          <w:lang w:val="en-US"/>
        </w:rPr>
        <w:t xml:space="preserve">term, </w:t>
      </w:r>
      <w:r w:rsidR="00D02AC0" w:rsidRPr="005A68E6">
        <w:rPr>
          <w:lang w:val="en-US"/>
        </w:rPr>
        <w:t xml:space="preserve">in accordance with </w:t>
      </w:r>
      <w:r w:rsidRPr="005A68E6">
        <w:rPr>
          <w:lang w:val="en-US"/>
        </w:rPr>
        <w:t xml:space="preserve">the objectives of the RA Government debt management, the share of financing through domestic net borrowings in the structure of State budget deficit financing </w:t>
      </w:r>
      <w:r w:rsidR="00D02AC0" w:rsidRPr="005A68E6">
        <w:rPr>
          <w:lang w:val="en-US"/>
        </w:rPr>
        <w:t xml:space="preserve">significantly </w:t>
      </w:r>
      <w:r w:rsidRPr="005A68E6">
        <w:rPr>
          <w:lang w:val="en-US"/>
        </w:rPr>
        <w:t xml:space="preserve">exceeds the share of financing through external net borrowings. </w:t>
      </w:r>
    </w:p>
    <w:p w14:paraId="1578EF1D" w14:textId="4243E149" w:rsidR="0024298B" w:rsidRPr="005A68E6" w:rsidRDefault="00303248" w:rsidP="0024298B">
      <w:r w:rsidRPr="005A68E6">
        <w:rPr>
          <w:lang w:val="en-US"/>
        </w:rPr>
        <w:lastRenderedPageBreak/>
        <w:t>In order t</w:t>
      </w:r>
      <w:r w:rsidR="0024298B" w:rsidRPr="005A68E6">
        <w:t>o meet the financing</w:t>
      </w:r>
      <w:r w:rsidR="00602571" w:rsidRPr="005A68E6">
        <w:t xml:space="preserve"> need</w:t>
      </w:r>
      <w:r w:rsidR="00602571" w:rsidRPr="005A68E6">
        <w:rPr>
          <w:lang w:val="en-US"/>
        </w:rPr>
        <w:t>s</w:t>
      </w:r>
      <w:r w:rsidRPr="005A68E6">
        <w:rPr>
          <w:lang w:val="en-US"/>
        </w:rPr>
        <w:t>,</w:t>
      </w:r>
      <w:r w:rsidR="00941791" w:rsidRPr="005A68E6">
        <w:t xml:space="preserve"> in the medium-</w:t>
      </w:r>
      <w:r w:rsidR="0024298B" w:rsidRPr="005A68E6">
        <w:t xml:space="preserve">term it is planned to </w:t>
      </w:r>
      <w:r w:rsidR="00602571" w:rsidRPr="005A68E6">
        <w:rPr>
          <w:lang w:val="en-US"/>
        </w:rPr>
        <w:t>borrow</w:t>
      </w:r>
      <w:r w:rsidRPr="005A68E6">
        <w:t xml:space="preserve"> </w:t>
      </w:r>
      <w:r w:rsidR="0024298B" w:rsidRPr="005A68E6">
        <w:t xml:space="preserve">funds both through external loans and </w:t>
      </w:r>
      <w:r w:rsidR="0024298B" w:rsidRPr="005A68E6">
        <w:rPr>
          <w:lang w:val="en-US"/>
        </w:rPr>
        <w:t>borrowings</w:t>
      </w:r>
      <w:r w:rsidR="0024298B" w:rsidRPr="005A68E6">
        <w:t xml:space="preserve">, and through the </w:t>
      </w:r>
      <w:r w:rsidRPr="005A68E6">
        <w:rPr>
          <w:lang w:val="en-US"/>
        </w:rPr>
        <w:t>allocation</w:t>
      </w:r>
      <w:r w:rsidRPr="005A68E6">
        <w:t xml:space="preserve"> </w:t>
      </w:r>
      <w:r w:rsidR="0024298B" w:rsidRPr="005A68E6">
        <w:t xml:space="preserve">of </w:t>
      </w:r>
      <w:r w:rsidR="004D6547" w:rsidRPr="005A68E6">
        <w:rPr>
          <w:lang w:val="en-US"/>
        </w:rPr>
        <w:t>G</w:t>
      </w:r>
      <w:r w:rsidRPr="005A68E6">
        <w:rPr>
          <w:lang w:val="en-US"/>
        </w:rPr>
        <w:t>overnment</w:t>
      </w:r>
      <w:r w:rsidRPr="005A68E6">
        <w:t xml:space="preserve"> </w:t>
      </w:r>
      <w:r w:rsidR="0024298B" w:rsidRPr="005A68E6">
        <w:t>treasury and foreign currency bonds.</w:t>
      </w:r>
    </w:p>
    <w:p w14:paraId="1DCBB1C1" w14:textId="11D5F621" w:rsidR="00A440F8" w:rsidRPr="005A68E6" w:rsidRDefault="00A440F8" w:rsidP="00C45A7F">
      <w:pPr>
        <w:pStyle w:val="af6"/>
        <w:numPr>
          <w:ilvl w:val="0"/>
          <w:numId w:val="35"/>
        </w:numPr>
        <w:spacing w:after="240"/>
        <w:ind w:left="1276" w:hanging="1276"/>
      </w:pPr>
      <w:r w:rsidRPr="005A68E6">
        <w:t xml:space="preserve"> </w:t>
      </w:r>
      <w:r w:rsidR="00045B93" w:rsidRPr="005A68E6">
        <w:rPr>
          <w:rStyle w:val="Emphasis"/>
          <w:rFonts w:cs="Cambria"/>
          <w:i/>
          <w:szCs w:val="24"/>
        </w:rPr>
        <w:t>Financi</w:t>
      </w:r>
      <w:r w:rsidR="00602571" w:rsidRPr="005A68E6">
        <w:rPr>
          <w:rStyle w:val="Emphasis"/>
          <w:rFonts w:cs="Cambria"/>
          <w:i/>
          <w:szCs w:val="24"/>
          <w:lang w:val="en-US"/>
        </w:rPr>
        <w:t>ng</w:t>
      </w:r>
      <w:r w:rsidR="00045B93" w:rsidRPr="005A68E6">
        <w:rPr>
          <w:rStyle w:val="Emphasis"/>
          <w:rFonts w:cs="Cambria"/>
          <w:i/>
          <w:szCs w:val="24"/>
        </w:rPr>
        <w:t xml:space="preserve"> through net borrowings for 2022-202</w:t>
      </w:r>
      <w:r w:rsidR="00045B93" w:rsidRPr="005A68E6">
        <w:rPr>
          <w:rStyle w:val="Emphasis"/>
          <w:rFonts w:cs="Cambria"/>
          <w:i/>
          <w:szCs w:val="24"/>
          <w:lang w:val="en-US"/>
        </w:rPr>
        <w:t>6</w:t>
      </w:r>
      <w:r w:rsidR="00045B93" w:rsidRPr="005A68E6">
        <w:rPr>
          <w:rStyle w:val="Emphasis"/>
          <w:rFonts w:cs="Cambria"/>
          <w:i/>
          <w:szCs w:val="24"/>
        </w:rPr>
        <w:t xml:space="preserve"> (AMD billion)</w:t>
      </w:r>
    </w:p>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353"/>
        <w:gridCol w:w="1353"/>
        <w:gridCol w:w="1353"/>
        <w:gridCol w:w="1234"/>
        <w:gridCol w:w="1253"/>
      </w:tblGrid>
      <w:tr w:rsidR="0031385C" w:rsidRPr="005A68E6" w14:paraId="6663D76E" w14:textId="77777777" w:rsidTr="00581010">
        <w:trPr>
          <w:trHeight w:val="793"/>
          <w:tblHeader/>
          <w:jc w:val="center"/>
        </w:trPr>
        <w:tc>
          <w:tcPr>
            <w:tcW w:w="3969" w:type="dxa"/>
            <w:tcBorders>
              <w:top w:val="thinThickThinSmallGap" w:sz="24" w:space="0" w:color="auto"/>
              <w:left w:val="nil"/>
              <w:bottom w:val="thinThickSmallGap" w:sz="24" w:space="0" w:color="auto"/>
              <w:right w:val="nil"/>
            </w:tcBorders>
            <w:shd w:val="clear" w:color="auto" w:fill="5B9BD5"/>
            <w:vAlign w:val="center"/>
          </w:tcPr>
          <w:p w14:paraId="2A6EECAA" w14:textId="77777777" w:rsidR="0031385C" w:rsidRPr="005A68E6" w:rsidRDefault="0031385C" w:rsidP="008C6138">
            <w:pPr>
              <w:ind w:firstLine="94"/>
              <w:jc w:val="center"/>
            </w:pPr>
          </w:p>
        </w:tc>
        <w:tc>
          <w:tcPr>
            <w:tcW w:w="1353" w:type="dxa"/>
            <w:tcBorders>
              <w:top w:val="thinThickThinSmallGap" w:sz="24" w:space="0" w:color="auto"/>
              <w:left w:val="nil"/>
              <w:bottom w:val="thinThickSmallGap" w:sz="24" w:space="0" w:color="auto"/>
              <w:right w:val="double" w:sz="4" w:space="0" w:color="auto"/>
            </w:tcBorders>
            <w:shd w:val="clear" w:color="auto" w:fill="5B9BD5"/>
            <w:vAlign w:val="center"/>
          </w:tcPr>
          <w:p w14:paraId="2834B53D" w14:textId="19910133" w:rsidR="0031385C" w:rsidRPr="005A68E6" w:rsidRDefault="0031385C" w:rsidP="008C6138">
            <w:pPr>
              <w:spacing w:line="240" w:lineRule="auto"/>
              <w:ind w:firstLine="94"/>
              <w:jc w:val="center"/>
            </w:pPr>
            <w:r w:rsidRPr="005A68E6">
              <w:t>202</w:t>
            </w:r>
            <w:r w:rsidRPr="005A68E6">
              <w:rPr>
                <w:lang w:val="en-US"/>
              </w:rPr>
              <w:t>2</w:t>
            </w:r>
            <w:r w:rsidRPr="005A68E6">
              <w:t xml:space="preserve"> </w:t>
            </w:r>
            <w:r w:rsidR="002E4BED" w:rsidRPr="005A68E6">
              <w:rPr>
                <w:lang w:val="en-US"/>
              </w:rPr>
              <w:t>actual</w:t>
            </w:r>
          </w:p>
        </w:tc>
        <w:tc>
          <w:tcPr>
            <w:tcW w:w="1353" w:type="dxa"/>
            <w:tcBorders>
              <w:top w:val="thinThickThinSmallGap" w:sz="24" w:space="0" w:color="auto"/>
              <w:left w:val="double" w:sz="4" w:space="0" w:color="auto"/>
              <w:bottom w:val="thinThickSmallGap" w:sz="24" w:space="0" w:color="auto"/>
              <w:right w:val="nil"/>
            </w:tcBorders>
            <w:shd w:val="clear" w:color="auto" w:fill="5B9BD5"/>
            <w:vAlign w:val="center"/>
          </w:tcPr>
          <w:p w14:paraId="7C7A0E65" w14:textId="6891404D" w:rsidR="0031385C" w:rsidRPr="005A68E6" w:rsidRDefault="0031385C" w:rsidP="008C6138">
            <w:pPr>
              <w:spacing w:line="240" w:lineRule="auto"/>
              <w:ind w:firstLine="94"/>
              <w:jc w:val="center"/>
              <w:rPr>
                <w:lang w:val="en-US"/>
              </w:rPr>
            </w:pPr>
            <w:r w:rsidRPr="005A68E6">
              <w:t xml:space="preserve">2023 </w:t>
            </w:r>
            <w:r w:rsidR="002E4BED" w:rsidRPr="005A68E6">
              <w:t>forecast</w:t>
            </w:r>
          </w:p>
        </w:tc>
        <w:tc>
          <w:tcPr>
            <w:tcW w:w="1353" w:type="dxa"/>
            <w:tcBorders>
              <w:top w:val="thinThickThinSmallGap" w:sz="24" w:space="0" w:color="auto"/>
              <w:left w:val="nil"/>
              <w:bottom w:val="thinThickSmallGap" w:sz="24" w:space="0" w:color="auto"/>
              <w:right w:val="nil"/>
            </w:tcBorders>
            <w:shd w:val="clear" w:color="auto" w:fill="5B9BD5"/>
            <w:vAlign w:val="center"/>
          </w:tcPr>
          <w:p w14:paraId="71873452" w14:textId="14145856" w:rsidR="0031385C" w:rsidRPr="005A68E6" w:rsidRDefault="0031385C" w:rsidP="008C6138">
            <w:pPr>
              <w:spacing w:line="240" w:lineRule="auto"/>
              <w:ind w:firstLine="94"/>
              <w:jc w:val="center"/>
            </w:pPr>
            <w:r w:rsidRPr="005A68E6">
              <w:t xml:space="preserve">2024 </w:t>
            </w:r>
            <w:r w:rsidR="002E4BED" w:rsidRPr="005A68E6">
              <w:t>forecast</w:t>
            </w:r>
          </w:p>
        </w:tc>
        <w:tc>
          <w:tcPr>
            <w:tcW w:w="1234" w:type="dxa"/>
            <w:tcBorders>
              <w:top w:val="thinThickThinSmallGap" w:sz="24" w:space="0" w:color="auto"/>
              <w:left w:val="nil"/>
              <w:bottom w:val="thinThickSmallGap" w:sz="24" w:space="0" w:color="auto"/>
              <w:right w:val="nil"/>
            </w:tcBorders>
            <w:shd w:val="clear" w:color="auto" w:fill="5B9BD5"/>
            <w:vAlign w:val="center"/>
          </w:tcPr>
          <w:p w14:paraId="6AEF22E6" w14:textId="515593D1" w:rsidR="0031385C" w:rsidRPr="005A68E6" w:rsidRDefault="0031385C" w:rsidP="008C6138">
            <w:pPr>
              <w:spacing w:line="240" w:lineRule="auto"/>
              <w:ind w:firstLine="94"/>
              <w:jc w:val="center"/>
            </w:pPr>
            <w:r w:rsidRPr="005A68E6">
              <w:t xml:space="preserve">2025 </w:t>
            </w:r>
            <w:r w:rsidR="002E4BED" w:rsidRPr="005A68E6">
              <w:t>forecast</w:t>
            </w:r>
          </w:p>
        </w:tc>
        <w:tc>
          <w:tcPr>
            <w:tcW w:w="1253" w:type="dxa"/>
            <w:tcBorders>
              <w:top w:val="thinThickThinSmallGap" w:sz="24" w:space="0" w:color="auto"/>
              <w:left w:val="nil"/>
              <w:bottom w:val="thinThickSmallGap" w:sz="24" w:space="0" w:color="auto"/>
              <w:right w:val="nil"/>
            </w:tcBorders>
            <w:shd w:val="clear" w:color="auto" w:fill="5B9BD5"/>
            <w:vAlign w:val="center"/>
          </w:tcPr>
          <w:p w14:paraId="731ACE28" w14:textId="74ED9CF7" w:rsidR="0031385C" w:rsidRPr="005A68E6" w:rsidRDefault="0031385C" w:rsidP="008C6138">
            <w:pPr>
              <w:spacing w:line="240" w:lineRule="auto"/>
              <w:ind w:firstLine="94"/>
              <w:jc w:val="center"/>
            </w:pPr>
            <w:r w:rsidRPr="005A68E6">
              <w:t xml:space="preserve">2026 </w:t>
            </w:r>
            <w:r w:rsidR="002E4BED" w:rsidRPr="005A68E6">
              <w:t>forecast</w:t>
            </w:r>
          </w:p>
        </w:tc>
      </w:tr>
      <w:tr w:rsidR="0031385C" w:rsidRPr="005A68E6" w14:paraId="3568D713" w14:textId="77777777" w:rsidTr="00453825">
        <w:trPr>
          <w:trHeight w:val="522"/>
          <w:jc w:val="center"/>
        </w:trPr>
        <w:tc>
          <w:tcPr>
            <w:tcW w:w="3969" w:type="dxa"/>
            <w:tcBorders>
              <w:top w:val="thinThickSmallGap" w:sz="24" w:space="0" w:color="auto"/>
              <w:left w:val="nil"/>
              <w:right w:val="nil"/>
            </w:tcBorders>
            <w:vAlign w:val="center"/>
          </w:tcPr>
          <w:p w14:paraId="1F4C7D64" w14:textId="7035D50D" w:rsidR="0031385C" w:rsidRPr="005A68E6" w:rsidRDefault="00045B93" w:rsidP="008C6138">
            <w:pPr>
              <w:spacing w:line="240" w:lineRule="auto"/>
              <w:ind w:firstLine="94"/>
              <w:jc w:val="left"/>
              <w:rPr>
                <w:lang w:val="en-US"/>
              </w:rPr>
            </w:pPr>
            <w:r w:rsidRPr="005A68E6">
              <w:rPr>
                <w:lang w:val="en-US"/>
              </w:rPr>
              <w:t xml:space="preserve">Total </w:t>
            </w:r>
            <w:r w:rsidR="009F673B" w:rsidRPr="005A68E6">
              <w:rPr>
                <w:lang w:val="en-US"/>
              </w:rPr>
              <w:t>financing</w:t>
            </w:r>
          </w:p>
        </w:tc>
        <w:tc>
          <w:tcPr>
            <w:tcW w:w="1353" w:type="dxa"/>
            <w:tcBorders>
              <w:top w:val="thinThickSmallGap" w:sz="24" w:space="0" w:color="auto"/>
              <w:left w:val="nil"/>
              <w:right w:val="double" w:sz="4" w:space="0" w:color="auto"/>
            </w:tcBorders>
            <w:vAlign w:val="center"/>
          </w:tcPr>
          <w:p w14:paraId="36CAADD6" w14:textId="584E0449" w:rsidR="0031385C" w:rsidRPr="005A68E6" w:rsidRDefault="0031385C" w:rsidP="008C6138">
            <w:pPr>
              <w:ind w:firstLine="94"/>
              <w:jc w:val="center"/>
              <w:rPr>
                <w:lang w:val="en-US"/>
              </w:rPr>
            </w:pPr>
            <w:r w:rsidRPr="005A68E6">
              <w:rPr>
                <w:lang w:val="en-US"/>
              </w:rPr>
              <w:t>565.6</w:t>
            </w:r>
          </w:p>
        </w:tc>
        <w:tc>
          <w:tcPr>
            <w:tcW w:w="1353" w:type="dxa"/>
            <w:tcBorders>
              <w:top w:val="thinThickSmallGap" w:sz="24" w:space="0" w:color="auto"/>
              <w:left w:val="double" w:sz="4" w:space="0" w:color="auto"/>
              <w:right w:val="nil"/>
            </w:tcBorders>
            <w:vAlign w:val="center"/>
          </w:tcPr>
          <w:p w14:paraId="5473246B" w14:textId="09199DE2" w:rsidR="0031385C" w:rsidRPr="005A68E6" w:rsidRDefault="0031385C" w:rsidP="008C6138">
            <w:pPr>
              <w:ind w:firstLine="94"/>
              <w:jc w:val="center"/>
              <w:rPr>
                <w:lang w:val="en-US"/>
              </w:rPr>
            </w:pPr>
            <w:r w:rsidRPr="005A68E6">
              <w:rPr>
                <w:lang w:val="en-US"/>
              </w:rPr>
              <w:t>818.4</w:t>
            </w:r>
          </w:p>
        </w:tc>
        <w:tc>
          <w:tcPr>
            <w:tcW w:w="1353" w:type="dxa"/>
            <w:tcBorders>
              <w:top w:val="thinThickSmallGap" w:sz="24" w:space="0" w:color="auto"/>
              <w:left w:val="nil"/>
              <w:right w:val="nil"/>
            </w:tcBorders>
            <w:vAlign w:val="center"/>
          </w:tcPr>
          <w:p w14:paraId="6048F476" w14:textId="77777777" w:rsidR="0031385C" w:rsidRPr="005A68E6" w:rsidRDefault="0031385C" w:rsidP="008C6138">
            <w:pPr>
              <w:ind w:firstLine="94"/>
              <w:jc w:val="center"/>
              <w:rPr>
                <w:color w:val="FF0000"/>
                <w:lang w:val="en-US"/>
              </w:rPr>
            </w:pPr>
            <w:r w:rsidRPr="005A68E6">
              <w:t xml:space="preserve"> 907.8 </w:t>
            </w:r>
          </w:p>
        </w:tc>
        <w:tc>
          <w:tcPr>
            <w:tcW w:w="1234" w:type="dxa"/>
            <w:tcBorders>
              <w:top w:val="thinThickSmallGap" w:sz="24" w:space="0" w:color="auto"/>
              <w:left w:val="nil"/>
              <w:right w:val="nil"/>
            </w:tcBorders>
            <w:vAlign w:val="center"/>
          </w:tcPr>
          <w:p w14:paraId="69D739AB" w14:textId="77777777" w:rsidR="0031385C" w:rsidRPr="005A68E6" w:rsidRDefault="0031385C" w:rsidP="008C6138">
            <w:pPr>
              <w:ind w:firstLine="94"/>
              <w:jc w:val="center"/>
              <w:rPr>
                <w:color w:val="FF0000"/>
                <w:lang w:val="en-US"/>
              </w:rPr>
            </w:pPr>
            <w:r w:rsidRPr="005A68E6">
              <w:t xml:space="preserve">1,258.6 </w:t>
            </w:r>
          </w:p>
        </w:tc>
        <w:tc>
          <w:tcPr>
            <w:tcW w:w="1253" w:type="dxa"/>
            <w:tcBorders>
              <w:top w:val="thinThickSmallGap" w:sz="24" w:space="0" w:color="auto"/>
              <w:left w:val="nil"/>
              <w:right w:val="nil"/>
            </w:tcBorders>
            <w:vAlign w:val="center"/>
          </w:tcPr>
          <w:p w14:paraId="00CC370E" w14:textId="77777777" w:rsidR="0031385C" w:rsidRPr="005A68E6" w:rsidRDefault="0031385C" w:rsidP="008C6138">
            <w:pPr>
              <w:ind w:firstLine="94"/>
              <w:jc w:val="center"/>
              <w:rPr>
                <w:color w:val="FF0000"/>
                <w:lang w:val="en-US"/>
              </w:rPr>
            </w:pPr>
            <w:r w:rsidRPr="005A68E6">
              <w:t xml:space="preserve">1,140.9 </w:t>
            </w:r>
          </w:p>
        </w:tc>
      </w:tr>
      <w:tr w:rsidR="0031385C" w:rsidRPr="005A68E6" w14:paraId="6EEB9CBC" w14:textId="77777777" w:rsidTr="00453825">
        <w:trPr>
          <w:trHeight w:val="320"/>
          <w:jc w:val="center"/>
        </w:trPr>
        <w:tc>
          <w:tcPr>
            <w:tcW w:w="3969" w:type="dxa"/>
            <w:tcBorders>
              <w:left w:val="nil"/>
              <w:right w:val="nil"/>
            </w:tcBorders>
          </w:tcPr>
          <w:p w14:paraId="120FB638" w14:textId="62527BD5" w:rsidR="0031385C" w:rsidRPr="005A68E6" w:rsidRDefault="009F673B" w:rsidP="008C6138">
            <w:pPr>
              <w:spacing w:line="240" w:lineRule="auto"/>
              <w:ind w:left="354" w:firstLine="0"/>
              <w:jc w:val="left"/>
            </w:pPr>
            <w:r w:rsidRPr="005A68E6">
              <w:rPr>
                <w:lang w:val="en-US"/>
              </w:rPr>
              <w:t>of which:</w:t>
            </w:r>
          </w:p>
        </w:tc>
        <w:tc>
          <w:tcPr>
            <w:tcW w:w="1353" w:type="dxa"/>
            <w:tcBorders>
              <w:left w:val="nil"/>
              <w:right w:val="double" w:sz="4" w:space="0" w:color="auto"/>
            </w:tcBorders>
            <w:vAlign w:val="center"/>
          </w:tcPr>
          <w:p w14:paraId="5C237CFA" w14:textId="77777777" w:rsidR="0031385C" w:rsidRPr="005A68E6" w:rsidRDefault="0031385C" w:rsidP="008C6138">
            <w:pPr>
              <w:ind w:firstLine="94"/>
              <w:jc w:val="center"/>
            </w:pPr>
          </w:p>
        </w:tc>
        <w:tc>
          <w:tcPr>
            <w:tcW w:w="1353" w:type="dxa"/>
            <w:tcBorders>
              <w:left w:val="double" w:sz="4" w:space="0" w:color="auto"/>
              <w:right w:val="nil"/>
            </w:tcBorders>
            <w:vAlign w:val="center"/>
          </w:tcPr>
          <w:p w14:paraId="7FCE37C4" w14:textId="187BB034" w:rsidR="0031385C" w:rsidRPr="005A68E6" w:rsidRDefault="0031385C" w:rsidP="008C6138">
            <w:pPr>
              <w:ind w:firstLine="94"/>
              <w:jc w:val="center"/>
            </w:pPr>
          </w:p>
        </w:tc>
        <w:tc>
          <w:tcPr>
            <w:tcW w:w="1353" w:type="dxa"/>
            <w:tcBorders>
              <w:left w:val="nil"/>
              <w:right w:val="nil"/>
            </w:tcBorders>
            <w:vAlign w:val="center"/>
          </w:tcPr>
          <w:p w14:paraId="253E479A" w14:textId="77777777" w:rsidR="0031385C" w:rsidRPr="005A68E6" w:rsidRDefault="0031385C" w:rsidP="008C6138">
            <w:pPr>
              <w:ind w:firstLine="94"/>
              <w:jc w:val="center"/>
            </w:pPr>
          </w:p>
        </w:tc>
        <w:tc>
          <w:tcPr>
            <w:tcW w:w="1234" w:type="dxa"/>
            <w:tcBorders>
              <w:left w:val="nil"/>
              <w:right w:val="nil"/>
            </w:tcBorders>
            <w:vAlign w:val="center"/>
          </w:tcPr>
          <w:p w14:paraId="614D99EA" w14:textId="77777777" w:rsidR="0031385C" w:rsidRPr="005A68E6" w:rsidRDefault="0031385C" w:rsidP="008C6138">
            <w:pPr>
              <w:ind w:firstLine="94"/>
              <w:jc w:val="center"/>
            </w:pPr>
          </w:p>
        </w:tc>
        <w:tc>
          <w:tcPr>
            <w:tcW w:w="1253" w:type="dxa"/>
            <w:tcBorders>
              <w:left w:val="nil"/>
              <w:right w:val="nil"/>
            </w:tcBorders>
            <w:vAlign w:val="center"/>
          </w:tcPr>
          <w:p w14:paraId="79167DF8" w14:textId="77777777" w:rsidR="0031385C" w:rsidRPr="005A68E6" w:rsidRDefault="0031385C" w:rsidP="008C6138">
            <w:pPr>
              <w:ind w:firstLine="94"/>
              <w:jc w:val="center"/>
            </w:pPr>
          </w:p>
        </w:tc>
      </w:tr>
      <w:tr w:rsidR="0031385C" w:rsidRPr="005A68E6" w14:paraId="63F51483" w14:textId="77777777" w:rsidTr="00453825">
        <w:trPr>
          <w:trHeight w:val="320"/>
          <w:jc w:val="center"/>
        </w:trPr>
        <w:tc>
          <w:tcPr>
            <w:tcW w:w="3969" w:type="dxa"/>
            <w:tcBorders>
              <w:left w:val="nil"/>
              <w:right w:val="nil"/>
            </w:tcBorders>
          </w:tcPr>
          <w:p w14:paraId="5FE8CC0F" w14:textId="7F3D4701" w:rsidR="0031385C" w:rsidRPr="005A68E6" w:rsidRDefault="009F673B" w:rsidP="008C6138">
            <w:pPr>
              <w:spacing w:line="240" w:lineRule="auto"/>
              <w:ind w:left="354" w:firstLine="0"/>
              <w:jc w:val="left"/>
            </w:pPr>
            <w:r w:rsidRPr="005A68E6">
              <w:rPr>
                <w:lang w:val="en-US"/>
              </w:rPr>
              <w:t>E</w:t>
            </w:r>
            <w:r w:rsidRPr="005A68E6">
              <w:t>xternal loans and borrowings</w:t>
            </w:r>
          </w:p>
        </w:tc>
        <w:tc>
          <w:tcPr>
            <w:tcW w:w="1353" w:type="dxa"/>
            <w:tcBorders>
              <w:left w:val="nil"/>
              <w:right w:val="double" w:sz="4" w:space="0" w:color="auto"/>
            </w:tcBorders>
            <w:vAlign w:val="center"/>
          </w:tcPr>
          <w:p w14:paraId="03E6435D" w14:textId="39A67EF2" w:rsidR="0031385C" w:rsidRPr="005A68E6" w:rsidRDefault="0031385C" w:rsidP="0031385C">
            <w:pPr>
              <w:ind w:firstLine="94"/>
              <w:jc w:val="center"/>
              <w:rPr>
                <w:lang w:val="en-US"/>
              </w:rPr>
            </w:pPr>
            <w:r w:rsidRPr="005A68E6">
              <w:rPr>
                <w:lang w:val="en-US"/>
              </w:rPr>
              <w:t>165.8</w:t>
            </w:r>
          </w:p>
        </w:tc>
        <w:tc>
          <w:tcPr>
            <w:tcW w:w="1353" w:type="dxa"/>
            <w:tcBorders>
              <w:left w:val="double" w:sz="4" w:space="0" w:color="auto"/>
              <w:right w:val="nil"/>
            </w:tcBorders>
            <w:vAlign w:val="center"/>
          </w:tcPr>
          <w:p w14:paraId="00E94DB8" w14:textId="587E649A" w:rsidR="0031385C" w:rsidRPr="005A68E6" w:rsidRDefault="0031385C" w:rsidP="00581010">
            <w:pPr>
              <w:ind w:firstLine="94"/>
              <w:jc w:val="center"/>
              <w:rPr>
                <w:lang w:val="en-US"/>
              </w:rPr>
            </w:pPr>
            <w:r w:rsidRPr="005A68E6">
              <w:rPr>
                <w:lang w:val="en-US"/>
              </w:rPr>
              <w:t>220.4</w:t>
            </w:r>
          </w:p>
        </w:tc>
        <w:tc>
          <w:tcPr>
            <w:tcW w:w="1353" w:type="dxa"/>
            <w:tcBorders>
              <w:left w:val="nil"/>
              <w:right w:val="nil"/>
            </w:tcBorders>
            <w:vAlign w:val="center"/>
          </w:tcPr>
          <w:p w14:paraId="11573F66" w14:textId="77777777" w:rsidR="0031385C" w:rsidRPr="005A68E6" w:rsidRDefault="0031385C" w:rsidP="00581010">
            <w:pPr>
              <w:ind w:firstLine="94"/>
              <w:jc w:val="center"/>
              <w:rPr>
                <w:color w:val="FF0000"/>
              </w:rPr>
            </w:pPr>
            <w:r w:rsidRPr="005A68E6">
              <w:t>294.9</w:t>
            </w:r>
          </w:p>
        </w:tc>
        <w:tc>
          <w:tcPr>
            <w:tcW w:w="1234" w:type="dxa"/>
            <w:tcBorders>
              <w:left w:val="nil"/>
              <w:right w:val="nil"/>
            </w:tcBorders>
            <w:vAlign w:val="center"/>
          </w:tcPr>
          <w:p w14:paraId="5B27DE55" w14:textId="77777777" w:rsidR="0031385C" w:rsidRPr="005A68E6" w:rsidRDefault="0031385C" w:rsidP="008C6138">
            <w:pPr>
              <w:ind w:firstLine="94"/>
              <w:jc w:val="center"/>
              <w:rPr>
                <w:color w:val="FF0000"/>
              </w:rPr>
            </w:pPr>
            <w:r w:rsidRPr="005A68E6">
              <w:t xml:space="preserve"> 325.0 </w:t>
            </w:r>
          </w:p>
        </w:tc>
        <w:tc>
          <w:tcPr>
            <w:tcW w:w="1253" w:type="dxa"/>
            <w:tcBorders>
              <w:left w:val="nil"/>
              <w:right w:val="nil"/>
            </w:tcBorders>
            <w:vAlign w:val="center"/>
          </w:tcPr>
          <w:p w14:paraId="238943A7" w14:textId="77777777" w:rsidR="0031385C" w:rsidRPr="005A68E6" w:rsidRDefault="0031385C" w:rsidP="008C6138">
            <w:pPr>
              <w:ind w:firstLine="94"/>
              <w:jc w:val="center"/>
              <w:rPr>
                <w:color w:val="FF0000"/>
              </w:rPr>
            </w:pPr>
            <w:r w:rsidRPr="005A68E6">
              <w:t xml:space="preserve"> 396.9 </w:t>
            </w:r>
          </w:p>
        </w:tc>
      </w:tr>
      <w:tr w:rsidR="0031385C" w:rsidRPr="005A68E6" w14:paraId="138E8BD0" w14:textId="77777777" w:rsidTr="00453825">
        <w:trPr>
          <w:trHeight w:val="503"/>
          <w:jc w:val="center"/>
        </w:trPr>
        <w:tc>
          <w:tcPr>
            <w:tcW w:w="3969" w:type="dxa"/>
            <w:tcBorders>
              <w:left w:val="nil"/>
              <w:right w:val="nil"/>
            </w:tcBorders>
          </w:tcPr>
          <w:p w14:paraId="4C20E44B" w14:textId="5C89209A" w:rsidR="0031385C" w:rsidRPr="005A68E6" w:rsidRDefault="002E4BED" w:rsidP="008C6138">
            <w:pPr>
              <w:spacing w:line="240" w:lineRule="auto"/>
              <w:ind w:left="354" w:firstLine="0"/>
              <w:jc w:val="left"/>
              <w:rPr>
                <w:lang w:val="en-US"/>
              </w:rPr>
            </w:pPr>
            <w:r w:rsidRPr="005A68E6">
              <w:t>Government</w:t>
            </w:r>
            <w:r w:rsidRPr="005A68E6">
              <w:rPr>
                <w:lang w:val="en-US"/>
              </w:rPr>
              <w:t xml:space="preserve"> Securities</w:t>
            </w:r>
          </w:p>
        </w:tc>
        <w:tc>
          <w:tcPr>
            <w:tcW w:w="1353" w:type="dxa"/>
            <w:tcBorders>
              <w:left w:val="nil"/>
              <w:right w:val="double" w:sz="4" w:space="0" w:color="auto"/>
            </w:tcBorders>
            <w:vAlign w:val="center"/>
          </w:tcPr>
          <w:p w14:paraId="71ED4864" w14:textId="13B87FE2" w:rsidR="0031385C" w:rsidRPr="005A68E6" w:rsidRDefault="0031385C" w:rsidP="008C6138">
            <w:pPr>
              <w:ind w:firstLine="94"/>
              <w:jc w:val="center"/>
              <w:rPr>
                <w:lang w:val="en-US"/>
              </w:rPr>
            </w:pPr>
            <w:r w:rsidRPr="005A68E6">
              <w:rPr>
                <w:lang w:val="en-US"/>
              </w:rPr>
              <w:t>399.8</w:t>
            </w:r>
          </w:p>
        </w:tc>
        <w:tc>
          <w:tcPr>
            <w:tcW w:w="1353" w:type="dxa"/>
            <w:tcBorders>
              <w:left w:val="double" w:sz="4" w:space="0" w:color="auto"/>
              <w:right w:val="nil"/>
            </w:tcBorders>
            <w:vAlign w:val="center"/>
          </w:tcPr>
          <w:p w14:paraId="24E2F102" w14:textId="33B2EAFA" w:rsidR="0031385C" w:rsidRPr="005A68E6" w:rsidRDefault="0031385C" w:rsidP="008C6138">
            <w:pPr>
              <w:ind w:firstLine="94"/>
              <w:jc w:val="center"/>
              <w:rPr>
                <w:lang w:val="en-US"/>
              </w:rPr>
            </w:pPr>
            <w:r w:rsidRPr="005A68E6">
              <w:rPr>
                <w:lang w:val="en-US"/>
              </w:rPr>
              <w:t>598.0</w:t>
            </w:r>
          </w:p>
        </w:tc>
        <w:tc>
          <w:tcPr>
            <w:tcW w:w="1353" w:type="dxa"/>
            <w:tcBorders>
              <w:left w:val="nil"/>
              <w:right w:val="nil"/>
            </w:tcBorders>
            <w:vAlign w:val="center"/>
          </w:tcPr>
          <w:p w14:paraId="31449273" w14:textId="77777777" w:rsidR="0031385C" w:rsidRPr="005A68E6" w:rsidRDefault="0031385C" w:rsidP="008C6138">
            <w:pPr>
              <w:ind w:firstLine="94"/>
              <w:jc w:val="center"/>
              <w:rPr>
                <w:color w:val="FF0000"/>
              </w:rPr>
            </w:pPr>
            <w:r w:rsidRPr="005A68E6">
              <w:t xml:space="preserve"> 612.8 </w:t>
            </w:r>
          </w:p>
        </w:tc>
        <w:tc>
          <w:tcPr>
            <w:tcW w:w="1234" w:type="dxa"/>
            <w:tcBorders>
              <w:left w:val="nil"/>
              <w:right w:val="nil"/>
            </w:tcBorders>
            <w:vAlign w:val="center"/>
          </w:tcPr>
          <w:p w14:paraId="2EB30C83" w14:textId="77777777" w:rsidR="0031385C" w:rsidRPr="005A68E6" w:rsidRDefault="0031385C" w:rsidP="008C6138">
            <w:pPr>
              <w:ind w:firstLine="94"/>
              <w:jc w:val="center"/>
              <w:rPr>
                <w:color w:val="FF0000"/>
              </w:rPr>
            </w:pPr>
            <w:r w:rsidRPr="005A68E6">
              <w:t xml:space="preserve"> 712.0 </w:t>
            </w:r>
          </w:p>
        </w:tc>
        <w:tc>
          <w:tcPr>
            <w:tcW w:w="1253" w:type="dxa"/>
            <w:tcBorders>
              <w:left w:val="nil"/>
              <w:right w:val="nil"/>
            </w:tcBorders>
            <w:vAlign w:val="center"/>
          </w:tcPr>
          <w:p w14:paraId="25F3C30D" w14:textId="77777777" w:rsidR="0031385C" w:rsidRPr="005A68E6" w:rsidRDefault="0031385C" w:rsidP="008C6138">
            <w:pPr>
              <w:ind w:firstLine="94"/>
              <w:jc w:val="center"/>
              <w:rPr>
                <w:color w:val="FF0000"/>
              </w:rPr>
            </w:pPr>
            <w:r w:rsidRPr="005A68E6">
              <w:t xml:space="preserve"> 744.0 </w:t>
            </w:r>
          </w:p>
        </w:tc>
      </w:tr>
      <w:tr w:rsidR="0031385C" w:rsidRPr="005A68E6" w14:paraId="4AC41059" w14:textId="77777777" w:rsidTr="00581010">
        <w:trPr>
          <w:trHeight w:val="567"/>
          <w:jc w:val="center"/>
        </w:trPr>
        <w:tc>
          <w:tcPr>
            <w:tcW w:w="3969" w:type="dxa"/>
            <w:tcBorders>
              <w:left w:val="nil"/>
              <w:bottom w:val="thickThinSmallGap" w:sz="24" w:space="0" w:color="auto"/>
              <w:right w:val="nil"/>
            </w:tcBorders>
          </w:tcPr>
          <w:p w14:paraId="5E9665FB" w14:textId="147EE25B" w:rsidR="0031385C" w:rsidRPr="005A68E6" w:rsidRDefault="00602571" w:rsidP="008C6138">
            <w:pPr>
              <w:spacing w:line="240" w:lineRule="auto"/>
              <w:ind w:left="354" w:firstLine="0"/>
              <w:jc w:val="left"/>
            </w:pPr>
            <w:r w:rsidRPr="005A68E6">
              <w:rPr>
                <w:lang w:val="en-US"/>
              </w:rPr>
              <w:t>F</w:t>
            </w:r>
            <w:r w:rsidRPr="005A68E6">
              <w:t>oreign currency bonds</w:t>
            </w:r>
          </w:p>
        </w:tc>
        <w:tc>
          <w:tcPr>
            <w:tcW w:w="1353" w:type="dxa"/>
            <w:tcBorders>
              <w:left w:val="nil"/>
              <w:bottom w:val="thickThinSmallGap" w:sz="24" w:space="0" w:color="auto"/>
              <w:right w:val="double" w:sz="4" w:space="0" w:color="auto"/>
            </w:tcBorders>
            <w:vAlign w:val="center"/>
          </w:tcPr>
          <w:p w14:paraId="74998D9E" w14:textId="6F8C6E81" w:rsidR="0031385C" w:rsidRPr="005A68E6" w:rsidRDefault="0031385C" w:rsidP="008C6138">
            <w:pPr>
              <w:ind w:firstLine="94"/>
              <w:jc w:val="center"/>
              <w:rPr>
                <w:lang w:val="en-US"/>
              </w:rPr>
            </w:pPr>
            <w:r w:rsidRPr="005A68E6">
              <w:rPr>
                <w:lang w:val="en-US"/>
              </w:rPr>
              <w:t>-</w:t>
            </w:r>
          </w:p>
        </w:tc>
        <w:tc>
          <w:tcPr>
            <w:tcW w:w="1353" w:type="dxa"/>
            <w:tcBorders>
              <w:left w:val="double" w:sz="4" w:space="0" w:color="auto"/>
              <w:bottom w:val="thickThinSmallGap" w:sz="24" w:space="0" w:color="auto"/>
              <w:right w:val="nil"/>
            </w:tcBorders>
          </w:tcPr>
          <w:p w14:paraId="4AD32999" w14:textId="36FF20C9" w:rsidR="0031385C" w:rsidRPr="005A68E6" w:rsidRDefault="0031385C" w:rsidP="008C6138">
            <w:pPr>
              <w:ind w:firstLine="94"/>
              <w:jc w:val="center"/>
              <w:rPr>
                <w:lang w:val="en-US"/>
              </w:rPr>
            </w:pPr>
            <w:r w:rsidRPr="005A68E6">
              <w:rPr>
                <w:lang w:val="en-US"/>
              </w:rPr>
              <w:t>-</w:t>
            </w:r>
          </w:p>
        </w:tc>
        <w:tc>
          <w:tcPr>
            <w:tcW w:w="1353" w:type="dxa"/>
            <w:tcBorders>
              <w:left w:val="nil"/>
              <w:bottom w:val="thickThinSmallGap" w:sz="24" w:space="0" w:color="auto"/>
              <w:right w:val="nil"/>
            </w:tcBorders>
            <w:vAlign w:val="center"/>
          </w:tcPr>
          <w:p w14:paraId="21EF9D23" w14:textId="77777777" w:rsidR="0031385C" w:rsidRPr="005A68E6" w:rsidRDefault="0031385C" w:rsidP="008C6138">
            <w:pPr>
              <w:ind w:firstLine="94"/>
              <w:jc w:val="center"/>
              <w:rPr>
                <w:color w:val="FF0000"/>
              </w:rPr>
            </w:pPr>
            <w:r w:rsidRPr="005A68E6">
              <w:t>-</w:t>
            </w:r>
          </w:p>
        </w:tc>
        <w:tc>
          <w:tcPr>
            <w:tcW w:w="1234" w:type="dxa"/>
            <w:tcBorders>
              <w:left w:val="nil"/>
              <w:bottom w:val="thickThinSmallGap" w:sz="24" w:space="0" w:color="auto"/>
              <w:right w:val="nil"/>
            </w:tcBorders>
            <w:vAlign w:val="center"/>
          </w:tcPr>
          <w:p w14:paraId="006C174B" w14:textId="77777777" w:rsidR="0031385C" w:rsidRPr="005A68E6" w:rsidRDefault="0031385C" w:rsidP="008C6138">
            <w:pPr>
              <w:ind w:firstLine="94"/>
              <w:jc w:val="center"/>
              <w:rPr>
                <w:color w:val="FF0000"/>
                <w:lang w:val="en-US"/>
              </w:rPr>
            </w:pPr>
            <w:r w:rsidRPr="005A68E6">
              <w:t xml:space="preserve"> 221.6 </w:t>
            </w:r>
          </w:p>
        </w:tc>
        <w:tc>
          <w:tcPr>
            <w:tcW w:w="1253" w:type="dxa"/>
            <w:tcBorders>
              <w:left w:val="nil"/>
              <w:bottom w:val="thickThinSmallGap" w:sz="24" w:space="0" w:color="auto"/>
              <w:right w:val="nil"/>
            </w:tcBorders>
            <w:vAlign w:val="center"/>
          </w:tcPr>
          <w:p w14:paraId="4DC647FA" w14:textId="77777777" w:rsidR="0031385C" w:rsidRPr="005A68E6" w:rsidRDefault="0031385C" w:rsidP="008C6138">
            <w:pPr>
              <w:ind w:firstLine="94"/>
              <w:jc w:val="center"/>
              <w:rPr>
                <w:color w:val="FF0000"/>
                <w:lang w:val="en-US"/>
              </w:rPr>
            </w:pPr>
            <w:r w:rsidRPr="005A68E6">
              <w:t>-</w:t>
            </w:r>
          </w:p>
        </w:tc>
      </w:tr>
    </w:tbl>
    <w:p w14:paraId="53CEE6EF" w14:textId="75D72BF9" w:rsidR="00303248" w:rsidRPr="005A68E6" w:rsidRDefault="00303248" w:rsidP="00581010">
      <w:pPr>
        <w:spacing w:before="120"/>
        <w:rPr>
          <w:lang w:val="en-US"/>
        </w:rPr>
      </w:pPr>
      <w:r w:rsidRPr="005A68E6">
        <w:rPr>
          <w:sz w:val="16"/>
          <w:lang w:val="en-US"/>
        </w:rPr>
        <w:t>Source: RA MoF calculations and forecasts</w:t>
      </w:r>
    </w:p>
    <w:p w14:paraId="6FAB0F1F" w14:textId="188741BC" w:rsidR="00774676" w:rsidRPr="005A68E6" w:rsidRDefault="00774676" w:rsidP="00967AD8">
      <w:pPr>
        <w:rPr>
          <w:color w:val="FF0000"/>
        </w:rPr>
      </w:pPr>
    </w:p>
    <w:p w14:paraId="17F18C83" w14:textId="2985348A" w:rsidR="00774676" w:rsidRPr="005A68E6" w:rsidRDefault="00774676" w:rsidP="00967AD8">
      <w:pPr>
        <w:rPr>
          <w:color w:val="FF0000"/>
        </w:rPr>
      </w:pPr>
    </w:p>
    <w:p w14:paraId="763D6149" w14:textId="77777777" w:rsidR="00774676" w:rsidRPr="005A68E6" w:rsidRDefault="00774676" w:rsidP="00967AD8">
      <w:pPr>
        <w:rPr>
          <w:color w:val="FF0000"/>
        </w:rPr>
      </w:pPr>
    </w:p>
    <w:p w14:paraId="022304E0" w14:textId="77777777" w:rsidR="003D49C0" w:rsidRPr="005A68E6" w:rsidRDefault="003D49C0">
      <w:pPr>
        <w:spacing w:line="240" w:lineRule="auto"/>
        <w:ind w:firstLine="0"/>
        <w:jc w:val="left"/>
        <w:rPr>
          <w:b/>
          <w:kern w:val="16"/>
          <w:sz w:val="26"/>
          <w:lang w:val="af-ZA" w:eastAsia="x-none"/>
        </w:rPr>
      </w:pPr>
      <w:r w:rsidRPr="005A68E6">
        <w:br w:type="page"/>
      </w:r>
    </w:p>
    <w:p w14:paraId="2FFAC88E" w14:textId="7FC9F759" w:rsidR="00025E2D" w:rsidRPr="005A68E6" w:rsidRDefault="00931F00" w:rsidP="00941791">
      <w:pPr>
        <w:pStyle w:val="Heading2"/>
      </w:pPr>
      <w:bookmarkStart w:id="13" w:name="_Toc150627824"/>
      <w:r w:rsidRPr="005A68E6">
        <w:lastRenderedPageBreak/>
        <w:t>Cost-at-risk analysis of the adopted strategy</w:t>
      </w:r>
      <w:bookmarkEnd w:id="13"/>
    </w:p>
    <w:p w14:paraId="3A155864" w14:textId="3E0DA5DF" w:rsidR="0024298B" w:rsidRPr="005A68E6" w:rsidRDefault="0024298B" w:rsidP="0024298B">
      <w:pPr>
        <w:pStyle w:val="BodyText"/>
        <w:rPr>
          <w:lang w:val="en-US"/>
        </w:rPr>
      </w:pPr>
      <w:r w:rsidRPr="005A68E6">
        <w:rPr>
          <w:color w:val="000000"/>
          <w:lang w:val="en-US"/>
        </w:rPr>
        <w:t xml:space="preserve">Under </w:t>
      </w:r>
      <w:r w:rsidRPr="005A68E6">
        <w:rPr>
          <w:color w:val="000000"/>
        </w:rPr>
        <w:t>the main macroeconomic scenario of the 202</w:t>
      </w:r>
      <w:r w:rsidRPr="005A68E6">
        <w:rPr>
          <w:color w:val="000000"/>
          <w:lang w:val="en-US"/>
        </w:rPr>
        <w:t>4</w:t>
      </w:r>
      <w:r w:rsidRPr="005A68E6">
        <w:rPr>
          <w:color w:val="000000"/>
        </w:rPr>
        <w:t>-202</w:t>
      </w:r>
      <w:r w:rsidRPr="005A68E6">
        <w:rPr>
          <w:color w:val="000000"/>
          <w:lang w:val="en-US"/>
        </w:rPr>
        <w:t>6</w:t>
      </w:r>
      <w:r w:rsidRPr="005A68E6">
        <w:rPr>
          <w:color w:val="000000"/>
        </w:rPr>
        <w:t xml:space="preserve"> medium</w:t>
      </w:r>
      <w:r w:rsidR="00941791" w:rsidRPr="005A68E6">
        <w:rPr>
          <w:color w:val="000000"/>
          <w:lang w:val="en-US"/>
        </w:rPr>
        <w:t>-</w:t>
      </w:r>
      <w:r w:rsidRPr="005A68E6">
        <w:rPr>
          <w:color w:val="000000"/>
        </w:rPr>
        <w:t xml:space="preserve">term public expenditure </w:t>
      </w:r>
      <w:r w:rsidRPr="005A68E6">
        <w:rPr>
          <w:color w:val="000000"/>
          <w:lang w:val="en-US"/>
        </w:rPr>
        <w:t>framework</w:t>
      </w:r>
      <w:r w:rsidRPr="005A68E6">
        <w:rPr>
          <w:color w:val="000000"/>
        </w:rPr>
        <w:t>, based on the forecasted</w:t>
      </w:r>
      <w:r w:rsidRPr="005A68E6">
        <w:rPr>
          <w:color w:val="000000"/>
          <w:lang w:val="en-US"/>
        </w:rPr>
        <w:t xml:space="preserve"> main</w:t>
      </w:r>
      <w:r w:rsidRPr="005A68E6">
        <w:rPr>
          <w:color w:val="000000"/>
        </w:rPr>
        <w:t xml:space="preserve"> macroeconomic </w:t>
      </w:r>
      <w:r w:rsidRPr="005A68E6">
        <w:rPr>
          <w:color w:val="000000"/>
          <w:lang w:val="en-US"/>
        </w:rPr>
        <w:t>framework,</w:t>
      </w:r>
      <w:r w:rsidRPr="005A68E6">
        <w:t xml:space="preserve"> </w:t>
      </w:r>
      <w:r w:rsidRPr="005A68E6">
        <w:rPr>
          <w:color w:val="000000"/>
          <w:lang w:val="en-US"/>
        </w:rPr>
        <w:t xml:space="preserve">where the behavior of the forecasted </w:t>
      </w:r>
      <w:r w:rsidR="003103E6" w:rsidRPr="005A68E6">
        <w:rPr>
          <w:color w:val="000000"/>
          <w:lang w:val="en-US"/>
        </w:rPr>
        <w:t xml:space="preserve">domestic </w:t>
      </w:r>
      <w:r w:rsidRPr="005A68E6">
        <w:rPr>
          <w:color w:val="000000"/>
          <w:lang w:val="en-US"/>
        </w:rPr>
        <w:t>and external public debt markets was taken into account,</w:t>
      </w:r>
      <w:r w:rsidRPr="005A68E6">
        <w:rPr>
          <w:color w:val="000000"/>
        </w:rPr>
        <w:t xml:space="preserve"> cost indicators of </w:t>
      </w:r>
      <w:r w:rsidRPr="005A68E6">
        <w:rPr>
          <w:color w:val="000000"/>
          <w:lang w:val="en-US"/>
        </w:rPr>
        <w:t xml:space="preserve">the </w:t>
      </w:r>
      <w:r w:rsidRPr="005A68E6">
        <w:rPr>
          <w:color w:val="000000"/>
        </w:rPr>
        <w:t>RA Government debt</w:t>
      </w:r>
      <w:r w:rsidRPr="005A68E6">
        <w:rPr>
          <w:color w:val="000000"/>
          <w:lang w:val="en-US"/>
        </w:rPr>
        <w:t xml:space="preserve"> demonstrate relatively stable behavior.</w:t>
      </w:r>
    </w:p>
    <w:p w14:paraId="07D223BE" w14:textId="6947954A" w:rsidR="006B7099" w:rsidRPr="005A68E6" w:rsidRDefault="006B7099" w:rsidP="00C45A7F">
      <w:pPr>
        <w:pStyle w:val="af6"/>
        <w:numPr>
          <w:ilvl w:val="0"/>
          <w:numId w:val="35"/>
        </w:numPr>
        <w:spacing w:after="240"/>
        <w:ind w:left="1276" w:hanging="1276"/>
      </w:pPr>
      <w:r w:rsidRPr="005A68E6">
        <w:rPr>
          <w:rStyle w:val="Emphasis"/>
          <w:rFonts w:cs="Cambria"/>
          <w:i/>
          <w:szCs w:val="24"/>
        </w:rPr>
        <w:t xml:space="preserve">Forecasts of cost indicators of </w:t>
      </w:r>
      <w:r w:rsidRPr="005A68E6">
        <w:rPr>
          <w:rStyle w:val="Emphasis"/>
          <w:rFonts w:cs="Cambria"/>
          <w:i/>
          <w:szCs w:val="24"/>
          <w:lang w:val="en-US"/>
        </w:rPr>
        <w:t xml:space="preserve">the </w:t>
      </w:r>
      <w:r w:rsidRPr="005A68E6">
        <w:rPr>
          <w:rStyle w:val="Emphasis"/>
          <w:rFonts w:cs="Cambria"/>
          <w:i/>
          <w:szCs w:val="24"/>
        </w:rPr>
        <w:t>RA Government debt portfolio</w:t>
      </w:r>
    </w:p>
    <w:tbl>
      <w:tblPr>
        <w:tblW w:w="10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8"/>
        <w:gridCol w:w="798"/>
        <w:gridCol w:w="1530"/>
        <w:gridCol w:w="1170"/>
        <w:gridCol w:w="990"/>
        <w:gridCol w:w="1011"/>
        <w:gridCol w:w="1031"/>
      </w:tblGrid>
      <w:tr w:rsidR="009A06EA" w:rsidRPr="005A68E6" w14:paraId="1A9D9C0C" w14:textId="77777777" w:rsidTr="00305AED">
        <w:trPr>
          <w:trHeight w:val="771"/>
          <w:tblHeader/>
          <w:jc w:val="center"/>
        </w:trPr>
        <w:tc>
          <w:tcPr>
            <w:tcW w:w="3738" w:type="dxa"/>
            <w:tcBorders>
              <w:top w:val="thinThickThinSmallGap" w:sz="24" w:space="0" w:color="auto"/>
              <w:left w:val="nil"/>
              <w:bottom w:val="thinThickSmallGap" w:sz="24" w:space="0" w:color="auto"/>
              <w:right w:val="nil"/>
            </w:tcBorders>
            <w:shd w:val="clear" w:color="auto" w:fill="5B9BD5"/>
          </w:tcPr>
          <w:p w14:paraId="0620B11E" w14:textId="77777777" w:rsidR="009A06EA" w:rsidRPr="005A68E6" w:rsidRDefault="009A06EA" w:rsidP="00967AD8">
            <w:pPr>
              <w:spacing w:line="240" w:lineRule="auto"/>
              <w:ind w:firstLine="0"/>
            </w:pPr>
          </w:p>
        </w:tc>
        <w:tc>
          <w:tcPr>
            <w:tcW w:w="798" w:type="dxa"/>
            <w:tcBorders>
              <w:top w:val="thinThickThinSmallGap" w:sz="24" w:space="0" w:color="auto"/>
              <w:left w:val="nil"/>
              <w:bottom w:val="thinThickSmallGap" w:sz="24" w:space="0" w:color="auto"/>
              <w:right w:val="nil"/>
            </w:tcBorders>
            <w:shd w:val="clear" w:color="auto" w:fill="5B9BD5"/>
          </w:tcPr>
          <w:p w14:paraId="2F377184" w14:textId="73A5C8AA" w:rsidR="009A06EA" w:rsidRPr="005A68E6" w:rsidRDefault="009A06EA" w:rsidP="00127F00">
            <w:pPr>
              <w:spacing w:line="240" w:lineRule="auto"/>
              <w:ind w:firstLine="0"/>
              <w:jc w:val="center"/>
              <w:rPr>
                <w:lang w:val="en-US"/>
              </w:rPr>
            </w:pPr>
            <w:r w:rsidRPr="005A68E6">
              <w:rPr>
                <w:lang w:val="en-US"/>
              </w:rPr>
              <w:t xml:space="preserve">2022 </w:t>
            </w:r>
            <w:r w:rsidR="00127F00" w:rsidRPr="005A68E6">
              <w:rPr>
                <w:lang w:val="en-US"/>
              </w:rPr>
              <w:t>actual</w:t>
            </w:r>
          </w:p>
        </w:tc>
        <w:tc>
          <w:tcPr>
            <w:tcW w:w="1530" w:type="dxa"/>
            <w:tcBorders>
              <w:top w:val="thinThickThinSmallGap" w:sz="24" w:space="0" w:color="auto"/>
              <w:left w:val="nil"/>
              <w:bottom w:val="thinThickSmallGap" w:sz="24" w:space="0" w:color="auto"/>
              <w:right w:val="double" w:sz="4" w:space="0" w:color="auto"/>
            </w:tcBorders>
            <w:shd w:val="clear" w:color="auto" w:fill="5B9BD5"/>
            <w:vAlign w:val="center"/>
          </w:tcPr>
          <w:p w14:paraId="7D0A8F78" w14:textId="0D92D03D" w:rsidR="009A06EA" w:rsidRPr="005A68E6" w:rsidRDefault="009A06EA" w:rsidP="005341FA">
            <w:pPr>
              <w:spacing w:line="240" w:lineRule="auto"/>
              <w:ind w:firstLine="0"/>
              <w:jc w:val="center"/>
            </w:pPr>
            <w:r w:rsidRPr="005A68E6">
              <w:t xml:space="preserve">2023 </w:t>
            </w:r>
            <w:r w:rsidR="00127F00" w:rsidRPr="005A68E6">
              <w:rPr>
                <w:color w:val="000000"/>
              </w:rPr>
              <w:t>State budget program</w:t>
            </w:r>
          </w:p>
        </w:tc>
        <w:tc>
          <w:tcPr>
            <w:tcW w:w="1170" w:type="dxa"/>
            <w:tcBorders>
              <w:top w:val="thinThickThinSmallGap" w:sz="24" w:space="0" w:color="auto"/>
              <w:left w:val="double" w:sz="4" w:space="0" w:color="auto"/>
              <w:bottom w:val="thinThickSmallGap" w:sz="24" w:space="0" w:color="auto"/>
              <w:right w:val="nil"/>
            </w:tcBorders>
            <w:shd w:val="clear" w:color="auto" w:fill="5B9BD5"/>
            <w:vAlign w:val="center"/>
          </w:tcPr>
          <w:p w14:paraId="192EE97B" w14:textId="18C015F8" w:rsidR="009A06EA" w:rsidRPr="005A68E6" w:rsidRDefault="009A06EA" w:rsidP="00127F00">
            <w:pPr>
              <w:spacing w:line="240" w:lineRule="auto"/>
              <w:ind w:firstLine="0"/>
              <w:jc w:val="center"/>
              <w:rPr>
                <w:lang w:val="en-US"/>
              </w:rPr>
            </w:pPr>
            <w:r w:rsidRPr="005A68E6">
              <w:t xml:space="preserve">2023 </w:t>
            </w:r>
            <w:r w:rsidR="00127F00" w:rsidRPr="005A68E6">
              <w:rPr>
                <w:lang w:val="en-US"/>
              </w:rPr>
              <w:t>forecast</w:t>
            </w:r>
          </w:p>
        </w:tc>
        <w:tc>
          <w:tcPr>
            <w:tcW w:w="990" w:type="dxa"/>
            <w:tcBorders>
              <w:top w:val="thinThickThinSmallGap" w:sz="24" w:space="0" w:color="auto"/>
              <w:left w:val="nil"/>
              <w:bottom w:val="thinThickSmallGap" w:sz="24" w:space="0" w:color="auto"/>
              <w:right w:val="nil"/>
            </w:tcBorders>
            <w:shd w:val="clear" w:color="auto" w:fill="5B9BD5"/>
            <w:vAlign w:val="center"/>
          </w:tcPr>
          <w:p w14:paraId="37BFC2F7" w14:textId="00EDAABD" w:rsidR="009A06EA" w:rsidRPr="005A68E6" w:rsidRDefault="009A06EA" w:rsidP="00BD4200">
            <w:pPr>
              <w:spacing w:line="240" w:lineRule="auto"/>
              <w:ind w:firstLine="0"/>
              <w:jc w:val="center"/>
            </w:pPr>
            <w:r w:rsidRPr="005A68E6">
              <w:t xml:space="preserve">2024 </w:t>
            </w:r>
            <w:r w:rsidR="00127F00" w:rsidRPr="005A68E6">
              <w:rPr>
                <w:lang w:val="en-US"/>
              </w:rPr>
              <w:t>forecast</w:t>
            </w:r>
          </w:p>
        </w:tc>
        <w:tc>
          <w:tcPr>
            <w:tcW w:w="1011" w:type="dxa"/>
            <w:tcBorders>
              <w:top w:val="thinThickThinSmallGap" w:sz="24" w:space="0" w:color="auto"/>
              <w:left w:val="nil"/>
              <w:bottom w:val="thinThickSmallGap" w:sz="24" w:space="0" w:color="auto"/>
              <w:right w:val="nil"/>
            </w:tcBorders>
            <w:shd w:val="clear" w:color="auto" w:fill="5B9BD5"/>
            <w:vAlign w:val="center"/>
          </w:tcPr>
          <w:p w14:paraId="52A748CF" w14:textId="2CB877A5" w:rsidR="009A06EA" w:rsidRPr="005A68E6" w:rsidRDefault="009A06EA" w:rsidP="00074649">
            <w:pPr>
              <w:spacing w:line="240" w:lineRule="auto"/>
              <w:ind w:firstLine="0"/>
              <w:jc w:val="center"/>
            </w:pPr>
            <w:r w:rsidRPr="005A68E6">
              <w:t xml:space="preserve">2025 </w:t>
            </w:r>
            <w:r w:rsidR="00127F00" w:rsidRPr="005A68E6">
              <w:rPr>
                <w:lang w:val="en-US"/>
              </w:rPr>
              <w:t>forecast</w:t>
            </w:r>
          </w:p>
        </w:tc>
        <w:tc>
          <w:tcPr>
            <w:tcW w:w="1031" w:type="dxa"/>
            <w:tcBorders>
              <w:top w:val="thinThickThinSmallGap" w:sz="24" w:space="0" w:color="auto"/>
              <w:left w:val="nil"/>
              <w:bottom w:val="thinThickSmallGap" w:sz="24" w:space="0" w:color="auto"/>
              <w:right w:val="nil"/>
            </w:tcBorders>
            <w:shd w:val="clear" w:color="auto" w:fill="5B9BD5"/>
            <w:vAlign w:val="center"/>
          </w:tcPr>
          <w:p w14:paraId="76A1072F" w14:textId="41F1C3B8" w:rsidR="009A06EA" w:rsidRPr="005A68E6" w:rsidRDefault="009A06EA" w:rsidP="006D07E7">
            <w:pPr>
              <w:spacing w:line="240" w:lineRule="auto"/>
              <w:ind w:firstLine="0"/>
              <w:jc w:val="center"/>
            </w:pPr>
            <w:r w:rsidRPr="005A68E6">
              <w:t xml:space="preserve">2026 </w:t>
            </w:r>
            <w:r w:rsidR="00127F00" w:rsidRPr="005A68E6">
              <w:rPr>
                <w:lang w:val="en-US"/>
              </w:rPr>
              <w:t>forecast</w:t>
            </w:r>
          </w:p>
        </w:tc>
      </w:tr>
      <w:tr w:rsidR="009A06EA" w:rsidRPr="005A68E6" w14:paraId="4D924D95" w14:textId="77777777" w:rsidTr="00305AED">
        <w:trPr>
          <w:trHeight w:val="447"/>
          <w:jc w:val="center"/>
        </w:trPr>
        <w:tc>
          <w:tcPr>
            <w:tcW w:w="3738" w:type="dxa"/>
            <w:tcBorders>
              <w:left w:val="nil"/>
              <w:right w:val="nil"/>
            </w:tcBorders>
            <w:vAlign w:val="center"/>
          </w:tcPr>
          <w:p w14:paraId="2B784982" w14:textId="739F6182" w:rsidR="009A06EA" w:rsidRPr="005A68E6" w:rsidRDefault="00127F00" w:rsidP="00541639">
            <w:pPr>
              <w:spacing w:line="240" w:lineRule="auto"/>
              <w:ind w:firstLine="0"/>
            </w:pPr>
            <w:r w:rsidRPr="005A68E6">
              <w:rPr>
                <w:color w:val="000000"/>
              </w:rPr>
              <w:t>Interest Payment / GDP (%)</w:t>
            </w:r>
          </w:p>
        </w:tc>
        <w:tc>
          <w:tcPr>
            <w:tcW w:w="798" w:type="dxa"/>
            <w:tcBorders>
              <w:left w:val="nil"/>
              <w:right w:val="nil"/>
            </w:tcBorders>
            <w:vAlign w:val="center"/>
          </w:tcPr>
          <w:p w14:paraId="40A8CF34" w14:textId="77777777" w:rsidR="009A06EA" w:rsidRPr="005A68E6" w:rsidRDefault="009A06EA" w:rsidP="00541639">
            <w:pPr>
              <w:spacing w:line="240" w:lineRule="auto"/>
              <w:ind w:firstLine="0"/>
              <w:jc w:val="center"/>
              <w:rPr>
                <w:sz w:val="20"/>
                <w:szCs w:val="20"/>
                <w:lang w:val="en-US"/>
              </w:rPr>
            </w:pPr>
            <w:r w:rsidRPr="005A68E6">
              <w:rPr>
                <w:sz w:val="20"/>
                <w:szCs w:val="20"/>
                <w:lang w:val="en-US"/>
              </w:rPr>
              <w:t>2.3</w:t>
            </w:r>
          </w:p>
        </w:tc>
        <w:tc>
          <w:tcPr>
            <w:tcW w:w="1530" w:type="dxa"/>
            <w:tcBorders>
              <w:left w:val="nil"/>
              <w:right w:val="double" w:sz="4" w:space="0" w:color="auto"/>
            </w:tcBorders>
            <w:vAlign w:val="center"/>
          </w:tcPr>
          <w:p w14:paraId="2721C29A" w14:textId="77777777" w:rsidR="009A06EA" w:rsidRPr="005A68E6" w:rsidRDefault="009A06EA" w:rsidP="00541639">
            <w:pPr>
              <w:spacing w:line="240" w:lineRule="auto"/>
              <w:ind w:firstLine="0"/>
              <w:jc w:val="center"/>
              <w:rPr>
                <w:lang w:val="en-US"/>
              </w:rPr>
            </w:pPr>
            <w:r w:rsidRPr="005A68E6">
              <w:rPr>
                <w:sz w:val="20"/>
                <w:szCs w:val="20"/>
              </w:rPr>
              <w:t xml:space="preserve"> 2.9 </w:t>
            </w:r>
          </w:p>
        </w:tc>
        <w:tc>
          <w:tcPr>
            <w:tcW w:w="1170" w:type="dxa"/>
            <w:tcBorders>
              <w:left w:val="double" w:sz="4" w:space="0" w:color="auto"/>
              <w:right w:val="nil"/>
            </w:tcBorders>
            <w:vAlign w:val="center"/>
          </w:tcPr>
          <w:p w14:paraId="55335713" w14:textId="77777777" w:rsidR="009A06EA" w:rsidRPr="005A68E6" w:rsidRDefault="009A06EA" w:rsidP="00541639">
            <w:pPr>
              <w:spacing w:line="240" w:lineRule="auto"/>
              <w:ind w:firstLine="0"/>
              <w:jc w:val="center"/>
              <w:rPr>
                <w:lang w:val="en-US"/>
              </w:rPr>
            </w:pPr>
            <w:r w:rsidRPr="005A68E6">
              <w:rPr>
                <w:sz w:val="20"/>
                <w:szCs w:val="20"/>
              </w:rPr>
              <w:t xml:space="preserve"> 2.9 </w:t>
            </w:r>
          </w:p>
        </w:tc>
        <w:tc>
          <w:tcPr>
            <w:tcW w:w="990" w:type="dxa"/>
            <w:tcBorders>
              <w:left w:val="nil"/>
              <w:right w:val="nil"/>
            </w:tcBorders>
            <w:vAlign w:val="center"/>
          </w:tcPr>
          <w:p w14:paraId="2DA05888" w14:textId="77777777" w:rsidR="009A06EA" w:rsidRPr="005A68E6" w:rsidRDefault="009A06EA" w:rsidP="00541639">
            <w:pPr>
              <w:spacing w:line="240" w:lineRule="auto"/>
              <w:ind w:firstLine="0"/>
              <w:jc w:val="center"/>
              <w:rPr>
                <w:lang w:val="en-US"/>
              </w:rPr>
            </w:pPr>
            <w:r w:rsidRPr="005A68E6">
              <w:rPr>
                <w:sz w:val="20"/>
                <w:szCs w:val="20"/>
              </w:rPr>
              <w:t xml:space="preserve"> 3.1 </w:t>
            </w:r>
          </w:p>
        </w:tc>
        <w:tc>
          <w:tcPr>
            <w:tcW w:w="1011" w:type="dxa"/>
            <w:tcBorders>
              <w:left w:val="nil"/>
              <w:right w:val="nil"/>
            </w:tcBorders>
            <w:vAlign w:val="center"/>
          </w:tcPr>
          <w:p w14:paraId="7B713112" w14:textId="77777777" w:rsidR="009A06EA" w:rsidRPr="005A68E6" w:rsidRDefault="009A06EA" w:rsidP="00541639">
            <w:pPr>
              <w:spacing w:line="240" w:lineRule="auto"/>
              <w:ind w:firstLine="0"/>
              <w:jc w:val="center"/>
              <w:rPr>
                <w:lang w:val="en-US"/>
              </w:rPr>
            </w:pPr>
            <w:r w:rsidRPr="005A68E6">
              <w:rPr>
                <w:sz w:val="20"/>
                <w:szCs w:val="20"/>
              </w:rPr>
              <w:t xml:space="preserve"> 3.1 </w:t>
            </w:r>
          </w:p>
        </w:tc>
        <w:tc>
          <w:tcPr>
            <w:tcW w:w="1031" w:type="dxa"/>
            <w:tcBorders>
              <w:left w:val="nil"/>
              <w:right w:val="nil"/>
            </w:tcBorders>
            <w:vAlign w:val="center"/>
          </w:tcPr>
          <w:p w14:paraId="40746D4F" w14:textId="77777777" w:rsidR="009A06EA" w:rsidRPr="005A68E6" w:rsidRDefault="009A06EA" w:rsidP="00541639">
            <w:pPr>
              <w:spacing w:line="240" w:lineRule="auto"/>
              <w:ind w:firstLine="0"/>
              <w:jc w:val="center"/>
              <w:rPr>
                <w:lang w:val="en-US"/>
              </w:rPr>
            </w:pPr>
            <w:r w:rsidRPr="005A68E6">
              <w:rPr>
                <w:sz w:val="20"/>
                <w:szCs w:val="20"/>
              </w:rPr>
              <w:t xml:space="preserve"> 3.1 </w:t>
            </w:r>
          </w:p>
        </w:tc>
      </w:tr>
      <w:tr w:rsidR="00127F00" w:rsidRPr="005A68E6" w14:paraId="4AC1388A" w14:textId="77777777" w:rsidTr="00305AED">
        <w:trPr>
          <w:trHeight w:val="401"/>
          <w:jc w:val="center"/>
        </w:trPr>
        <w:tc>
          <w:tcPr>
            <w:tcW w:w="3738" w:type="dxa"/>
            <w:tcBorders>
              <w:left w:val="nil"/>
              <w:right w:val="nil"/>
            </w:tcBorders>
            <w:vAlign w:val="center"/>
          </w:tcPr>
          <w:p w14:paraId="00B73DD3" w14:textId="7EA12519" w:rsidR="00127F00" w:rsidRPr="005A68E6" w:rsidRDefault="00127F00" w:rsidP="00127F00">
            <w:pPr>
              <w:spacing w:line="240" w:lineRule="auto"/>
              <w:ind w:right="213" w:firstLine="0"/>
            </w:pPr>
            <w:r w:rsidRPr="005A68E6">
              <w:rPr>
                <w:color w:val="000000"/>
              </w:rPr>
              <w:t>Interest Payment / State Budget Revenues (%)</w:t>
            </w:r>
          </w:p>
        </w:tc>
        <w:tc>
          <w:tcPr>
            <w:tcW w:w="798" w:type="dxa"/>
            <w:tcBorders>
              <w:left w:val="nil"/>
              <w:right w:val="nil"/>
            </w:tcBorders>
            <w:vAlign w:val="center"/>
          </w:tcPr>
          <w:p w14:paraId="10CB8253" w14:textId="77777777" w:rsidR="00127F00" w:rsidRPr="005A68E6" w:rsidRDefault="00127F00" w:rsidP="00127F00">
            <w:pPr>
              <w:spacing w:line="240" w:lineRule="auto"/>
              <w:ind w:firstLine="0"/>
              <w:jc w:val="center"/>
              <w:rPr>
                <w:sz w:val="20"/>
                <w:szCs w:val="20"/>
                <w:lang w:val="en-US"/>
              </w:rPr>
            </w:pPr>
            <w:r w:rsidRPr="005A68E6">
              <w:rPr>
                <w:sz w:val="20"/>
                <w:szCs w:val="20"/>
                <w:lang w:val="en-US"/>
              </w:rPr>
              <w:t>9.6</w:t>
            </w:r>
          </w:p>
        </w:tc>
        <w:tc>
          <w:tcPr>
            <w:tcW w:w="1530" w:type="dxa"/>
            <w:tcBorders>
              <w:left w:val="nil"/>
              <w:right w:val="double" w:sz="4" w:space="0" w:color="auto"/>
            </w:tcBorders>
            <w:vAlign w:val="center"/>
          </w:tcPr>
          <w:p w14:paraId="6A53663E" w14:textId="77777777" w:rsidR="00127F00" w:rsidRPr="005A68E6" w:rsidRDefault="00127F00" w:rsidP="00127F00">
            <w:pPr>
              <w:spacing w:line="240" w:lineRule="auto"/>
              <w:ind w:firstLine="0"/>
              <w:jc w:val="center"/>
              <w:rPr>
                <w:sz w:val="20"/>
                <w:szCs w:val="20"/>
                <w:lang w:val="en-US"/>
              </w:rPr>
            </w:pPr>
            <w:r w:rsidRPr="005A68E6">
              <w:rPr>
                <w:sz w:val="20"/>
                <w:szCs w:val="20"/>
              </w:rPr>
              <w:t xml:space="preserve"> 11.9 </w:t>
            </w:r>
          </w:p>
        </w:tc>
        <w:tc>
          <w:tcPr>
            <w:tcW w:w="1170" w:type="dxa"/>
            <w:tcBorders>
              <w:left w:val="double" w:sz="4" w:space="0" w:color="auto"/>
              <w:right w:val="nil"/>
            </w:tcBorders>
            <w:vAlign w:val="center"/>
          </w:tcPr>
          <w:p w14:paraId="1C8657CB" w14:textId="77777777" w:rsidR="00127F00" w:rsidRPr="005A68E6" w:rsidRDefault="00127F00" w:rsidP="00127F00">
            <w:pPr>
              <w:spacing w:line="240" w:lineRule="auto"/>
              <w:ind w:firstLine="0"/>
              <w:jc w:val="center"/>
              <w:rPr>
                <w:sz w:val="20"/>
                <w:szCs w:val="20"/>
                <w:lang w:val="en-US"/>
              </w:rPr>
            </w:pPr>
            <w:r w:rsidRPr="005A68E6">
              <w:rPr>
                <w:sz w:val="20"/>
                <w:szCs w:val="20"/>
              </w:rPr>
              <w:t xml:space="preserve"> 11.7 </w:t>
            </w:r>
          </w:p>
        </w:tc>
        <w:tc>
          <w:tcPr>
            <w:tcW w:w="990" w:type="dxa"/>
            <w:tcBorders>
              <w:left w:val="nil"/>
              <w:right w:val="nil"/>
            </w:tcBorders>
            <w:vAlign w:val="center"/>
          </w:tcPr>
          <w:p w14:paraId="68E2BAE5" w14:textId="77777777" w:rsidR="00127F00" w:rsidRPr="005A68E6" w:rsidRDefault="00127F00" w:rsidP="00127F00">
            <w:pPr>
              <w:spacing w:line="240" w:lineRule="auto"/>
              <w:ind w:firstLine="0"/>
              <w:jc w:val="center"/>
              <w:rPr>
                <w:sz w:val="20"/>
                <w:szCs w:val="20"/>
                <w:lang w:val="en-US"/>
              </w:rPr>
            </w:pPr>
            <w:r w:rsidRPr="005A68E6">
              <w:rPr>
                <w:sz w:val="20"/>
                <w:szCs w:val="20"/>
              </w:rPr>
              <w:t xml:space="preserve"> 12.3 </w:t>
            </w:r>
          </w:p>
        </w:tc>
        <w:tc>
          <w:tcPr>
            <w:tcW w:w="1011" w:type="dxa"/>
            <w:tcBorders>
              <w:left w:val="nil"/>
              <w:right w:val="nil"/>
            </w:tcBorders>
            <w:vAlign w:val="center"/>
          </w:tcPr>
          <w:p w14:paraId="5D28CD37" w14:textId="77777777" w:rsidR="00127F00" w:rsidRPr="005A68E6" w:rsidRDefault="00127F00" w:rsidP="00127F00">
            <w:pPr>
              <w:spacing w:line="240" w:lineRule="auto"/>
              <w:ind w:firstLine="0"/>
              <w:jc w:val="center"/>
              <w:rPr>
                <w:sz w:val="20"/>
                <w:szCs w:val="20"/>
                <w:lang w:val="en-US"/>
              </w:rPr>
            </w:pPr>
            <w:r w:rsidRPr="005A68E6">
              <w:rPr>
                <w:sz w:val="20"/>
                <w:szCs w:val="20"/>
              </w:rPr>
              <w:t xml:space="preserve"> 12.2 </w:t>
            </w:r>
          </w:p>
        </w:tc>
        <w:tc>
          <w:tcPr>
            <w:tcW w:w="1031" w:type="dxa"/>
            <w:tcBorders>
              <w:left w:val="nil"/>
              <w:right w:val="nil"/>
            </w:tcBorders>
            <w:vAlign w:val="center"/>
          </w:tcPr>
          <w:p w14:paraId="015591A6" w14:textId="77777777" w:rsidR="00127F00" w:rsidRPr="005A68E6" w:rsidRDefault="00127F00" w:rsidP="00127F00">
            <w:pPr>
              <w:spacing w:line="240" w:lineRule="auto"/>
              <w:ind w:firstLine="0"/>
              <w:jc w:val="center"/>
              <w:rPr>
                <w:sz w:val="20"/>
                <w:szCs w:val="20"/>
                <w:lang w:val="en-US"/>
              </w:rPr>
            </w:pPr>
            <w:r w:rsidRPr="005A68E6">
              <w:rPr>
                <w:sz w:val="20"/>
                <w:szCs w:val="20"/>
              </w:rPr>
              <w:t xml:space="preserve"> 11.7 </w:t>
            </w:r>
          </w:p>
        </w:tc>
      </w:tr>
      <w:tr w:rsidR="00127F00" w:rsidRPr="005A68E6" w14:paraId="55415C13" w14:textId="77777777" w:rsidTr="00305AED">
        <w:trPr>
          <w:trHeight w:val="408"/>
          <w:jc w:val="center"/>
        </w:trPr>
        <w:tc>
          <w:tcPr>
            <w:tcW w:w="3738" w:type="dxa"/>
            <w:tcBorders>
              <w:left w:val="nil"/>
              <w:right w:val="nil"/>
            </w:tcBorders>
            <w:vAlign w:val="center"/>
          </w:tcPr>
          <w:p w14:paraId="71A2D88D" w14:textId="6A6CE8B6" w:rsidR="00127F00" w:rsidRPr="005A68E6" w:rsidRDefault="00127F00" w:rsidP="00127F00">
            <w:pPr>
              <w:spacing w:line="240" w:lineRule="auto"/>
              <w:ind w:right="213" w:firstLine="0"/>
            </w:pPr>
            <w:r w:rsidRPr="005A68E6">
              <w:rPr>
                <w:color w:val="000000"/>
              </w:rPr>
              <w:t>Interest Payment / State Budget Expenditures (%)</w:t>
            </w:r>
          </w:p>
        </w:tc>
        <w:tc>
          <w:tcPr>
            <w:tcW w:w="798" w:type="dxa"/>
            <w:tcBorders>
              <w:left w:val="nil"/>
              <w:right w:val="nil"/>
            </w:tcBorders>
            <w:vAlign w:val="center"/>
          </w:tcPr>
          <w:p w14:paraId="0F5A9D66" w14:textId="77777777" w:rsidR="00127F00" w:rsidRPr="005A68E6" w:rsidRDefault="00127F00" w:rsidP="00127F00">
            <w:pPr>
              <w:spacing w:line="240" w:lineRule="auto"/>
              <w:ind w:firstLine="0"/>
              <w:jc w:val="center"/>
              <w:rPr>
                <w:sz w:val="20"/>
                <w:szCs w:val="20"/>
                <w:lang w:val="en-US"/>
              </w:rPr>
            </w:pPr>
            <w:r w:rsidRPr="005A68E6">
              <w:rPr>
                <w:sz w:val="20"/>
                <w:szCs w:val="20"/>
                <w:lang w:val="en-US"/>
              </w:rPr>
              <w:t>8.8</w:t>
            </w:r>
          </w:p>
        </w:tc>
        <w:tc>
          <w:tcPr>
            <w:tcW w:w="1530" w:type="dxa"/>
            <w:tcBorders>
              <w:left w:val="nil"/>
              <w:right w:val="double" w:sz="4" w:space="0" w:color="auto"/>
            </w:tcBorders>
            <w:vAlign w:val="center"/>
          </w:tcPr>
          <w:p w14:paraId="2255156B" w14:textId="77777777" w:rsidR="00127F00" w:rsidRPr="005A68E6" w:rsidRDefault="00127F00" w:rsidP="00127F00">
            <w:pPr>
              <w:spacing w:line="240" w:lineRule="auto"/>
              <w:ind w:firstLine="0"/>
              <w:jc w:val="center"/>
              <w:rPr>
                <w:sz w:val="20"/>
                <w:szCs w:val="20"/>
                <w:lang w:val="en-US"/>
              </w:rPr>
            </w:pPr>
            <w:r w:rsidRPr="005A68E6">
              <w:rPr>
                <w:sz w:val="20"/>
                <w:szCs w:val="20"/>
              </w:rPr>
              <w:t xml:space="preserve"> 10.5 </w:t>
            </w:r>
          </w:p>
        </w:tc>
        <w:tc>
          <w:tcPr>
            <w:tcW w:w="1170" w:type="dxa"/>
            <w:tcBorders>
              <w:left w:val="double" w:sz="4" w:space="0" w:color="auto"/>
              <w:right w:val="nil"/>
            </w:tcBorders>
            <w:vAlign w:val="center"/>
          </w:tcPr>
          <w:p w14:paraId="352368A9" w14:textId="77777777" w:rsidR="00127F00" w:rsidRPr="005A68E6" w:rsidRDefault="00127F00" w:rsidP="00127F00">
            <w:pPr>
              <w:spacing w:line="240" w:lineRule="auto"/>
              <w:ind w:firstLine="0"/>
              <w:jc w:val="center"/>
              <w:rPr>
                <w:sz w:val="20"/>
                <w:szCs w:val="20"/>
                <w:lang w:val="en-US"/>
              </w:rPr>
            </w:pPr>
            <w:r w:rsidRPr="005A68E6">
              <w:rPr>
                <w:sz w:val="20"/>
                <w:szCs w:val="20"/>
              </w:rPr>
              <w:t xml:space="preserve"> 10.5 </w:t>
            </w:r>
          </w:p>
        </w:tc>
        <w:tc>
          <w:tcPr>
            <w:tcW w:w="990" w:type="dxa"/>
            <w:tcBorders>
              <w:left w:val="nil"/>
              <w:right w:val="nil"/>
            </w:tcBorders>
            <w:vAlign w:val="center"/>
          </w:tcPr>
          <w:p w14:paraId="2A72FD7A" w14:textId="77777777" w:rsidR="00127F00" w:rsidRPr="005A68E6" w:rsidRDefault="00127F00" w:rsidP="00127F00">
            <w:pPr>
              <w:spacing w:line="240" w:lineRule="auto"/>
              <w:ind w:firstLine="0"/>
              <w:jc w:val="center"/>
              <w:rPr>
                <w:sz w:val="20"/>
                <w:szCs w:val="20"/>
                <w:lang w:val="en-US"/>
              </w:rPr>
            </w:pPr>
            <w:r w:rsidRPr="005A68E6">
              <w:rPr>
                <w:sz w:val="20"/>
                <w:szCs w:val="20"/>
              </w:rPr>
              <w:t xml:space="preserve"> 11.0 </w:t>
            </w:r>
          </w:p>
        </w:tc>
        <w:tc>
          <w:tcPr>
            <w:tcW w:w="1011" w:type="dxa"/>
            <w:tcBorders>
              <w:left w:val="nil"/>
              <w:right w:val="nil"/>
            </w:tcBorders>
            <w:vAlign w:val="center"/>
          </w:tcPr>
          <w:p w14:paraId="1873023F" w14:textId="77777777" w:rsidR="00127F00" w:rsidRPr="005A68E6" w:rsidRDefault="00127F00" w:rsidP="00127F00">
            <w:pPr>
              <w:spacing w:line="240" w:lineRule="auto"/>
              <w:ind w:firstLine="0"/>
              <w:jc w:val="center"/>
              <w:rPr>
                <w:sz w:val="20"/>
                <w:szCs w:val="20"/>
                <w:lang w:val="en-US"/>
              </w:rPr>
            </w:pPr>
            <w:r w:rsidRPr="005A68E6">
              <w:rPr>
                <w:sz w:val="20"/>
                <w:szCs w:val="20"/>
              </w:rPr>
              <w:t xml:space="preserve"> 11.0 </w:t>
            </w:r>
          </w:p>
        </w:tc>
        <w:tc>
          <w:tcPr>
            <w:tcW w:w="1031" w:type="dxa"/>
            <w:tcBorders>
              <w:left w:val="nil"/>
              <w:right w:val="nil"/>
            </w:tcBorders>
            <w:vAlign w:val="center"/>
          </w:tcPr>
          <w:p w14:paraId="0F29E4F6" w14:textId="77777777" w:rsidR="00127F00" w:rsidRPr="005A68E6" w:rsidRDefault="00127F00" w:rsidP="00127F00">
            <w:pPr>
              <w:spacing w:line="240" w:lineRule="auto"/>
              <w:ind w:firstLine="0"/>
              <w:jc w:val="center"/>
              <w:rPr>
                <w:sz w:val="20"/>
                <w:szCs w:val="20"/>
                <w:lang w:val="en-US"/>
              </w:rPr>
            </w:pPr>
            <w:r w:rsidRPr="005A68E6">
              <w:rPr>
                <w:sz w:val="20"/>
                <w:szCs w:val="20"/>
              </w:rPr>
              <w:t xml:space="preserve"> 10.7 </w:t>
            </w:r>
          </w:p>
        </w:tc>
      </w:tr>
    </w:tbl>
    <w:p w14:paraId="7ED81411" w14:textId="40ECF63A" w:rsidR="003103E6" w:rsidRPr="005A68E6" w:rsidRDefault="003103E6" w:rsidP="00581010">
      <w:pPr>
        <w:spacing w:before="120"/>
        <w:rPr>
          <w:sz w:val="16"/>
          <w:lang w:val="en-US"/>
        </w:rPr>
      </w:pPr>
      <w:r w:rsidRPr="005A68E6">
        <w:rPr>
          <w:sz w:val="16"/>
          <w:lang w:val="en-US"/>
        </w:rPr>
        <w:t>Source: RA MoF calculations and forecasts</w:t>
      </w:r>
    </w:p>
    <w:p w14:paraId="67F0016D" w14:textId="77777777" w:rsidR="0024298B" w:rsidRPr="005A68E6" w:rsidRDefault="0024298B" w:rsidP="00207E6B"/>
    <w:p w14:paraId="0C21D8C0" w14:textId="59162206" w:rsidR="0024298B" w:rsidRPr="005A68E6" w:rsidRDefault="0024298B" w:rsidP="0024298B">
      <w:pPr>
        <w:rPr>
          <w:color w:val="000000"/>
          <w:lang w:val="en-US"/>
        </w:rPr>
      </w:pPr>
      <w:r w:rsidRPr="005A68E6">
        <w:rPr>
          <w:color w:val="000000"/>
        </w:rPr>
        <w:t>Generally, it is forecasted that during the medium</w:t>
      </w:r>
      <w:r w:rsidR="00941791" w:rsidRPr="005A68E6">
        <w:rPr>
          <w:color w:val="000000"/>
          <w:lang w:val="en-US"/>
        </w:rPr>
        <w:t>-</w:t>
      </w:r>
      <w:r w:rsidRPr="005A68E6">
        <w:rPr>
          <w:color w:val="000000"/>
        </w:rPr>
        <w:t>term in case of the main macroeconomic scenario</w:t>
      </w:r>
      <w:r w:rsidRPr="005A68E6">
        <w:rPr>
          <w:color w:val="000000"/>
          <w:lang w:val="en-US"/>
        </w:rPr>
        <w:t>,</w:t>
      </w:r>
      <w:r w:rsidRPr="005A68E6">
        <w:rPr>
          <w:color w:val="000000"/>
        </w:rPr>
        <w:t xml:space="preserve"> there will be a </w:t>
      </w:r>
      <w:r w:rsidR="00570BCF" w:rsidRPr="005A68E6">
        <w:rPr>
          <w:color w:val="000000"/>
          <w:lang w:val="en-US"/>
        </w:rPr>
        <w:t>progressive</w:t>
      </w:r>
      <w:r w:rsidR="00570BCF" w:rsidRPr="005A68E6">
        <w:rPr>
          <w:color w:val="000000"/>
        </w:rPr>
        <w:t xml:space="preserve"> </w:t>
      </w:r>
      <w:r w:rsidRPr="005A68E6">
        <w:rPr>
          <w:color w:val="000000"/>
        </w:rPr>
        <w:t>growth in nominal GDP relative to the growth in debt</w:t>
      </w:r>
      <w:r w:rsidR="00E46847" w:rsidRPr="005A68E6">
        <w:rPr>
          <w:color w:val="000000"/>
        </w:rPr>
        <w:t>.</w:t>
      </w:r>
      <w:r w:rsidRPr="005A68E6">
        <w:rPr>
          <w:color w:val="000000"/>
        </w:rPr>
        <w:t xml:space="preserve"> </w:t>
      </w:r>
      <w:r w:rsidR="00570BCF" w:rsidRPr="005A68E6">
        <w:rPr>
          <w:color w:val="000000"/>
          <w:lang w:val="en-US"/>
        </w:rPr>
        <w:t xml:space="preserve">The RA Government debt/GDP ratio </w:t>
      </w:r>
      <w:r w:rsidRPr="005A68E6">
        <w:rPr>
          <w:color w:val="000000"/>
        </w:rPr>
        <w:t>is forecasted to be 49.3% at the end of 2026.</w:t>
      </w:r>
      <w:r w:rsidRPr="005A68E6">
        <w:t xml:space="preserve"> </w:t>
      </w:r>
      <w:r w:rsidRPr="005A68E6">
        <w:rPr>
          <w:color w:val="000000"/>
        </w:rPr>
        <w:t>Government debt interest payment/GDP, Government debt interest payment/State budget revenues, and Government debt interest payment/State budget expenditures indicators</w:t>
      </w:r>
      <w:r w:rsidRPr="005A68E6">
        <w:rPr>
          <w:color w:val="000000"/>
          <w:lang w:val="en-US"/>
        </w:rPr>
        <w:t xml:space="preserve"> </w:t>
      </w:r>
      <w:r w:rsidRPr="005A68E6">
        <w:rPr>
          <w:color w:val="000000"/>
        </w:rPr>
        <w:t xml:space="preserve">are projected </w:t>
      </w:r>
      <w:r w:rsidRPr="005A68E6">
        <w:rPr>
          <w:color w:val="000000"/>
          <w:lang w:val="en-US"/>
        </w:rPr>
        <w:t xml:space="preserve">at </w:t>
      </w:r>
      <w:r w:rsidR="00570BCF" w:rsidRPr="005A68E6">
        <w:rPr>
          <w:color w:val="000000"/>
          <w:lang w:val="en-US"/>
        </w:rPr>
        <w:t xml:space="preserve">the level of </w:t>
      </w:r>
      <w:r w:rsidRPr="005A68E6">
        <w:rPr>
          <w:color w:val="000000"/>
          <w:lang w:val="en-US"/>
        </w:rPr>
        <w:t>3.1%, 11.7%, and 10.7%</w:t>
      </w:r>
      <w:r w:rsidR="00570BCF" w:rsidRPr="005A68E6">
        <w:rPr>
          <w:color w:val="000000"/>
          <w:lang w:val="en-US"/>
        </w:rPr>
        <w:t xml:space="preserve"> respectively </w:t>
      </w:r>
      <w:r w:rsidR="00941791" w:rsidRPr="005A68E6">
        <w:rPr>
          <w:color w:val="000000"/>
        </w:rPr>
        <w:t>at the end of the medium-</w:t>
      </w:r>
      <w:r w:rsidR="00570BCF" w:rsidRPr="005A68E6">
        <w:rPr>
          <w:color w:val="000000"/>
        </w:rPr>
        <w:t>term</w:t>
      </w:r>
      <w:r w:rsidR="00570BCF" w:rsidRPr="005A68E6">
        <w:rPr>
          <w:color w:val="000000"/>
          <w:lang w:val="en-US"/>
        </w:rPr>
        <w:t xml:space="preserve"> period</w:t>
      </w:r>
      <w:r w:rsidRPr="005A68E6">
        <w:rPr>
          <w:color w:val="000000"/>
          <w:lang w:val="en-US"/>
        </w:rPr>
        <w:t>.</w:t>
      </w:r>
      <w:r w:rsidRPr="005A68E6">
        <w:t xml:space="preserve"> </w:t>
      </w:r>
      <w:r w:rsidRPr="005A68E6">
        <w:rPr>
          <w:color w:val="000000"/>
          <w:lang w:val="en-US"/>
        </w:rPr>
        <w:t xml:space="preserve">At the same time, the chosen debt strategy </w:t>
      </w:r>
      <w:r w:rsidR="00D772F8" w:rsidRPr="005A68E6">
        <w:rPr>
          <w:color w:val="000000"/>
          <w:lang w:val="en-US"/>
        </w:rPr>
        <w:t>provides an opportunity</w:t>
      </w:r>
      <w:r w:rsidRPr="005A68E6">
        <w:rPr>
          <w:color w:val="000000"/>
          <w:lang w:val="en-US"/>
        </w:rPr>
        <w:t xml:space="preserve"> to stabilize the growth of the burden of debt interest payments in the medium</w:t>
      </w:r>
      <w:r w:rsidR="00941791" w:rsidRPr="005A68E6">
        <w:rPr>
          <w:color w:val="000000"/>
          <w:lang w:val="en-US"/>
        </w:rPr>
        <w:t>-</w:t>
      </w:r>
      <w:r w:rsidRPr="005A68E6">
        <w:rPr>
          <w:color w:val="000000"/>
          <w:lang w:val="en-US"/>
        </w:rPr>
        <w:t>term, and then</w:t>
      </w:r>
      <w:r w:rsidR="00D772F8" w:rsidRPr="005A68E6">
        <w:rPr>
          <w:color w:val="000000"/>
          <w:lang w:val="en-US"/>
        </w:rPr>
        <w:t>,</w:t>
      </w:r>
      <w:r w:rsidRPr="005A68E6">
        <w:rPr>
          <w:color w:val="000000"/>
          <w:lang w:val="en-US"/>
        </w:rPr>
        <w:t xml:space="preserve"> at the end of the medium</w:t>
      </w:r>
      <w:r w:rsidR="00941791" w:rsidRPr="005A68E6">
        <w:rPr>
          <w:color w:val="000000"/>
          <w:lang w:val="en-US"/>
        </w:rPr>
        <w:t>-t</w:t>
      </w:r>
      <w:r w:rsidRPr="005A68E6">
        <w:rPr>
          <w:color w:val="000000"/>
          <w:lang w:val="en-US"/>
        </w:rPr>
        <w:t>erm</w:t>
      </w:r>
      <w:r w:rsidR="00D772F8" w:rsidRPr="005A68E6">
        <w:rPr>
          <w:color w:val="000000"/>
          <w:lang w:val="en-US"/>
        </w:rPr>
        <w:t>,</w:t>
      </w:r>
      <w:r w:rsidRPr="005A68E6">
        <w:rPr>
          <w:color w:val="000000"/>
          <w:lang w:val="en-US"/>
        </w:rPr>
        <w:t xml:space="preserve"> reverse the growth trend and bring the indicators closer to the levels planned for 2023.</w:t>
      </w:r>
    </w:p>
    <w:p w14:paraId="0984F43A" w14:textId="2AA208F8" w:rsidR="0024298B" w:rsidRPr="005A68E6" w:rsidRDefault="0024298B" w:rsidP="0024298B">
      <w:pPr>
        <w:rPr>
          <w:color w:val="000000"/>
          <w:lang w:val="en-US"/>
        </w:rPr>
      </w:pPr>
      <w:r w:rsidRPr="005A68E6">
        <w:rPr>
          <w:color w:val="000000"/>
          <w:lang w:val="en-US"/>
        </w:rPr>
        <w:t xml:space="preserve"> From a risk management perspective </w:t>
      </w:r>
      <w:r w:rsidRPr="005A68E6">
        <w:rPr>
          <w:color w:val="000000"/>
        </w:rPr>
        <w:t xml:space="preserve">exchange rate risk, refinancing risk and interest rate risk </w:t>
      </w:r>
      <w:r w:rsidRPr="005A68E6">
        <w:rPr>
          <w:color w:val="000000"/>
          <w:lang w:val="en-US"/>
        </w:rPr>
        <w:t xml:space="preserve">are highlighted. </w:t>
      </w:r>
    </w:p>
    <w:p w14:paraId="1C6BD0B4" w14:textId="77777777" w:rsidR="0024298B" w:rsidRPr="005A68E6" w:rsidRDefault="0024298B" w:rsidP="00A1274B">
      <w:pPr>
        <w:rPr>
          <w:color w:val="FF0000"/>
        </w:rPr>
      </w:pPr>
    </w:p>
    <w:p w14:paraId="3C42131F" w14:textId="52D1F8BC" w:rsidR="00025E2D" w:rsidRPr="005A68E6" w:rsidRDefault="00025E2D" w:rsidP="00A1274B">
      <w:pPr>
        <w:rPr>
          <w:color w:val="FF0000"/>
        </w:rPr>
      </w:pPr>
    </w:p>
    <w:p w14:paraId="4D95DCF7" w14:textId="77777777" w:rsidR="0024298B" w:rsidRPr="005A68E6" w:rsidRDefault="0024298B" w:rsidP="0024298B">
      <w:pPr>
        <w:pStyle w:val="af8"/>
        <w:spacing w:before="240" w:after="240"/>
        <w:rPr>
          <w:color w:val="000000"/>
          <w:lang w:val="en-US"/>
        </w:rPr>
      </w:pPr>
      <w:r w:rsidRPr="005A68E6">
        <w:rPr>
          <w:color w:val="000000"/>
          <w:lang w:val="en-US"/>
        </w:rPr>
        <w:t xml:space="preserve">Exchange rate risk </w:t>
      </w:r>
    </w:p>
    <w:p w14:paraId="094AC347" w14:textId="5AE4E69E" w:rsidR="0024298B" w:rsidRPr="005A68E6" w:rsidRDefault="008E1F63" w:rsidP="0024298B">
      <w:pPr>
        <w:rPr>
          <w:lang w:val="en-US"/>
        </w:rPr>
      </w:pPr>
      <w:r w:rsidRPr="005A68E6">
        <w:rPr>
          <w:color w:val="000000"/>
          <w:lang w:val="en-US"/>
        </w:rPr>
        <w:t>In the medium</w:t>
      </w:r>
      <w:r w:rsidR="00941791" w:rsidRPr="005A68E6">
        <w:rPr>
          <w:color w:val="000000"/>
          <w:lang w:val="en-US"/>
        </w:rPr>
        <w:t>-</w:t>
      </w:r>
      <w:r w:rsidRPr="005A68E6">
        <w:rPr>
          <w:color w:val="000000"/>
          <w:lang w:val="en-US"/>
        </w:rPr>
        <w:t>term,</w:t>
      </w:r>
      <w:r w:rsidR="004C6583" w:rsidRPr="005A68E6">
        <w:rPr>
          <w:color w:val="000000"/>
          <w:lang w:val="en-US"/>
        </w:rPr>
        <w:t xml:space="preserve"> </w:t>
      </w:r>
      <w:r w:rsidRPr="005A68E6">
        <w:rPr>
          <w:color w:val="000000"/>
          <w:lang w:val="en-US"/>
        </w:rPr>
        <w:t>t</w:t>
      </w:r>
      <w:r w:rsidR="0024298B" w:rsidRPr="005A68E6">
        <w:rPr>
          <w:color w:val="000000"/>
        </w:rPr>
        <w:t>he Share of domestic debt in total debt indicator</w:t>
      </w:r>
      <w:r w:rsidR="0024298B" w:rsidRPr="005A68E6">
        <w:rPr>
          <w:color w:val="000000"/>
          <w:lang w:val="en-US"/>
        </w:rPr>
        <w:t xml:space="preserve"> will grow at a moderate pace, </w:t>
      </w:r>
      <w:r w:rsidRPr="005A68E6">
        <w:rPr>
          <w:color w:val="000000"/>
          <w:lang w:val="en-US"/>
        </w:rPr>
        <w:t xml:space="preserve">by an average of about </w:t>
      </w:r>
      <w:r w:rsidR="0024298B" w:rsidRPr="005A68E6">
        <w:rPr>
          <w:color w:val="000000"/>
          <w:lang w:val="en-US"/>
        </w:rPr>
        <w:t>one percentage point per year, and will be within the defined benchmark range</w:t>
      </w:r>
      <w:r w:rsidR="0024298B" w:rsidRPr="005A68E6">
        <w:rPr>
          <w:color w:val="000000"/>
        </w:rPr>
        <w:t>, reaching 46.6% at the end of the period.</w:t>
      </w:r>
      <w:r w:rsidR="0024298B" w:rsidRPr="005A68E6">
        <w:rPr>
          <w:color w:val="000000"/>
          <w:lang w:val="en-US"/>
        </w:rPr>
        <w:t xml:space="preserve"> This rate of improvement in the share of domestic debt corresponds </w:t>
      </w:r>
      <w:r w:rsidR="009F65CE" w:rsidRPr="005A68E6">
        <w:rPr>
          <w:color w:val="000000"/>
          <w:lang w:val="en-US"/>
        </w:rPr>
        <w:t xml:space="preserve">to </w:t>
      </w:r>
      <w:r w:rsidR="0024298B" w:rsidRPr="005A68E6">
        <w:rPr>
          <w:color w:val="000000"/>
          <w:lang w:val="en-US"/>
        </w:rPr>
        <w:t xml:space="preserve">the </w:t>
      </w:r>
      <w:r w:rsidR="009F65CE" w:rsidRPr="005A68E6">
        <w:rPr>
          <w:color w:val="000000"/>
          <w:lang w:val="en-US"/>
        </w:rPr>
        <w:t xml:space="preserve">volume of allocations in line with the </w:t>
      </w:r>
      <w:r w:rsidR="0024298B" w:rsidRPr="005A68E6">
        <w:rPr>
          <w:color w:val="000000"/>
          <w:lang w:val="en-US"/>
        </w:rPr>
        <w:t xml:space="preserve">expected demand for </w:t>
      </w:r>
      <w:r w:rsidR="004D6547" w:rsidRPr="005A68E6">
        <w:rPr>
          <w:color w:val="000000"/>
          <w:lang w:val="en-US"/>
        </w:rPr>
        <w:t>the G</w:t>
      </w:r>
      <w:r w:rsidR="0024298B" w:rsidRPr="005A68E6">
        <w:rPr>
          <w:color w:val="000000"/>
          <w:lang w:val="en-US"/>
        </w:rPr>
        <w:t xml:space="preserve">overnment bonds in the </w:t>
      </w:r>
      <w:r w:rsidR="0024298B" w:rsidRPr="005A68E6">
        <w:rPr>
          <w:color w:val="000000"/>
          <w:lang w:val="en-US"/>
        </w:rPr>
        <w:lastRenderedPageBreak/>
        <w:t>financial market, as well as</w:t>
      </w:r>
      <w:r w:rsidR="009F65CE" w:rsidRPr="005A68E6">
        <w:rPr>
          <w:color w:val="000000"/>
          <w:lang w:val="en-US"/>
        </w:rPr>
        <w:t xml:space="preserve"> the level that stabilizes the</w:t>
      </w:r>
      <w:r w:rsidR="0024298B" w:rsidRPr="005A68E6">
        <w:rPr>
          <w:color w:val="000000"/>
          <w:lang w:val="en-US"/>
        </w:rPr>
        <w:t xml:space="preserve"> indicators of the burden of interest payments in the medium</w:t>
      </w:r>
      <w:r w:rsidR="00941791" w:rsidRPr="005A68E6">
        <w:rPr>
          <w:color w:val="000000"/>
          <w:lang w:val="en-US"/>
        </w:rPr>
        <w:t>-</w:t>
      </w:r>
      <w:r w:rsidR="0024298B" w:rsidRPr="005A68E6">
        <w:rPr>
          <w:color w:val="000000"/>
          <w:lang w:val="en-US"/>
        </w:rPr>
        <w:t xml:space="preserve">term. </w:t>
      </w:r>
    </w:p>
    <w:p w14:paraId="63DE34FB" w14:textId="77777777" w:rsidR="0024298B" w:rsidRPr="005A68E6" w:rsidRDefault="0024298B" w:rsidP="00A1274B">
      <w:pPr>
        <w:rPr>
          <w:color w:val="FF0000"/>
        </w:rPr>
      </w:pPr>
    </w:p>
    <w:p w14:paraId="4DE469EC" w14:textId="32208693" w:rsidR="00025E2D" w:rsidRPr="005A68E6" w:rsidRDefault="00326CB3" w:rsidP="003D49C0">
      <w:pPr>
        <w:pStyle w:val="af6"/>
        <w:numPr>
          <w:ilvl w:val="0"/>
          <w:numId w:val="35"/>
        </w:numPr>
        <w:spacing w:after="240"/>
        <w:ind w:left="1276" w:hanging="1276"/>
        <w:rPr>
          <w:rStyle w:val="Emphasis"/>
          <w:i/>
          <w:iCs w:val="0"/>
        </w:rPr>
      </w:pPr>
      <w:r w:rsidRPr="005A68E6">
        <w:rPr>
          <w:rStyle w:val="Emphasis"/>
          <w:rFonts w:cs="Cambria"/>
          <w:i/>
          <w:szCs w:val="24"/>
        </w:rPr>
        <w:t>The share of the RA Government domestic debt and AMD denominated debt in total debt</w:t>
      </w:r>
    </w:p>
    <w:tbl>
      <w:tblPr>
        <w:tblW w:w="10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957"/>
        <w:gridCol w:w="1252"/>
        <w:gridCol w:w="1170"/>
        <w:gridCol w:w="990"/>
        <w:gridCol w:w="1116"/>
        <w:gridCol w:w="975"/>
      </w:tblGrid>
      <w:tr w:rsidR="009A06EA" w:rsidRPr="005A68E6" w14:paraId="38AB5B9E" w14:textId="77777777" w:rsidTr="00326CB3">
        <w:trPr>
          <w:trHeight w:val="780"/>
          <w:tblHeader/>
          <w:jc w:val="center"/>
        </w:trPr>
        <w:tc>
          <w:tcPr>
            <w:tcW w:w="4361" w:type="dxa"/>
            <w:tcBorders>
              <w:top w:val="thinThickThinSmallGap" w:sz="24" w:space="0" w:color="auto"/>
              <w:left w:val="nil"/>
              <w:bottom w:val="thinThickSmallGap" w:sz="24" w:space="0" w:color="auto"/>
              <w:right w:val="nil"/>
            </w:tcBorders>
            <w:shd w:val="clear" w:color="auto" w:fill="5B9BD5"/>
          </w:tcPr>
          <w:p w14:paraId="4EC05E85" w14:textId="77777777" w:rsidR="009A06EA" w:rsidRPr="005A68E6" w:rsidRDefault="009A06EA" w:rsidP="007E37AA">
            <w:pPr>
              <w:spacing w:line="240" w:lineRule="auto"/>
              <w:ind w:firstLine="20"/>
            </w:pPr>
          </w:p>
        </w:tc>
        <w:tc>
          <w:tcPr>
            <w:tcW w:w="957" w:type="dxa"/>
            <w:tcBorders>
              <w:top w:val="thinThickThinSmallGap" w:sz="24" w:space="0" w:color="auto"/>
              <w:left w:val="nil"/>
              <w:bottom w:val="thinThickSmallGap" w:sz="24" w:space="0" w:color="auto"/>
              <w:right w:val="nil"/>
            </w:tcBorders>
            <w:shd w:val="clear" w:color="auto" w:fill="5B9BD5"/>
          </w:tcPr>
          <w:p w14:paraId="44F701B6" w14:textId="0220F166" w:rsidR="009A06EA" w:rsidRPr="005A68E6" w:rsidRDefault="009A06EA" w:rsidP="00326CB3">
            <w:pPr>
              <w:spacing w:line="240" w:lineRule="auto"/>
              <w:ind w:firstLine="20"/>
              <w:jc w:val="center"/>
              <w:rPr>
                <w:lang w:val="en-US"/>
              </w:rPr>
            </w:pPr>
            <w:r w:rsidRPr="005A68E6">
              <w:t>202</w:t>
            </w:r>
            <w:r w:rsidRPr="005A68E6">
              <w:rPr>
                <w:lang w:val="en-US"/>
              </w:rPr>
              <w:t>2</w:t>
            </w:r>
            <w:r w:rsidRPr="005A68E6">
              <w:t xml:space="preserve"> </w:t>
            </w:r>
            <w:r w:rsidR="00326CB3" w:rsidRPr="005A68E6">
              <w:rPr>
                <w:lang w:val="en-US"/>
              </w:rPr>
              <w:t>actual</w:t>
            </w:r>
          </w:p>
        </w:tc>
        <w:tc>
          <w:tcPr>
            <w:tcW w:w="1252" w:type="dxa"/>
            <w:tcBorders>
              <w:top w:val="thinThickThinSmallGap" w:sz="24" w:space="0" w:color="auto"/>
              <w:left w:val="nil"/>
              <w:bottom w:val="thinThickSmallGap" w:sz="24" w:space="0" w:color="auto"/>
              <w:right w:val="double" w:sz="4" w:space="0" w:color="auto"/>
            </w:tcBorders>
            <w:shd w:val="clear" w:color="auto" w:fill="5B9BD5"/>
            <w:vAlign w:val="center"/>
          </w:tcPr>
          <w:p w14:paraId="53098473" w14:textId="77777777" w:rsidR="009A06EA" w:rsidRPr="005A68E6" w:rsidRDefault="009A06EA" w:rsidP="007E37AA">
            <w:pPr>
              <w:spacing w:line="240" w:lineRule="auto"/>
              <w:ind w:firstLine="20"/>
              <w:jc w:val="center"/>
            </w:pPr>
            <w:r w:rsidRPr="005A68E6">
              <w:t>2023</w:t>
            </w:r>
          </w:p>
          <w:p w14:paraId="2F2B07BF" w14:textId="659AD1A2" w:rsidR="009A06EA" w:rsidRPr="005A68E6" w:rsidRDefault="004C6583" w:rsidP="007E37AA">
            <w:pPr>
              <w:spacing w:line="240" w:lineRule="auto"/>
              <w:ind w:firstLine="20"/>
              <w:jc w:val="center"/>
            </w:pPr>
            <w:r w:rsidRPr="005A68E6">
              <w:rPr>
                <w:color w:val="000000"/>
              </w:rPr>
              <w:t xml:space="preserve">State </w:t>
            </w:r>
            <w:r w:rsidR="00326CB3" w:rsidRPr="005A68E6">
              <w:rPr>
                <w:color w:val="000000"/>
              </w:rPr>
              <w:t>budget program</w:t>
            </w:r>
          </w:p>
        </w:tc>
        <w:tc>
          <w:tcPr>
            <w:tcW w:w="1170" w:type="dxa"/>
            <w:tcBorders>
              <w:top w:val="thinThickThinSmallGap" w:sz="24" w:space="0" w:color="auto"/>
              <w:left w:val="double" w:sz="4" w:space="0" w:color="auto"/>
              <w:bottom w:val="thinThickSmallGap" w:sz="24" w:space="0" w:color="auto"/>
              <w:right w:val="nil"/>
            </w:tcBorders>
            <w:shd w:val="clear" w:color="auto" w:fill="5B9BD5"/>
            <w:vAlign w:val="center"/>
          </w:tcPr>
          <w:p w14:paraId="20D4E74E" w14:textId="3DFD7BD7" w:rsidR="009A06EA" w:rsidRPr="005A68E6" w:rsidRDefault="009A06EA" w:rsidP="005341FA">
            <w:pPr>
              <w:spacing w:line="240" w:lineRule="auto"/>
              <w:ind w:firstLine="20"/>
              <w:jc w:val="center"/>
            </w:pPr>
            <w:r w:rsidRPr="005A68E6">
              <w:t xml:space="preserve">2023 </w:t>
            </w:r>
            <w:r w:rsidR="00326CB3" w:rsidRPr="005A68E6">
              <w:rPr>
                <w:lang w:val="en-US"/>
              </w:rPr>
              <w:t>forecast</w:t>
            </w:r>
          </w:p>
        </w:tc>
        <w:tc>
          <w:tcPr>
            <w:tcW w:w="990" w:type="dxa"/>
            <w:tcBorders>
              <w:top w:val="thinThickThinSmallGap" w:sz="24" w:space="0" w:color="auto"/>
              <w:left w:val="nil"/>
              <w:bottom w:val="thinThickSmallGap" w:sz="24" w:space="0" w:color="auto"/>
              <w:right w:val="nil"/>
            </w:tcBorders>
            <w:shd w:val="clear" w:color="auto" w:fill="5B9BD5"/>
            <w:vAlign w:val="center"/>
          </w:tcPr>
          <w:p w14:paraId="22BA68AA" w14:textId="37BBB220" w:rsidR="009A06EA" w:rsidRPr="005A68E6" w:rsidRDefault="009A06EA" w:rsidP="005341FA">
            <w:pPr>
              <w:spacing w:line="240" w:lineRule="auto"/>
              <w:ind w:firstLine="20"/>
              <w:jc w:val="center"/>
            </w:pPr>
            <w:r w:rsidRPr="005A68E6">
              <w:t xml:space="preserve">2024 </w:t>
            </w:r>
            <w:r w:rsidR="00326CB3" w:rsidRPr="005A68E6">
              <w:rPr>
                <w:lang w:val="en-US"/>
              </w:rPr>
              <w:t>forecast</w:t>
            </w:r>
          </w:p>
        </w:tc>
        <w:tc>
          <w:tcPr>
            <w:tcW w:w="1116" w:type="dxa"/>
            <w:tcBorders>
              <w:top w:val="thinThickThinSmallGap" w:sz="24" w:space="0" w:color="auto"/>
              <w:left w:val="nil"/>
              <w:bottom w:val="thinThickSmallGap" w:sz="24" w:space="0" w:color="auto"/>
              <w:right w:val="nil"/>
            </w:tcBorders>
            <w:shd w:val="clear" w:color="auto" w:fill="5B9BD5"/>
            <w:vAlign w:val="center"/>
          </w:tcPr>
          <w:p w14:paraId="644E069D" w14:textId="61AAC9FB" w:rsidR="009A06EA" w:rsidRPr="005A68E6" w:rsidRDefault="009A06EA" w:rsidP="00BD4200">
            <w:pPr>
              <w:spacing w:line="240" w:lineRule="auto"/>
              <w:ind w:firstLine="20"/>
              <w:jc w:val="center"/>
            </w:pPr>
            <w:r w:rsidRPr="005A68E6">
              <w:t xml:space="preserve">2025 </w:t>
            </w:r>
            <w:r w:rsidR="00326CB3" w:rsidRPr="005A68E6">
              <w:rPr>
                <w:lang w:val="en-US"/>
              </w:rPr>
              <w:t>forecast</w:t>
            </w:r>
          </w:p>
        </w:tc>
        <w:tc>
          <w:tcPr>
            <w:tcW w:w="975" w:type="dxa"/>
            <w:tcBorders>
              <w:top w:val="thinThickThinSmallGap" w:sz="24" w:space="0" w:color="auto"/>
              <w:left w:val="nil"/>
              <w:bottom w:val="thinThickSmallGap" w:sz="24" w:space="0" w:color="auto"/>
              <w:right w:val="nil"/>
            </w:tcBorders>
            <w:shd w:val="clear" w:color="auto" w:fill="5B9BD5"/>
            <w:vAlign w:val="center"/>
          </w:tcPr>
          <w:p w14:paraId="2060B278" w14:textId="239614ED" w:rsidR="009A06EA" w:rsidRPr="005A68E6" w:rsidRDefault="009A06EA" w:rsidP="00074649">
            <w:pPr>
              <w:spacing w:line="240" w:lineRule="auto"/>
              <w:ind w:firstLine="20"/>
              <w:jc w:val="center"/>
            </w:pPr>
            <w:r w:rsidRPr="005A68E6">
              <w:t xml:space="preserve">2026 </w:t>
            </w:r>
            <w:r w:rsidR="00326CB3" w:rsidRPr="005A68E6">
              <w:rPr>
                <w:lang w:val="en-US"/>
              </w:rPr>
              <w:t>forecast</w:t>
            </w:r>
          </w:p>
        </w:tc>
      </w:tr>
      <w:tr w:rsidR="00326CB3" w:rsidRPr="005A68E6" w14:paraId="25C76C06" w14:textId="77777777" w:rsidTr="00326CB3">
        <w:trPr>
          <w:trHeight w:val="393"/>
          <w:jc w:val="center"/>
        </w:trPr>
        <w:tc>
          <w:tcPr>
            <w:tcW w:w="4361" w:type="dxa"/>
            <w:tcBorders>
              <w:top w:val="thinThickSmallGap" w:sz="24" w:space="0" w:color="auto"/>
              <w:left w:val="nil"/>
              <w:bottom w:val="single" w:sz="4" w:space="0" w:color="auto"/>
              <w:right w:val="nil"/>
            </w:tcBorders>
            <w:vAlign w:val="center"/>
          </w:tcPr>
          <w:p w14:paraId="20E694D1" w14:textId="726EFC51" w:rsidR="00326CB3" w:rsidRPr="005A68E6" w:rsidRDefault="00326CB3" w:rsidP="00326CB3">
            <w:pPr>
              <w:spacing w:line="240" w:lineRule="auto"/>
              <w:ind w:firstLine="20"/>
              <w:jc w:val="left"/>
            </w:pPr>
            <w:r w:rsidRPr="005A68E6">
              <w:rPr>
                <w:color w:val="000000"/>
              </w:rPr>
              <w:t>Domestic debt / Total debt (%)</w:t>
            </w:r>
          </w:p>
        </w:tc>
        <w:tc>
          <w:tcPr>
            <w:tcW w:w="957" w:type="dxa"/>
            <w:tcBorders>
              <w:top w:val="thinThickSmallGap" w:sz="24" w:space="0" w:color="auto"/>
              <w:left w:val="nil"/>
              <w:bottom w:val="single" w:sz="4" w:space="0" w:color="auto"/>
              <w:right w:val="nil"/>
            </w:tcBorders>
            <w:vAlign w:val="center"/>
          </w:tcPr>
          <w:p w14:paraId="48E7D64A" w14:textId="77777777" w:rsidR="00326CB3" w:rsidRPr="005A68E6" w:rsidRDefault="00326CB3" w:rsidP="00326CB3">
            <w:pPr>
              <w:spacing w:line="240" w:lineRule="auto"/>
              <w:ind w:firstLine="20"/>
              <w:jc w:val="center"/>
              <w:rPr>
                <w:sz w:val="20"/>
                <w:szCs w:val="20"/>
                <w:lang w:val="en-US"/>
              </w:rPr>
            </w:pPr>
            <w:r w:rsidRPr="005A68E6">
              <w:rPr>
                <w:sz w:val="20"/>
                <w:szCs w:val="20"/>
                <w:lang w:val="en-US"/>
              </w:rPr>
              <w:t>41.6</w:t>
            </w:r>
          </w:p>
        </w:tc>
        <w:tc>
          <w:tcPr>
            <w:tcW w:w="1252" w:type="dxa"/>
            <w:tcBorders>
              <w:top w:val="thinThickSmallGap" w:sz="24" w:space="0" w:color="auto"/>
              <w:left w:val="nil"/>
              <w:bottom w:val="single" w:sz="4" w:space="0" w:color="auto"/>
              <w:right w:val="double" w:sz="4" w:space="0" w:color="auto"/>
            </w:tcBorders>
            <w:vAlign w:val="center"/>
          </w:tcPr>
          <w:p w14:paraId="0114AFDA" w14:textId="77777777" w:rsidR="00326CB3" w:rsidRPr="005A68E6" w:rsidRDefault="00326CB3" w:rsidP="00326CB3">
            <w:pPr>
              <w:spacing w:line="240" w:lineRule="auto"/>
              <w:ind w:firstLine="20"/>
              <w:jc w:val="center"/>
              <w:rPr>
                <w:sz w:val="20"/>
                <w:szCs w:val="20"/>
                <w:lang w:val="en-US"/>
              </w:rPr>
            </w:pPr>
            <w:r w:rsidRPr="005A68E6">
              <w:rPr>
                <w:sz w:val="20"/>
                <w:szCs w:val="20"/>
              </w:rPr>
              <w:t xml:space="preserve"> 42.4 </w:t>
            </w:r>
          </w:p>
        </w:tc>
        <w:tc>
          <w:tcPr>
            <w:tcW w:w="1170" w:type="dxa"/>
            <w:tcBorders>
              <w:top w:val="thinThickSmallGap" w:sz="24" w:space="0" w:color="auto"/>
              <w:left w:val="double" w:sz="4" w:space="0" w:color="auto"/>
              <w:bottom w:val="single" w:sz="4" w:space="0" w:color="auto"/>
              <w:right w:val="nil"/>
            </w:tcBorders>
            <w:vAlign w:val="center"/>
          </w:tcPr>
          <w:p w14:paraId="11AADEF1" w14:textId="77777777" w:rsidR="00326CB3" w:rsidRPr="005A68E6" w:rsidRDefault="00326CB3" w:rsidP="00326CB3">
            <w:pPr>
              <w:spacing w:line="240" w:lineRule="auto"/>
              <w:ind w:firstLine="20"/>
              <w:jc w:val="center"/>
              <w:rPr>
                <w:sz w:val="20"/>
                <w:szCs w:val="20"/>
                <w:lang w:val="en-US"/>
              </w:rPr>
            </w:pPr>
            <w:r w:rsidRPr="005A68E6">
              <w:rPr>
                <w:sz w:val="20"/>
                <w:szCs w:val="20"/>
              </w:rPr>
              <w:t xml:space="preserve"> 43.5 </w:t>
            </w:r>
          </w:p>
        </w:tc>
        <w:tc>
          <w:tcPr>
            <w:tcW w:w="990" w:type="dxa"/>
            <w:tcBorders>
              <w:top w:val="thinThickSmallGap" w:sz="24" w:space="0" w:color="auto"/>
              <w:left w:val="nil"/>
              <w:bottom w:val="single" w:sz="4" w:space="0" w:color="auto"/>
              <w:right w:val="nil"/>
            </w:tcBorders>
            <w:vAlign w:val="center"/>
          </w:tcPr>
          <w:p w14:paraId="6337857D" w14:textId="77777777" w:rsidR="00326CB3" w:rsidRPr="005A68E6" w:rsidRDefault="00326CB3" w:rsidP="00326CB3">
            <w:pPr>
              <w:spacing w:line="240" w:lineRule="auto"/>
              <w:ind w:firstLine="0"/>
              <w:jc w:val="center"/>
              <w:rPr>
                <w:sz w:val="20"/>
                <w:szCs w:val="20"/>
                <w:lang w:val="en-US"/>
              </w:rPr>
            </w:pPr>
            <w:r w:rsidRPr="005A68E6">
              <w:rPr>
                <w:sz w:val="20"/>
                <w:szCs w:val="20"/>
              </w:rPr>
              <w:t xml:space="preserve"> 45.3 </w:t>
            </w:r>
          </w:p>
        </w:tc>
        <w:tc>
          <w:tcPr>
            <w:tcW w:w="1116" w:type="dxa"/>
            <w:tcBorders>
              <w:top w:val="thinThickSmallGap" w:sz="24" w:space="0" w:color="auto"/>
              <w:left w:val="nil"/>
              <w:bottom w:val="single" w:sz="4" w:space="0" w:color="auto"/>
              <w:right w:val="nil"/>
            </w:tcBorders>
            <w:vAlign w:val="center"/>
          </w:tcPr>
          <w:p w14:paraId="6408EBC1" w14:textId="77777777" w:rsidR="00326CB3" w:rsidRPr="005A68E6" w:rsidRDefault="00326CB3" w:rsidP="00326CB3">
            <w:pPr>
              <w:spacing w:line="240" w:lineRule="auto"/>
              <w:ind w:firstLine="20"/>
              <w:jc w:val="center"/>
              <w:rPr>
                <w:sz w:val="20"/>
                <w:szCs w:val="20"/>
                <w:lang w:val="en-US"/>
              </w:rPr>
            </w:pPr>
            <w:r w:rsidRPr="005A68E6">
              <w:rPr>
                <w:sz w:val="20"/>
                <w:szCs w:val="20"/>
              </w:rPr>
              <w:t xml:space="preserve"> 46.1 </w:t>
            </w:r>
          </w:p>
        </w:tc>
        <w:tc>
          <w:tcPr>
            <w:tcW w:w="975" w:type="dxa"/>
            <w:tcBorders>
              <w:top w:val="thinThickSmallGap" w:sz="24" w:space="0" w:color="auto"/>
              <w:left w:val="nil"/>
              <w:bottom w:val="single" w:sz="4" w:space="0" w:color="auto"/>
              <w:right w:val="nil"/>
            </w:tcBorders>
            <w:vAlign w:val="center"/>
          </w:tcPr>
          <w:p w14:paraId="45493D74" w14:textId="77777777" w:rsidR="00326CB3" w:rsidRPr="005A68E6" w:rsidRDefault="00326CB3" w:rsidP="00326CB3">
            <w:pPr>
              <w:spacing w:line="240" w:lineRule="auto"/>
              <w:ind w:firstLine="20"/>
              <w:jc w:val="center"/>
              <w:rPr>
                <w:sz w:val="20"/>
                <w:szCs w:val="20"/>
                <w:lang w:val="en-US"/>
              </w:rPr>
            </w:pPr>
            <w:r w:rsidRPr="005A68E6">
              <w:rPr>
                <w:sz w:val="20"/>
                <w:szCs w:val="20"/>
              </w:rPr>
              <w:t xml:space="preserve"> 46.6 </w:t>
            </w:r>
          </w:p>
        </w:tc>
      </w:tr>
      <w:tr w:rsidR="00326CB3" w:rsidRPr="005A68E6" w14:paraId="2F0B898D" w14:textId="77777777" w:rsidTr="00326CB3">
        <w:trPr>
          <w:trHeight w:val="439"/>
          <w:jc w:val="center"/>
        </w:trPr>
        <w:tc>
          <w:tcPr>
            <w:tcW w:w="4361" w:type="dxa"/>
            <w:tcBorders>
              <w:top w:val="single" w:sz="4" w:space="0" w:color="auto"/>
              <w:left w:val="nil"/>
              <w:bottom w:val="thickThinSmallGap" w:sz="24" w:space="0" w:color="auto"/>
              <w:right w:val="nil"/>
            </w:tcBorders>
            <w:vAlign w:val="center"/>
          </w:tcPr>
          <w:p w14:paraId="6E87F6B2" w14:textId="7C355ED2" w:rsidR="00326CB3" w:rsidRPr="005A68E6" w:rsidRDefault="00326CB3" w:rsidP="00326CB3">
            <w:pPr>
              <w:spacing w:line="240" w:lineRule="auto"/>
              <w:ind w:firstLine="20"/>
              <w:jc w:val="left"/>
            </w:pPr>
            <w:r w:rsidRPr="005A68E6">
              <w:rPr>
                <w:color w:val="000000"/>
              </w:rPr>
              <w:t>AMD denominated debt / Total debt (%)</w:t>
            </w:r>
          </w:p>
        </w:tc>
        <w:tc>
          <w:tcPr>
            <w:tcW w:w="957" w:type="dxa"/>
            <w:tcBorders>
              <w:top w:val="single" w:sz="4" w:space="0" w:color="auto"/>
              <w:left w:val="nil"/>
              <w:bottom w:val="thickThinSmallGap" w:sz="24" w:space="0" w:color="auto"/>
              <w:right w:val="nil"/>
            </w:tcBorders>
            <w:vAlign w:val="center"/>
          </w:tcPr>
          <w:p w14:paraId="711006AB" w14:textId="77777777" w:rsidR="00326CB3" w:rsidRPr="005A68E6" w:rsidRDefault="00326CB3" w:rsidP="00326CB3">
            <w:pPr>
              <w:spacing w:line="240" w:lineRule="auto"/>
              <w:ind w:firstLine="20"/>
              <w:jc w:val="center"/>
              <w:rPr>
                <w:sz w:val="20"/>
                <w:szCs w:val="20"/>
                <w:lang w:val="en-US"/>
              </w:rPr>
            </w:pPr>
            <w:r w:rsidRPr="005A68E6">
              <w:rPr>
                <w:sz w:val="20"/>
                <w:szCs w:val="20"/>
                <w:lang w:val="en-US"/>
              </w:rPr>
              <w:t>37.7</w:t>
            </w:r>
          </w:p>
        </w:tc>
        <w:tc>
          <w:tcPr>
            <w:tcW w:w="1252" w:type="dxa"/>
            <w:tcBorders>
              <w:top w:val="single" w:sz="4" w:space="0" w:color="auto"/>
              <w:left w:val="nil"/>
              <w:bottom w:val="thickThinSmallGap" w:sz="24" w:space="0" w:color="auto"/>
              <w:right w:val="double" w:sz="4" w:space="0" w:color="auto"/>
            </w:tcBorders>
            <w:vAlign w:val="center"/>
          </w:tcPr>
          <w:p w14:paraId="0EDCBFA4" w14:textId="77777777" w:rsidR="00326CB3" w:rsidRPr="005A68E6" w:rsidRDefault="00326CB3" w:rsidP="00326CB3">
            <w:pPr>
              <w:spacing w:line="240" w:lineRule="auto"/>
              <w:ind w:firstLine="20"/>
              <w:jc w:val="center"/>
              <w:rPr>
                <w:sz w:val="20"/>
                <w:szCs w:val="20"/>
                <w:lang w:val="en-US"/>
              </w:rPr>
            </w:pPr>
            <w:r w:rsidRPr="005A68E6">
              <w:rPr>
                <w:sz w:val="20"/>
                <w:szCs w:val="20"/>
              </w:rPr>
              <w:t xml:space="preserve"> 39.3 </w:t>
            </w:r>
          </w:p>
        </w:tc>
        <w:tc>
          <w:tcPr>
            <w:tcW w:w="1170" w:type="dxa"/>
            <w:tcBorders>
              <w:top w:val="single" w:sz="4" w:space="0" w:color="auto"/>
              <w:left w:val="double" w:sz="4" w:space="0" w:color="auto"/>
              <w:bottom w:val="thickThinSmallGap" w:sz="24" w:space="0" w:color="auto"/>
              <w:right w:val="nil"/>
            </w:tcBorders>
            <w:vAlign w:val="center"/>
          </w:tcPr>
          <w:p w14:paraId="45B0B13F" w14:textId="7176FE7B" w:rsidR="00326CB3" w:rsidRPr="005A68E6" w:rsidRDefault="00326CB3" w:rsidP="00326CB3">
            <w:pPr>
              <w:spacing w:line="240" w:lineRule="auto"/>
              <w:ind w:firstLine="20"/>
              <w:jc w:val="center"/>
              <w:rPr>
                <w:sz w:val="20"/>
                <w:szCs w:val="20"/>
                <w:lang w:val="en-US"/>
              </w:rPr>
            </w:pPr>
            <w:r w:rsidRPr="005A68E6">
              <w:rPr>
                <w:sz w:val="20"/>
                <w:szCs w:val="20"/>
              </w:rPr>
              <w:t xml:space="preserve"> 40.1 </w:t>
            </w:r>
          </w:p>
        </w:tc>
        <w:tc>
          <w:tcPr>
            <w:tcW w:w="990" w:type="dxa"/>
            <w:tcBorders>
              <w:top w:val="single" w:sz="4" w:space="0" w:color="auto"/>
              <w:left w:val="nil"/>
              <w:bottom w:val="thickThinSmallGap" w:sz="24" w:space="0" w:color="auto"/>
              <w:right w:val="nil"/>
            </w:tcBorders>
            <w:vAlign w:val="center"/>
          </w:tcPr>
          <w:p w14:paraId="268CA058" w14:textId="7D0D982F" w:rsidR="00326CB3" w:rsidRPr="005A68E6" w:rsidRDefault="00326CB3" w:rsidP="00326CB3">
            <w:pPr>
              <w:spacing w:line="240" w:lineRule="auto"/>
              <w:ind w:firstLine="20"/>
              <w:jc w:val="center"/>
              <w:rPr>
                <w:sz w:val="20"/>
                <w:szCs w:val="20"/>
                <w:lang w:val="en-US"/>
              </w:rPr>
            </w:pPr>
            <w:r w:rsidRPr="005A68E6">
              <w:rPr>
                <w:sz w:val="20"/>
                <w:szCs w:val="20"/>
              </w:rPr>
              <w:t xml:space="preserve"> 42.4 </w:t>
            </w:r>
          </w:p>
        </w:tc>
        <w:tc>
          <w:tcPr>
            <w:tcW w:w="1116" w:type="dxa"/>
            <w:tcBorders>
              <w:top w:val="single" w:sz="4" w:space="0" w:color="auto"/>
              <w:left w:val="nil"/>
              <w:bottom w:val="thickThinSmallGap" w:sz="24" w:space="0" w:color="auto"/>
              <w:right w:val="nil"/>
            </w:tcBorders>
            <w:vAlign w:val="center"/>
          </w:tcPr>
          <w:p w14:paraId="7BF01D5E" w14:textId="0D27BE0F" w:rsidR="00326CB3" w:rsidRPr="005A68E6" w:rsidRDefault="00326CB3" w:rsidP="00326CB3">
            <w:pPr>
              <w:spacing w:line="240" w:lineRule="auto"/>
              <w:ind w:firstLine="20"/>
              <w:jc w:val="center"/>
              <w:rPr>
                <w:sz w:val="20"/>
                <w:szCs w:val="20"/>
                <w:lang w:val="en-US"/>
              </w:rPr>
            </w:pPr>
            <w:r w:rsidRPr="005A68E6">
              <w:rPr>
                <w:sz w:val="20"/>
                <w:szCs w:val="20"/>
              </w:rPr>
              <w:t xml:space="preserve"> 43.5 </w:t>
            </w:r>
          </w:p>
        </w:tc>
        <w:tc>
          <w:tcPr>
            <w:tcW w:w="975" w:type="dxa"/>
            <w:tcBorders>
              <w:top w:val="single" w:sz="4" w:space="0" w:color="auto"/>
              <w:left w:val="nil"/>
              <w:bottom w:val="thickThinSmallGap" w:sz="24" w:space="0" w:color="auto"/>
              <w:right w:val="nil"/>
            </w:tcBorders>
            <w:vAlign w:val="center"/>
          </w:tcPr>
          <w:p w14:paraId="45A39157" w14:textId="15D08497" w:rsidR="00326CB3" w:rsidRPr="005A68E6" w:rsidRDefault="00326CB3" w:rsidP="00326CB3">
            <w:pPr>
              <w:spacing w:line="240" w:lineRule="auto"/>
              <w:ind w:firstLine="20"/>
              <w:jc w:val="center"/>
              <w:rPr>
                <w:sz w:val="20"/>
                <w:szCs w:val="20"/>
                <w:lang w:val="en-US"/>
              </w:rPr>
            </w:pPr>
            <w:r w:rsidRPr="005A68E6">
              <w:rPr>
                <w:sz w:val="20"/>
                <w:szCs w:val="20"/>
              </w:rPr>
              <w:t xml:space="preserve"> 44.4 </w:t>
            </w:r>
          </w:p>
        </w:tc>
      </w:tr>
    </w:tbl>
    <w:p w14:paraId="1A0DE445" w14:textId="1D3CDCDB" w:rsidR="00357E94" w:rsidRPr="005A68E6" w:rsidRDefault="00357E94" w:rsidP="00581010">
      <w:pPr>
        <w:spacing w:before="120"/>
        <w:rPr>
          <w:sz w:val="16"/>
          <w:lang w:val="en-US"/>
        </w:rPr>
      </w:pPr>
      <w:r w:rsidRPr="005A68E6">
        <w:rPr>
          <w:sz w:val="16"/>
          <w:lang w:val="en-US"/>
        </w:rPr>
        <w:t>Source: RA MoF calculations and forecasts</w:t>
      </w:r>
    </w:p>
    <w:p w14:paraId="2D4D1271" w14:textId="77777777" w:rsidR="006F4A30" w:rsidRPr="005A68E6" w:rsidRDefault="006F4A30" w:rsidP="00A1274B">
      <w:pPr>
        <w:rPr>
          <w:color w:val="FF0000"/>
          <w:sz w:val="8"/>
          <w:szCs w:val="8"/>
        </w:rPr>
      </w:pPr>
    </w:p>
    <w:p w14:paraId="4555B3D2" w14:textId="68CEF6CE" w:rsidR="00025E2D" w:rsidRPr="005A68E6" w:rsidRDefault="00025E2D" w:rsidP="00A1274B">
      <w:pPr>
        <w:rPr>
          <w:color w:val="FF0000"/>
        </w:rPr>
      </w:pPr>
    </w:p>
    <w:p w14:paraId="3509FCD0" w14:textId="69CF1917" w:rsidR="0024298B" w:rsidRPr="005A68E6" w:rsidRDefault="004D53F6" w:rsidP="0024298B">
      <w:r w:rsidRPr="005A68E6">
        <w:rPr>
          <w:lang w:val="en-US"/>
        </w:rPr>
        <w:t>In order t</w:t>
      </w:r>
      <w:r w:rsidR="0024298B" w:rsidRPr="005A68E6">
        <w:t xml:space="preserve">o reduce </w:t>
      </w:r>
      <w:r w:rsidR="0024298B" w:rsidRPr="005A68E6">
        <w:rPr>
          <w:lang w:val="en-US"/>
        </w:rPr>
        <w:t xml:space="preserve">the </w:t>
      </w:r>
      <w:r w:rsidR="0024298B" w:rsidRPr="005A68E6">
        <w:t xml:space="preserve">currency risk, the </w:t>
      </w:r>
      <w:r w:rsidRPr="005A68E6">
        <w:rPr>
          <w:lang w:val="en-US"/>
        </w:rPr>
        <w:t xml:space="preserve">share </w:t>
      </w:r>
      <w:r w:rsidR="0024298B" w:rsidRPr="005A68E6">
        <w:t xml:space="preserve">of AMD </w:t>
      </w:r>
      <w:r w:rsidR="0024298B" w:rsidRPr="005A68E6">
        <w:rPr>
          <w:lang w:val="en-US"/>
        </w:rPr>
        <w:t xml:space="preserve">denominated </w:t>
      </w:r>
      <w:r w:rsidR="0024298B" w:rsidRPr="005A68E6">
        <w:t xml:space="preserve">debt in total debt indicator will </w:t>
      </w:r>
      <w:r w:rsidR="004C6583" w:rsidRPr="005A68E6">
        <w:rPr>
          <w:lang w:val="en-US"/>
        </w:rPr>
        <w:t xml:space="preserve">be </w:t>
      </w:r>
      <w:r w:rsidR="0024298B" w:rsidRPr="005A68E6">
        <w:t>increase</w:t>
      </w:r>
      <w:r w:rsidR="004C6583" w:rsidRPr="005A68E6">
        <w:rPr>
          <w:lang w:val="en-US"/>
        </w:rPr>
        <w:t>d</w:t>
      </w:r>
      <w:r w:rsidR="0024298B" w:rsidRPr="005A68E6">
        <w:t xml:space="preserve"> by an average of one percentage point per year in the medium</w:t>
      </w:r>
      <w:r w:rsidR="00941791" w:rsidRPr="005A68E6">
        <w:rPr>
          <w:lang w:val="en-US"/>
        </w:rPr>
        <w:t>-</w:t>
      </w:r>
      <w:r w:rsidR="0024298B" w:rsidRPr="005A68E6">
        <w:t>term.</w:t>
      </w:r>
    </w:p>
    <w:p w14:paraId="5B348C88" w14:textId="588A0D27" w:rsidR="0024298B" w:rsidRPr="005A68E6" w:rsidRDefault="006A49AE" w:rsidP="0024298B">
      <w:pPr>
        <w:rPr>
          <w:color w:val="000000"/>
        </w:rPr>
      </w:pPr>
      <w:r w:rsidRPr="005A68E6">
        <w:rPr>
          <w:color w:val="000000"/>
          <w:lang w:val="en-US"/>
        </w:rPr>
        <w:t>Although a</w:t>
      </w:r>
      <w:r w:rsidR="0024298B" w:rsidRPr="005A68E6">
        <w:rPr>
          <w:color w:val="000000"/>
        </w:rPr>
        <w:t>t the end of 202</w:t>
      </w:r>
      <w:r w:rsidR="0024298B" w:rsidRPr="005A68E6">
        <w:rPr>
          <w:color w:val="000000"/>
          <w:lang w:val="en-US"/>
        </w:rPr>
        <w:t>6</w:t>
      </w:r>
      <w:r w:rsidR="0024298B" w:rsidRPr="005A68E6">
        <w:rPr>
          <w:color w:val="000000"/>
        </w:rPr>
        <w:t xml:space="preserve">, the </w:t>
      </w:r>
      <w:r w:rsidR="0024298B" w:rsidRPr="005A68E6">
        <w:rPr>
          <w:color w:val="000000"/>
          <w:lang w:val="en-US"/>
        </w:rPr>
        <w:t>share</w:t>
      </w:r>
      <w:r w:rsidR="0024298B" w:rsidRPr="005A68E6">
        <w:rPr>
          <w:color w:val="000000"/>
        </w:rPr>
        <w:t xml:space="preserve"> of foreign currency denominated debt </w:t>
      </w:r>
      <w:r w:rsidR="004C6583" w:rsidRPr="005A68E6">
        <w:rPr>
          <w:color w:val="000000"/>
          <w:lang w:val="en-US"/>
        </w:rPr>
        <w:t xml:space="preserve">is going to </w:t>
      </w:r>
      <w:r w:rsidR="0024298B" w:rsidRPr="005A68E6">
        <w:rPr>
          <w:color w:val="000000"/>
        </w:rPr>
        <w:t>decrease over the medium</w:t>
      </w:r>
      <w:r w:rsidR="00941791" w:rsidRPr="005A68E6">
        <w:rPr>
          <w:color w:val="000000"/>
          <w:lang w:val="en-US"/>
        </w:rPr>
        <w:t>-</w:t>
      </w:r>
      <w:r w:rsidR="0024298B" w:rsidRPr="005A68E6">
        <w:rPr>
          <w:color w:val="000000"/>
        </w:rPr>
        <w:t xml:space="preserve">term, </w:t>
      </w:r>
      <w:r w:rsidR="0024298B" w:rsidRPr="005A68E6">
        <w:rPr>
          <w:color w:val="000000"/>
          <w:lang w:val="en-US"/>
        </w:rPr>
        <w:t>reaching</w:t>
      </w:r>
      <w:r w:rsidR="0024298B" w:rsidRPr="005A68E6">
        <w:rPr>
          <w:color w:val="000000"/>
        </w:rPr>
        <w:t xml:space="preserve"> </w:t>
      </w:r>
      <w:r w:rsidR="0024298B" w:rsidRPr="005A68E6">
        <w:rPr>
          <w:color w:val="000000"/>
          <w:lang w:val="en-US"/>
        </w:rPr>
        <w:t>55.6</w:t>
      </w:r>
      <w:r w:rsidR="0024298B" w:rsidRPr="005A68E6">
        <w:rPr>
          <w:color w:val="000000"/>
        </w:rPr>
        <w:t xml:space="preserve">%, however, the exchange rate risk of </w:t>
      </w:r>
      <w:r w:rsidR="0024298B" w:rsidRPr="005A68E6">
        <w:rPr>
          <w:color w:val="000000"/>
          <w:lang w:val="en-US"/>
        </w:rPr>
        <w:t xml:space="preserve">the </w:t>
      </w:r>
      <w:r w:rsidR="0024298B" w:rsidRPr="005A68E6">
        <w:rPr>
          <w:color w:val="000000"/>
        </w:rPr>
        <w:t>RA Government debt portfolio will remain the main risk factor in the upcoming years.</w:t>
      </w:r>
    </w:p>
    <w:p w14:paraId="51055A52" w14:textId="77777777" w:rsidR="0024298B" w:rsidRPr="005A68E6" w:rsidRDefault="0024298B" w:rsidP="00A1274B">
      <w:pPr>
        <w:rPr>
          <w:color w:val="FF0000"/>
        </w:rPr>
      </w:pPr>
    </w:p>
    <w:p w14:paraId="546372F1" w14:textId="22C80A96" w:rsidR="00490A2C" w:rsidRPr="005A68E6" w:rsidRDefault="00025E2D" w:rsidP="00C45A7F">
      <w:pPr>
        <w:pStyle w:val="af6"/>
        <w:numPr>
          <w:ilvl w:val="0"/>
          <w:numId w:val="35"/>
        </w:numPr>
        <w:spacing w:after="240"/>
        <w:ind w:left="1276" w:hanging="1276"/>
        <w:rPr>
          <w:rStyle w:val="Emphasis"/>
          <w:rFonts w:cs="Cambria"/>
          <w:i/>
          <w:szCs w:val="24"/>
        </w:rPr>
      </w:pPr>
      <w:r w:rsidRPr="005A68E6">
        <w:t xml:space="preserve"> </w:t>
      </w:r>
      <w:r w:rsidR="00490A2C" w:rsidRPr="005A68E6">
        <w:rPr>
          <w:rStyle w:val="Emphasis"/>
          <w:rFonts w:cs="Cambria"/>
          <w:i/>
          <w:szCs w:val="24"/>
        </w:rPr>
        <w:t xml:space="preserve">The structure of </w:t>
      </w:r>
      <w:r w:rsidR="004D6547" w:rsidRPr="005A68E6">
        <w:rPr>
          <w:rStyle w:val="Emphasis"/>
          <w:rFonts w:cs="Cambria"/>
          <w:i/>
          <w:szCs w:val="24"/>
          <w:lang w:val="en-US"/>
        </w:rPr>
        <w:t xml:space="preserve">the </w:t>
      </w:r>
      <w:r w:rsidR="00490A2C" w:rsidRPr="005A68E6">
        <w:rPr>
          <w:rStyle w:val="Emphasis"/>
          <w:rFonts w:cs="Cambria"/>
          <w:i/>
          <w:szCs w:val="24"/>
        </w:rPr>
        <w:t>RA Government foreign currency debt for 2022-202</w:t>
      </w:r>
      <w:r w:rsidR="00490A2C" w:rsidRPr="005A68E6">
        <w:rPr>
          <w:rStyle w:val="Emphasis"/>
          <w:rFonts w:cs="Cambria"/>
          <w:i/>
          <w:szCs w:val="24"/>
          <w:lang w:val="en-US"/>
        </w:rPr>
        <w:t>6</w:t>
      </w:r>
      <w:r w:rsidR="00490A2C" w:rsidRPr="005A68E6">
        <w:rPr>
          <w:rStyle w:val="Emphasis"/>
          <w:rFonts w:cs="Cambria"/>
          <w:i/>
          <w:szCs w:val="24"/>
        </w:rPr>
        <w:t>, as of the end of the year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037"/>
        <w:gridCol w:w="1456"/>
        <w:gridCol w:w="1286"/>
        <w:gridCol w:w="1080"/>
        <w:gridCol w:w="1080"/>
        <w:gridCol w:w="1089"/>
      </w:tblGrid>
      <w:tr w:rsidR="00490A2C" w:rsidRPr="005A68E6" w14:paraId="451A1410" w14:textId="77777777" w:rsidTr="00581010">
        <w:trPr>
          <w:trHeight w:val="720"/>
          <w:tblHeader/>
          <w:jc w:val="center"/>
        </w:trPr>
        <w:tc>
          <w:tcPr>
            <w:tcW w:w="1260" w:type="dxa"/>
            <w:tcBorders>
              <w:top w:val="thinThickThinSmallGap" w:sz="24" w:space="0" w:color="auto"/>
              <w:left w:val="nil"/>
              <w:bottom w:val="thinThickSmallGap" w:sz="24" w:space="0" w:color="auto"/>
              <w:right w:val="nil"/>
            </w:tcBorders>
            <w:shd w:val="clear" w:color="auto" w:fill="5B9BD5"/>
          </w:tcPr>
          <w:p w14:paraId="4A8BDC0B" w14:textId="22C0D906" w:rsidR="00490A2C" w:rsidRPr="005A68E6" w:rsidRDefault="00490A2C" w:rsidP="00490A2C">
            <w:pPr>
              <w:spacing w:line="240" w:lineRule="auto"/>
              <w:ind w:firstLine="6"/>
            </w:pPr>
            <w:r w:rsidRPr="005A68E6">
              <w:t xml:space="preserve"> </w:t>
            </w:r>
          </w:p>
        </w:tc>
        <w:tc>
          <w:tcPr>
            <w:tcW w:w="1037" w:type="dxa"/>
            <w:tcBorders>
              <w:top w:val="thinThickThinSmallGap" w:sz="24" w:space="0" w:color="auto"/>
              <w:left w:val="nil"/>
              <w:bottom w:val="thinThickSmallGap" w:sz="24" w:space="0" w:color="auto"/>
              <w:right w:val="nil"/>
            </w:tcBorders>
            <w:shd w:val="clear" w:color="auto" w:fill="5B9BD5"/>
          </w:tcPr>
          <w:p w14:paraId="72857FFD" w14:textId="6CF9BDE3" w:rsidR="00490A2C" w:rsidRPr="005A68E6" w:rsidRDefault="00490A2C" w:rsidP="00490A2C">
            <w:pPr>
              <w:spacing w:line="240" w:lineRule="auto"/>
              <w:ind w:firstLine="6"/>
              <w:jc w:val="center"/>
            </w:pPr>
            <w:r w:rsidRPr="005A68E6">
              <w:t>202</w:t>
            </w:r>
            <w:r w:rsidRPr="005A68E6">
              <w:rPr>
                <w:lang w:val="en-US"/>
              </w:rPr>
              <w:t>2</w:t>
            </w:r>
            <w:r w:rsidRPr="005A68E6">
              <w:t xml:space="preserve"> </w:t>
            </w:r>
            <w:r w:rsidRPr="005A68E6">
              <w:rPr>
                <w:lang w:val="en-US"/>
              </w:rPr>
              <w:t>actual</w:t>
            </w:r>
          </w:p>
        </w:tc>
        <w:tc>
          <w:tcPr>
            <w:tcW w:w="1456" w:type="dxa"/>
            <w:tcBorders>
              <w:top w:val="thinThickThinSmallGap" w:sz="24" w:space="0" w:color="auto"/>
              <w:left w:val="nil"/>
              <w:bottom w:val="thinThickSmallGap" w:sz="24" w:space="0" w:color="auto"/>
              <w:right w:val="double" w:sz="4" w:space="0" w:color="auto"/>
            </w:tcBorders>
            <w:shd w:val="clear" w:color="auto" w:fill="5B9BD5"/>
            <w:vAlign w:val="center"/>
          </w:tcPr>
          <w:p w14:paraId="6888756B" w14:textId="77777777" w:rsidR="00490A2C" w:rsidRPr="005A68E6" w:rsidRDefault="00490A2C" w:rsidP="00490A2C">
            <w:pPr>
              <w:spacing w:line="240" w:lineRule="auto"/>
              <w:ind w:firstLine="20"/>
              <w:jc w:val="center"/>
            </w:pPr>
            <w:r w:rsidRPr="005A68E6">
              <w:t>2023</w:t>
            </w:r>
          </w:p>
          <w:p w14:paraId="068BFFA1" w14:textId="20D8ECF9" w:rsidR="00490A2C" w:rsidRPr="005A68E6" w:rsidRDefault="004C6583" w:rsidP="00490A2C">
            <w:pPr>
              <w:spacing w:line="240" w:lineRule="auto"/>
              <w:ind w:firstLine="6"/>
              <w:jc w:val="center"/>
            </w:pPr>
            <w:r w:rsidRPr="005A68E6">
              <w:rPr>
                <w:color w:val="000000"/>
                <w:lang w:val="en-US"/>
              </w:rPr>
              <w:t xml:space="preserve">State </w:t>
            </w:r>
            <w:r w:rsidR="00490A2C" w:rsidRPr="005A68E6">
              <w:rPr>
                <w:color w:val="000000"/>
              </w:rPr>
              <w:t>budget program</w:t>
            </w:r>
          </w:p>
        </w:tc>
        <w:tc>
          <w:tcPr>
            <w:tcW w:w="1286" w:type="dxa"/>
            <w:tcBorders>
              <w:top w:val="thinThickThinSmallGap" w:sz="24" w:space="0" w:color="auto"/>
              <w:left w:val="double" w:sz="4" w:space="0" w:color="auto"/>
              <w:bottom w:val="thinThickSmallGap" w:sz="24" w:space="0" w:color="auto"/>
              <w:right w:val="nil"/>
            </w:tcBorders>
            <w:shd w:val="clear" w:color="auto" w:fill="5B9BD5"/>
            <w:vAlign w:val="center"/>
          </w:tcPr>
          <w:p w14:paraId="2F9CAD32" w14:textId="5D2C5FD2" w:rsidR="00490A2C" w:rsidRPr="005A68E6" w:rsidRDefault="00490A2C" w:rsidP="00490A2C">
            <w:pPr>
              <w:spacing w:line="240" w:lineRule="auto"/>
              <w:ind w:firstLine="6"/>
              <w:jc w:val="center"/>
            </w:pPr>
            <w:r w:rsidRPr="005A68E6">
              <w:t xml:space="preserve">2023 </w:t>
            </w:r>
            <w:r w:rsidRPr="005A68E6">
              <w:rPr>
                <w:lang w:val="en-US"/>
              </w:rPr>
              <w:t>forecast</w:t>
            </w:r>
          </w:p>
        </w:tc>
        <w:tc>
          <w:tcPr>
            <w:tcW w:w="1080" w:type="dxa"/>
            <w:tcBorders>
              <w:top w:val="thinThickThinSmallGap" w:sz="24" w:space="0" w:color="auto"/>
              <w:left w:val="nil"/>
              <w:bottom w:val="thinThickSmallGap" w:sz="24" w:space="0" w:color="auto"/>
              <w:right w:val="nil"/>
            </w:tcBorders>
            <w:shd w:val="clear" w:color="auto" w:fill="5B9BD5"/>
            <w:vAlign w:val="center"/>
          </w:tcPr>
          <w:p w14:paraId="16469029" w14:textId="5917A73F" w:rsidR="00490A2C" w:rsidRPr="005A68E6" w:rsidRDefault="00490A2C" w:rsidP="00490A2C">
            <w:pPr>
              <w:spacing w:line="240" w:lineRule="auto"/>
              <w:ind w:firstLine="6"/>
              <w:jc w:val="center"/>
            </w:pPr>
            <w:r w:rsidRPr="005A68E6">
              <w:t xml:space="preserve">2024 </w:t>
            </w:r>
            <w:r w:rsidRPr="005A68E6">
              <w:rPr>
                <w:lang w:val="en-US"/>
              </w:rPr>
              <w:t>forecast</w:t>
            </w:r>
          </w:p>
        </w:tc>
        <w:tc>
          <w:tcPr>
            <w:tcW w:w="1080" w:type="dxa"/>
            <w:tcBorders>
              <w:top w:val="thinThickThinSmallGap" w:sz="24" w:space="0" w:color="auto"/>
              <w:left w:val="nil"/>
              <w:bottom w:val="thinThickSmallGap" w:sz="24" w:space="0" w:color="auto"/>
              <w:right w:val="nil"/>
            </w:tcBorders>
            <w:shd w:val="clear" w:color="auto" w:fill="5B9BD5"/>
            <w:vAlign w:val="center"/>
          </w:tcPr>
          <w:p w14:paraId="4408072F" w14:textId="44E3E930" w:rsidR="00490A2C" w:rsidRPr="005A68E6" w:rsidRDefault="00490A2C" w:rsidP="00490A2C">
            <w:pPr>
              <w:spacing w:line="240" w:lineRule="auto"/>
              <w:ind w:firstLine="6"/>
              <w:jc w:val="center"/>
            </w:pPr>
            <w:r w:rsidRPr="005A68E6">
              <w:t xml:space="preserve">2025 </w:t>
            </w:r>
            <w:r w:rsidRPr="005A68E6">
              <w:rPr>
                <w:lang w:val="en-US"/>
              </w:rPr>
              <w:t>forecast</w:t>
            </w:r>
          </w:p>
        </w:tc>
        <w:tc>
          <w:tcPr>
            <w:tcW w:w="1089" w:type="dxa"/>
            <w:tcBorders>
              <w:top w:val="thinThickThinSmallGap" w:sz="24" w:space="0" w:color="auto"/>
              <w:left w:val="nil"/>
              <w:bottom w:val="thinThickSmallGap" w:sz="24" w:space="0" w:color="auto"/>
              <w:right w:val="nil"/>
            </w:tcBorders>
            <w:shd w:val="clear" w:color="auto" w:fill="5B9BD5"/>
            <w:vAlign w:val="center"/>
          </w:tcPr>
          <w:p w14:paraId="730294F9" w14:textId="1EAA466E" w:rsidR="00490A2C" w:rsidRPr="005A68E6" w:rsidRDefault="00490A2C" w:rsidP="00490A2C">
            <w:pPr>
              <w:spacing w:line="240" w:lineRule="auto"/>
              <w:ind w:firstLine="6"/>
              <w:jc w:val="center"/>
            </w:pPr>
            <w:r w:rsidRPr="005A68E6">
              <w:t xml:space="preserve">2026 </w:t>
            </w:r>
            <w:r w:rsidRPr="005A68E6">
              <w:rPr>
                <w:lang w:val="en-US"/>
              </w:rPr>
              <w:t>forecast</w:t>
            </w:r>
          </w:p>
        </w:tc>
      </w:tr>
      <w:tr w:rsidR="00B662F0" w:rsidRPr="005A68E6" w14:paraId="4B868BCB" w14:textId="77777777" w:rsidTr="00581010">
        <w:trPr>
          <w:jc w:val="center"/>
        </w:trPr>
        <w:tc>
          <w:tcPr>
            <w:tcW w:w="1260" w:type="dxa"/>
            <w:tcBorders>
              <w:top w:val="thinThickSmallGap" w:sz="24" w:space="0" w:color="auto"/>
              <w:left w:val="nil"/>
              <w:right w:val="nil"/>
            </w:tcBorders>
          </w:tcPr>
          <w:p w14:paraId="1480811B" w14:textId="77777777" w:rsidR="00B662F0" w:rsidRPr="005A68E6" w:rsidRDefault="00B662F0" w:rsidP="0070296A">
            <w:pPr>
              <w:spacing w:line="240" w:lineRule="auto"/>
              <w:ind w:firstLine="6"/>
              <w:jc w:val="center"/>
            </w:pPr>
            <w:r w:rsidRPr="005A68E6">
              <w:t>USD</w:t>
            </w:r>
          </w:p>
        </w:tc>
        <w:tc>
          <w:tcPr>
            <w:tcW w:w="1037" w:type="dxa"/>
            <w:tcBorders>
              <w:top w:val="thinThickSmallGap" w:sz="24" w:space="0" w:color="auto"/>
              <w:left w:val="nil"/>
              <w:right w:val="nil"/>
            </w:tcBorders>
          </w:tcPr>
          <w:p w14:paraId="20E5B3BD" w14:textId="77777777" w:rsidR="00B662F0" w:rsidRPr="005A68E6" w:rsidRDefault="00B662F0" w:rsidP="0045017D">
            <w:pPr>
              <w:spacing w:line="240" w:lineRule="auto"/>
              <w:ind w:firstLine="6"/>
              <w:jc w:val="center"/>
              <w:rPr>
                <w:sz w:val="20"/>
                <w:szCs w:val="20"/>
                <w:lang w:val="en-US"/>
              </w:rPr>
            </w:pPr>
            <w:r w:rsidRPr="005A68E6">
              <w:rPr>
                <w:sz w:val="20"/>
                <w:szCs w:val="20"/>
                <w:lang w:val="en-US"/>
              </w:rPr>
              <w:t>59.2</w:t>
            </w:r>
          </w:p>
        </w:tc>
        <w:tc>
          <w:tcPr>
            <w:tcW w:w="1456" w:type="dxa"/>
            <w:tcBorders>
              <w:top w:val="thinThickSmallGap" w:sz="24" w:space="0" w:color="auto"/>
              <w:left w:val="nil"/>
              <w:right w:val="double" w:sz="4" w:space="0" w:color="auto"/>
            </w:tcBorders>
          </w:tcPr>
          <w:p w14:paraId="272D25B7"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61.4 </w:t>
            </w:r>
          </w:p>
        </w:tc>
        <w:tc>
          <w:tcPr>
            <w:tcW w:w="1286" w:type="dxa"/>
            <w:tcBorders>
              <w:top w:val="thinThickSmallGap" w:sz="24" w:space="0" w:color="auto"/>
              <w:left w:val="double" w:sz="4" w:space="0" w:color="auto"/>
              <w:right w:val="nil"/>
            </w:tcBorders>
          </w:tcPr>
          <w:p w14:paraId="0A0C9EF9"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57.9 </w:t>
            </w:r>
          </w:p>
        </w:tc>
        <w:tc>
          <w:tcPr>
            <w:tcW w:w="1080" w:type="dxa"/>
            <w:tcBorders>
              <w:top w:val="thinThickSmallGap" w:sz="24" w:space="0" w:color="auto"/>
              <w:left w:val="nil"/>
              <w:right w:val="nil"/>
            </w:tcBorders>
          </w:tcPr>
          <w:p w14:paraId="213B607E"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60.7 </w:t>
            </w:r>
          </w:p>
        </w:tc>
        <w:tc>
          <w:tcPr>
            <w:tcW w:w="1080" w:type="dxa"/>
            <w:tcBorders>
              <w:top w:val="thinThickSmallGap" w:sz="24" w:space="0" w:color="auto"/>
              <w:left w:val="nil"/>
              <w:right w:val="nil"/>
            </w:tcBorders>
          </w:tcPr>
          <w:p w14:paraId="7DF197CA"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61.4 </w:t>
            </w:r>
          </w:p>
        </w:tc>
        <w:tc>
          <w:tcPr>
            <w:tcW w:w="1089" w:type="dxa"/>
            <w:tcBorders>
              <w:top w:val="thinThickSmallGap" w:sz="24" w:space="0" w:color="auto"/>
              <w:left w:val="nil"/>
              <w:right w:val="nil"/>
            </w:tcBorders>
          </w:tcPr>
          <w:p w14:paraId="38590E4E"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60.2 </w:t>
            </w:r>
          </w:p>
        </w:tc>
      </w:tr>
      <w:tr w:rsidR="00B662F0" w:rsidRPr="005A68E6" w14:paraId="44CC4FB7" w14:textId="77777777" w:rsidTr="00581010">
        <w:trPr>
          <w:jc w:val="center"/>
        </w:trPr>
        <w:tc>
          <w:tcPr>
            <w:tcW w:w="1260" w:type="dxa"/>
            <w:tcBorders>
              <w:left w:val="nil"/>
              <w:right w:val="nil"/>
            </w:tcBorders>
          </w:tcPr>
          <w:p w14:paraId="03ADD333" w14:textId="77777777" w:rsidR="00B662F0" w:rsidRPr="005A68E6" w:rsidRDefault="00B662F0" w:rsidP="0070296A">
            <w:pPr>
              <w:spacing w:line="240" w:lineRule="auto"/>
              <w:ind w:firstLine="6"/>
              <w:jc w:val="center"/>
            </w:pPr>
            <w:r w:rsidRPr="005A68E6">
              <w:t>SDR</w:t>
            </w:r>
          </w:p>
        </w:tc>
        <w:tc>
          <w:tcPr>
            <w:tcW w:w="1037" w:type="dxa"/>
            <w:tcBorders>
              <w:left w:val="nil"/>
              <w:right w:val="nil"/>
            </w:tcBorders>
          </w:tcPr>
          <w:p w14:paraId="3E8C06F2" w14:textId="77777777" w:rsidR="00B662F0" w:rsidRPr="005A68E6" w:rsidRDefault="00B662F0" w:rsidP="0045017D">
            <w:pPr>
              <w:spacing w:line="240" w:lineRule="auto"/>
              <w:ind w:firstLine="6"/>
              <w:jc w:val="center"/>
              <w:rPr>
                <w:sz w:val="20"/>
                <w:szCs w:val="20"/>
                <w:lang w:val="en-US"/>
              </w:rPr>
            </w:pPr>
            <w:r w:rsidRPr="005A68E6">
              <w:rPr>
                <w:sz w:val="20"/>
                <w:szCs w:val="20"/>
                <w:lang w:val="en-US"/>
              </w:rPr>
              <w:t>24.0</w:t>
            </w:r>
          </w:p>
        </w:tc>
        <w:tc>
          <w:tcPr>
            <w:tcW w:w="1456" w:type="dxa"/>
            <w:tcBorders>
              <w:left w:val="nil"/>
              <w:right w:val="double" w:sz="4" w:space="0" w:color="auto"/>
            </w:tcBorders>
          </w:tcPr>
          <w:p w14:paraId="1CF34D54"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15.7 </w:t>
            </w:r>
          </w:p>
        </w:tc>
        <w:tc>
          <w:tcPr>
            <w:tcW w:w="1286" w:type="dxa"/>
            <w:tcBorders>
              <w:left w:val="double" w:sz="4" w:space="0" w:color="auto"/>
              <w:right w:val="nil"/>
            </w:tcBorders>
          </w:tcPr>
          <w:p w14:paraId="3CEA5A12"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18.1 </w:t>
            </w:r>
          </w:p>
        </w:tc>
        <w:tc>
          <w:tcPr>
            <w:tcW w:w="1080" w:type="dxa"/>
            <w:tcBorders>
              <w:left w:val="nil"/>
              <w:right w:val="nil"/>
            </w:tcBorders>
          </w:tcPr>
          <w:p w14:paraId="058E341E"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19.8 </w:t>
            </w:r>
          </w:p>
        </w:tc>
        <w:tc>
          <w:tcPr>
            <w:tcW w:w="1080" w:type="dxa"/>
            <w:tcBorders>
              <w:left w:val="nil"/>
              <w:right w:val="nil"/>
            </w:tcBorders>
          </w:tcPr>
          <w:p w14:paraId="3B7212A1"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22.6 </w:t>
            </w:r>
          </w:p>
        </w:tc>
        <w:tc>
          <w:tcPr>
            <w:tcW w:w="1089" w:type="dxa"/>
            <w:tcBorders>
              <w:left w:val="nil"/>
              <w:right w:val="nil"/>
            </w:tcBorders>
          </w:tcPr>
          <w:p w14:paraId="22417904"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25.5 </w:t>
            </w:r>
          </w:p>
        </w:tc>
      </w:tr>
      <w:tr w:rsidR="00B662F0" w:rsidRPr="005A68E6" w14:paraId="130A78D0" w14:textId="77777777" w:rsidTr="00581010">
        <w:trPr>
          <w:jc w:val="center"/>
        </w:trPr>
        <w:tc>
          <w:tcPr>
            <w:tcW w:w="1260" w:type="dxa"/>
            <w:tcBorders>
              <w:left w:val="nil"/>
              <w:right w:val="nil"/>
            </w:tcBorders>
          </w:tcPr>
          <w:p w14:paraId="6D1B0156" w14:textId="77777777" w:rsidR="00B662F0" w:rsidRPr="005A68E6" w:rsidRDefault="00B662F0" w:rsidP="0070296A">
            <w:pPr>
              <w:spacing w:line="240" w:lineRule="auto"/>
              <w:ind w:firstLine="6"/>
              <w:jc w:val="center"/>
            </w:pPr>
            <w:r w:rsidRPr="005A68E6">
              <w:t>EUR</w:t>
            </w:r>
          </w:p>
        </w:tc>
        <w:tc>
          <w:tcPr>
            <w:tcW w:w="1037" w:type="dxa"/>
            <w:tcBorders>
              <w:left w:val="nil"/>
              <w:right w:val="nil"/>
            </w:tcBorders>
          </w:tcPr>
          <w:p w14:paraId="400F22A0" w14:textId="77777777" w:rsidR="00B662F0" w:rsidRPr="005A68E6" w:rsidRDefault="00B662F0" w:rsidP="0045017D">
            <w:pPr>
              <w:spacing w:line="240" w:lineRule="auto"/>
              <w:ind w:firstLine="6"/>
              <w:jc w:val="center"/>
              <w:rPr>
                <w:sz w:val="20"/>
                <w:szCs w:val="20"/>
                <w:lang w:val="en-US"/>
              </w:rPr>
            </w:pPr>
            <w:r w:rsidRPr="005A68E6">
              <w:rPr>
                <w:sz w:val="20"/>
                <w:szCs w:val="20"/>
                <w:lang w:val="en-US"/>
              </w:rPr>
              <w:t>13.9</w:t>
            </w:r>
          </w:p>
        </w:tc>
        <w:tc>
          <w:tcPr>
            <w:tcW w:w="1456" w:type="dxa"/>
            <w:tcBorders>
              <w:left w:val="nil"/>
              <w:right w:val="double" w:sz="4" w:space="0" w:color="auto"/>
            </w:tcBorders>
          </w:tcPr>
          <w:p w14:paraId="1FB01AA3"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20.5 </w:t>
            </w:r>
          </w:p>
        </w:tc>
        <w:tc>
          <w:tcPr>
            <w:tcW w:w="1286" w:type="dxa"/>
            <w:tcBorders>
              <w:left w:val="double" w:sz="4" w:space="0" w:color="auto"/>
              <w:right w:val="nil"/>
            </w:tcBorders>
          </w:tcPr>
          <w:p w14:paraId="41FA8FC5"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21.3 </w:t>
            </w:r>
          </w:p>
        </w:tc>
        <w:tc>
          <w:tcPr>
            <w:tcW w:w="1080" w:type="dxa"/>
            <w:tcBorders>
              <w:left w:val="nil"/>
              <w:right w:val="nil"/>
            </w:tcBorders>
          </w:tcPr>
          <w:p w14:paraId="446A4704" w14:textId="77777777" w:rsidR="00B662F0" w:rsidRPr="005A68E6" w:rsidRDefault="00B662F0" w:rsidP="0045017D">
            <w:pPr>
              <w:spacing w:line="240" w:lineRule="auto"/>
              <w:ind w:firstLine="0"/>
              <w:jc w:val="center"/>
              <w:rPr>
                <w:color w:val="FF0000"/>
                <w:sz w:val="20"/>
                <w:szCs w:val="20"/>
              </w:rPr>
            </w:pPr>
            <w:r w:rsidRPr="005A68E6">
              <w:rPr>
                <w:sz w:val="20"/>
                <w:szCs w:val="20"/>
              </w:rPr>
              <w:t xml:space="preserve"> 17.1 </w:t>
            </w:r>
          </w:p>
        </w:tc>
        <w:tc>
          <w:tcPr>
            <w:tcW w:w="1080" w:type="dxa"/>
            <w:tcBorders>
              <w:left w:val="nil"/>
              <w:right w:val="nil"/>
            </w:tcBorders>
          </w:tcPr>
          <w:p w14:paraId="3C33451C"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13.8 </w:t>
            </w:r>
          </w:p>
        </w:tc>
        <w:tc>
          <w:tcPr>
            <w:tcW w:w="1089" w:type="dxa"/>
            <w:tcBorders>
              <w:left w:val="nil"/>
              <w:right w:val="nil"/>
            </w:tcBorders>
          </w:tcPr>
          <w:p w14:paraId="15EF2927"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12.3 </w:t>
            </w:r>
          </w:p>
        </w:tc>
      </w:tr>
      <w:tr w:rsidR="00B662F0" w:rsidRPr="005A68E6" w14:paraId="3A976BF9" w14:textId="77777777" w:rsidTr="00581010">
        <w:trPr>
          <w:jc w:val="center"/>
        </w:trPr>
        <w:tc>
          <w:tcPr>
            <w:tcW w:w="1260" w:type="dxa"/>
            <w:tcBorders>
              <w:left w:val="nil"/>
              <w:right w:val="nil"/>
            </w:tcBorders>
          </w:tcPr>
          <w:p w14:paraId="13C98D85" w14:textId="77777777" w:rsidR="00B662F0" w:rsidRPr="005A68E6" w:rsidRDefault="00B662F0" w:rsidP="0070296A">
            <w:pPr>
              <w:spacing w:line="240" w:lineRule="auto"/>
              <w:ind w:firstLine="6"/>
              <w:jc w:val="center"/>
            </w:pPr>
            <w:r w:rsidRPr="005A68E6">
              <w:t>JPY</w:t>
            </w:r>
          </w:p>
        </w:tc>
        <w:tc>
          <w:tcPr>
            <w:tcW w:w="1037" w:type="dxa"/>
            <w:tcBorders>
              <w:left w:val="nil"/>
              <w:right w:val="nil"/>
            </w:tcBorders>
          </w:tcPr>
          <w:p w14:paraId="3646E582" w14:textId="77777777" w:rsidR="00B662F0" w:rsidRPr="005A68E6" w:rsidRDefault="00B662F0" w:rsidP="0045017D">
            <w:pPr>
              <w:spacing w:line="240" w:lineRule="auto"/>
              <w:ind w:firstLine="6"/>
              <w:jc w:val="center"/>
              <w:rPr>
                <w:sz w:val="20"/>
                <w:szCs w:val="20"/>
                <w:lang w:val="en-US"/>
              </w:rPr>
            </w:pPr>
            <w:r w:rsidRPr="005A68E6">
              <w:rPr>
                <w:sz w:val="20"/>
                <w:szCs w:val="20"/>
                <w:lang w:val="en-US"/>
              </w:rPr>
              <w:t>2.6</w:t>
            </w:r>
          </w:p>
        </w:tc>
        <w:tc>
          <w:tcPr>
            <w:tcW w:w="1456" w:type="dxa"/>
            <w:tcBorders>
              <w:left w:val="nil"/>
              <w:right w:val="double" w:sz="4" w:space="0" w:color="auto"/>
            </w:tcBorders>
          </w:tcPr>
          <w:p w14:paraId="58DF7CEC"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2.1 </w:t>
            </w:r>
          </w:p>
        </w:tc>
        <w:tc>
          <w:tcPr>
            <w:tcW w:w="1286" w:type="dxa"/>
            <w:tcBorders>
              <w:left w:val="double" w:sz="4" w:space="0" w:color="auto"/>
              <w:right w:val="nil"/>
            </w:tcBorders>
          </w:tcPr>
          <w:p w14:paraId="10C85BA1"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2.4 </w:t>
            </w:r>
          </w:p>
        </w:tc>
        <w:tc>
          <w:tcPr>
            <w:tcW w:w="1080" w:type="dxa"/>
            <w:tcBorders>
              <w:left w:val="nil"/>
              <w:right w:val="nil"/>
            </w:tcBorders>
          </w:tcPr>
          <w:p w14:paraId="716FE68F"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2.2 </w:t>
            </w:r>
          </w:p>
        </w:tc>
        <w:tc>
          <w:tcPr>
            <w:tcW w:w="1080" w:type="dxa"/>
            <w:tcBorders>
              <w:left w:val="nil"/>
              <w:right w:val="nil"/>
            </w:tcBorders>
          </w:tcPr>
          <w:p w14:paraId="6CECE931"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1.9 </w:t>
            </w:r>
          </w:p>
        </w:tc>
        <w:tc>
          <w:tcPr>
            <w:tcW w:w="1089" w:type="dxa"/>
            <w:tcBorders>
              <w:left w:val="nil"/>
              <w:right w:val="nil"/>
            </w:tcBorders>
          </w:tcPr>
          <w:p w14:paraId="57BAF6B5"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1.8 </w:t>
            </w:r>
          </w:p>
        </w:tc>
      </w:tr>
      <w:tr w:rsidR="00B662F0" w:rsidRPr="005A68E6" w14:paraId="37AD4407" w14:textId="77777777" w:rsidTr="00581010">
        <w:trPr>
          <w:jc w:val="center"/>
        </w:trPr>
        <w:tc>
          <w:tcPr>
            <w:tcW w:w="1260" w:type="dxa"/>
            <w:tcBorders>
              <w:left w:val="nil"/>
              <w:right w:val="nil"/>
            </w:tcBorders>
          </w:tcPr>
          <w:p w14:paraId="5E1610B6" w14:textId="77777777" w:rsidR="00B662F0" w:rsidRPr="005A68E6" w:rsidRDefault="00B662F0" w:rsidP="0070296A">
            <w:pPr>
              <w:spacing w:line="240" w:lineRule="auto"/>
              <w:ind w:firstLine="6"/>
              <w:jc w:val="center"/>
            </w:pPr>
            <w:r w:rsidRPr="005A68E6">
              <w:t>AED</w:t>
            </w:r>
          </w:p>
        </w:tc>
        <w:tc>
          <w:tcPr>
            <w:tcW w:w="1037" w:type="dxa"/>
            <w:tcBorders>
              <w:left w:val="nil"/>
              <w:right w:val="nil"/>
            </w:tcBorders>
          </w:tcPr>
          <w:p w14:paraId="0F8C0D7B" w14:textId="77777777" w:rsidR="00B662F0" w:rsidRPr="005A68E6" w:rsidRDefault="00B662F0" w:rsidP="0045017D">
            <w:pPr>
              <w:spacing w:line="240" w:lineRule="auto"/>
              <w:ind w:firstLine="6"/>
              <w:jc w:val="center"/>
              <w:rPr>
                <w:sz w:val="20"/>
                <w:szCs w:val="20"/>
                <w:lang w:val="en-US"/>
              </w:rPr>
            </w:pPr>
            <w:r w:rsidRPr="005A68E6">
              <w:rPr>
                <w:sz w:val="20"/>
                <w:szCs w:val="20"/>
                <w:lang w:val="en-US"/>
              </w:rPr>
              <w:t>0.0</w:t>
            </w:r>
          </w:p>
        </w:tc>
        <w:tc>
          <w:tcPr>
            <w:tcW w:w="1456" w:type="dxa"/>
            <w:tcBorders>
              <w:left w:val="nil"/>
              <w:right w:val="double" w:sz="4" w:space="0" w:color="auto"/>
            </w:tcBorders>
          </w:tcPr>
          <w:p w14:paraId="0AEDE8BA"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0.0 </w:t>
            </w:r>
          </w:p>
        </w:tc>
        <w:tc>
          <w:tcPr>
            <w:tcW w:w="1286" w:type="dxa"/>
            <w:tcBorders>
              <w:left w:val="double" w:sz="4" w:space="0" w:color="auto"/>
              <w:right w:val="nil"/>
            </w:tcBorders>
          </w:tcPr>
          <w:p w14:paraId="6405CE28"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0.0 </w:t>
            </w:r>
          </w:p>
        </w:tc>
        <w:tc>
          <w:tcPr>
            <w:tcW w:w="1080" w:type="dxa"/>
            <w:tcBorders>
              <w:left w:val="nil"/>
              <w:right w:val="nil"/>
            </w:tcBorders>
          </w:tcPr>
          <w:p w14:paraId="4DC2C346"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0.0 </w:t>
            </w:r>
          </w:p>
        </w:tc>
        <w:tc>
          <w:tcPr>
            <w:tcW w:w="1080" w:type="dxa"/>
            <w:tcBorders>
              <w:left w:val="nil"/>
              <w:right w:val="nil"/>
            </w:tcBorders>
          </w:tcPr>
          <w:p w14:paraId="43CA401A"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0.0 </w:t>
            </w:r>
          </w:p>
        </w:tc>
        <w:tc>
          <w:tcPr>
            <w:tcW w:w="1089" w:type="dxa"/>
            <w:tcBorders>
              <w:left w:val="nil"/>
              <w:right w:val="nil"/>
            </w:tcBorders>
          </w:tcPr>
          <w:p w14:paraId="4109FFF5"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0.0 </w:t>
            </w:r>
          </w:p>
        </w:tc>
      </w:tr>
      <w:tr w:rsidR="00B662F0" w:rsidRPr="005A68E6" w14:paraId="55A2FBE5" w14:textId="77777777" w:rsidTr="00581010">
        <w:trPr>
          <w:jc w:val="center"/>
        </w:trPr>
        <w:tc>
          <w:tcPr>
            <w:tcW w:w="1260" w:type="dxa"/>
            <w:tcBorders>
              <w:left w:val="nil"/>
              <w:bottom w:val="thickThinSmallGap" w:sz="24" w:space="0" w:color="auto"/>
              <w:right w:val="nil"/>
            </w:tcBorders>
          </w:tcPr>
          <w:p w14:paraId="0D179B36" w14:textId="77777777" w:rsidR="00B662F0" w:rsidRPr="005A68E6" w:rsidRDefault="00B662F0" w:rsidP="0070296A">
            <w:pPr>
              <w:spacing w:line="240" w:lineRule="auto"/>
              <w:ind w:firstLine="6"/>
              <w:jc w:val="center"/>
            </w:pPr>
            <w:r w:rsidRPr="005A68E6">
              <w:t>CNY</w:t>
            </w:r>
          </w:p>
        </w:tc>
        <w:tc>
          <w:tcPr>
            <w:tcW w:w="1037" w:type="dxa"/>
            <w:tcBorders>
              <w:left w:val="nil"/>
              <w:bottom w:val="thickThinSmallGap" w:sz="24" w:space="0" w:color="auto"/>
              <w:right w:val="nil"/>
            </w:tcBorders>
          </w:tcPr>
          <w:p w14:paraId="5DAA11D9" w14:textId="77777777" w:rsidR="00B662F0" w:rsidRPr="005A68E6" w:rsidRDefault="00B662F0" w:rsidP="0045017D">
            <w:pPr>
              <w:spacing w:line="240" w:lineRule="auto"/>
              <w:ind w:firstLine="6"/>
              <w:jc w:val="center"/>
              <w:rPr>
                <w:sz w:val="20"/>
                <w:szCs w:val="20"/>
                <w:lang w:val="en-US"/>
              </w:rPr>
            </w:pPr>
            <w:r w:rsidRPr="005A68E6">
              <w:rPr>
                <w:sz w:val="20"/>
                <w:szCs w:val="20"/>
                <w:lang w:val="en-US"/>
              </w:rPr>
              <w:t>0.3</w:t>
            </w:r>
          </w:p>
        </w:tc>
        <w:tc>
          <w:tcPr>
            <w:tcW w:w="1456" w:type="dxa"/>
            <w:tcBorders>
              <w:left w:val="nil"/>
              <w:bottom w:val="thickThinSmallGap" w:sz="24" w:space="0" w:color="auto"/>
              <w:right w:val="double" w:sz="4" w:space="0" w:color="auto"/>
            </w:tcBorders>
          </w:tcPr>
          <w:p w14:paraId="607BAA9D"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0.3 </w:t>
            </w:r>
          </w:p>
        </w:tc>
        <w:tc>
          <w:tcPr>
            <w:tcW w:w="1286" w:type="dxa"/>
            <w:tcBorders>
              <w:left w:val="double" w:sz="4" w:space="0" w:color="auto"/>
              <w:bottom w:val="thickThinSmallGap" w:sz="24" w:space="0" w:color="auto"/>
              <w:right w:val="nil"/>
            </w:tcBorders>
          </w:tcPr>
          <w:p w14:paraId="034D41C0"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0.3 </w:t>
            </w:r>
          </w:p>
        </w:tc>
        <w:tc>
          <w:tcPr>
            <w:tcW w:w="1080" w:type="dxa"/>
            <w:tcBorders>
              <w:left w:val="nil"/>
              <w:bottom w:val="thickThinSmallGap" w:sz="24" w:space="0" w:color="auto"/>
              <w:right w:val="nil"/>
            </w:tcBorders>
          </w:tcPr>
          <w:p w14:paraId="45E007C4"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0.2 </w:t>
            </w:r>
          </w:p>
        </w:tc>
        <w:tc>
          <w:tcPr>
            <w:tcW w:w="1080" w:type="dxa"/>
            <w:tcBorders>
              <w:left w:val="nil"/>
              <w:bottom w:val="thickThinSmallGap" w:sz="24" w:space="0" w:color="auto"/>
              <w:right w:val="nil"/>
            </w:tcBorders>
          </w:tcPr>
          <w:p w14:paraId="3E96B9B4"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0.2 </w:t>
            </w:r>
          </w:p>
        </w:tc>
        <w:tc>
          <w:tcPr>
            <w:tcW w:w="1089" w:type="dxa"/>
            <w:tcBorders>
              <w:left w:val="nil"/>
              <w:bottom w:val="thickThinSmallGap" w:sz="24" w:space="0" w:color="auto"/>
              <w:right w:val="nil"/>
            </w:tcBorders>
          </w:tcPr>
          <w:p w14:paraId="375F1485" w14:textId="77777777" w:rsidR="00B662F0" w:rsidRPr="005A68E6" w:rsidRDefault="00B662F0" w:rsidP="0045017D">
            <w:pPr>
              <w:spacing w:line="240" w:lineRule="auto"/>
              <w:ind w:firstLine="6"/>
              <w:jc w:val="center"/>
              <w:rPr>
                <w:color w:val="FF0000"/>
                <w:sz w:val="20"/>
                <w:szCs w:val="20"/>
              </w:rPr>
            </w:pPr>
            <w:r w:rsidRPr="005A68E6">
              <w:rPr>
                <w:sz w:val="20"/>
                <w:szCs w:val="20"/>
              </w:rPr>
              <w:t xml:space="preserve"> 0.2 </w:t>
            </w:r>
          </w:p>
        </w:tc>
      </w:tr>
    </w:tbl>
    <w:p w14:paraId="68A66844" w14:textId="57EFE7BD" w:rsidR="00025E2D" w:rsidRPr="005A68E6" w:rsidRDefault="006E5C64" w:rsidP="00581010">
      <w:pPr>
        <w:spacing w:before="120"/>
        <w:rPr>
          <w:sz w:val="16"/>
          <w:lang w:val="en-US"/>
        </w:rPr>
      </w:pPr>
      <w:r w:rsidRPr="005A68E6">
        <w:rPr>
          <w:sz w:val="16"/>
          <w:lang w:val="en-US"/>
        </w:rPr>
        <w:t>Source: RA MoF calculations and forecasts</w:t>
      </w:r>
    </w:p>
    <w:p w14:paraId="52FADE01" w14:textId="77777777" w:rsidR="006F4A30" w:rsidRPr="005A68E6" w:rsidRDefault="006F4A30" w:rsidP="00A1274B">
      <w:pPr>
        <w:rPr>
          <w:color w:val="FF0000"/>
        </w:rPr>
      </w:pPr>
    </w:p>
    <w:p w14:paraId="5A757BBB" w14:textId="44DA6367" w:rsidR="0024298B" w:rsidRPr="005A68E6" w:rsidRDefault="0024298B" w:rsidP="0024298B">
      <w:pPr>
        <w:rPr>
          <w:color w:val="000000"/>
          <w:lang w:val="en-US"/>
        </w:rPr>
      </w:pPr>
      <w:r w:rsidRPr="005A68E6">
        <w:rPr>
          <w:color w:val="000000"/>
        </w:rPr>
        <w:t xml:space="preserve">The SDR debt has </w:t>
      </w:r>
      <w:r w:rsidRPr="005A68E6">
        <w:t>substantial</w:t>
      </w:r>
      <w:r w:rsidRPr="005A68E6">
        <w:rPr>
          <w:color w:val="000000"/>
        </w:rPr>
        <w:t xml:space="preserve"> weight in the structure of </w:t>
      </w:r>
      <w:r w:rsidRPr="005A68E6">
        <w:rPr>
          <w:color w:val="000000"/>
          <w:lang w:val="en-US"/>
        </w:rPr>
        <w:t xml:space="preserve">the RA </w:t>
      </w:r>
      <w:r w:rsidRPr="005A68E6">
        <w:rPr>
          <w:color w:val="000000"/>
        </w:rPr>
        <w:t xml:space="preserve">Government foreign currency debt.  If SDR, which is composed of five currencies, is broken down </w:t>
      </w:r>
      <w:r w:rsidRPr="005A68E6">
        <w:rPr>
          <w:color w:val="000000"/>
          <w:lang w:val="en-US"/>
        </w:rPr>
        <w:t>by</w:t>
      </w:r>
      <w:r w:rsidRPr="005A68E6">
        <w:rPr>
          <w:color w:val="000000"/>
        </w:rPr>
        <w:t xml:space="preserve"> the shares of each currency in the basket - USD – 43.38%, EUR – 29.31%, GBP – 7.44%, JPY – 7.59% and CNY – 12.28%, then </w:t>
      </w:r>
      <w:r w:rsidRPr="005A68E6">
        <w:rPr>
          <w:color w:val="000000"/>
          <w:lang w:val="en-US"/>
        </w:rPr>
        <w:t xml:space="preserve">in </w:t>
      </w:r>
      <w:r w:rsidRPr="005A68E6">
        <w:rPr>
          <w:color w:val="000000"/>
        </w:rPr>
        <w:t xml:space="preserve">the RA Government foreign currency </w:t>
      </w:r>
      <w:r w:rsidRPr="005A68E6">
        <w:rPr>
          <w:color w:val="000000"/>
          <w:lang w:val="en-US"/>
        </w:rPr>
        <w:t xml:space="preserve">debt structure </w:t>
      </w:r>
      <w:r w:rsidR="002B6197" w:rsidRPr="005A68E6">
        <w:rPr>
          <w:color w:val="000000"/>
          <w:lang w:val="en-US"/>
        </w:rPr>
        <w:t xml:space="preserve">the share </w:t>
      </w:r>
      <w:r w:rsidRPr="005A68E6">
        <w:rPr>
          <w:color w:val="000000"/>
          <w:lang w:val="en-US"/>
        </w:rPr>
        <w:t xml:space="preserve">of the USD </w:t>
      </w:r>
      <w:r w:rsidR="002B6197" w:rsidRPr="005A68E6">
        <w:rPr>
          <w:color w:val="000000"/>
          <w:lang w:val="en-US"/>
        </w:rPr>
        <w:t xml:space="preserve">denominated </w:t>
      </w:r>
      <w:r w:rsidRPr="005A68E6">
        <w:rPr>
          <w:color w:val="000000"/>
          <w:lang w:val="en-US"/>
        </w:rPr>
        <w:t xml:space="preserve">debt will be 71.2% instead of 60.2% and </w:t>
      </w:r>
      <w:r w:rsidR="002B6197" w:rsidRPr="005A68E6">
        <w:rPr>
          <w:color w:val="000000"/>
          <w:lang w:val="en-US"/>
        </w:rPr>
        <w:lastRenderedPageBreak/>
        <w:t xml:space="preserve">the share </w:t>
      </w:r>
      <w:r w:rsidRPr="005A68E6">
        <w:rPr>
          <w:color w:val="000000"/>
          <w:lang w:val="en-US"/>
        </w:rPr>
        <w:t xml:space="preserve">of EUR </w:t>
      </w:r>
      <w:r w:rsidR="002B6197" w:rsidRPr="005A68E6">
        <w:rPr>
          <w:color w:val="000000"/>
          <w:lang w:val="en-US"/>
        </w:rPr>
        <w:t xml:space="preserve">denominated </w:t>
      </w:r>
      <w:r w:rsidRPr="005A68E6">
        <w:rPr>
          <w:color w:val="000000"/>
          <w:lang w:val="en-US"/>
        </w:rPr>
        <w:t>debt will increase from 12.3% to 19.8%</w:t>
      </w:r>
      <w:r w:rsidR="002B6197" w:rsidRPr="005A68E6">
        <w:rPr>
          <w:color w:val="000000"/>
          <w:lang w:val="en-US"/>
        </w:rPr>
        <w:t xml:space="preserve"> by the end of the medium</w:t>
      </w:r>
      <w:r w:rsidR="00DD4E38" w:rsidRPr="005A68E6">
        <w:rPr>
          <w:color w:val="000000"/>
          <w:lang w:val="en-US"/>
        </w:rPr>
        <w:t xml:space="preserve">-term </w:t>
      </w:r>
      <w:r w:rsidR="002B6197" w:rsidRPr="005A68E6">
        <w:rPr>
          <w:color w:val="000000"/>
          <w:lang w:val="en-US"/>
        </w:rPr>
        <w:t>period</w:t>
      </w:r>
      <w:r w:rsidRPr="005A68E6">
        <w:rPr>
          <w:color w:val="000000"/>
          <w:lang w:val="en-US"/>
        </w:rPr>
        <w:t>.</w:t>
      </w:r>
    </w:p>
    <w:p w14:paraId="68189F1B" w14:textId="77777777" w:rsidR="0024298B" w:rsidRPr="005A68E6" w:rsidRDefault="0024298B" w:rsidP="0024298B">
      <w:pPr>
        <w:rPr>
          <w:color w:val="FF0000"/>
        </w:rPr>
      </w:pPr>
    </w:p>
    <w:p w14:paraId="3AC92089" w14:textId="6A5DE759" w:rsidR="005E73BF" w:rsidRPr="005A68E6" w:rsidRDefault="005E73BF" w:rsidP="00C45A7F">
      <w:pPr>
        <w:pStyle w:val="af6"/>
        <w:numPr>
          <w:ilvl w:val="0"/>
          <w:numId w:val="35"/>
        </w:numPr>
        <w:spacing w:after="240"/>
        <w:ind w:left="1276" w:hanging="1276"/>
        <w:rPr>
          <w:rStyle w:val="Emphasis"/>
          <w:rFonts w:cs="Cambria"/>
          <w:i/>
          <w:szCs w:val="24"/>
        </w:rPr>
      </w:pPr>
      <w:r w:rsidRPr="005A68E6">
        <w:rPr>
          <w:rStyle w:val="Emphasis"/>
          <w:rFonts w:cs="Cambria"/>
          <w:i/>
          <w:szCs w:val="24"/>
        </w:rPr>
        <w:t xml:space="preserve">The structure of </w:t>
      </w:r>
      <w:r w:rsidR="004D6547" w:rsidRPr="005A68E6">
        <w:rPr>
          <w:rStyle w:val="Emphasis"/>
          <w:rFonts w:cs="Cambria"/>
          <w:i/>
          <w:szCs w:val="24"/>
          <w:lang w:val="en-US"/>
        </w:rPr>
        <w:t xml:space="preserve">the </w:t>
      </w:r>
      <w:r w:rsidRPr="005A68E6">
        <w:rPr>
          <w:rStyle w:val="Emphasis"/>
          <w:rFonts w:cs="Cambria"/>
          <w:i/>
          <w:szCs w:val="24"/>
        </w:rPr>
        <w:t>RA Government foreign currency debt for 2022-2025, as of the end of the year, with SDR breakdown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7"/>
        <w:gridCol w:w="1104"/>
        <w:gridCol w:w="1432"/>
        <w:gridCol w:w="1080"/>
        <w:gridCol w:w="1080"/>
        <w:gridCol w:w="1080"/>
        <w:gridCol w:w="1080"/>
      </w:tblGrid>
      <w:tr w:rsidR="005E73BF" w:rsidRPr="005A68E6" w14:paraId="0713F680" w14:textId="77777777" w:rsidTr="00581010">
        <w:trPr>
          <w:tblHeader/>
          <w:jc w:val="center"/>
        </w:trPr>
        <w:tc>
          <w:tcPr>
            <w:tcW w:w="1427" w:type="dxa"/>
            <w:tcBorders>
              <w:top w:val="thinThickThinSmallGap" w:sz="24" w:space="0" w:color="auto"/>
              <w:left w:val="nil"/>
              <w:bottom w:val="thinThickSmallGap" w:sz="24" w:space="0" w:color="auto"/>
              <w:right w:val="nil"/>
            </w:tcBorders>
            <w:shd w:val="clear" w:color="auto" w:fill="5B9BD5"/>
          </w:tcPr>
          <w:p w14:paraId="6EBCDF7C" w14:textId="77777777" w:rsidR="005E73BF" w:rsidRPr="005A68E6" w:rsidRDefault="005E73BF" w:rsidP="005E73BF">
            <w:pPr>
              <w:spacing w:line="240" w:lineRule="auto"/>
              <w:ind w:firstLine="39"/>
            </w:pPr>
          </w:p>
        </w:tc>
        <w:tc>
          <w:tcPr>
            <w:tcW w:w="1104" w:type="dxa"/>
            <w:tcBorders>
              <w:top w:val="thinThickThinSmallGap" w:sz="24" w:space="0" w:color="auto"/>
              <w:left w:val="nil"/>
              <w:bottom w:val="thinThickSmallGap" w:sz="24" w:space="0" w:color="auto"/>
              <w:right w:val="nil"/>
            </w:tcBorders>
            <w:shd w:val="clear" w:color="auto" w:fill="5B9BD5"/>
          </w:tcPr>
          <w:p w14:paraId="5ED69660" w14:textId="44A91969" w:rsidR="005E73BF" w:rsidRPr="005A68E6" w:rsidRDefault="005E73BF" w:rsidP="005E73BF">
            <w:pPr>
              <w:spacing w:line="240" w:lineRule="auto"/>
              <w:ind w:firstLine="39"/>
              <w:jc w:val="center"/>
            </w:pPr>
            <w:r w:rsidRPr="005A68E6">
              <w:t>202</w:t>
            </w:r>
            <w:r w:rsidRPr="005A68E6">
              <w:rPr>
                <w:lang w:val="en-US"/>
              </w:rPr>
              <w:t>2</w:t>
            </w:r>
            <w:r w:rsidRPr="005A68E6">
              <w:t xml:space="preserve"> </w:t>
            </w:r>
            <w:r w:rsidRPr="005A68E6">
              <w:rPr>
                <w:lang w:val="en-US"/>
              </w:rPr>
              <w:t>actual</w:t>
            </w:r>
          </w:p>
        </w:tc>
        <w:tc>
          <w:tcPr>
            <w:tcW w:w="1432" w:type="dxa"/>
            <w:tcBorders>
              <w:top w:val="thinThickThinSmallGap" w:sz="24" w:space="0" w:color="auto"/>
              <w:left w:val="nil"/>
              <w:bottom w:val="thinThickSmallGap" w:sz="24" w:space="0" w:color="auto"/>
              <w:right w:val="double" w:sz="4" w:space="0" w:color="auto"/>
            </w:tcBorders>
            <w:shd w:val="clear" w:color="auto" w:fill="5B9BD5"/>
            <w:vAlign w:val="center"/>
          </w:tcPr>
          <w:p w14:paraId="177113CD" w14:textId="77777777" w:rsidR="005E73BF" w:rsidRPr="005A68E6" w:rsidRDefault="005E73BF" w:rsidP="005E73BF">
            <w:pPr>
              <w:spacing w:line="240" w:lineRule="auto"/>
              <w:ind w:firstLine="20"/>
              <w:jc w:val="center"/>
            </w:pPr>
            <w:r w:rsidRPr="005A68E6">
              <w:t>2023</w:t>
            </w:r>
          </w:p>
          <w:p w14:paraId="6953C44D" w14:textId="4E8D6047" w:rsidR="005E73BF" w:rsidRPr="005A68E6" w:rsidRDefault="00DD4E38" w:rsidP="005E73BF">
            <w:pPr>
              <w:spacing w:line="240" w:lineRule="auto"/>
              <w:ind w:firstLine="39"/>
              <w:jc w:val="center"/>
            </w:pPr>
            <w:r w:rsidRPr="005A68E6">
              <w:rPr>
                <w:color w:val="000000"/>
                <w:lang w:val="en-US"/>
              </w:rPr>
              <w:t xml:space="preserve">State </w:t>
            </w:r>
            <w:r w:rsidR="005E73BF" w:rsidRPr="005A68E6">
              <w:rPr>
                <w:color w:val="000000"/>
              </w:rPr>
              <w:t>budget program</w:t>
            </w:r>
          </w:p>
        </w:tc>
        <w:tc>
          <w:tcPr>
            <w:tcW w:w="1080" w:type="dxa"/>
            <w:tcBorders>
              <w:top w:val="thinThickThinSmallGap" w:sz="24" w:space="0" w:color="auto"/>
              <w:left w:val="double" w:sz="4" w:space="0" w:color="auto"/>
              <w:bottom w:val="thinThickSmallGap" w:sz="24" w:space="0" w:color="auto"/>
              <w:right w:val="nil"/>
            </w:tcBorders>
            <w:shd w:val="clear" w:color="auto" w:fill="5B9BD5"/>
            <w:vAlign w:val="center"/>
          </w:tcPr>
          <w:p w14:paraId="5E293390" w14:textId="24915DE3" w:rsidR="005E73BF" w:rsidRPr="005A68E6" w:rsidRDefault="005E73BF" w:rsidP="005E73BF">
            <w:pPr>
              <w:spacing w:line="240" w:lineRule="auto"/>
              <w:ind w:firstLine="39"/>
              <w:jc w:val="center"/>
            </w:pPr>
            <w:r w:rsidRPr="005A68E6">
              <w:t xml:space="preserve">2023 </w:t>
            </w:r>
            <w:r w:rsidRPr="005A68E6">
              <w:rPr>
                <w:lang w:val="en-US"/>
              </w:rPr>
              <w:t>forecast</w:t>
            </w:r>
          </w:p>
        </w:tc>
        <w:tc>
          <w:tcPr>
            <w:tcW w:w="1080" w:type="dxa"/>
            <w:tcBorders>
              <w:top w:val="thinThickThinSmallGap" w:sz="24" w:space="0" w:color="auto"/>
              <w:left w:val="nil"/>
              <w:bottom w:val="thinThickSmallGap" w:sz="24" w:space="0" w:color="auto"/>
              <w:right w:val="nil"/>
            </w:tcBorders>
            <w:shd w:val="clear" w:color="auto" w:fill="5B9BD5"/>
            <w:vAlign w:val="center"/>
          </w:tcPr>
          <w:p w14:paraId="789B0E54" w14:textId="57185876" w:rsidR="005E73BF" w:rsidRPr="005A68E6" w:rsidRDefault="005E73BF" w:rsidP="005E73BF">
            <w:pPr>
              <w:spacing w:line="240" w:lineRule="auto"/>
              <w:ind w:firstLine="39"/>
              <w:jc w:val="center"/>
            </w:pPr>
            <w:r w:rsidRPr="005A68E6">
              <w:t xml:space="preserve">2024 </w:t>
            </w:r>
            <w:r w:rsidRPr="005A68E6">
              <w:rPr>
                <w:lang w:val="en-US"/>
              </w:rPr>
              <w:t>forecast</w:t>
            </w:r>
          </w:p>
        </w:tc>
        <w:tc>
          <w:tcPr>
            <w:tcW w:w="1080" w:type="dxa"/>
            <w:tcBorders>
              <w:top w:val="thinThickThinSmallGap" w:sz="24" w:space="0" w:color="auto"/>
              <w:left w:val="nil"/>
              <w:bottom w:val="thinThickSmallGap" w:sz="24" w:space="0" w:color="auto"/>
              <w:right w:val="nil"/>
            </w:tcBorders>
            <w:shd w:val="clear" w:color="auto" w:fill="5B9BD5"/>
            <w:vAlign w:val="center"/>
          </w:tcPr>
          <w:p w14:paraId="5C2AE7D5" w14:textId="0102EBBD" w:rsidR="005E73BF" w:rsidRPr="005A68E6" w:rsidRDefault="005E73BF" w:rsidP="005E73BF">
            <w:pPr>
              <w:spacing w:line="240" w:lineRule="auto"/>
              <w:ind w:firstLine="39"/>
              <w:jc w:val="center"/>
            </w:pPr>
            <w:r w:rsidRPr="005A68E6">
              <w:t xml:space="preserve">2025 </w:t>
            </w:r>
            <w:r w:rsidRPr="005A68E6">
              <w:rPr>
                <w:lang w:val="en-US"/>
              </w:rPr>
              <w:t>forecast</w:t>
            </w:r>
          </w:p>
        </w:tc>
        <w:tc>
          <w:tcPr>
            <w:tcW w:w="1080" w:type="dxa"/>
            <w:tcBorders>
              <w:top w:val="thinThickThinSmallGap" w:sz="24" w:space="0" w:color="auto"/>
              <w:left w:val="nil"/>
              <w:bottom w:val="thinThickSmallGap" w:sz="24" w:space="0" w:color="auto"/>
              <w:right w:val="nil"/>
            </w:tcBorders>
            <w:shd w:val="clear" w:color="auto" w:fill="5B9BD5"/>
            <w:vAlign w:val="center"/>
          </w:tcPr>
          <w:p w14:paraId="03E5199B" w14:textId="5927F00F" w:rsidR="005E73BF" w:rsidRPr="005A68E6" w:rsidRDefault="005E73BF" w:rsidP="005E73BF">
            <w:pPr>
              <w:spacing w:line="240" w:lineRule="auto"/>
              <w:ind w:firstLine="39"/>
              <w:jc w:val="center"/>
            </w:pPr>
            <w:r w:rsidRPr="005A68E6">
              <w:t xml:space="preserve">2026 </w:t>
            </w:r>
            <w:r w:rsidRPr="005A68E6">
              <w:rPr>
                <w:lang w:val="en-US"/>
              </w:rPr>
              <w:t>forecast</w:t>
            </w:r>
          </w:p>
        </w:tc>
      </w:tr>
      <w:tr w:rsidR="00B662F0" w:rsidRPr="005A68E6" w14:paraId="7757E5FD" w14:textId="77777777" w:rsidTr="00581010">
        <w:trPr>
          <w:jc w:val="center"/>
        </w:trPr>
        <w:tc>
          <w:tcPr>
            <w:tcW w:w="1427" w:type="dxa"/>
            <w:tcBorders>
              <w:top w:val="thinThickSmallGap" w:sz="24" w:space="0" w:color="auto"/>
              <w:left w:val="nil"/>
              <w:right w:val="nil"/>
            </w:tcBorders>
            <w:vAlign w:val="center"/>
          </w:tcPr>
          <w:p w14:paraId="23E43FE7" w14:textId="77777777" w:rsidR="00B662F0" w:rsidRPr="005A68E6" w:rsidRDefault="00B662F0" w:rsidP="00127E94">
            <w:pPr>
              <w:spacing w:line="240" w:lineRule="auto"/>
              <w:ind w:firstLine="39"/>
              <w:jc w:val="center"/>
            </w:pPr>
            <w:r w:rsidRPr="005A68E6">
              <w:t>USD</w:t>
            </w:r>
          </w:p>
        </w:tc>
        <w:tc>
          <w:tcPr>
            <w:tcW w:w="1104" w:type="dxa"/>
            <w:tcBorders>
              <w:top w:val="thinThickSmallGap" w:sz="24" w:space="0" w:color="auto"/>
              <w:left w:val="nil"/>
              <w:right w:val="nil"/>
            </w:tcBorders>
          </w:tcPr>
          <w:p w14:paraId="06744BA0" w14:textId="77777777" w:rsidR="00B662F0" w:rsidRPr="005A68E6" w:rsidRDefault="00B662F0" w:rsidP="00127E94">
            <w:pPr>
              <w:spacing w:line="240" w:lineRule="auto"/>
              <w:ind w:firstLine="39"/>
              <w:jc w:val="center"/>
              <w:rPr>
                <w:sz w:val="20"/>
                <w:szCs w:val="20"/>
                <w:lang w:val="en-US"/>
              </w:rPr>
            </w:pPr>
            <w:r w:rsidRPr="005A68E6">
              <w:rPr>
                <w:sz w:val="20"/>
                <w:szCs w:val="20"/>
                <w:lang w:val="en-US"/>
              </w:rPr>
              <w:t>69.6</w:t>
            </w:r>
          </w:p>
        </w:tc>
        <w:tc>
          <w:tcPr>
            <w:tcW w:w="1432" w:type="dxa"/>
            <w:tcBorders>
              <w:top w:val="thinThickSmallGap" w:sz="24" w:space="0" w:color="auto"/>
              <w:left w:val="nil"/>
              <w:right w:val="double" w:sz="4" w:space="0" w:color="auto"/>
            </w:tcBorders>
          </w:tcPr>
          <w:p w14:paraId="3685F046" w14:textId="77777777" w:rsidR="00B662F0" w:rsidRPr="005A68E6" w:rsidRDefault="00B662F0" w:rsidP="00127E94">
            <w:pPr>
              <w:spacing w:line="240" w:lineRule="auto"/>
              <w:ind w:firstLine="39"/>
              <w:jc w:val="center"/>
              <w:rPr>
                <w:sz w:val="20"/>
                <w:szCs w:val="20"/>
              </w:rPr>
            </w:pPr>
            <w:r w:rsidRPr="005A68E6">
              <w:rPr>
                <w:sz w:val="20"/>
                <w:szCs w:val="20"/>
              </w:rPr>
              <w:t xml:space="preserve"> 68.2 </w:t>
            </w:r>
          </w:p>
        </w:tc>
        <w:tc>
          <w:tcPr>
            <w:tcW w:w="1080" w:type="dxa"/>
            <w:tcBorders>
              <w:top w:val="thinThickSmallGap" w:sz="24" w:space="0" w:color="auto"/>
              <w:left w:val="double" w:sz="4" w:space="0" w:color="auto"/>
              <w:right w:val="nil"/>
            </w:tcBorders>
          </w:tcPr>
          <w:p w14:paraId="4B5F7B48" w14:textId="77777777" w:rsidR="00B662F0" w:rsidRPr="005A68E6" w:rsidRDefault="00B662F0" w:rsidP="00127E94">
            <w:pPr>
              <w:spacing w:line="240" w:lineRule="auto"/>
              <w:ind w:firstLine="39"/>
              <w:jc w:val="center"/>
              <w:rPr>
                <w:sz w:val="20"/>
                <w:szCs w:val="20"/>
              </w:rPr>
            </w:pPr>
            <w:r w:rsidRPr="005A68E6">
              <w:rPr>
                <w:sz w:val="20"/>
                <w:szCs w:val="20"/>
              </w:rPr>
              <w:t xml:space="preserve"> 65.8 </w:t>
            </w:r>
          </w:p>
        </w:tc>
        <w:tc>
          <w:tcPr>
            <w:tcW w:w="1080" w:type="dxa"/>
            <w:tcBorders>
              <w:top w:val="thinThickSmallGap" w:sz="24" w:space="0" w:color="auto"/>
              <w:left w:val="nil"/>
              <w:right w:val="nil"/>
            </w:tcBorders>
          </w:tcPr>
          <w:p w14:paraId="2909486F" w14:textId="77777777" w:rsidR="00B662F0" w:rsidRPr="005A68E6" w:rsidRDefault="00B662F0" w:rsidP="00127E94">
            <w:pPr>
              <w:spacing w:line="240" w:lineRule="auto"/>
              <w:ind w:firstLine="39"/>
              <w:jc w:val="center"/>
              <w:rPr>
                <w:sz w:val="20"/>
                <w:szCs w:val="20"/>
              </w:rPr>
            </w:pPr>
            <w:r w:rsidRPr="005A68E6">
              <w:rPr>
                <w:sz w:val="20"/>
                <w:szCs w:val="20"/>
              </w:rPr>
              <w:t xml:space="preserve"> 69.3 </w:t>
            </w:r>
          </w:p>
        </w:tc>
        <w:tc>
          <w:tcPr>
            <w:tcW w:w="1080" w:type="dxa"/>
            <w:tcBorders>
              <w:top w:val="thinThickSmallGap" w:sz="24" w:space="0" w:color="auto"/>
              <w:left w:val="nil"/>
              <w:right w:val="nil"/>
            </w:tcBorders>
          </w:tcPr>
          <w:p w14:paraId="642C848B" w14:textId="77777777" w:rsidR="00B662F0" w:rsidRPr="005A68E6" w:rsidRDefault="00B662F0" w:rsidP="00127E94">
            <w:pPr>
              <w:spacing w:line="240" w:lineRule="auto"/>
              <w:ind w:firstLine="39"/>
              <w:jc w:val="center"/>
              <w:rPr>
                <w:sz w:val="20"/>
                <w:szCs w:val="20"/>
              </w:rPr>
            </w:pPr>
            <w:r w:rsidRPr="005A68E6">
              <w:rPr>
                <w:sz w:val="20"/>
                <w:szCs w:val="20"/>
              </w:rPr>
              <w:t xml:space="preserve"> 71.2 </w:t>
            </w:r>
          </w:p>
        </w:tc>
        <w:tc>
          <w:tcPr>
            <w:tcW w:w="1080" w:type="dxa"/>
            <w:tcBorders>
              <w:top w:val="thinThickSmallGap" w:sz="24" w:space="0" w:color="auto"/>
              <w:left w:val="nil"/>
              <w:right w:val="nil"/>
            </w:tcBorders>
          </w:tcPr>
          <w:p w14:paraId="1AE5A782" w14:textId="77777777" w:rsidR="00B662F0" w:rsidRPr="005A68E6" w:rsidRDefault="00B662F0" w:rsidP="00127E94">
            <w:pPr>
              <w:spacing w:line="240" w:lineRule="auto"/>
              <w:ind w:firstLine="39"/>
              <w:jc w:val="center"/>
              <w:rPr>
                <w:sz w:val="20"/>
                <w:szCs w:val="20"/>
              </w:rPr>
            </w:pPr>
            <w:r w:rsidRPr="005A68E6">
              <w:rPr>
                <w:sz w:val="20"/>
                <w:szCs w:val="20"/>
              </w:rPr>
              <w:t xml:space="preserve"> 71.2 </w:t>
            </w:r>
          </w:p>
        </w:tc>
      </w:tr>
      <w:tr w:rsidR="00B662F0" w:rsidRPr="005A68E6" w14:paraId="22C1434E" w14:textId="77777777" w:rsidTr="00581010">
        <w:trPr>
          <w:jc w:val="center"/>
        </w:trPr>
        <w:tc>
          <w:tcPr>
            <w:tcW w:w="1427" w:type="dxa"/>
            <w:tcBorders>
              <w:left w:val="nil"/>
              <w:right w:val="nil"/>
            </w:tcBorders>
            <w:vAlign w:val="center"/>
          </w:tcPr>
          <w:p w14:paraId="021F0ADB" w14:textId="77777777" w:rsidR="00B662F0" w:rsidRPr="005A68E6" w:rsidRDefault="00B662F0" w:rsidP="00127E94">
            <w:pPr>
              <w:spacing w:line="240" w:lineRule="auto"/>
              <w:ind w:firstLine="39"/>
              <w:jc w:val="center"/>
            </w:pPr>
            <w:r w:rsidRPr="005A68E6">
              <w:t>EUR</w:t>
            </w:r>
          </w:p>
        </w:tc>
        <w:tc>
          <w:tcPr>
            <w:tcW w:w="1104" w:type="dxa"/>
            <w:tcBorders>
              <w:left w:val="nil"/>
              <w:right w:val="nil"/>
            </w:tcBorders>
          </w:tcPr>
          <w:p w14:paraId="7BF0356B" w14:textId="77777777" w:rsidR="00B662F0" w:rsidRPr="005A68E6" w:rsidRDefault="00B662F0" w:rsidP="00127E94">
            <w:pPr>
              <w:spacing w:line="240" w:lineRule="auto"/>
              <w:ind w:firstLine="39"/>
              <w:jc w:val="center"/>
              <w:rPr>
                <w:sz w:val="20"/>
                <w:szCs w:val="20"/>
                <w:lang w:val="en-US"/>
              </w:rPr>
            </w:pPr>
            <w:r w:rsidRPr="005A68E6">
              <w:rPr>
                <w:sz w:val="20"/>
                <w:szCs w:val="20"/>
                <w:lang w:val="en-US"/>
              </w:rPr>
              <w:t>20.9</w:t>
            </w:r>
          </w:p>
        </w:tc>
        <w:tc>
          <w:tcPr>
            <w:tcW w:w="1432" w:type="dxa"/>
            <w:tcBorders>
              <w:left w:val="nil"/>
              <w:right w:val="double" w:sz="4" w:space="0" w:color="auto"/>
            </w:tcBorders>
          </w:tcPr>
          <w:p w14:paraId="493E3D1D" w14:textId="77777777" w:rsidR="00B662F0" w:rsidRPr="005A68E6" w:rsidRDefault="00B662F0" w:rsidP="00127E94">
            <w:pPr>
              <w:spacing w:line="240" w:lineRule="auto"/>
              <w:ind w:firstLine="39"/>
              <w:jc w:val="center"/>
              <w:rPr>
                <w:sz w:val="20"/>
                <w:szCs w:val="20"/>
              </w:rPr>
            </w:pPr>
            <w:r w:rsidRPr="005A68E6">
              <w:rPr>
                <w:sz w:val="20"/>
                <w:szCs w:val="20"/>
              </w:rPr>
              <w:t xml:space="preserve"> 25.1 </w:t>
            </w:r>
          </w:p>
        </w:tc>
        <w:tc>
          <w:tcPr>
            <w:tcW w:w="1080" w:type="dxa"/>
            <w:tcBorders>
              <w:left w:val="double" w:sz="4" w:space="0" w:color="auto"/>
              <w:right w:val="nil"/>
            </w:tcBorders>
          </w:tcPr>
          <w:p w14:paraId="73BB5A06" w14:textId="77777777" w:rsidR="00B662F0" w:rsidRPr="005A68E6" w:rsidRDefault="00B662F0" w:rsidP="00127E94">
            <w:pPr>
              <w:spacing w:line="240" w:lineRule="auto"/>
              <w:ind w:firstLine="39"/>
              <w:jc w:val="center"/>
              <w:rPr>
                <w:sz w:val="20"/>
                <w:szCs w:val="20"/>
              </w:rPr>
            </w:pPr>
            <w:r w:rsidRPr="005A68E6">
              <w:rPr>
                <w:sz w:val="20"/>
                <w:szCs w:val="20"/>
              </w:rPr>
              <w:t xml:space="preserve"> 26.6 </w:t>
            </w:r>
          </w:p>
        </w:tc>
        <w:tc>
          <w:tcPr>
            <w:tcW w:w="1080" w:type="dxa"/>
            <w:tcBorders>
              <w:left w:val="nil"/>
              <w:right w:val="nil"/>
            </w:tcBorders>
          </w:tcPr>
          <w:p w14:paraId="757985DF" w14:textId="77777777" w:rsidR="00B662F0" w:rsidRPr="005A68E6" w:rsidRDefault="00B662F0" w:rsidP="00127E94">
            <w:pPr>
              <w:spacing w:line="240" w:lineRule="auto"/>
              <w:ind w:firstLine="39"/>
              <w:jc w:val="center"/>
              <w:rPr>
                <w:sz w:val="20"/>
                <w:szCs w:val="20"/>
              </w:rPr>
            </w:pPr>
            <w:r w:rsidRPr="005A68E6">
              <w:rPr>
                <w:sz w:val="20"/>
                <w:szCs w:val="20"/>
              </w:rPr>
              <w:t xml:space="preserve"> 22.9 </w:t>
            </w:r>
          </w:p>
        </w:tc>
        <w:tc>
          <w:tcPr>
            <w:tcW w:w="1080" w:type="dxa"/>
            <w:tcBorders>
              <w:left w:val="nil"/>
              <w:right w:val="nil"/>
            </w:tcBorders>
          </w:tcPr>
          <w:p w14:paraId="5211B937" w14:textId="77777777" w:rsidR="00B662F0" w:rsidRPr="005A68E6" w:rsidRDefault="00B662F0" w:rsidP="00127E94">
            <w:pPr>
              <w:spacing w:line="240" w:lineRule="auto"/>
              <w:ind w:firstLine="39"/>
              <w:jc w:val="center"/>
              <w:rPr>
                <w:sz w:val="20"/>
                <w:szCs w:val="20"/>
              </w:rPr>
            </w:pPr>
            <w:r w:rsidRPr="005A68E6">
              <w:rPr>
                <w:sz w:val="20"/>
                <w:szCs w:val="20"/>
              </w:rPr>
              <w:t xml:space="preserve"> 20.4 </w:t>
            </w:r>
          </w:p>
        </w:tc>
        <w:tc>
          <w:tcPr>
            <w:tcW w:w="1080" w:type="dxa"/>
            <w:tcBorders>
              <w:left w:val="nil"/>
              <w:right w:val="nil"/>
            </w:tcBorders>
          </w:tcPr>
          <w:p w14:paraId="0CFB60E7" w14:textId="77777777" w:rsidR="00B662F0" w:rsidRPr="005A68E6" w:rsidRDefault="00B662F0" w:rsidP="00127E94">
            <w:pPr>
              <w:spacing w:line="240" w:lineRule="auto"/>
              <w:ind w:firstLine="39"/>
              <w:jc w:val="center"/>
              <w:rPr>
                <w:sz w:val="20"/>
                <w:szCs w:val="20"/>
              </w:rPr>
            </w:pPr>
            <w:r w:rsidRPr="005A68E6">
              <w:rPr>
                <w:sz w:val="20"/>
                <w:szCs w:val="20"/>
              </w:rPr>
              <w:t xml:space="preserve"> 19.8 </w:t>
            </w:r>
          </w:p>
        </w:tc>
      </w:tr>
      <w:tr w:rsidR="00B662F0" w:rsidRPr="005A68E6" w14:paraId="77A83707" w14:textId="77777777" w:rsidTr="00581010">
        <w:trPr>
          <w:jc w:val="center"/>
        </w:trPr>
        <w:tc>
          <w:tcPr>
            <w:tcW w:w="1427" w:type="dxa"/>
            <w:tcBorders>
              <w:left w:val="nil"/>
              <w:right w:val="nil"/>
            </w:tcBorders>
            <w:vAlign w:val="center"/>
          </w:tcPr>
          <w:p w14:paraId="6B3FC274" w14:textId="77777777" w:rsidR="00B662F0" w:rsidRPr="005A68E6" w:rsidRDefault="00B662F0" w:rsidP="00127E94">
            <w:pPr>
              <w:spacing w:line="240" w:lineRule="auto"/>
              <w:ind w:firstLine="39"/>
              <w:jc w:val="center"/>
            </w:pPr>
            <w:r w:rsidRPr="005A68E6">
              <w:t>GBP</w:t>
            </w:r>
          </w:p>
        </w:tc>
        <w:tc>
          <w:tcPr>
            <w:tcW w:w="1104" w:type="dxa"/>
            <w:tcBorders>
              <w:left w:val="nil"/>
              <w:right w:val="nil"/>
            </w:tcBorders>
          </w:tcPr>
          <w:p w14:paraId="0813C20C" w14:textId="77777777" w:rsidR="00B662F0" w:rsidRPr="005A68E6" w:rsidRDefault="00B662F0" w:rsidP="00127E94">
            <w:pPr>
              <w:spacing w:line="240" w:lineRule="auto"/>
              <w:ind w:firstLine="39"/>
              <w:jc w:val="center"/>
              <w:rPr>
                <w:sz w:val="20"/>
                <w:szCs w:val="20"/>
                <w:lang w:val="en-US"/>
              </w:rPr>
            </w:pPr>
            <w:r w:rsidRPr="005A68E6">
              <w:rPr>
                <w:sz w:val="20"/>
                <w:szCs w:val="20"/>
                <w:lang w:val="en-US"/>
              </w:rPr>
              <w:t>1.8</w:t>
            </w:r>
          </w:p>
        </w:tc>
        <w:tc>
          <w:tcPr>
            <w:tcW w:w="1432" w:type="dxa"/>
            <w:tcBorders>
              <w:left w:val="nil"/>
              <w:right w:val="double" w:sz="4" w:space="0" w:color="auto"/>
            </w:tcBorders>
          </w:tcPr>
          <w:p w14:paraId="7907FB08" w14:textId="77777777" w:rsidR="00B662F0" w:rsidRPr="005A68E6" w:rsidRDefault="00B662F0" w:rsidP="00127E94">
            <w:pPr>
              <w:spacing w:line="240" w:lineRule="auto"/>
              <w:ind w:firstLine="39"/>
              <w:jc w:val="center"/>
              <w:rPr>
                <w:sz w:val="20"/>
                <w:szCs w:val="20"/>
              </w:rPr>
            </w:pPr>
            <w:r w:rsidRPr="005A68E6">
              <w:rPr>
                <w:sz w:val="20"/>
                <w:szCs w:val="20"/>
              </w:rPr>
              <w:t xml:space="preserve"> 1.2 </w:t>
            </w:r>
          </w:p>
        </w:tc>
        <w:tc>
          <w:tcPr>
            <w:tcW w:w="1080" w:type="dxa"/>
            <w:tcBorders>
              <w:left w:val="double" w:sz="4" w:space="0" w:color="auto"/>
              <w:right w:val="nil"/>
            </w:tcBorders>
          </w:tcPr>
          <w:p w14:paraId="42365658" w14:textId="77777777" w:rsidR="00B662F0" w:rsidRPr="005A68E6" w:rsidRDefault="00B662F0" w:rsidP="00127E94">
            <w:pPr>
              <w:spacing w:line="240" w:lineRule="auto"/>
              <w:ind w:firstLine="39"/>
              <w:jc w:val="center"/>
              <w:rPr>
                <w:sz w:val="20"/>
                <w:szCs w:val="20"/>
              </w:rPr>
            </w:pPr>
            <w:r w:rsidRPr="005A68E6">
              <w:rPr>
                <w:sz w:val="20"/>
                <w:szCs w:val="20"/>
              </w:rPr>
              <w:t xml:space="preserve"> 1.3 </w:t>
            </w:r>
          </w:p>
        </w:tc>
        <w:tc>
          <w:tcPr>
            <w:tcW w:w="1080" w:type="dxa"/>
            <w:tcBorders>
              <w:left w:val="nil"/>
              <w:right w:val="nil"/>
            </w:tcBorders>
          </w:tcPr>
          <w:p w14:paraId="399B524C" w14:textId="77777777" w:rsidR="00B662F0" w:rsidRPr="005A68E6" w:rsidRDefault="00B662F0" w:rsidP="00127E94">
            <w:pPr>
              <w:spacing w:line="240" w:lineRule="auto"/>
              <w:ind w:firstLine="39"/>
              <w:jc w:val="center"/>
              <w:rPr>
                <w:sz w:val="20"/>
                <w:szCs w:val="20"/>
              </w:rPr>
            </w:pPr>
            <w:r w:rsidRPr="005A68E6">
              <w:rPr>
                <w:sz w:val="20"/>
                <w:szCs w:val="20"/>
              </w:rPr>
              <w:t xml:space="preserve"> 1.5 </w:t>
            </w:r>
          </w:p>
        </w:tc>
        <w:tc>
          <w:tcPr>
            <w:tcW w:w="1080" w:type="dxa"/>
            <w:tcBorders>
              <w:left w:val="nil"/>
              <w:right w:val="nil"/>
            </w:tcBorders>
          </w:tcPr>
          <w:p w14:paraId="16B10FC5" w14:textId="77777777" w:rsidR="00B662F0" w:rsidRPr="005A68E6" w:rsidRDefault="00B662F0" w:rsidP="00127E94">
            <w:pPr>
              <w:spacing w:line="240" w:lineRule="auto"/>
              <w:ind w:firstLine="39"/>
              <w:jc w:val="center"/>
              <w:rPr>
                <w:sz w:val="20"/>
                <w:szCs w:val="20"/>
              </w:rPr>
            </w:pPr>
            <w:r w:rsidRPr="005A68E6">
              <w:rPr>
                <w:sz w:val="20"/>
                <w:szCs w:val="20"/>
              </w:rPr>
              <w:t xml:space="preserve"> 1.7 </w:t>
            </w:r>
          </w:p>
        </w:tc>
        <w:tc>
          <w:tcPr>
            <w:tcW w:w="1080" w:type="dxa"/>
            <w:tcBorders>
              <w:left w:val="nil"/>
              <w:right w:val="nil"/>
            </w:tcBorders>
          </w:tcPr>
          <w:p w14:paraId="21B6AA19" w14:textId="77777777" w:rsidR="00B662F0" w:rsidRPr="005A68E6" w:rsidRDefault="00B662F0" w:rsidP="00127E94">
            <w:pPr>
              <w:spacing w:line="240" w:lineRule="auto"/>
              <w:ind w:firstLine="39"/>
              <w:jc w:val="center"/>
              <w:rPr>
                <w:sz w:val="20"/>
                <w:szCs w:val="20"/>
              </w:rPr>
            </w:pPr>
            <w:r w:rsidRPr="005A68E6">
              <w:rPr>
                <w:sz w:val="20"/>
                <w:szCs w:val="20"/>
              </w:rPr>
              <w:t xml:space="preserve"> 1.9 </w:t>
            </w:r>
          </w:p>
        </w:tc>
      </w:tr>
      <w:tr w:rsidR="00B662F0" w:rsidRPr="005A68E6" w14:paraId="50F1D9D7" w14:textId="77777777" w:rsidTr="00581010">
        <w:trPr>
          <w:jc w:val="center"/>
        </w:trPr>
        <w:tc>
          <w:tcPr>
            <w:tcW w:w="1427" w:type="dxa"/>
            <w:tcBorders>
              <w:left w:val="nil"/>
              <w:right w:val="nil"/>
            </w:tcBorders>
            <w:vAlign w:val="center"/>
          </w:tcPr>
          <w:p w14:paraId="0B53FF5B" w14:textId="77777777" w:rsidR="00B662F0" w:rsidRPr="005A68E6" w:rsidRDefault="00B662F0" w:rsidP="00127E94">
            <w:pPr>
              <w:spacing w:line="240" w:lineRule="auto"/>
              <w:ind w:firstLine="39"/>
              <w:jc w:val="center"/>
            </w:pPr>
            <w:r w:rsidRPr="005A68E6">
              <w:t>JPY</w:t>
            </w:r>
          </w:p>
        </w:tc>
        <w:tc>
          <w:tcPr>
            <w:tcW w:w="1104" w:type="dxa"/>
            <w:tcBorders>
              <w:left w:val="nil"/>
              <w:right w:val="nil"/>
            </w:tcBorders>
          </w:tcPr>
          <w:p w14:paraId="30780A9F" w14:textId="77777777" w:rsidR="00B662F0" w:rsidRPr="005A68E6" w:rsidRDefault="00B662F0" w:rsidP="00127E94">
            <w:pPr>
              <w:spacing w:line="240" w:lineRule="auto"/>
              <w:ind w:firstLine="39"/>
              <w:jc w:val="center"/>
              <w:rPr>
                <w:sz w:val="20"/>
                <w:szCs w:val="20"/>
                <w:lang w:val="en-US"/>
              </w:rPr>
            </w:pPr>
            <w:r w:rsidRPr="005A68E6">
              <w:rPr>
                <w:sz w:val="20"/>
                <w:szCs w:val="20"/>
                <w:lang w:val="en-US"/>
              </w:rPr>
              <w:t>4.4</w:t>
            </w:r>
          </w:p>
        </w:tc>
        <w:tc>
          <w:tcPr>
            <w:tcW w:w="1432" w:type="dxa"/>
            <w:tcBorders>
              <w:left w:val="nil"/>
              <w:right w:val="double" w:sz="4" w:space="0" w:color="auto"/>
            </w:tcBorders>
          </w:tcPr>
          <w:p w14:paraId="083C30F5" w14:textId="77777777" w:rsidR="00B662F0" w:rsidRPr="005A68E6" w:rsidRDefault="00B662F0" w:rsidP="00127E94">
            <w:pPr>
              <w:spacing w:line="240" w:lineRule="auto"/>
              <w:ind w:firstLine="39"/>
              <w:jc w:val="center"/>
              <w:rPr>
                <w:sz w:val="20"/>
                <w:szCs w:val="20"/>
              </w:rPr>
            </w:pPr>
            <w:r w:rsidRPr="005A68E6">
              <w:rPr>
                <w:sz w:val="20"/>
                <w:szCs w:val="20"/>
              </w:rPr>
              <w:t xml:space="preserve"> 3.3 </w:t>
            </w:r>
          </w:p>
        </w:tc>
        <w:tc>
          <w:tcPr>
            <w:tcW w:w="1080" w:type="dxa"/>
            <w:tcBorders>
              <w:left w:val="double" w:sz="4" w:space="0" w:color="auto"/>
              <w:right w:val="nil"/>
            </w:tcBorders>
          </w:tcPr>
          <w:p w14:paraId="082EED84" w14:textId="77777777" w:rsidR="00B662F0" w:rsidRPr="005A68E6" w:rsidRDefault="00B662F0" w:rsidP="00127E94">
            <w:pPr>
              <w:spacing w:line="240" w:lineRule="auto"/>
              <w:ind w:firstLine="39"/>
              <w:jc w:val="center"/>
              <w:rPr>
                <w:sz w:val="20"/>
                <w:szCs w:val="20"/>
              </w:rPr>
            </w:pPr>
            <w:r w:rsidRPr="005A68E6">
              <w:rPr>
                <w:sz w:val="20"/>
                <w:szCs w:val="20"/>
              </w:rPr>
              <w:t xml:space="preserve"> 3.7 </w:t>
            </w:r>
          </w:p>
        </w:tc>
        <w:tc>
          <w:tcPr>
            <w:tcW w:w="1080" w:type="dxa"/>
            <w:tcBorders>
              <w:left w:val="nil"/>
              <w:right w:val="nil"/>
            </w:tcBorders>
          </w:tcPr>
          <w:p w14:paraId="0B5A9183" w14:textId="77777777" w:rsidR="00B662F0" w:rsidRPr="005A68E6" w:rsidRDefault="00B662F0" w:rsidP="00127E94">
            <w:pPr>
              <w:spacing w:line="240" w:lineRule="auto"/>
              <w:ind w:firstLine="39"/>
              <w:jc w:val="center"/>
              <w:rPr>
                <w:sz w:val="20"/>
                <w:szCs w:val="20"/>
              </w:rPr>
            </w:pPr>
            <w:r w:rsidRPr="005A68E6">
              <w:rPr>
                <w:sz w:val="20"/>
                <w:szCs w:val="20"/>
              </w:rPr>
              <w:t xml:space="preserve"> 3.7 </w:t>
            </w:r>
          </w:p>
        </w:tc>
        <w:tc>
          <w:tcPr>
            <w:tcW w:w="1080" w:type="dxa"/>
            <w:tcBorders>
              <w:left w:val="nil"/>
              <w:right w:val="nil"/>
            </w:tcBorders>
          </w:tcPr>
          <w:p w14:paraId="2C8CF6AE" w14:textId="77777777" w:rsidR="00B662F0" w:rsidRPr="005A68E6" w:rsidRDefault="00B662F0" w:rsidP="00127E94">
            <w:pPr>
              <w:spacing w:line="240" w:lineRule="auto"/>
              <w:ind w:firstLine="39"/>
              <w:jc w:val="center"/>
              <w:rPr>
                <w:sz w:val="20"/>
                <w:szCs w:val="20"/>
              </w:rPr>
            </w:pPr>
            <w:r w:rsidRPr="005A68E6">
              <w:rPr>
                <w:sz w:val="20"/>
                <w:szCs w:val="20"/>
              </w:rPr>
              <w:t xml:space="preserve"> 3.6 </w:t>
            </w:r>
          </w:p>
        </w:tc>
        <w:tc>
          <w:tcPr>
            <w:tcW w:w="1080" w:type="dxa"/>
            <w:tcBorders>
              <w:left w:val="nil"/>
              <w:right w:val="nil"/>
            </w:tcBorders>
          </w:tcPr>
          <w:p w14:paraId="36E02B82" w14:textId="77777777" w:rsidR="00B662F0" w:rsidRPr="005A68E6" w:rsidRDefault="00B662F0" w:rsidP="00127E94">
            <w:pPr>
              <w:spacing w:line="240" w:lineRule="auto"/>
              <w:ind w:firstLine="39"/>
              <w:jc w:val="center"/>
              <w:rPr>
                <w:sz w:val="20"/>
                <w:szCs w:val="20"/>
              </w:rPr>
            </w:pPr>
            <w:r w:rsidRPr="005A68E6">
              <w:rPr>
                <w:sz w:val="20"/>
                <w:szCs w:val="20"/>
              </w:rPr>
              <w:t xml:space="preserve"> 3.7 </w:t>
            </w:r>
          </w:p>
        </w:tc>
      </w:tr>
      <w:tr w:rsidR="00B662F0" w:rsidRPr="005A68E6" w14:paraId="160A6DE1" w14:textId="77777777" w:rsidTr="00581010">
        <w:trPr>
          <w:jc w:val="center"/>
        </w:trPr>
        <w:tc>
          <w:tcPr>
            <w:tcW w:w="1427" w:type="dxa"/>
            <w:tcBorders>
              <w:left w:val="nil"/>
              <w:right w:val="nil"/>
            </w:tcBorders>
            <w:vAlign w:val="center"/>
          </w:tcPr>
          <w:p w14:paraId="693EEF1C" w14:textId="77777777" w:rsidR="00B662F0" w:rsidRPr="005A68E6" w:rsidRDefault="00B662F0" w:rsidP="00127E94">
            <w:pPr>
              <w:spacing w:line="240" w:lineRule="auto"/>
              <w:ind w:firstLine="39"/>
              <w:jc w:val="center"/>
            </w:pPr>
            <w:r w:rsidRPr="005A68E6">
              <w:t>AED</w:t>
            </w:r>
          </w:p>
        </w:tc>
        <w:tc>
          <w:tcPr>
            <w:tcW w:w="1104" w:type="dxa"/>
            <w:tcBorders>
              <w:left w:val="nil"/>
              <w:right w:val="nil"/>
            </w:tcBorders>
          </w:tcPr>
          <w:p w14:paraId="2E67F57E" w14:textId="77777777" w:rsidR="00B662F0" w:rsidRPr="005A68E6" w:rsidRDefault="00B662F0" w:rsidP="00127E94">
            <w:pPr>
              <w:spacing w:line="240" w:lineRule="auto"/>
              <w:ind w:firstLine="39"/>
              <w:jc w:val="center"/>
              <w:rPr>
                <w:sz w:val="20"/>
                <w:szCs w:val="20"/>
                <w:lang w:val="en-US"/>
              </w:rPr>
            </w:pPr>
            <w:r w:rsidRPr="005A68E6">
              <w:rPr>
                <w:sz w:val="20"/>
                <w:szCs w:val="20"/>
                <w:lang w:val="en-US"/>
              </w:rPr>
              <w:t>0.0</w:t>
            </w:r>
          </w:p>
        </w:tc>
        <w:tc>
          <w:tcPr>
            <w:tcW w:w="1432" w:type="dxa"/>
            <w:tcBorders>
              <w:left w:val="nil"/>
              <w:right w:val="double" w:sz="4" w:space="0" w:color="auto"/>
            </w:tcBorders>
          </w:tcPr>
          <w:p w14:paraId="6541A0F6" w14:textId="77777777" w:rsidR="00B662F0" w:rsidRPr="005A68E6" w:rsidRDefault="00B662F0" w:rsidP="00127E94">
            <w:pPr>
              <w:spacing w:line="240" w:lineRule="auto"/>
              <w:ind w:firstLine="39"/>
              <w:jc w:val="center"/>
              <w:rPr>
                <w:sz w:val="20"/>
                <w:szCs w:val="20"/>
              </w:rPr>
            </w:pPr>
            <w:r w:rsidRPr="005A68E6">
              <w:rPr>
                <w:sz w:val="20"/>
                <w:szCs w:val="20"/>
              </w:rPr>
              <w:t xml:space="preserve"> 0.0 </w:t>
            </w:r>
          </w:p>
        </w:tc>
        <w:tc>
          <w:tcPr>
            <w:tcW w:w="1080" w:type="dxa"/>
            <w:tcBorders>
              <w:left w:val="double" w:sz="4" w:space="0" w:color="auto"/>
              <w:right w:val="nil"/>
            </w:tcBorders>
          </w:tcPr>
          <w:p w14:paraId="21C8F46E" w14:textId="77777777" w:rsidR="00B662F0" w:rsidRPr="005A68E6" w:rsidRDefault="00B662F0" w:rsidP="00127E94">
            <w:pPr>
              <w:spacing w:line="240" w:lineRule="auto"/>
              <w:ind w:firstLine="39"/>
              <w:jc w:val="center"/>
              <w:rPr>
                <w:sz w:val="20"/>
                <w:szCs w:val="20"/>
              </w:rPr>
            </w:pPr>
            <w:r w:rsidRPr="005A68E6">
              <w:rPr>
                <w:sz w:val="20"/>
                <w:szCs w:val="20"/>
              </w:rPr>
              <w:t xml:space="preserve"> 0.0 </w:t>
            </w:r>
          </w:p>
        </w:tc>
        <w:tc>
          <w:tcPr>
            <w:tcW w:w="1080" w:type="dxa"/>
            <w:tcBorders>
              <w:left w:val="nil"/>
              <w:right w:val="nil"/>
            </w:tcBorders>
          </w:tcPr>
          <w:p w14:paraId="3555EB7D" w14:textId="77777777" w:rsidR="00B662F0" w:rsidRPr="005A68E6" w:rsidRDefault="00B662F0" w:rsidP="00127E94">
            <w:pPr>
              <w:spacing w:line="240" w:lineRule="auto"/>
              <w:ind w:firstLine="39"/>
              <w:jc w:val="center"/>
              <w:rPr>
                <w:sz w:val="20"/>
                <w:szCs w:val="20"/>
              </w:rPr>
            </w:pPr>
            <w:r w:rsidRPr="005A68E6">
              <w:rPr>
                <w:sz w:val="20"/>
                <w:szCs w:val="20"/>
              </w:rPr>
              <w:t xml:space="preserve"> 0.0 </w:t>
            </w:r>
          </w:p>
        </w:tc>
        <w:tc>
          <w:tcPr>
            <w:tcW w:w="1080" w:type="dxa"/>
            <w:tcBorders>
              <w:left w:val="nil"/>
              <w:right w:val="nil"/>
            </w:tcBorders>
          </w:tcPr>
          <w:p w14:paraId="3C37F7D9" w14:textId="77777777" w:rsidR="00B662F0" w:rsidRPr="005A68E6" w:rsidRDefault="00B662F0" w:rsidP="00127E94">
            <w:pPr>
              <w:spacing w:line="240" w:lineRule="auto"/>
              <w:ind w:firstLine="39"/>
              <w:jc w:val="center"/>
              <w:rPr>
                <w:sz w:val="20"/>
                <w:szCs w:val="20"/>
              </w:rPr>
            </w:pPr>
            <w:r w:rsidRPr="005A68E6">
              <w:rPr>
                <w:sz w:val="20"/>
                <w:szCs w:val="20"/>
              </w:rPr>
              <w:t xml:space="preserve"> 0.0 </w:t>
            </w:r>
          </w:p>
        </w:tc>
        <w:tc>
          <w:tcPr>
            <w:tcW w:w="1080" w:type="dxa"/>
            <w:tcBorders>
              <w:left w:val="nil"/>
              <w:right w:val="nil"/>
            </w:tcBorders>
          </w:tcPr>
          <w:p w14:paraId="4A2C06B7" w14:textId="77777777" w:rsidR="00B662F0" w:rsidRPr="005A68E6" w:rsidRDefault="00B662F0" w:rsidP="00127E94">
            <w:pPr>
              <w:spacing w:line="240" w:lineRule="auto"/>
              <w:ind w:firstLine="39"/>
              <w:jc w:val="center"/>
              <w:rPr>
                <w:sz w:val="20"/>
                <w:szCs w:val="20"/>
              </w:rPr>
            </w:pPr>
            <w:r w:rsidRPr="005A68E6">
              <w:rPr>
                <w:sz w:val="20"/>
                <w:szCs w:val="20"/>
              </w:rPr>
              <w:t xml:space="preserve"> 0.0 </w:t>
            </w:r>
          </w:p>
        </w:tc>
      </w:tr>
      <w:tr w:rsidR="00B662F0" w:rsidRPr="005A68E6" w14:paraId="4C100062" w14:textId="77777777" w:rsidTr="00581010">
        <w:trPr>
          <w:jc w:val="center"/>
        </w:trPr>
        <w:tc>
          <w:tcPr>
            <w:tcW w:w="1427" w:type="dxa"/>
            <w:tcBorders>
              <w:left w:val="nil"/>
              <w:bottom w:val="thickThinSmallGap" w:sz="24" w:space="0" w:color="auto"/>
              <w:right w:val="nil"/>
            </w:tcBorders>
            <w:vAlign w:val="center"/>
          </w:tcPr>
          <w:p w14:paraId="29260A96" w14:textId="77777777" w:rsidR="00B662F0" w:rsidRPr="005A68E6" w:rsidRDefault="00B662F0" w:rsidP="00127E94">
            <w:pPr>
              <w:spacing w:line="240" w:lineRule="auto"/>
              <w:ind w:firstLine="39"/>
              <w:jc w:val="center"/>
            </w:pPr>
            <w:r w:rsidRPr="005A68E6">
              <w:t>CNY</w:t>
            </w:r>
          </w:p>
        </w:tc>
        <w:tc>
          <w:tcPr>
            <w:tcW w:w="1104" w:type="dxa"/>
            <w:tcBorders>
              <w:left w:val="nil"/>
              <w:bottom w:val="thickThinSmallGap" w:sz="24" w:space="0" w:color="auto"/>
              <w:right w:val="nil"/>
            </w:tcBorders>
          </w:tcPr>
          <w:p w14:paraId="3370D8A9" w14:textId="77777777" w:rsidR="00B662F0" w:rsidRPr="005A68E6" w:rsidRDefault="00B662F0" w:rsidP="00127E94">
            <w:pPr>
              <w:spacing w:line="240" w:lineRule="auto"/>
              <w:ind w:firstLine="39"/>
              <w:jc w:val="center"/>
              <w:rPr>
                <w:sz w:val="20"/>
                <w:szCs w:val="20"/>
                <w:lang w:val="en-US"/>
              </w:rPr>
            </w:pPr>
            <w:r w:rsidRPr="005A68E6">
              <w:rPr>
                <w:sz w:val="20"/>
                <w:szCs w:val="20"/>
                <w:lang w:val="en-US"/>
              </w:rPr>
              <w:t>3.2</w:t>
            </w:r>
          </w:p>
        </w:tc>
        <w:tc>
          <w:tcPr>
            <w:tcW w:w="1432" w:type="dxa"/>
            <w:tcBorders>
              <w:left w:val="nil"/>
              <w:bottom w:val="thickThinSmallGap" w:sz="24" w:space="0" w:color="auto"/>
              <w:right w:val="double" w:sz="4" w:space="0" w:color="auto"/>
            </w:tcBorders>
          </w:tcPr>
          <w:p w14:paraId="0B349FC4" w14:textId="77777777" w:rsidR="00B662F0" w:rsidRPr="005A68E6" w:rsidRDefault="00B662F0" w:rsidP="00127E94">
            <w:pPr>
              <w:spacing w:line="240" w:lineRule="auto"/>
              <w:ind w:firstLine="39"/>
              <w:jc w:val="center"/>
              <w:rPr>
                <w:sz w:val="20"/>
                <w:szCs w:val="20"/>
              </w:rPr>
            </w:pPr>
            <w:r w:rsidRPr="005A68E6">
              <w:rPr>
                <w:sz w:val="20"/>
                <w:szCs w:val="20"/>
              </w:rPr>
              <w:t xml:space="preserve"> 2.2 </w:t>
            </w:r>
          </w:p>
        </w:tc>
        <w:tc>
          <w:tcPr>
            <w:tcW w:w="1080" w:type="dxa"/>
            <w:tcBorders>
              <w:left w:val="double" w:sz="4" w:space="0" w:color="auto"/>
              <w:bottom w:val="thickThinSmallGap" w:sz="24" w:space="0" w:color="auto"/>
              <w:right w:val="nil"/>
            </w:tcBorders>
          </w:tcPr>
          <w:p w14:paraId="7CE1E9E8" w14:textId="77777777" w:rsidR="00B662F0" w:rsidRPr="005A68E6" w:rsidRDefault="00B662F0" w:rsidP="00127E94">
            <w:pPr>
              <w:spacing w:line="240" w:lineRule="auto"/>
              <w:ind w:firstLine="39"/>
              <w:jc w:val="center"/>
              <w:rPr>
                <w:sz w:val="20"/>
                <w:szCs w:val="20"/>
              </w:rPr>
            </w:pPr>
            <w:r w:rsidRPr="005A68E6">
              <w:rPr>
                <w:sz w:val="20"/>
                <w:szCs w:val="20"/>
              </w:rPr>
              <w:t xml:space="preserve"> 2.5 </w:t>
            </w:r>
          </w:p>
        </w:tc>
        <w:tc>
          <w:tcPr>
            <w:tcW w:w="1080" w:type="dxa"/>
            <w:tcBorders>
              <w:left w:val="nil"/>
              <w:bottom w:val="thickThinSmallGap" w:sz="24" w:space="0" w:color="auto"/>
              <w:right w:val="nil"/>
            </w:tcBorders>
          </w:tcPr>
          <w:p w14:paraId="01D762F8" w14:textId="77777777" w:rsidR="00B662F0" w:rsidRPr="005A68E6" w:rsidRDefault="00B662F0" w:rsidP="00127E94">
            <w:pPr>
              <w:spacing w:line="240" w:lineRule="auto"/>
              <w:ind w:firstLine="39"/>
              <w:jc w:val="center"/>
              <w:rPr>
                <w:sz w:val="20"/>
                <w:szCs w:val="20"/>
              </w:rPr>
            </w:pPr>
            <w:r w:rsidRPr="005A68E6">
              <w:rPr>
                <w:sz w:val="20"/>
                <w:szCs w:val="20"/>
              </w:rPr>
              <w:t xml:space="preserve"> 2.7 </w:t>
            </w:r>
          </w:p>
        </w:tc>
        <w:tc>
          <w:tcPr>
            <w:tcW w:w="1080" w:type="dxa"/>
            <w:tcBorders>
              <w:left w:val="nil"/>
              <w:bottom w:val="thickThinSmallGap" w:sz="24" w:space="0" w:color="auto"/>
              <w:right w:val="nil"/>
            </w:tcBorders>
          </w:tcPr>
          <w:p w14:paraId="3EFC76F8" w14:textId="77777777" w:rsidR="00B662F0" w:rsidRPr="005A68E6" w:rsidRDefault="00B662F0" w:rsidP="00127E94">
            <w:pPr>
              <w:spacing w:line="240" w:lineRule="auto"/>
              <w:ind w:firstLine="39"/>
              <w:jc w:val="center"/>
              <w:rPr>
                <w:sz w:val="20"/>
                <w:szCs w:val="20"/>
              </w:rPr>
            </w:pPr>
            <w:r w:rsidRPr="005A68E6">
              <w:rPr>
                <w:sz w:val="20"/>
                <w:szCs w:val="20"/>
              </w:rPr>
              <w:t xml:space="preserve"> 3.0 </w:t>
            </w:r>
          </w:p>
        </w:tc>
        <w:tc>
          <w:tcPr>
            <w:tcW w:w="1080" w:type="dxa"/>
            <w:tcBorders>
              <w:left w:val="nil"/>
              <w:bottom w:val="thickThinSmallGap" w:sz="24" w:space="0" w:color="auto"/>
              <w:right w:val="nil"/>
            </w:tcBorders>
          </w:tcPr>
          <w:p w14:paraId="766CEEBF" w14:textId="77777777" w:rsidR="00B662F0" w:rsidRPr="005A68E6" w:rsidRDefault="00B662F0" w:rsidP="00127E94">
            <w:pPr>
              <w:spacing w:line="240" w:lineRule="auto"/>
              <w:ind w:firstLine="39"/>
              <w:jc w:val="center"/>
              <w:rPr>
                <w:sz w:val="20"/>
                <w:szCs w:val="20"/>
              </w:rPr>
            </w:pPr>
            <w:r w:rsidRPr="005A68E6">
              <w:rPr>
                <w:sz w:val="20"/>
                <w:szCs w:val="20"/>
              </w:rPr>
              <w:t xml:space="preserve"> 3.3 </w:t>
            </w:r>
          </w:p>
        </w:tc>
      </w:tr>
    </w:tbl>
    <w:p w14:paraId="1CEB9821" w14:textId="4E73C06F" w:rsidR="003F67BA" w:rsidRPr="005A68E6" w:rsidRDefault="00CE0074" w:rsidP="00C45A7F">
      <w:pPr>
        <w:spacing w:before="240"/>
        <w:rPr>
          <w:sz w:val="16"/>
          <w:lang w:val="en-US"/>
        </w:rPr>
      </w:pPr>
      <w:r w:rsidRPr="005A68E6">
        <w:rPr>
          <w:sz w:val="16"/>
          <w:lang w:val="en-US"/>
        </w:rPr>
        <w:t>Source: RA MoF calculations and forecasts</w:t>
      </w:r>
    </w:p>
    <w:p w14:paraId="1537EC61" w14:textId="77777777" w:rsidR="006F4A30" w:rsidRPr="005A68E6" w:rsidRDefault="006F4A30" w:rsidP="00A1274B">
      <w:pPr>
        <w:rPr>
          <w:color w:val="FF0000"/>
        </w:rPr>
      </w:pPr>
    </w:p>
    <w:p w14:paraId="572F6B17" w14:textId="5A09EBDB" w:rsidR="0024298B" w:rsidRPr="005A68E6" w:rsidRDefault="00CE0074" w:rsidP="0024298B">
      <w:pPr>
        <w:rPr>
          <w:color w:val="000000"/>
          <w:lang w:val="en-US"/>
        </w:rPr>
      </w:pPr>
      <w:r w:rsidRPr="005A68E6">
        <w:rPr>
          <w:color w:val="000000"/>
          <w:lang w:val="en-US"/>
        </w:rPr>
        <w:t>A</w:t>
      </w:r>
      <w:r w:rsidR="0024298B" w:rsidRPr="005A68E6">
        <w:rPr>
          <w:color w:val="000000"/>
        </w:rPr>
        <w:t>long with the development of the foreign exchange market</w:t>
      </w:r>
      <w:r w:rsidR="0024298B" w:rsidRPr="005A68E6">
        <w:rPr>
          <w:color w:val="000000"/>
          <w:lang w:val="en-US"/>
        </w:rPr>
        <w:t xml:space="preserve">, </w:t>
      </w:r>
      <w:r w:rsidR="0024298B" w:rsidRPr="005A68E6">
        <w:rPr>
          <w:color w:val="000000"/>
        </w:rPr>
        <w:t>different hedging approaches will be used (for example, FX swaps)</w:t>
      </w:r>
      <w:r w:rsidRPr="005A68E6">
        <w:rPr>
          <w:color w:val="000000"/>
          <w:lang w:val="en-US"/>
        </w:rPr>
        <w:t xml:space="preserve"> to reduce exchange rate risk and manage it effectively</w:t>
      </w:r>
      <w:r w:rsidR="0024298B" w:rsidRPr="005A68E6">
        <w:rPr>
          <w:color w:val="000000"/>
          <w:lang w:val="en-US"/>
        </w:rPr>
        <w:t>.</w:t>
      </w:r>
    </w:p>
    <w:p w14:paraId="512C2E7E" w14:textId="77777777" w:rsidR="0024298B" w:rsidRPr="005A68E6" w:rsidRDefault="0024298B" w:rsidP="0024298B">
      <w:pPr>
        <w:rPr>
          <w:color w:val="000000"/>
        </w:rPr>
      </w:pPr>
      <w:r w:rsidRPr="005A68E6">
        <w:rPr>
          <w:color w:val="000000"/>
          <w:lang w:val="en-US"/>
        </w:rPr>
        <w:t>A</w:t>
      </w:r>
      <w:r w:rsidRPr="005A68E6">
        <w:rPr>
          <w:color w:val="000000"/>
        </w:rPr>
        <w:t>t the end of the forecasted period</w:t>
      </w:r>
      <w:r w:rsidRPr="005A68E6">
        <w:rPr>
          <w:color w:val="000000"/>
          <w:lang w:val="en-US"/>
        </w:rPr>
        <w:t>,</w:t>
      </w:r>
      <w:r w:rsidRPr="005A68E6">
        <w:rPr>
          <w:color w:val="000000"/>
        </w:rPr>
        <w:t xml:space="preserve"> </w:t>
      </w:r>
      <w:r w:rsidRPr="005A68E6">
        <w:rPr>
          <w:color w:val="000000"/>
          <w:lang w:val="en-US"/>
        </w:rPr>
        <w:t>i</w:t>
      </w:r>
      <w:r w:rsidRPr="005A68E6">
        <w:rPr>
          <w:color w:val="000000"/>
        </w:rPr>
        <w:t xml:space="preserve">n the structure of </w:t>
      </w:r>
      <w:r w:rsidRPr="005A68E6">
        <w:rPr>
          <w:color w:val="000000"/>
          <w:lang w:val="en-US"/>
        </w:rPr>
        <w:t xml:space="preserve">the RA </w:t>
      </w:r>
      <w:r w:rsidRPr="005A68E6">
        <w:rPr>
          <w:color w:val="000000"/>
        </w:rPr>
        <w:t xml:space="preserve">Government foreign currency debt, the shares of USD and </w:t>
      </w:r>
      <w:r w:rsidRPr="005A68E6">
        <w:rPr>
          <w:color w:val="000000"/>
          <w:lang w:val="en-US"/>
        </w:rPr>
        <w:t>SDR</w:t>
      </w:r>
      <w:r w:rsidRPr="005A68E6">
        <w:rPr>
          <w:color w:val="000000"/>
        </w:rPr>
        <w:t xml:space="preserve"> </w:t>
      </w:r>
      <w:r w:rsidRPr="005A68E6">
        <w:rPr>
          <w:color w:val="000000"/>
          <w:lang w:val="en-US"/>
        </w:rPr>
        <w:t xml:space="preserve">debt </w:t>
      </w:r>
      <w:r w:rsidRPr="005A68E6">
        <w:rPr>
          <w:color w:val="000000"/>
        </w:rPr>
        <w:t xml:space="preserve">will increase </w:t>
      </w:r>
      <w:r w:rsidRPr="005A68E6">
        <w:rPr>
          <w:color w:val="000000"/>
          <w:lang w:val="en-US"/>
        </w:rPr>
        <w:t>by 0.9</w:t>
      </w:r>
      <w:r w:rsidRPr="005A68E6">
        <w:rPr>
          <w:color w:val="000000"/>
        </w:rPr>
        <w:t xml:space="preserve"> and </w:t>
      </w:r>
      <w:r w:rsidRPr="005A68E6">
        <w:rPr>
          <w:color w:val="000000"/>
          <w:lang w:val="en-US"/>
        </w:rPr>
        <w:t>1.5</w:t>
      </w:r>
      <w:r w:rsidRPr="005A68E6">
        <w:rPr>
          <w:color w:val="000000"/>
        </w:rPr>
        <w:t xml:space="preserve"> percentage points</w:t>
      </w:r>
      <w:r w:rsidRPr="005A68E6">
        <w:rPr>
          <w:color w:val="000000"/>
          <w:lang w:val="en-US"/>
        </w:rPr>
        <w:t>,</w:t>
      </w:r>
      <w:r w:rsidRPr="005A68E6">
        <w:rPr>
          <w:color w:val="000000"/>
        </w:rPr>
        <w:t xml:space="preserve"> respectively</w:t>
      </w:r>
      <w:r w:rsidRPr="005A68E6">
        <w:rPr>
          <w:color w:val="000000"/>
          <w:lang w:val="en-US"/>
        </w:rPr>
        <w:t>, and</w:t>
      </w:r>
      <w:r w:rsidRPr="005A68E6">
        <w:rPr>
          <w:color w:val="000000"/>
        </w:rPr>
        <w:t xml:space="preserve"> the shares of EUR and JPY </w:t>
      </w:r>
      <w:r w:rsidRPr="005A68E6">
        <w:rPr>
          <w:color w:val="000000"/>
          <w:lang w:val="en-US"/>
        </w:rPr>
        <w:t xml:space="preserve">debt </w:t>
      </w:r>
      <w:r w:rsidRPr="005A68E6">
        <w:rPr>
          <w:color w:val="000000"/>
        </w:rPr>
        <w:t xml:space="preserve">will decrease by </w:t>
      </w:r>
      <w:r w:rsidRPr="005A68E6">
        <w:rPr>
          <w:color w:val="000000"/>
          <w:lang w:val="en-US"/>
        </w:rPr>
        <w:t>1.5</w:t>
      </w:r>
      <w:r w:rsidRPr="005A68E6">
        <w:rPr>
          <w:color w:val="000000"/>
        </w:rPr>
        <w:t xml:space="preserve"> and </w:t>
      </w:r>
      <w:r w:rsidRPr="005A68E6">
        <w:rPr>
          <w:color w:val="000000"/>
          <w:lang w:val="en-US"/>
        </w:rPr>
        <w:t>0.8</w:t>
      </w:r>
      <w:r w:rsidRPr="005A68E6">
        <w:rPr>
          <w:color w:val="000000"/>
        </w:rPr>
        <w:t xml:space="preserve"> percentage points</w:t>
      </w:r>
      <w:r w:rsidRPr="005A68E6">
        <w:rPr>
          <w:color w:val="000000"/>
          <w:lang w:val="en-US"/>
        </w:rPr>
        <w:t>,</w:t>
      </w:r>
      <w:r w:rsidRPr="005A68E6">
        <w:rPr>
          <w:color w:val="000000"/>
        </w:rPr>
        <w:t xml:space="preserve"> respectively against</w:t>
      </w:r>
      <w:r w:rsidRPr="005A68E6">
        <w:rPr>
          <w:color w:val="000000"/>
          <w:lang w:val="en-US"/>
        </w:rPr>
        <w:t xml:space="preserve"> the</w:t>
      </w:r>
      <w:r w:rsidRPr="005A68E6">
        <w:rPr>
          <w:color w:val="000000"/>
        </w:rPr>
        <w:t xml:space="preserve"> actual indicator of 2022.</w:t>
      </w:r>
    </w:p>
    <w:p w14:paraId="608D4BEF" w14:textId="77777777" w:rsidR="0024298B" w:rsidRPr="005A68E6" w:rsidRDefault="0024298B" w:rsidP="00A1274B">
      <w:pPr>
        <w:rPr>
          <w:color w:val="FF0000"/>
        </w:rPr>
      </w:pPr>
    </w:p>
    <w:p w14:paraId="51551430" w14:textId="37374843" w:rsidR="001947EF" w:rsidRPr="005A68E6" w:rsidRDefault="001947EF" w:rsidP="00C45A7F">
      <w:pPr>
        <w:pStyle w:val="Heading5"/>
        <w:keepNext/>
        <w:numPr>
          <w:ilvl w:val="0"/>
          <w:numId w:val="42"/>
        </w:numPr>
        <w:spacing w:before="120" w:after="240" w:line="240" w:lineRule="auto"/>
        <w:ind w:left="1276" w:hanging="1276"/>
        <w:jc w:val="left"/>
        <w:rPr>
          <w:rFonts w:cs="Arial"/>
          <w:bCs w:val="0"/>
          <w:i w:val="0"/>
          <w:iCs w:val="0"/>
          <w:sz w:val="22"/>
          <w:szCs w:val="24"/>
          <w:lang w:val="en-US"/>
        </w:rPr>
      </w:pPr>
      <w:r w:rsidRPr="005A68E6">
        <w:rPr>
          <w:rFonts w:cs="Arial"/>
          <w:bCs w:val="0"/>
          <w:i w:val="0"/>
          <w:iCs w:val="0"/>
          <w:sz w:val="22"/>
          <w:szCs w:val="24"/>
          <w:lang w:val="en-US"/>
        </w:rPr>
        <w:lastRenderedPageBreak/>
        <w:t xml:space="preserve">The share of </w:t>
      </w:r>
      <w:r w:rsidR="004D6547" w:rsidRPr="005A68E6">
        <w:rPr>
          <w:rFonts w:cs="Arial"/>
          <w:bCs w:val="0"/>
          <w:i w:val="0"/>
          <w:iCs w:val="0"/>
          <w:sz w:val="22"/>
          <w:szCs w:val="24"/>
          <w:lang w:val="en-US"/>
        </w:rPr>
        <w:t xml:space="preserve">the </w:t>
      </w:r>
      <w:r w:rsidRPr="005A68E6">
        <w:rPr>
          <w:rFonts w:cs="Arial"/>
          <w:bCs w:val="0"/>
          <w:i w:val="0"/>
          <w:iCs w:val="0"/>
          <w:sz w:val="22"/>
          <w:szCs w:val="24"/>
          <w:lang w:val="en-US"/>
        </w:rPr>
        <w:t xml:space="preserve">RA Government foreign currency debt redemptions and interest payments in foreign currency </w:t>
      </w:r>
      <w:r w:rsidR="0016780F" w:rsidRPr="005A68E6">
        <w:rPr>
          <w:rFonts w:cs="Arial"/>
          <w:bCs w:val="0"/>
          <w:i w:val="0"/>
          <w:iCs w:val="0"/>
          <w:sz w:val="22"/>
          <w:szCs w:val="24"/>
          <w:lang w:val="en-US"/>
        </w:rPr>
        <w:t xml:space="preserve">external </w:t>
      </w:r>
      <w:r w:rsidRPr="005A68E6">
        <w:rPr>
          <w:rFonts w:cs="Arial"/>
          <w:bCs w:val="0"/>
          <w:i w:val="0"/>
          <w:iCs w:val="0"/>
          <w:sz w:val="22"/>
          <w:szCs w:val="24"/>
          <w:lang w:val="en-US"/>
        </w:rPr>
        <w:t xml:space="preserve">assets at the end of the </w:t>
      </w:r>
      <w:r w:rsidR="00917356" w:rsidRPr="005A68E6">
        <w:rPr>
          <w:rFonts w:cs="Arial"/>
          <w:bCs w:val="0"/>
          <w:i w:val="0"/>
          <w:iCs w:val="0"/>
          <w:sz w:val="22"/>
          <w:szCs w:val="24"/>
          <w:lang w:val="en-US"/>
        </w:rPr>
        <w:t xml:space="preserve">previous </w:t>
      </w:r>
      <w:r w:rsidRPr="005A68E6">
        <w:rPr>
          <w:rFonts w:cs="Arial"/>
          <w:bCs w:val="0"/>
          <w:i w:val="0"/>
          <w:iCs w:val="0"/>
          <w:sz w:val="22"/>
          <w:szCs w:val="24"/>
          <w:lang w:val="en-US"/>
        </w:rPr>
        <w:t>year, 2022-2026</w:t>
      </w:r>
    </w:p>
    <w:p w14:paraId="2B61C39E" w14:textId="7369998D" w:rsidR="00762F96" w:rsidRPr="005A68E6" w:rsidRDefault="00762F96" w:rsidP="00C45A7F">
      <w:pPr>
        <w:pStyle w:val="af7"/>
        <w:jc w:val="center"/>
        <w:rPr>
          <w:rFonts w:cs="Arial"/>
          <w:bCs w:val="0"/>
          <w:i w:val="0"/>
          <w:iCs w:val="0"/>
          <w:sz w:val="22"/>
          <w:szCs w:val="24"/>
          <w:lang w:val="en-US"/>
        </w:rPr>
      </w:pPr>
      <w:r w:rsidRPr="005A68E6">
        <w:rPr>
          <w:noProof/>
          <w:lang w:val="en-US"/>
        </w:rPr>
        <w:drawing>
          <wp:inline distT="0" distB="0" distL="0" distR="0" wp14:anchorId="3534AC29" wp14:editId="24A3EFCE">
            <wp:extent cx="4930140" cy="3444240"/>
            <wp:effectExtent l="0" t="0" r="3810" b="3810"/>
            <wp:docPr id="12" name="Chart 12">
              <a:extLst xmlns:a="http://schemas.openxmlformats.org/drawingml/2006/main">
                <a:ext uri="{FF2B5EF4-FFF2-40B4-BE49-F238E27FC236}">
                  <a16:creationId xmlns:a16="http://schemas.microsoft.com/office/drawing/2014/main" id="{00000000-0008-0000-0C00-00001F1CF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2CB79B" w14:textId="66218238" w:rsidR="00F135ED" w:rsidRPr="005A68E6" w:rsidRDefault="005F6E26" w:rsidP="00C45A7F">
      <w:pPr>
        <w:pStyle w:val="NoSpacing"/>
        <w:spacing w:before="120"/>
        <w:ind w:firstLine="1560"/>
        <w:rPr>
          <w:rFonts w:ascii="GHEA Grapalat" w:hAnsi="GHEA Grapalat"/>
          <w:sz w:val="18"/>
          <w:szCs w:val="18"/>
        </w:rPr>
      </w:pPr>
      <w:r w:rsidRPr="005A68E6">
        <w:rPr>
          <w:rFonts w:ascii="GHEA Grapalat" w:hAnsi="GHEA Grapalat"/>
          <w:sz w:val="18"/>
        </w:rPr>
        <w:t>Source: RA MoF calculations and forecasts</w:t>
      </w:r>
    </w:p>
    <w:p w14:paraId="788C7CDD" w14:textId="77777777" w:rsidR="00F135ED" w:rsidRPr="005A68E6" w:rsidRDefault="00F135ED" w:rsidP="00581010">
      <w:pPr>
        <w:pStyle w:val="NoSpacing"/>
        <w:rPr>
          <w:rFonts w:ascii="GHEA Grapalat" w:hAnsi="GHEA Grapalat"/>
          <w:color w:val="FF0000"/>
          <w:lang w:val="hy-AM"/>
        </w:rPr>
      </w:pPr>
    </w:p>
    <w:p w14:paraId="409F1608" w14:textId="3C80CA7E" w:rsidR="00025E2D" w:rsidRPr="005A68E6" w:rsidRDefault="00025E2D" w:rsidP="00A1274B">
      <w:pPr>
        <w:rPr>
          <w:color w:val="FF0000"/>
        </w:rPr>
      </w:pPr>
    </w:p>
    <w:p w14:paraId="5C89CCAD" w14:textId="3F2C1F6E" w:rsidR="0024298B" w:rsidRPr="005A68E6" w:rsidRDefault="0024298B" w:rsidP="0024298B">
      <w:pPr>
        <w:rPr>
          <w:color w:val="000000"/>
        </w:rPr>
      </w:pPr>
      <w:r w:rsidRPr="005A68E6">
        <w:rPr>
          <w:color w:val="000000"/>
        </w:rPr>
        <w:t xml:space="preserve">The share of </w:t>
      </w:r>
      <w:r w:rsidR="004D6547" w:rsidRPr="005A68E6">
        <w:rPr>
          <w:color w:val="000000"/>
          <w:lang w:val="en-US"/>
        </w:rPr>
        <w:t xml:space="preserve">the </w:t>
      </w:r>
      <w:r w:rsidRPr="005A68E6">
        <w:rPr>
          <w:color w:val="000000"/>
        </w:rPr>
        <w:t xml:space="preserve">RA Government foreign currency debt redemptions and interest payments in foreign currency </w:t>
      </w:r>
      <w:r w:rsidR="00917356" w:rsidRPr="005A68E6">
        <w:rPr>
          <w:color w:val="000000"/>
          <w:lang w:val="en-US"/>
        </w:rPr>
        <w:t xml:space="preserve">external </w:t>
      </w:r>
      <w:r w:rsidRPr="005A68E6">
        <w:rPr>
          <w:color w:val="000000"/>
        </w:rPr>
        <w:t xml:space="preserve">assets </w:t>
      </w:r>
      <w:r w:rsidR="00917356" w:rsidRPr="005A68E6">
        <w:rPr>
          <w:color w:val="000000"/>
          <w:lang w:val="en-US"/>
        </w:rPr>
        <w:t>as of</w:t>
      </w:r>
      <w:r w:rsidR="00917356" w:rsidRPr="005A68E6">
        <w:rPr>
          <w:color w:val="000000"/>
        </w:rPr>
        <w:t xml:space="preserve"> </w:t>
      </w:r>
      <w:r w:rsidRPr="005A68E6">
        <w:rPr>
          <w:color w:val="000000"/>
        </w:rPr>
        <w:t xml:space="preserve">the end of the </w:t>
      </w:r>
      <w:r w:rsidR="00917356" w:rsidRPr="005A68E6">
        <w:rPr>
          <w:color w:val="000000"/>
          <w:lang w:val="en-US"/>
        </w:rPr>
        <w:t>previous</w:t>
      </w:r>
      <w:r w:rsidR="00917356" w:rsidRPr="005A68E6">
        <w:rPr>
          <w:color w:val="000000"/>
        </w:rPr>
        <w:t xml:space="preserve"> </w:t>
      </w:r>
      <w:r w:rsidRPr="005A68E6">
        <w:rPr>
          <w:color w:val="000000"/>
        </w:rPr>
        <w:t xml:space="preserve">year will increase </w:t>
      </w:r>
      <w:r w:rsidR="00917356" w:rsidRPr="005A68E6">
        <w:rPr>
          <w:color w:val="000000"/>
        </w:rPr>
        <w:t xml:space="preserve">significantly </w:t>
      </w:r>
      <w:r w:rsidRPr="005A68E6">
        <w:rPr>
          <w:color w:val="000000"/>
        </w:rPr>
        <w:t xml:space="preserve">in 2025 </w:t>
      </w:r>
      <w:r w:rsidRPr="005A68E6">
        <w:rPr>
          <w:color w:val="000000"/>
          <w:lang w:val="en-US"/>
        </w:rPr>
        <w:t>reaching</w:t>
      </w:r>
      <w:r w:rsidRPr="005A68E6">
        <w:rPr>
          <w:color w:val="000000"/>
        </w:rPr>
        <w:t xml:space="preserve"> </w:t>
      </w:r>
      <w:r w:rsidRPr="005A68E6">
        <w:rPr>
          <w:color w:val="000000"/>
          <w:lang w:val="en-US"/>
        </w:rPr>
        <w:t>30.5</w:t>
      </w:r>
      <w:r w:rsidRPr="005A68E6">
        <w:rPr>
          <w:color w:val="000000"/>
        </w:rPr>
        <w:t>% due to the buyback of  Eurobonds</w:t>
      </w:r>
      <w:r w:rsidRPr="005A68E6">
        <w:rPr>
          <w:color w:val="000000"/>
          <w:lang w:val="en-US"/>
        </w:rPr>
        <w:t xml:space="preserve"> </w:t>
      </w:r>
      <w:r w:rsidR="00FC1826" w:rsidRPr="005A68E6">
        <w:rPr>
          <w:color w:val="000000"/>
          <w:lang w:val="en-US"/>
        </w:rPr>
        <w:t xml:space="preserve">maturing </w:t>
      </w:r>
      <w:r w:rsidRPr="005A68E6">
        <w:rPr>
          <w:color w:val="000000"/>
          <w:lang w:val="en-US"/>
        </w:rPr>
        <w:t xml:space="preserve">in </w:t>
      </w:r>
      <w:r w:rsidRPr="005A68E6">
        <w:rPr>
          <w:color w:val="000000"/>
        </w:rPr>
        <w:t>2025</w:t>
      </w:r>
      <w:r w:rsidRPr="005A68E6">
        <w:rPr>
          <w:color w:val="000000"/>
          <w:lang w:val="en-US"/>
        </w:rPr>
        <w:t>.</w:t>
      </w:r>
      <w:r w:rsidRPr="005A68E6">
        <w:rPr>
          <w:color w:val="000000"/>
        </w:rPr>
        <w:t xml:space="preserve"> This indicator will sharply decrease in 2026 and will </w:t>
      </w:r>
      <w:r w:rsidRPr="005A68E6">
        <w:rPr>
          <w:color w:val="000000"/>
          <w:lang w:val="en-US"/>
        </w:rPr>
        <w:t>amount to</w:t>
      </w:r>
      <w:r w:rsidRPr="005A68E6">
        <w:rPr>
          <w:color w:val="000000"/>
        </w:rPr>
        <w:t xml:space="preserve"> 19.1%. This indicator assesses the capacity of the RA Government to service foreign currency </w:t>
      </w:r>
      <w:r w:rsidR="00FC1826" w:rsidRPr="005A68E6">
        <w:rPr>
          <w:color w:val="000000"/>
          <w:lang w:val="en-US"/>
        </w:rPr>
        <w:t>short-term</w:t>
      </w:r>
      <w:r w:rsidR="00FC1826" w:rsidRPr="005A68E6">
        <w:rPr>
          <w:color w:val="000000"/>
        </w:rPr>
        <w:t xml:space="preserve"> </w:t>
      </w:r>
      <w:r w:rsidRPr="005A68E6">
        <w:rPr>
          <w:color w:val="000000"/>
        </w:rPr>
        <w:t>debt redemptions and interest payments from the perspective of the availability of sufficient foreign currency assets.</w:t>
      </w:r>
    </w:p>
    <w:p w14:paraId="46AB98C1" w14:textId="77777777" w:rsidR="0024298B" w:rsidRPr="005A68E6" w:rsidRDefault="0024298B" w:rsidP="00A1274B">
      <w:pPr>
        <w:rPr>
          <w:color w:val="FF0000"/>
        </w:rPr>
      </w:pPr>
    </w:p>
    <w:p w14:paraId="070DE838" w14:textId="77777777" w:rsidR="0024298B" w:rsidRPr="005A68E6" w:rsidRDefault="0024298B" w:rsidP="0024298B">
      <w:pPr>
        <w:pStyle w:val="af8"/>
        <w:spacing w:before="360" w:after="240"/>
        <w:rPr>
          <w:color w:val="000000"/>
        </w:rPr>
      </w:pPr>
      <w:r w:rsidRPr="005A68E6">
        <w:rPr>
          <w:color w:val="000000"/>
        </w:rPr>
        <w:t xml:space="preserve">Refinancing risk </w:t>
      </w:r>
    </w:p>
    <w:p w14:paraId="3B9273C0" w14:textId="136C24FA" w:rsidR="0024298B" w:rsidRPr="005A68E6" w:rsidRDefault="0024298B" w:rsidP="0024298B">
      <w:pPr>
        <w:rPr>
          <w:color w:val="000000"/>
        </w:rPr>
      </w:pPr>
      <w:r w:rsidRPr="005A68E6">
        <w:rPr>
          <w:color w:val="000000"/>
        </w:rPr>
        <w:t>The refinancing risk</w:t>
      </w:r>
      <w:r w:rsidRPr="005A68E6">
        <w:rPr>
          <w:color w:val="000000"/>
          <w:lang w:val="en-US"/>
        </w:rPr>
        <w:t xml:space="preserve"> is</w:t>
      </w:r>
      <w:r w:rsidRPr="005A68E6">
        <w:rPr>
          <w:color w:val="000000"/>
        </w:rPr>
        <w:t xml:space="preserve"> </w:t>
      </w:r>
      <w:r w:rsidRPr="005A68E6">
        <w:rPr>
          <w:color w:val="000000"/>
          <w:lang w:val="en-US"/>
        </w:rPr>
        <w:t>highlighted</w:t>
      </w:r>
      <w:r w:rsidRPr="005A68E6">
        <w:rPr>
          <w:color w:val="000000"/>
        </w:rPr>
        <w:t xml:space="preserve"> due to the redemption volumes of </w:t>
      </w:r>
      <w:r w:rsidR="004D6547" w:rsidRPr="005A68E6">
        <w:rPr>
          <w:color w:val="000000"/>
          <w:lang w:val="en-US"/>
        </w:rPr>
        <w:t xml:space="preserve">the </w:t>
      </w:r>
      <w:r w:rsidRPr="005A68E6">
        <w:rPr>
          <w:color w:val="000000"/>
        </w:rPr>
        <w:t>RA Government debt and possible negative developments in the international and domestic financial markets in the upcoming years. The RA Government puts efforts towards smoothening the redemption profile and mitigating the refinancing risk in the process of new debt borrowings. Buybacks are also used for mitigating the refinancing risk.</w:t>
      </w:r>
    </w:p>
    <w:p w14:paraId="109BD6B4" w14:textId="77777777" w:rsidR="0024298B" w:rsidRPr="005A68E6" w:rsidRDefault="0024298B" w:rsidP="00A1274B">
      <w:pPr>
        <w:rPr>
          <w:color w:val="FF0000"/>
        </w:rPr>
      </w:pPr>
    </w:p>
    <w:p w14:paraId="2BAD0478" w14:textId="4CD1B163" w:rsidR="00025E2D" w:rsidRPr="005A68E6" w:rsidRDefault="00866AB6" w:rsidP="00C45A7F">
      <w:pPr>
        <w:pStyle w:val="af6"/>
        <w:numPr>
          <w:ilvl w:val="0"/>
          <w:numId w:val="35"/>
        </w:numPr>
        <w:spacing w:after="240"/>
        <w:ind w:left="1276" w:hanging="1276"/>
        <w:rPr>
          <w:lang w:val="en-US"/>
        </w:rPr>
      </w:pPr>
      <w:r w:rsidRPr="005A68E6">
        <w:rPr>
          <w:rStyle w:val="Emphasis"/>
          <w:rFonts w:cs="Cambria"/>
          <w:i/>
        </w:rPr>
        <w:lastRenderedPageBreak/>
        <w:t xml:space="preserve">Refinancing risk indicators of </w:t>
      </w:r>
      <w:r w:rsidR="00FC1826" w:rsidRPr="005A68E6">
        <w:rPr>
          <w:rStyle w:val="Emphasis"/>
          <w:rFonts w:cs="Cambria"/>
          <w:i/>
          <w:lang w:val="en-US"/>
        </w:rPr>
        <w:t xml:space="preserve">the </w:t>
      </w:r>
      <w:r w:rsidRPr="005A68E6">
        <w:rPr>
          <w:rStyle w:val="Emphasis"/>
          <w:rFonts w:cs="Cambria"/>
          <w:i/>
        </w:rPr>
        <w:t>Government debt for 2022-202</w:t>
      </w:r>
      <w:r w:rsidRPr="005A68E6">
        <w:rPr>
          <w:rStyle w:val="Emphasis"/>
          <w:rFonts w:cs="Cambria"/>
          <w:i/>
          <w:lang w:val="en-US"/>
        </w:rPr>
        <w:t>6</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1170"/>
        <w:gridCol w:w="1260"/>
        <w:gridCol w:w="990"/>
        <w:gridCol w:w="990"/>
        <w:gridCol w:w="1056"/>
      </w:tblGrid>
      <w:tr w:rsidR="00D1305E" w:rsidRPr="005A68E6" w14:paraId="530428D0" w14:textId="77777777" w:rsidTr="00D1305E">
        <w:trPr>
          <w:trHeight w:val="530"/>
          <w:tblHeader/>
          <w:jc w:val="center"/>
        </w:trPr>
        <w:tc>
          <w:tcPr>
            <w:tcW w:w="5220" w:type="dxa"/>
            <w:tcBorders>
              <w:top w:val="thinThickThinSmallGap" w:sz="24" w:space="0" w:color="auto"/>
              <w:left w:val="nil"/>
              <w:bottom w:val="thinThickSmallGap" w:sz="24" w:space="0" w:color="auto"/>
              <w:right w:val="nil"/>
            </w:tcBorders>
            <w:shd w:val="clear" w:color="auto" w:fill="5B9BD5"/>
            <w:vAlign w:val="center"/>
          </w:tcPr>
          <w:p w14:paraId="27913E6C" w14:textId="77777777" w:rsidR="00D1305E" w:rsidRPr="005A68E6" w:rsidRDefault="00D1305E" w:rsidP="00D1305E">
            <w:pPr>
              <w:spacing w:line="240" w:lineRule="auto"/>
              <w:ind w:firstLine="44"/>
            </w:pPr>
          </w:p>
        </w:tc>
        <w:tc>
          <w:tcPr>
            <w:tcW w:w="1170" w:type="dxa"/>
            <w:tcBorders>
              <w:top w:val="thinThickThinSmallGap" w:sz="24" w:space="0" w:color="auto"/>
              <w:left w:val="nil"/>
              <w:bottom w:val="thinThickSmallGap" w:sz="24" w:space="0" w:color="auto"/>
              <w:right w:val="nil"/>
            </w:tcBorders>
            <w:shd w:val="clear" w:color="auto" w:fill="5B9BD5"/>
          </w:tcPr>
          <w:p w14:paraId="0A146C03" w14:textId="425D4BA8" w:rsidR="00D1305E" w:rsidRPr="005A68E6" w:rsidRDefault="00D1305E" w:rsidP="00D1305E">
            <w:pPr>
              <w:spacing w:line="240" w:lineRule="auto"/>
              <w:ind w:firstLine="44"/>
              <w:jc w:val="center"/>
            </w:pPr>
            <w:r w:rsidRPr="005A68E6">
              <w:t>202</w:t>
            </w:r>
            <w:r w:rsidRPr="005A68E6">
              <w:rPr>
                <w:lang w:val="en-US"/>
              </w:rPr>
              <w:t>2</w:t>
            </w:r>
            <w:r w:rsidRPr="005A68E6">
              <w:t xml:space="preserve"> </w:t>
            </w:r>
            <w:r w:rsidRPr="005A68E6">
              <w:rPr>
                <w:lang w:val="en-US"/>
              </w:rPr>
              <w:t>actual</w:t>
            </w:r>
          </w:p>
        </w:tc>
        <w:tc>
          <w:tcPr>
            <w:tcW w:w="1260" w:type="dxa"/>
            <w:tcBorders>
              <w:top w:val="thinThickThinSmallGap" w:sz="24" w:space="0" w:color="auto"/>
              <w:left w:val="nil"/>
              <w:bottom w:val="thinThickSmallGap" w:sz="24" w:space="0" w:color="auto"/>
              <w:right w:val="nil"/>
            </w:tcBorders>
            <w:shd w:val="clear" w:color="auto" w:fill="5B9BD5"/>
            <w:vAlign w:val="center"/>
          </w:tcPr>
          <w:p w14:paraId="4C805A19" w14:textId="2A702FA8" w:rsidR="00D1305E" w:rsidRPr="005A68E6" w:rsidRDefault="00D1305E" w:rsidP="00D1305E">
            <w:pPr>
              <w:spacing w:line="240" w:lineRule="auto"/>
              <w:ind w:firstLine="44"/>
              <w:jc w:val="center"/>
            </w:pPr>
            <w:r w:rsidRPr="005A68E6">
              <w:t xml:space="preserve">2023 </w:t>
            </w:r>
            <w:r w:rsidRPr="005A68E6">
              <w:rPr>
                <w:lang w:val="en-US"/>
              </w:rPr>
              <w:t>forecast</w:t>
            </w:r>
          </w:p>
        </w:tc>
        <w:tc>
          <w:tcPr>
            <w:tcW w:w="990" w:type="dxa"/>
            <w:tcBorders>
              <w:top w:val="thinThickThinSmallGap" w:sz="24" w:space="0" w:color="auto"/>
              <w:left w:val="nil"/>
              <w:bottom w:val="thinThickSmallGap" w:sz="24" w:space="0" w:color="auto"/>
              <w:right w:val="nil"/>
            </w:tcBorders>
            <w:shd w:val="clear" w:color="auto" w:fill="5B9BD5"/>
            <w:vAlign w:val="center"/>
          </w:tcPr>
          <w:p w14:paraId="730D54F5" w14:textId="50688BAD" w:rsidR="00D1305E" w:rsidRPr="005A68E6" w:rsidRDefault="00D1305E" w:rsidP="00D1305E">
            <w:pPr>
              <w:spacing w:line="240" w:lineRule="auto"/>
              <w:ind w:firstLine="44"/>
              <w:jc w:val="center"/>
            </w:pPr>
            <w:r w:rsidRPr="005A68E6">
              <w:t xml:space="preserve">2024 </w:t>
            </w:r>
            <w:r w:rsidRPr="005A68E6">
              <w:rPr>
                <w:lang w:val="en-US"/>
              </w:rPr>
              <w:t>forecast</w:t>
            </w:r>
          </w:p>
        </w:tc>
        <w:tc>
          <w:tcPr>
            <w:tcW w:w="990" w:type="dxa"/>
            <w:tcBorders>
              <w:top w:val="thinThickThinSmallGap" w:sz="24" w:space="0" w:color="auto"/>
              <w:left w:val="nil"/>
              <w:bottom w:val="thinThickSmallGap" w:sz="24" w:space="0" w:color="auto"/>
              <w:right w:val="nil"/>
            </w:tcBorders>
            <w:shd w:val="clear" w:color="auto" w:fill="5B9BD5"/>
            <w:vAlign w:val="center"/>
          </w:tcPr>
          <w:p w14:paraId="61814013" w14:textId="42AAFC33" w:rsidR="00D1305E" w:rsidRPr="005A68E6" w:rsidRDefault="00D1305E" w:rsidP="00D1305E">
            <w:pPr>
              <w:spacing w:line="240" w:lineRule="auto"/>
              <w:ind w:firstLine="44"/>
              <w:jc w:val="center"/>
            </w:pPr>
            <w:r w:rsidRPr="005A68E6">
              <w:t xml:space="preserve">2025 </w:t>
            </w:r>
            <w:r w:rsidRPr="005A68E6">
              <w:rPr>
                <w:lang w:val="en-US"/>
              </w:rPr>
              <w:t>forecast</w:t>
            </w:r>
          </w:p>
        </w:tc>
        <w:tc>
          <w:tcPr>
            <w:tcW w:w="1056" w:type="dxa"/>
            <w:tcBorders>
              <w:top w:val="thinThickThinSmallGap" w:sz="24" w:space="0" w:color="auto"/>
              <w:left w:val="nil"/>
              <w:bottom w:val="thinThickSmallGap" w:sz="24" w:space="0" w:color="auto"/>
              <w:right w:val="nil"/>
            </w:tcBorders>
            <w:shd w:val="clear" w:color="auto" w:fill="5B9BD5"/>
            <w:vAlign w:val="center"/>
          </w:tcPr>
          <w:p w14:paraId="026E0D62" w14:textId="15082443" w:rsidR="00D1305E" w:rsidRPr="005A68E6" w:rsidRDefault="00D1305E" w:rsidP="00D1305E">
            <w:pPr>
              <w:spacing w:line="240" w:lineRule="auto"/>
              <w:ind w:firstLine="44"/>
              <w:jc w:val="center"/>
            </w:pPr>
            <w:r w:rsidRPr="005A68E6">
              <w:t xml:space="preserve">2026 </w:t>
            </w:r>
            <w:r w:rsidRPr="005A68E6">
              <w:rPr>
                <w:lang w:val="en-US"/>
              </w:rPr>
              <w:t>forecast</w:t>
            </w:r>
          </w:p>
        </w:tc>
      </w:tr>
      <w:tr w:rsidR="00F668C8" w:rsidRPr="005A68E6" w14:paraId="56FBB866" w14:textId="77777777" w:rsidTr="00D1305E">
        <w:trPr>
          <w:trHeight w:val="690"/>
          <w:jc w:val="center"/>
        </w:trPr>
        <w:tc>
          <w:tcPr>
            <w:tcW w:w="5220" w:type="dxa"/>
            <w:tcBorders>
              <w:top w:val="thinThickSmallGap" w:sz="24" w:space="0" w:color="auto"/>
              <w:left w:val="nil"/>
              <w:right w:val="nil"/>
            </w:tcBorders>
            <w:vAlign w:val="center"/>
          </w:tcPr>
          <w:p w14:paraId="619EA6F4" w14:textId="10F3732C" w:rsidR="00F668C8" w:rsidRPr="005A68E6" w:rsidRDefault="00866AB6" w:rsidP="007E37AA">
            <w:pPr>
              <w:spacing w:line="240" w:lineRule="auto"/>
              <w:ind w:firstLine="44"/>
              <w:jc w:val="left"/>
              <w:rPr>
                <w:b/>
              </w:rPr>
            </w:pPr>
            <w:r w:rsidRPr="005A68E6">
              <w:rPr>
                <w:b/>
                <w:color w:val="000000"/>
              </w:rPr>
              <w:t>Average time to maturity for RA Government</w:t>
            </w:r>
            <w:r w:rsidRPr="005A68E6">
              <w:rPr>
                <w:b/>
                <w:color w:val="000000"/>
                <w:lang w:val="en-US"/>
              </w:rPr>
              <w:t xml:space="preserve"> debt </w:t>
            </w:r>
            <w:r w:rsidRPr="005A68E6">
              <w:rPr>
                <w:b/>
                <w:color w:val="000000"/>
              </w:rPr>
              <w:t>(</w:t>
            </w:r>
            <w:r w:rsidRPr="005A68E6">
              <w:rPr>
                <w:b/>
                <w:color w:val="000000"/>
                <w:lang w:val="en-US"/>
              </w:rPr>
              <w:t>years</w:t>
            </w:r>
            <w:r w:rsidRPr="005A68E6">
              <w:rPr>
                <w:b/>
                <w:color w:val="000000"/>
              </w:rPr>
              <w:t>)</w:t>
            </w:r>
          </w:p>
        </w:tc>
        <w:tc>
          <w:tcPr>
            <w:tcW w:w="1170" w:type="dxa"/>
            <w:tcBorders>
              <w:top w:val="thinThickSmallGap" w:sz="24" w:space="0" w:color="auto"/>
              <w:left w:val="nil"/>
              <w:right w:val="nil"/>
            </w:tcBorders>
            <w:vAlign w:val="center"/>
          </w:tcPr>
          <w:p w14:paraId="1E77C4FF" w14:textId="77777777" w:rsidR="00F668C8" w:rsidRPr="005A68E6" w:rsidRDefault="00F668C8" w:rsidP="005341FA">
            <w:pPr>
              <w:spacing w:line="240" w:lineRule="auto"/>
              <w:ind w:firstLine="44"/>
              <w:jc w:val="center"/>
              <w:rPr>
                <w:b/>
                <w:lang w:val="en-US"/>
              </w:rPr>
            </w:pPr>
            <w:r w:rsidRPr="005A68E6">
              <w:rPr>
                <w:b/>
                <w:lang w:val="en-US"/>
              </w:rPr>
              <w:t>7.7</w:t>
            </w:r>
          </w:p>
        </w:tc>
        <w:tc>
          <w:tcPr>
            <w:tcW w:w="1260" w:type="dxa"/>
            <w:tcBorders>
              <w:top w:val="thinThickSmallGap" w:sz="24" w:space="0" w:color="auto"/>
              <w:left w:val="nil"/>
              <w:right w:val="nil"/>
            </w:tcBorders>
            <w:vAlign w:val="center"/>
          </w:tcPr>
          <w:p w14:paraId="73CD22C1" w14:textId="77777777" w:rsidR="00F668C8" w:rsidRPr="005A68E6" w:rsidRDefault="00F668C8" w:rsidP="005341FA">
            <w:pPr>
              <w:spacing w:line="240" w:lineRule="auto"/>
              <w:ind w:firstLine="44"/>
              <w:jc w:val="center"/>
              <w:rPr>
                <w:b/>
              </w:rPr>
            </w:pPr>
            <w:r w:rsidRPr="005A68E6">
              <w:rPr>
                <w:b/>
                <w:lang w:val="en-US"/>
              </w:rPr>
              <w:t>7.</w:t>
            </w:r>
            <w:r w:rsidRPr="005A68E6">
              <w:rPr>
                <w:b/>
              </w:rPr>
              <w:t>2</w:t>
            </w:r>
          </w:p>
        </w:tc>
        <w:tc>
          <w:tcPr>
            <w:tcW w:w="990" w:type="dxa"/>
            <w:tcBorders>
              <w:top w:val="thinThickSmallGap" w:sz="24" w:space="0" w:color="auto"/>
              <w:left w:val="nil"/>
              <w:right w:val="nil"/>
            </w:tcBorders>
            <w:vAlign w:val="center"/>
          </w:tcPr>
          <w:p w14:paraId="1FBB4831" w14:textId="77777777" w:rsidR="00F668C8" w:rsidRPr="005A68E6" w:rsidRDefault="00F668C8" w:rsidP="005341FA">
            <w:pPr>
              <w:spacing w:line="240" w:lineRule="auto"/>
              <w:ind w:firstLine="44"/>
              <w:jc w:val="center"/>
              <w:rPr>
                <w:b/>
              </w:rPr>
            </w:pPr>
            <w:r w:rsidRPr="005A68E6">
              <w:rPr>
                <w:b/>
              </w:rPr>
              <w:t>7.0</w:t>
            </w:r>
          </w:p>
        </w:tc>
        <w:tc>
          <w:tcPr>
            <w:tcW w:w="990" w:type="dxa"/>
            <w:tcBorders>
              <w:top w:val="thinThickSmallGap" w:sz="24" w:space="0" w:color="auto"/>
              <w:left w:val="nil"/>
              <w:right w:val="nil"/>
            </w:tcBorders>
            <w:vAlign w:val="center"/>
          </w:tcPr>
          <w:p w14:paraId="6ECD3FDD" w14:textId="77777777" w:rsidR="00F668C8" w:rsidRPr="005A68E6" w:rsidRDefault="00F668C8" w:rsidP="0070296A">
            <w:pPr>
              <w:spacing w:line="240" w:lineRule="auto"/>
              <w:ind w:firstLine="44"/>
              <w:jc w:val="center"/>
              <w:rPr>
                <w:b/>
              </w:rPr>
            </w:pPr>
            <w:r w:rsidRPr="005A68E6">
              <w:rPr>
                <w:b/>
              </w:rPr>
              <w:t>7.4</w:t>
            </w:r>
          </w:p>
        </w:tc>
        <w:tc>
          <w:tcPr>
            <w:tcW w:w="1056" w:type="dxa"/>
            <w:tcBorders>
              <w:top w:val="thinThickSmallGap" w:sz="24" w:space="0" w:color="auto"/>
              <w:left w:val="nil"/>
              <w:right w:val="nil"/>
            </w:tcBorders>
            <w:vAlign w:val="center"/>
          </w:tcPr>
          <w:p w14:paraId="5317E6BD" w14:textId="77777777" w:rsidR="00F668C8" w:rsidRPr="005A68E6" w:rsidRDefault="00F668C8" w:rsidP="0070296A">
            <w:pPr>
              <w:spacing w:line="240" w:lineRule="auto"/>
              <w:ind w:firstLine="44"/>
              <w:jc w:val="center"/>
              <w:rPr>
                <w:b/>
              </w:rPr>
            </w:pPr>
            <w:r w:rsidRPr="005A68E6">
              <w:rPr>
                <w:b/>
              </w:rPr>
              <w:t>7.3</w:t>
            </w:r>
          </w:p>
        </w:tc>
      </w:tr>
      <w:tr w:rsidR="00F668C8" w:rsidRPr="005A68E6" w14:paraId="356D100F" w14:textId="77777777" w:rsidTr="00D1305E">
        <w:trPr>
          <w:trHeight w:val="694"/>
          <w:jc w:val="center"/>
        </w:trPr>
        <w:tc>
          <w:tcPr>
            <w:tcW w:w="5220" w:type="dxa"/>
            <w:tcBorders>
              <w:left w:val="nil"/>
              <w:bottom w:val="single" w:sz="4" w:space="0" w:color="auto"/>
              <w:right w:val="nil"/>
            </w:tcBorders>
            <w:vAlign w:val="center"/>
          </w:tcPr>
          <w:p w14:paraId="11DE15CC" w14:textId="465E621C" w:rsidR="00F668C8" w:rsidRPr="005A68E6" w:rsidRDefault="00866AB6" w:rsidP="00866AB6">
            <w:pPr>
              <w:spacing w:line="240" w:lineRule="auto"/>
              <w:ind w:left="327" w:firstLine="44"/>
              <w:jc w:val="left"/>
            </w:pPr>
            <w:r w:rsidRPr="005A68E6">
              <w:rPr>
                <w:color w:val="000000"/>
              </w:rPr>
              <w:t>Average time to maturity for RA Government foreign currency</w:t>
            </w:r>
            <w:r w:rsidRPr="005A68E6">
              <w:rPr>
                <w:color w:val="000000"/>
                <w:lang w:val="en-US"/>
              </w:rPr>
              <w:t xml:space="preserve"> </w:t>
            </w:r>
            <w:r w:rsidRPr="005A68E6">
              <w:rPr>
                <w:color w:val="000000"/>
              </w:rPr>
              <w:t>de</w:t>
            </w:r>
            <w:r w:rsidRPr="005A68E6">
              <w:rPr>
                <w:color w:val="000000"/>
                <w:lang w:val="en-US"/>
              </w:rPr>
              <w:t xml:space="preserve">bt </w:t>
            </w:r>
            <w:r w:rsidRPr="005A68E6">
              <w:rPr>
                <w:color w:val="000000"/>
              </w:rPr>
              <w:t>(</w:t>
            </w:r>
            <w:r w:rsidRPr="005A68E6">
              <w:rPr>
                <w:color w:val="000000"/>
                <w:lang w:val="en-US"/>
              </w:rPr>
              <w:t>years</w:t>
            </w:r>
            <w:r w:rsidRPr="005A68E6">
              <w:rPr>
                <w:color w:val="000000"/>
              </w:rPr>
              <w:t>)</w:t>
            </w:r>
          </w:p>
        </w:tc>
        <w:tc>
          <w:tcPr>
            <w:tcW w:w="1170" w:type="dxa"/>
            <w:tcBorders>
              <w:left w:val="nil"/>
              <w:bottom w:val="single" w:sz="4" w:space="0" w:color="auto"/>
              <w:right w:val="nil"/>
            </w:tcBorders>
            <w:vAlign w:val="center"/>
          </w:tcPr>
          <w:p w14:paraId="0FF6E670" w14:textId="77777777" w:rsidR="00F668C8" w:rsidRPr="005A68E6" w:rsidRDefault="00F668C8" w:rsidP="005341FA">
            <w:pPr>
              <w:spacing w:line="240" w:lineRule="auto"/>
              <w:ind w:firstLine="44"/>
              <w:jc w:val="center"/>
              <w:rPr>
                <w:lang w:val="en-US"/>
              </w:rPr>
            </w:pPr>
            <w:r w:rsidRPr="005A68E6">
              <w:rPr>
                <w:lang w:val="en-US"/>
              </w:rPr>
              <w:t>7.1</w:t>
            </w:r>
          </w:p>
        </w:tc>
        <w:tc>
          <w:tcPr>
            <w:tcW w:w="1260" w:type="dxa"/>
            <w:tcBorders>
              <w:left w:val="nil"/>
              <w:bottom w:val="single" w:sz="4" w:space="0" w:color="auto"/>
              <w:right w:val="nil"/>
            </w:tcBorders>
            <w:vAlign w:val="center"/>
          </w:tcPr>
          <w:p w14:paraId="0DF31A6D" w14:textId="77777777" w:rsidR="00F668C8" w:rsidRPr="005A68E6" w:rsidRDefault="00F668C8" w:rsidP="005341FA">
            <w:pPr>
              <w:spacing w:line="240" w:lineRule="auto"/>
              <w:ind w:firstLine="44"/>
              <w:jc w:val="center"/>
            </w:pPr>
            <w:r w:rsidRPr="005A68E6">
              <w:t>6.7</w:t>
            </w:r>
          </w:p>
        </w:tc>
        <w:tc>
          <w:tcPr>
            <w:tcW w:w="990" w:type="dxa"/>
            <w:tcBorders>
              <w:left w:val="nil"/>
              <w:bottom w:val="single" w:sz="4" w:space="0" w:color="auto"/>
              <w:right w:val="nil"/>
            </w:tcBorders>
            <w:vAlign w:val="center"/>
          </w:tcPr>
          <w:p w14:paraId="424982DE" w14:textId="77777777" w:rsidR="00F668C8" w:rsidRPr="005A68E6" w:rsidRDefault="00F668C8" w:rsidP="00074649">
            <w:pPr>
              <w:spacing w:line="240" w:lineRule="auto"/>
              <w:ind w:firstLine="44"/>
              <w:jc w:val="center"/>
            </w:pPr>
            <w:r w:rsidRPr="005A68E6">
              <w:rPr>
                <w:lang w:val="en-US"/>
              </w:rPr>
              <w:t>6.</w:t>
            </w:r>
            <w:r w:rsidRPr="005A68E6">
              <w:t>5</w:t>
            </w:r>
          </w:p>
        </w:tc>
        <w:tc>
          <w:tcPr>
            <w:tcW w:w="990" w:type="dxa"/>
            <w:tcBorders>
              <w:left w:val="nil"/>
              <w:bottom w:val="single" w:sz="4" w:space="0" w:color="auto"/>
              <w:right w:val="nil"/>
            </w:tcBorders>
            <w:vAlign w:val="center"/>
          </w:tcPr>
          <w:p w14:paraId="192E4C21" w14:textId="77777777" w:rsidR="00F668C8" w:rsidRPr="005A68E6" w:rsidRDefault="00F668C8" w:rsidP="0070296A">
            <w:pPr>
              <w:spacing w:line="240" w:lineRule="auto"/>
              <w:ind w:firstLine="44"/>
              <w:jc w:val="center"/>
            </w:pPr>
            <w:r w:rsidRPr="005A68E6">
              <w:t>7</w:t>
            </w:r>
            <w:r w:rsidRPr="005A68E6">
              <w:rPr>
                <w:lang w:val="en-US"/>
              </w:rPr>
              <w:t>.</w:t>
            </w:r>
            <w:r w:rsidRPr="005A68E6">
              <w:t>1</w:t>
            </w:r>
          </w:p>
        </w:tc>
        <w:tc>
          <w:tcPr>
            <w:tcW w:w="1056" w:type="dxa"/>
            <w:tcBorders>
              <w:left w:val="nil"/>
              <w:bottom w:val="single" w:sz="4" w:space="0" w:color="auto"/>
              <w:right w:val="nil"/>
            </w:tcBorders>
            <w:vAlign w:val="center"/>
          </w:tcPr>
          <w:p w14:paraId="202B3A6C" w14:textId="77777777" w:rsidR="00F668C8" w:rsidRPr="005A68E6" w:rsidRDefault="00F668C8" w:rsidP="0070296A">
            <w:pPr>
              <w:spacing w:line="240" w:lineRule="auto"/>
              <w:ind w:firstLine="44"/>
              <w:jc w:val="center"/>
            </w:pPr>
            <w:r w:rsidRPr="005A68E6">
              <w:t>7.0</w:t>
            </w:r>
          </w:p>
        </w:tc>
      </w:tr>
      <w:tr w:rsidR="00F668C8" w:rsidRPr="005A68E6" w14:paraId="61BDF744" w14:textId="77777777" w:rsidTr="00D1305E">
        <w:trPr>
          <w:trHeight w:val="676"/>
          <w:jc w:val="center"/>
        </w:trPr>
        <w:tc>
          <w:tcPr>
            <w:tcW w:w="5220" w:type="dxa"/>
            <w:tcBorders>
              <w:left w:val="nil"/>
              <w:bottom w:val="single" w:sz="12" w:space="0" w:color="auto"/>
              <w:right w:val="nil"/>
            </w:tcBorders>
            <w:vAlign w:val="center"/>
          </w:tcPr>
          <w:p w14:paraId="340DEC96" w14:textId="7EC415BA" w:rsidR="00F668C8" w:rsidRPr="005A68E6" w:rsidRDefault="00866AB6" w:rsidP="00866AB6">
            <w:pPr>
              <w:spacing w:line="240" w:lineRule="auto"/>
              <w:ind w:left="327" w:firstLine="44"/>
              <w:jc w:val="left"/>
            </w:pPr>
            <w:r w:rsidRPr="005A68E6">
              <w:rPr>
                <w:color w:val="000000"/>
              </w:rPr>
              <w:t xml:space="preserve">Average time to maturity for RA Government </w:t>
            </w:r>
            <w:r w:rsidRPr="005A68E6">
              <w:rPr>
                <w:color w:val="000000"/>
                <w:lang w:val="en-US"/>
              </w:rPr>
              <w:t>local</w:t>
            </w:r>
            <w:r w:rsidRPr="005A68E6">
              <w:rPr>
                <w:color w:val="000000"/>
              </w:rPr>
              <w:t xml:space="preserve"> currency</w:t>
            </w:r>
            <w:r w:rsidRPr="005A68E6">
              <w:rPr>
                <w:color w:val="000000"/>
                <w:lang w:val="en-US"/>
              </w:rPr>
              <w:t xml:space="preserve"> </w:t>
            </w:r>
            <w:r w:rsidRPr="005A68E6">
              <w:rPr>
                <w:color w:val="000000"/>
              </w:rPr>
              <w:t>de</w:t>
            </w:r>
            <w:r w:rsidRPr="005A68E6">
              <w:rPr>
                <w:color w:val="000000"/>
                <w:lang w:val="en-US"/>
              </w:rPr>
              <w:t xml:space="preserve">bt </w:t>
            </w:r>
            <w:r w:rsidRPr="005A68E6">
              <w:rPr>
                <w:color w:val="000000"/>
              </w:rPr>
              <w:t>(</w:t>
            </w:r>
            <w:r w:rsidRPr="005A68E6">
              <w:rPr>
                <w:color w:val="000000"/>
                <w:lang w:val="en-US"/>
              </w:rPr>
              <w:t>years</w:t>
            </w:r>
            <w:r w:rsidRPr="005A68E6">
              <w:rPr>
                <w:color w:val="000000"/>
              </w:rPr>
              <w:t>)</w:t>
            </w:r>
          </w:p>
        </w:tc>
        <w:tc>
          <w:tcPr>
            <w:tcW w:w="1170" w:type="dxa"/>
            <w:tcBorders>
              <w:left w:val="nil"/>
              <w:bottom w:val="single" w:sz="12" w:space="0" w:color="auto"/>
              <w:right w:val="nil"/>
            </w:tcBorders>
            <w:vAlign w:val="center"/>
          </w:tcPr>
          <w:p w14:paraId="153A07DE" w14:textId="77777777" w:rsidR="00F668C8" w:rsidRPr="005A68E6" w:rsidRDefault="00F668C8" w:rsidP="005341FA">
            <w:pPr>
              <w:spacing w:line="240" w:lineRule="auto"/>
              <w:ind w:firstLine="44"/>
              <w:jc w:val="center"/>
              <w:rPr>
                <w:lang w:val="en-US"/>
              </w:rPr>
            </w:pPr>
            <w:r w:rsidRPr="005A68E6">
              <w:rPr>
                <w:lang w:val="en-US"/>
              </w:rPr>
              <w:t>8.7</w:t>
            </w:r>
          </w:p>
        </w:tc>
        <w:tc>
          <w:tcPr>
            <w:tcW w:w="1260" w:type="dxa"/>
            <w:tcBorders>
              <w:left w:val="nil"/>
              <w:bottom w:val="single" w:sz="12" w:space="0" w:color="auto"/>
              <w:right w:val="nil"/>
            </w:tcBorders>
            <w:vAlign w:val="center"/>
          </w:tcPr>
          <w:p w14:paraId="6E4C8D29" w14:textId="77777777" w:rsidR="00F668C8" w:rsidRPr="005A68E6" w:rsidRDefault="00F668C8" w:rsidP="005341FA">
            <w:pPr>
              <w:spacing w:line="240" w:lineRule="auto"/>
              <w:ind w:firstLine="44"/>
              <w:jc w:val="center"/>
            </w:pPr>
            <w:r w:rsidRPr="005A68E6">
              <w:t>7</w:t>
            </w:r>
            <w:r w:rsidRPr="005A68E6">
              <w:rPr>
                <w:lang w:val="en-US"/>
              </w:rPr>
              <w:t>.</w:t>
            </w:r>
            <w:r w:rsidRPr="005A68E6">
              <w:t>9</w:t>
            </w:r>
          </w:p>
        </w:tc>
        <w:tc>
          <w:tcPr>
            <w:tcW w:w="990" w:type="dxa"/>
            <w:tcBorders>
              <w:left w:val="nil"/>
              <w:bottom w:val="single" w:sz="12" w:space="0" w:color="auto"/>
              <w:right w:val="nil"/>
            </w:tcBorders>
            <w:vAlign w:val="center"/>
          </w:tcPr>
          <w:p w14:paraId="09D062F9" w14:textId="77777777" w:rsidR="00F668C8" w:rsidRPr="005A68E6" w:rsidRDefault="00F668C8" w:rsidP="007E37AA">
            <w:pPr>
              <w:spacing w:line="240" w:lineRule="auto"/>
              <w:ind w:firstLine="44"/>
              <w:jc w:val="center"/>
              <w:rPr>
                <w:lang w:val="en-US"/>
              </w:rPr>
            </w:pPr>
            <w:r w:rsidRPr="005A68E6">
              <w:t>7</w:t>
            </w:r>
            <w:r w:rsidRPr="005A68E6">
              <w:rPr>
                <w:lang w:val="en-US"/>
              </w:rPr>
              <w:t>.6</w:t>
            </w:r>
          </w:p>
        </w:tc>
        <w:tc>
          <w:tcPr>
            <w:tcW w:w="990" w:type="dxa"/>
            <w:tcBorders>
              <w:left w:val="nil"/>
              <w:bottom w:val="single" w:sz="12" w:space="0" w:color="auto"/>
              <w:right w:val="nil"/>
            </w:tcBorders>
            <w:vAlign w:val="center"/>
          </w:tcPr>
          <w:p w14:paraId="1A718E5A" w14:textId="77777777" w:rsidR="00F668C8" w:rsidRPr="005A68E6" w:rsidRDefault="00F668C8" w:rsidP="005341FA">
            <w:pPr>
              <w:spacing w:line="240" w:lineRule="auto"/>
              <w:ind w:firstLine="44"/>
              <w:jc w:val="center"/>
            </w:pPr>
            <w:r w:rsidRPr="005A68E6">
              <w:t>7</w:t>
            </w:r>
            <w:r w:rsidRPr="005A68E6">
              <w:rPr>
                <w:lang w:val="en-US"/>
              </w:rPr>
              <w:t>.</w:t>
            </w:r>
            <w:r w:rsidRPr="005A68E6">
              <w:t>7</w:t>
            </w:r>
          </w:p>
        </w:tc>
        <w:tc>
          <w:tcPr>
            <w:tcW w:w="1056" w:type="dxa"/>
            <w:tcBorders>
              <w:left w:val="nil"/>
              <w:bottom w:val="single" w:sz="12" w:space="0" w:color="auto"/>
              <w:right w:val="nil"/>
            </w:tcBorders>
            <w:vAlign w:val="center"/>
          </w:tcPr>
          <w:p w14:paraId="116EC666" w14:textId="77777777" w:rsidR="00F668C8" w:rsidRPr="005A68E6" w:rsidRDefault="00F668C8" w:rsidP="005341FA">
            <w:pPr>
              <w:spacing w:line="240" w:lineRule="auto"/>
              <w:ind w:firstLine="44"/>
              <w:jc w:val="center"/>
            </w:pPr>
            <w:r w:rsidRPr="005A68E6">
              <w:t>7.6</w:t>
            </w:r>
          </w:p>
        </w:tc>
      </w:tr>
      <w:tr w:rsidR="00F668C8" w:rsidRPr="005A68E6" w14:paraId="4C93A161" w14:textId="77777777" w:rsidTr="00D1305E">
        <w:trPr>
          <w:trHeight w:val="593"/>
          <w:jc w:val="center"/>
        </w:trPr>
        <w:tc>
          <w:tcPr>
            <w:tcW w:w="5220" w:type="dxa"/>
            <w:tcBorders>
              <w:top w:val="single" w:sz="12" w:space="0" w:color="auto"/>
              <w:left w:val="nil"/>
              <w:right w:val="nil"/>
            </w:tcBorders>
            <w:vAlign w:val="center"/>
          </w:tcPr>
          <w:p w14:paraId="4FC3DF18" w14:textId="6C64A11C" w:rsidR="00F668C8" w:rsidRPr="005A68E6" w:rsidRDefault="00EF5F89" w:rsidP="007E37AA">
            <w:pPr>
              <w:spacing w:line="240" w:lineRule="auto"/>
              <w:ind w:firstLine="44"/>
              <w:jc w:val="left"/>
              <w:rPr>
                <w:b/>
                <w:color w:val="000000"/>
              </w:rPr>
            </w:pPr>
            <w:r w:rsidRPr="005A68E6">
              <w:rPr>
                <w:b/>
                <w:color w:val="000000"/>
              </w:rPr>
              <w:t>Share of RA Government debt matu</w:t>
            </w:r>
            <w:r w:rsidR="00866AB6" w:rsidRPr="005A68E6">
              <w:rPr>
                <w:b/>
                <w:color w:val="000000"/>
              </w:rPr>
              <w:t>ring in one year (%)</w:t>
            </w:r>
          </w:p>
        </w:tc>
        <w:tc>
          <w:tcPr>
            <w:tcW w:w="1170" w:type="dxa"/>
            <w:tcBorders>
              <w:top w:val="single" w:sz="12" w:space="0" w:color="auto"/>
              <w:left w:val="nil"/>
              <w:right w:val="nil"/>
            </w:tcBorders>
            <w:vAlign w:val="center"/>
          </w:tcPr>
          <w:p w14:paraId="28526B12" w14:textId="77777777" w:rsidR="00F668C8" w:rsidRPr="005A68E6" w:rsidRDefault="00F668C8" w:rsidP="005341FA">
            <w:pPr>
              <w:spacing w:line="240" w:lineRule="auto"/>
              <w:ind w:firstLine="44"/>
              <w:jc w:val="center"/>
              <w:rPr>
                <w:b/>
                <w:lang w:val="en-US"/>
              </w:rPr>
            </w:pPr>
            <w:r w:rsidRPr="005A68E6">
              <w:rPr>
                <w:b/>
                <w:lang w:val="en-US"/>
              </w:rPr>
              <w:t>8.0</w:t>
            </w:r>
          </w:p>
        </w:tc>
        <w:tc>
          <w:tcPr>
            <w:tcW w:w="1260" w:type="dxa"/>
            <w:tcBorders>
              <w:top w:val="single" w:sz="12" w:space="0" w:color="auto"/>
              <w:left w:val="nil"/>
              <w:right w:val="nil"/>
            </w:tcBorders>
            <w:vAlign w:val="center"/>
          </w:tcPr>
          <w:p w14:paraId="7CE252B9" w14:textId="77777777" w:rsidR="00F668C8" w:rsidRPr="005A68E6" w:rsidRDefault="00F668C8" w:rsidP="005341FA">
            <w:pPr>
              <w:spacing w:line="240" w:lineRule="auto"/>
              <w:ind w:firstLine="44"/>
              <w:jc w:val="center"/>
              <w:rPr>
                <w:b/>
              </w:rPr>
            </w:pPr>
            <w:r w:rsidRPr="005A68E6">
              <w:rPr>
                <w:b/>
              </w:rPr>
              <w:t>9.4</w:t>
            </w:r>
          </w:p>
        </w:tc>
        <w:tc>
          <w:tcPr>
            <w:tcW w:w="990" w:type="dxa"/>
            <w:tcBorders>
              <w:top w:val="single" w:sz="12" w:space="0" w:color="auto"/>
              <w:left w:val="nil"/>
              <w:right w:val="nil"/>
            </w:tcBorders>
            <w:vAlign w:val="center"/>
          </w:tcPr>
          <w:p w14:paraId="118C8476" w14:textId="77777777" w:rsidR="00F668C8" w:rsidRPr="005A68E6" w:rsidRDefault="00F668C8" w:rsidP="005341FA">
            <w:pPr>
              <w:spacing w:line="240" w:lineRule="auto"/>
              <w:ind w:firstLine="44"/>
              <w:jc w:val="center"/>
              <w:rPr>
                <w:b/>
              </w:rPr>
            </w:pPr>
            <w:r w:rsidRPr="005A68E6">
              <w:rPr>
                <w:b/>
              </w:rPr>
              <w:t>14.4</w:t>
            </w:r>
          </w:p>
        </w:tc>
        <w:tc>
          <w:tcPr>
            <w:tcW w:w="990" w:type="dxa"/>
            <w:tcBorders>
              <w:top w:val="single" w:sz="12" w:space="0" w:color="auto"/>
              <w:left w:val="nil"/>
              <w:right w:val="nil"/>
            </w:tcBorders>
            <w:vAlign w:val="center"/>
          </w:tcPr>
          <w:p w14:paraId="56C26314" w14:textId="77777777" w:rsidR="00F668C8" w:rsidRPr="005A68E6" w:rsidRDefault="00F668C8" w:rsidP="0070296A">
            <w:pPr>
              <w:spacing w:line="240" w:lineRule="auto"/>
              <w:ind w:firstLine="44"/>
              <w:jc w:val="center"/>
              <w:rPr>
                <w:b/>
              </w:rPr>
            </w:pPr>
            <w:r w:rsidRPr="005A68E6">
              <w:rPr>
                <w:b/>
              </w:rPr>
              <w:t>10.1</w:t>
            </w:r>
          </w:p>
        </w:tc>
        <w:tc>
          <w:tcPr>
            <w:tcW w:w="1056" w:type="dxa"/>
            <w:tcBorders>
              <w:top w:val="single" w:sz="12" w:space="0" w:color="auto"/>
              <w:left w:val="nil"/>
              <w:right w:val="nil"/>
            </w:tcBorders>
            <w:vAlign w:val="center"/>
          </w:tcPr>
          <w:p w14:paraId="7A5FE9A7" w14:textId="77777777" w:rsidR="00F668C8" w:rsidRPr="005A68E6" w:rsidRDefault="00F668C8" w:rsidP="0070296A">
            <w:pPr>
              <w:spacing w:line="240" w:lineRule="auto"/>
              <w:ind w:firstLine="44"/>
              <w:jc w:val="center"/>
              <w:rPr>
                <w:b/>
              </w:rPr>
            </w:pPr>
            <w:r w:rsidRPr="005A68E6">
              <w:rPr>
                <w:b/>
              </w:rPr>
              <w:t>9.8</w:t>
            </w:r>
          </w:p>
        </w:tc>
      </w:tr>
      <w:tr w:rsidR="00866AB6" w:rsidRPr="005A68E6" w14:paraId="4919469E" w14:textId="77777777" w:rsidTr="00D1305E">
        <w:trPr>
          <w:trHeight w:val="622"/>
          <w:jc w:val="center"/>
        </w:trPr>
        <w:tc>
          <w:tcPr>
            <w:tcW w:w="5220" w:type="dxa"/>
            <w:tcBorders>
              <w:left w:val="nil"/>
              <w:right w:val="nil"/>
            </w:tcBorders>
            <w:vAlign w:val="center"/>
          </w:tcPr>
          <w:p w14:paraId="56A2EDDD" w14:textId="25F8085C" w:rsidR="00866AB6" w:rsidRPr="005A68E6" w:rsidRDefault="00866AB6" w:rsidP="00866AB6">
            <w:pPr>
              <w:spacing w:line="240" w:lineRule="auto"/>
              <w:ind w:left="327" w:firstLine="44"/>
              <w:jc w:val="left"/>
            </w:pPr>
            <w:r w:rsidRPr="005A68E6">
              <w:rPr>
                <w:color w:val="000000"/>
              </w:rPr>
              <w:t>Share of RA Government foreign currency</w:t>
            </w:r>
            <w:r w:rsidRPr="005A68E6">
              <w:rPr>
                <w:color w:val="000000"/>
                <w:lang w:val="en-US"/>
              </w:rPr>
              <w:t xml:space="preserve"> </w:t>
            </w:r>
            <w:r w:rsidRPr="005A68E6">
              <w:rPr>
                <w:color w:val="000000"/>
              </w:rPr>
              <w:t>debt maturing in one year</w:t>
            </w:r>
            <w:r w:rsidR="00EF5F89" w:rsidRPr="005A68E6">
              <w:rPr>
                <w:color w:val="000000"/>
                <w:lang w:val="en-US"/>
              </w:rPr>
              <w:t xml:space="preserve"> in</w:t>
            </w:r>
            <w:r w:rsidR="00EF5F89" w:rsidRPr="005A68E6">
              <w:rPr>
                <w:color w:val="000000"/>
              </w:rPr>
              <w:t xml:space="preserve"> foreign currency</w:t>
            </w:r>
            <w:r w:rsidR="00EF5F89" w:rsidRPr="005A68E6">
              <w:rPr>
                <w:color w:val="000000"/>
                <w:lang w:val="en-US"/>
              </w:rPr>
              <w:t xml:space="preserve"> </w:t>
            </w:r>
            <w:r w:rsidR="00EF5F89" w:rsidRPr="005A68E6">
              <w:rPr>
                <w:color w:val="000000"/>
              </w:rPr>
              <w:t>debt</w:t>
            </w:r>
            <w:r w:rsidRPr="005A68E6">
              <w:rPr>
                <w:color w:val="000000"/>
              </w:rPr>
              <w:t xml:space="preserve"> (%)</w:t>
            </w:r>
          </w:p>
        </w:tc>
        <w:tc>
          <w:tcPr>
            <w:tcW w:w="1170" w:type="dxa"/>
            <w:tcBorders>
              <w:left w:val="nil"/>
              <w:right w:val="nil"/>
            </w:tcBorders>
            <w:vAlign w:val="center"/>
          </w:tcPr>
          <w:p w14:paraId="438C1924" w14:textId="77777777" w:rsidR="00866AB6" w:rsidRPr="005A68E6" w:rsidRDefault="00866AB6" w:rsidP="00866AB6">
            <w:pPr>
              <w:spacing w:line="240" w:lineRule="auto"/>
              <w:ind w:firstLine="44"/>
              <w:jc w:val="center"/>
              <w:rPr>
                <w:lang w:val="en-US"/>
              </w:rPr>
            </w:pPr>
            <w:r w:rsidRPr="005A68E6">
              <w:rPr>
                <w:lang w:val="en-US"/>
              </w:rPr>
              <w:t>5.0</w:t>
            </w:r>
          </w:p>
        </w:tc>
        <w:tc>
          <w:tcPr>
            <w:tcW w:w="1260" w:type="dxa"/>
            <w:tcBorders>
              <w:left w:val="nil"/>
              <w:right w:val="nil"/>
            </w:tcBorders>
            <w:vAlign w:val="center"/>
          </w:tcPr>
          <w:p w14:paraId="70AD5C75" w14:textId="77777777" w:rsidR="00866AB6" w:rsidRPr="005A68E6" w:rsidRDefault="00866AB6" w:rsidP="00866AB6">
            <w:pPr>
              <w:spacing w:line="240" w:lineRule="auto"/>
              <w:ind w:firstLine="44"/>
              <w:jc w:val="center"/>
            </w:pPr>
            <w:r w:rsidRPr="005A68E6">
              <w:t>6</w:t>
            </w:r>
            <w:r w:rsidRPr="005A68E6">
              <w:rPr>
                <w:lang w:val="en-US"/>
              </w:rPr>
              <w:t>.</w:t>
            </w:r>
            <w:r w:rsidRPr="005A68E6">
              <w:t>4</w:t>
            </w:r>
          </w:p>
        </w:tc>
        <w:tc>
          <w:tcPr>
            <w:tcW w:w="990" w:type="dxa"/>
            <w:tcBorders>
              <w:left w:val="nil"/>
              <w:right w:val="nil"/>
            </w:tcBorders>
            <w:vAlign w:val="center"/>
          </w:tcPr>
          <w:p w14:paraId="45C0E14D" w14:textId="77777777" w:rsidR="00866AB6" w:rsidRPr="005A68E6" w:rsidRDefault="00866AB6" w:rsidP="00866AB6">
            <w:pPr>
              <w:spacing w:line="240" w:lineRule="auto"/>
              <w:ind w:firstLine="44"/>
              <w:jc w:val="center"/>
            </w:pPr>
            <w:r w:rsidRPr="005A68E6">
              <w:rPr>
                <w:lang w:val="en-US"/>
              </w:rPr>
              <w:t>13.</w:t>
            </w:r>
            <w:r w:rsidRPr="005A68E6">
              <w:t>7</w:t>
            </w:r>
          </w:p>
        </w:tc>
        <w:tc>
          <w:tcPr>
            <w:tcW w:w="990" w:type="dxa"/>
            <w:tcBorders>
              <w:left w:val="nil"/>
              <w:right w:val="nil"/>
            </w:tcBorders>
            <w:vAlign w:val="center"/>
          </w:tcPr>
          <w:p w14:paraId="139016ED" w14:textId="77777777" w:rsidR="00866AB6" w:rsidRPr="005A68E6" w:rsidRDefault="00866AB6" w:rsidP="00866AB6">
            <w:pPr>
              <w:spacing w:line="240" w:lineRule="auto"/>
              <w:ind w:firstLine="44"/>
              <w:jc w:val="center"/>
            </w:pPr>
            <w:r w:rsidRPr="005A68E6">
              <w:t>6</w:t>
            </w:r>
            <w:r w:rsidRPr="005A68E6">
              <w:rPr>
                <w:lang w:val="en-US"/>
              </w:rPr>
              <w:t>.</w:t>
            </w:r>
            <w:r w:rsidRPr="005A68E6">
              <w:t>8</w:t>
            </w:r>
          </w:p>
        </w:tc>
        <w:tc>
          <w:tcPr>
            <w:tcW w:w="1056" w:type="dxa"/>
            <w:tcBorders>
              <w:left w:val="nil"/>
              <w:right w:val="nil"/>
            </w:tcBorders>
            <w:vAlign w:val="center"/>
          </w:tcPr>
          <w:p w14:paraId="19CC2E4F" w14:textId="77777777" w:rsidR="00866AB6" w:rsidRPr="005A68E6" w:rsidRDefault="00866AB6" w:rsidP="00866AB6">
            <w:pPr>
              <w:spacing w:line="240" w:lineRule="auto"/>
              <w:ind w:firstLine="44"/>
              <w:jc w:val="center"/>
            </w:pPr>
            <w:r w:rsidRPr="005A68E6">
              <w:t>5.8</w:t>
            </w:r>
          </w:p>
        </w:tc>
      </w:tr>
      <w:tr w:rsidR="00866AB6" w:rsidRPr="005A68E6" w14:paraId="26946B90" w14:textId="77777777" w:rsidTr="00D1305E">
        <w:trPr>
          <w:trHeight w:val="649"/>
          <w:jc w:val="center"/>
        </w:trPr>
        <w:tc>
          <w:tcPr>
            <w:tcW w:w="5220" w:type="dxa"/>
            <w:tcBorders>
              <w:left w:val="nil"/>
              <w:bottom w:val="thickThinSmallGap" w:sz="24" w:space="0" w:color="auto"/>
              <w:right w:val="nil"/>
            </w:tcBorders>
            <w:vAlign w:val="center"/>
          </w:tcPr>
          <w:p w14:paraId="69B704E5" w14:textId="06054094" w:rsidR="00866AB6" w:rsidRPr="005A68E6" w:rsidRDefault="00866AB6" w:rsidP="00866AB6">
            <w:pPr>
              <w:spacing w:line="240" w:lineRule="auto"/>
              <w:ind w:left="327" w:firstLine="44"/>
              <w:jc w:val="left"/>
            </w:pPr>
            <w:r w:rsidRPr="005A68E6">
              <w:rPr>
                <w:color w:val="000000"/>
              </w:rPr>
              <w:t xml:space="preserve">Share of RA Government </w:t>
            </w:r>
            <w:r w:rsidRPr="005A68E6">
              <w:rPr>
                <w:color w:val="000000"/>
                <w:lang w:val="en-US"/>
              </w:rPr>
              <w:t>local</w:t>
            </w:r>
            <w:r w:rsidRPr="005A68E6">
              <w:rPr>
                <w:color w:val="000000"/>
              </w:rPr>
              <w:t xml:space="preserve"> currency debt maturing in one year </w:t>
            </w:r>
            <w:r w:rsidR="00EF5F89" w:rsidRPr="005A68E6">
              <w:rPr>
                <w:color w:val="000000"/>
                <w:lang w:val="en-US"/>
              </w:rPr>
              <w:t>in local</w:t>
            </w:r>
            <w:r w:rsidR="00EF5F89" w:rsidRPr="005A68E6">
              <w:rPr>
                <w:color w:val="000000"/>
              </w:rPr>
              <w:t xml:space="preserve"> currency debt </w:t>
            </w:r>
            <w:r w:rsidRPr="005A68E6">
              <w:rPr>
                <w:color w:val="000000"/>
              </w:rPr>
              <w:t>(%)</w:t>
            </w:r>
          </w:p>
        </w:tc>
        <w:tc>
          <w:tcPr>
            <w:tcW w:w="1170" w:type="dxa"/>
            <w:tcBorders>
              <w:left w:val="nil"/>
              <w:bottom w:val="thickThinSmallGap" w:sz="24" w:space="0" w:color="auto"/>
              <w:right w:val="nil"/>
            </w:tcBorders>
            <w:vAlign w:val="center"/>
          </w:tcPr>
          <w:p w14:paraId="2D43BBCE" w14:textId="77777777" w:rsidR="00866AB6" w:rsidRPr="005A68E6" w:rsidRDefault="00866AB6" w:rsidP="00866AB6">
            <w:pPr>
              <w:spacing w:line="240" w:lineRule="auto"/>
              <w:ind w:firstLine="44"/>
              <w:jc w:val="center"/>
              <w:rPr>
                <w:lang w:val="en-US"/>
              </w:rPr>
            </w:pPr>
            <w:r w:rsidRPr="005A68E6">
              <w:rPr>
                <w:lang w:val="en-US"/>
              </w:rPr>
              <w:t>13.1</w:t>
            </w:r>
          </w:p>
        </w:tc>
        <w:tc>
          <w:tcPr>
            <w:tcW w:w="1260" w:type="dxa"/>
            <w:tcBorders>
              <w:left w:val="nil"/>
              <w:bottom w:val="thickThinSmallGap" w:sz="24" w:space="0" w:color="auto"/>
              <w:right w:val="nil"/>
            </w:tcBorders>
            <w:vAlign w:val="center"/>
          </w:tcPr>
          <w:p w14:paraId="1A8895EB" w14:textId="77777777" w:rsidR="00866AB6" w:rsidRPr="005A68E6" w:rsidRDefault="00866AB6" w:rsidP="00866AB6">
            <w:pPr>
              <w:spacing w:line="240" w:lineRule="auto"/>
              <w:ind w:firstLine="44"/>
              <w:jc w:val="center"/>
            </w:pPr>
            <w:r w:rsidRPr="005A68E6">
              <w:rPr>
                <w:lang w:val="en-US"/>
              </w:rPr>
              <w:t>1</w:t>
            </w:r>
            <w:r w:rsidRPr="005A68E6">
              <w:t>3</w:t>
            </w:r>
            <w:r w:rsidRPr="005A68E6">
              <w:rPr>
                <w:lang w:val="en-US"/>
              </w:rPr>
              <w:t>.</w:t>
            </w:r>
            <w:r w:rsidRPr="005A68E6">
              <w:t>8</w:t>
            </w:r>
          </w:p>
        </w:tc>
        <w:tc>
          <w:tcPr>
            <w:tcW w:w="990" w:type="dxa"/>
            <w:tcBorders>
              <w:left w:val="nil"/>
              <w:bottom w:val="thickThinSmallGap" w:sz="24" w:space="0" w:color="auto"/>
              <w:right w:val="nil"/>
            </w:tcBorders>
            <w:vAlign w:val="center"/>
          </w:tcPr>
          <w:p w14:paraId="04EC282C" w14:textId="77777777" w:rsidR="00866AB6" w:rsidRPr="005A68E6" w:rsidRDefault="00866AB6" w:rsidP="00866AB6">
            <w:pPr>
              <w:spacing w:line="240" w:lineRule="auto"/>
              <w:ind w:firstLine="44"/>
              <w:jc w:val="center"/>
            </w:pPr>
            <w:r w:rsidRPr="005A68E6">
              <w:t>15.3</w:t>
            </w:r>
          </w:p>
        </w:tc>
        <w:tc>
          <w:tcPr>
            <w:tcW w:w="990" w:type="dxa"/>
            <w:tcBorders>
              <w:left w:val="nil"/>
              <w:bottom w:val="thickThinSmallGap" w:sz="24" w:space="0" w:color="auto"/>
              <w:right w:val="nil"/>
            </w:tcBorders>
            <w:vAlign w:val="center"/>
          </w:tcPr>
          <w:p w14:paraId="72CDE49E" w14:textId="77777777" w:rsidR="00866AB6" w:rsidRPr="005A68E6" w:rsidRDefault="00866AB6" w:rsidP="00866AB6">
            <w:pPr>
              <w:spacing w:line="240" w:lineRule="auto"/>
              <w:ind w:firstLine="44"/>
              <w:jc w:val="center"/>
            </w:pPr>
            <w:r w:rsidRPr="005A68E6">
              <w:rPr>
                <w:lang w:val="en-US"/>
              </w:rPr>
              <w:t>1</w:t>
            </w:r>
            <w:r w:rsidRPr="005A68E6">
              <w:t>4</w:t>
            </w:r>
            <w:r w:rsidRPr="005A68E6">
              <w:rPr>
                <w:lang w:val="en-US"/>
              </w:rPr>
              <w:t>.</w:t>
            </w:r>
            <w:r w:rsidRPr="005A68E6">
              <w:t>4</w:t>
            </w:r>
          </w:p>
        </w:tc>
        <w:tc>
          <w:tcPr>
            <w:tcW w:w="1056" w:type="dxa"/>
            <w:tcBorders>
              <w:left w:val="nil"/>
              <w:bottom w:val="thickThinSmallGap" w:sz="24" w:space="0" w:color="auto"/>
              <w:right w:val="nil"/>
            </w:tcBorders>
            <w:vAlign w:val="center"/>
          </w:tcPr>
          <w:p w14:paraId="5FC869EC" w14:textId="77777777" w:rsidR="00866AB6" w:rsidRPr="005A68E6" w:rsidRDefault="00866AB6" w:rsidP="00866AB6">
            <w:pPr>
              <w:spacing w:line="240" w:lineRule="auto"/>
              <w:ind w:firstLine="44"/>
              <w:jc w:val="center"/>
            </w:pPr>
            <w:r w:rsidRPr="005A68E6">
              <w:rPr>
                <w:lang w:val="en-US"/>
              </w:rPr>
              <w:t>1</w:t>
            </w:r>
            <w:r w:rsidRPr="005A68E6">
              <w:t>4</w:t>
            </w:r>
            <w:r w:rsidRPr="005A68E6">
              <w:rPr>
                <w:lang w:val="en-US"/>
              </w:rPr>
              <w:t>.</w:t>
            </w:r>
            <w:r w:rsidRPr="005A68E6">
              <w:t>8</w:t>
            </w:r>
          </w:p>
        </w:tc>
      </w:tr>
    </w:tbl>
    <w:p w14:paraId="26EF2B36" w14:textId="737CF8FA" w:rsidR="00025E2D" w:rsidRPr="005A68E6" w:rsidRDefault="00A65E07" w:rsidP="00581010">
      <w:pPr>
        <w:spacing w:before="120"/>
        <w:rPr>
          <w:sz w:val="16"/>
          <w:lang w:val="en-US"/>
        </w:rPr>
      </w:pPr>
      <w:r w:rsidRPr="005A68E6">
        <w:rPr>
          <w:sz w:val="16"/>
          <w:lang w:val="en-US"/>
        </w:rPr>
        <w:t>Source: RA MoF calculations and forecasts</w:t>
      </w:r>
    </w:p>
    <w:p w14:paraId="77B223D8" w14:textId="77777777" w:rsidR="00874DFF" w:rsidRPr="005A68E6" w:rsidRDefault="00874DFF" w:rsidP="00581010">
      <w:pPr>
        <w:spacing w:before="120"/>
        <w:rPr>
          <w:sz w:val="16"/>
        </w:rPr>
      </w:pPr>
    </w:p>
    <w:p w14:paraId="2302CC55" w14:textId="0DE05F9B" w:rsidR="0024298B" w:rsidRPr="005A68E6" w:rsidRDefault="0024298B" w:rsidP="0024298B">
      <w:pPr>
        <w:rPr>
          <w:color w:val="000000"/>
        </w:rPr>
      </w:pPr>
      <w:r w:rsidRPr="005A68E6">
        <w:rPr>
          <w:color w:val="000000"/>
          <w:lang w:val="en-US"/>
        </w:rPr>
        <w:t>The average time to maturity for the RA Government Debt portfolio indicator will decrease to 7.3 years at the end of 2026</w:t>
      </w:r>
      <w:r w:rsidR="00560DD5" w:rsidRPr="005A68E6">
        <w:rPr>
          <w:color w:val="000000"/>
          <w:lang w:val="en-US"/>
        </w:rPr>
        <w:t xml:space="preserve"> and will remain within the defined benchmark range. </w:t>
      </w:r>
    </w:p>
    <w:p w14:paraId="3D65AA7A" w14:textId="2303D33E" w:rsidR="0024298B" w:rsidRPr="005A68E6" w:rsidRDefault="0024298B" w:rsidP="0024298B">
      <w:pPr>
        <w:rPr>
          <w:color w:val="000000"/>
        </w:rPr>
      </w:pPr>
      <w:r w:rsidRPr="005A68E6">
        <w:rPr>
          <w:color w:val="000000"/>
        </w:rPr>
        <w:t xml:space="preserve">The Share of </w:t>
      </w:r>
      <w:r w:rsidR="004D6547" w:rsidRPr="005A68E6">
        <w:rPr>
          <w:color w:val="000000"/>
          <w:lang w:val="en-US"/>
        </w:rPr>
        <w:t xml:space="preserve">the </w:t>
      </w:r>
      <w:r w:rsidRPr="005A68E6">
        <w:rPr>
          <w:color w:val="000000"/>
        </w:rPr>
        <w:t xml:space="preserve">RA Government debt maturing in one year in total debt indicator will </w:t>
      </w:r>
      <w:r w:rsidRPr="005A68E6">
        <w:rPr>
          <w:color w:val="000000"/>
          <w:lang w:val="en-US"/>
        </w:rPr>
        <w:t>amount to</w:t>
      </w:r>
      <w:r w:rsidRPr="005A68E6">
        <w:rPr>
          <w:color w:val="000000"/>
        </w:rPr>
        <w:t xml:space="preserve"> </w:t>
      </w:r>
      <w:r w:rsidRPr="005A68E6">
        <w:rPr>
          <w:color w:val="000000"/>
          <w:lang w:val="en-US"/>
        </w:rPr>
        <w:t>9.8</w:t>
      </w:r>
      <w:r w:rsidRPr="005A68E6">
        <w:rPr>
          <w:color w:val="000000"/>
        </w:rPr>
        <w:t>% at the end of 202</w:t>
      </w:r>
      <w:r w:rsidRPr="005A68E6">
        <w:rPr>
          <w:color w:val="000000"/>
          <w:lang w:val="en-US"/>
        </w:rPr>
        <w:t>6</w:t>
      </w:r>
      <w:r w:rsidRPr="005A68E6">
        <w:rPr>
          <w:color w:val="000000"/>
        </w:rPr>
        <w:t xml:space="preserve">, moreover, the share of </w:t>
      </w:r>
      <w:r w:rsidR="004D6547" w:rsidRPr="005A68E6">
        <w:rPr>
          <w:color w:val="000000"/>
          <w:lang w:val="en-US"/>
        </w:rPr>
        <w:t xml:space="preserve">the </w:t>
      </w:r>
      <w:r w:rsidRPr="005A68E6">
        <w:rPr>
          <w:color w:val="000000"/>
        </w:rPr>
        <w:t xml:space="preserve">RA Government external debt maturing in one year in external debt will </w:t>
      </w:r>
      <w:r w:rsidR="006A01E0" w:rsidRPr="005A68E6">
        <w:rPr>
          <w:color w:val="000000"/>
          <w:lang w:val="en-US"/>
        </w:rPr>
        <w:t>comprise</w:t>
      </w:r>
      <w:r w:rsidRPr="005A68E6">
        <w:rPr>
          <w:color w:val="000000"/>
        </w:rPr>
        <w:t xml:space="preserve"> </w:t>
      </w:r>
      <w:r w:rsidRPr="005A68E6">
        <w:rPr>
          <w:color w:val="000000"/>
          <w:lang w:val="en-US"/>
        </w:rPr>
        <w:t>5.8</w:t>
      </w:r>
      <w:r w:rsidRPr="005A68E6">
        <w:rPr>
          <w:color w:val="000000"/>
        </w:rPr>
        <w:t xml:space="preserve">% and the share of </w:t>
      </w:r>
      <w:r w:rsidR="004D6547" w:rsidRPr="005A68E6">
        <w:rPr>
          <w:color w:val="000000"/>
          <w:lang w:val="en-US"/>
        </w:rPr>
        <w:t xml:space="preserve">the </w:t>
      </w:r>
      <w:r w:rsidRPr="005A68E6">
        <w:rPr>
          <w:color w:val="000000"/>
        </w:rPr>
        <w:t xml:space="preserve">RA Government </w:t>
      </w:r>
      <w:r w:rsidR="006A01E0" w:rsidRPr="005A68E6">
        <w:rPr>
          <w:color w:val="000000"/>
          <w:lang w:val="en-US"/>
        </w:rPr>
        <w:t xml:space="preserve">local currency debt </w:t>
      </w:r>
      <w:r w:rsidRPr="005A68E6">
        <w:rPr>
          <w:color w:val="000000"/>
        </w:rPr>
        <w:t xml:space="preserve">maturing in one year in </w:t>
      </w:r>
      <w:r w:rsidR="001103D3" w:rsidRPr="005A68E6">
        <w:rPr>
          <w:color w:val="000000"/>
          <w:lang w:val="en-US"/>
        </w:rPr>
        <w:t>local currency</w:t>
      </w:r>
      <w:r w:rsidR="00560DD5" w:rsidRPr="005A68E6">
        <w:rPr>
          <w:color w:val="000000"/>
          <w:lang w:val="en-US"/>
        </w:rPr>
        <w:t xml:space="preserve"> </w:t>
      </w:r>
      <w:r w:rsidRPr="005A68E6">
        <w:rPr>
          <w:color w:val="000000"/>
        </w:rPr>
        <w:t xml:space="preserve">debt will be </w:t>
      </w:r>
      <w:r w:rsidRPr="005A68E6">
        <w:rPr>
          <w:color w:val="000000"/>
          <w:lang w:val="en-US"/>
        </w:rPr>
        <w:t>14.8</w:t>
      </w:r>
      <w:r w:rsidRPr="005A68E6">
        <w:rPr>
          <w:color w:val="000000"/>
        </w:rPr>
        <w:t>%.</w:t>
      </w:r>
    </w:p>
    <w:p w14:paraId="0049DCBF" w14:textId="1140A0FA" w:rsidR="0024298B" w:rsidRPr="005A68E6" w:rsidRDefault="0024298B" w:rsidP="0024298B">
      <w:pPr>
        <w:rPr>
          <w:color w:val="000000"/>
        </w:rPr>
      </w:pPr>
      <w:r w:rsidRPr="005A68E6">
        <w:rPr>
          <w:color w:val="000000"/>
        </w:rPr>
        <w:t xml:space="preserve"> The RA Government debt payments indicator</w:t>
      </w:r>
      <w:r w:rsidR="001103D3" w:rsidRPr="005A68E6">
        <w:rPr>
          <w:color w:val="000000"/>
          <w:lang w:val="en-US"/>
        </w:rPr>
        <w:t>s are</w:t>
      </w:r>
      <w:r w:rsidRPr="005A68E6">
        <w:rPr>
          <w:color w:val="000000"/>
        </w:rPr>
        <w:t xml:space="preserve"> presented below, </w:t>
      </w:r>
      <w:r w:rsidR="001103D3" w:rsidRPr="005A68E6">
        <w:rPr>
          <w:color w:val="000000"/>
          <w:lang w:val="en-US"/>
        </w:rPr>
        <w:t>that</w:t>
      </w:r>
      <w:r w:rsidRPr="005A68E6">
        <w:rPr>
          <w:color w:val="000000"/>
        </w:rPr>
        <w:t xml:space="preserve"> represent the sum of the principal repayments and interest payments during the year.</w:t>
      </w:r>
    </w:p>
    <w:p w14:paraId="0280FD43" w14:textId="6EF77EDC" w:rsidR="0024298B" w:rsidRPr="005A68E6" w:rsidRDefault="0024298B" w:rsidP="00A1274B">
      <w:pPr>
        <w:rPr>
          <w:color w:val="FF0000"/>
        </w:rPr>
      </w:pPr>
    </w:p>
    <w:p w14:paraId="27CAA9AC" w14:textId="6709505F" w:rsidR="00C45A7F" w:rsidRPr="005A68E6" w:rsidRDefault="00C45A7F" w:rsidP="00A1274B">
      <w:pPr>
        <w:rPr>
          <w:color w:val="FF0000"/>
        </w:rPr>
      </w:pPr>
    </w:p>
    <w:p w14:paraId="6B5D4D76" w14:textId="362A7C21" w:rsidR="00C45A7F" w:rsidRPr="005A68E6" w:rsidRDefault="00C45A7F" w:rsidP="00A1274B">
      <w:pPr>
        <w:rPr>
          <w:color w:val="FF0000"/>
        </w:rPr>
      </w:pPr>
    </w:p>
    <w:p w14:paraId="16E8DEF3" w14:textId="5288E199" w:rsidR="00C45A7F" w:rsidRPr="005A68E6" w:rsidRDefault="00C45A7F" w:rsidP="00A1274B">
      <w:pPr>
        <w:rPr>
          <w:color w:val="FF0000"/>
        </w:rPr>
      </w:pPr>
    </w:p>
    <w:p w14:paraId="68439D38" w14:textId="7DEB5EE8" w:rsidR="00C45A7F" w:rsidRPr="005A68E6" w:rsidRDefault="00C45A7F" w:rsidP="00A1274B">
      <w:pPr>
        <w:rPr>
          <w:color w:val="FF0000"/>
        </w:rPr>
      </w:pPr>
    </w:p>
    <w:p w14:paraId="49A4DD85" w14:textId="1A2C71DE" w:rsidR="00C45A7F" w:rsidRPr="005A68E6" w:rsidRDefault="00C45A7F" w:rsidP="00A1274B">
      <w:pPr>
        <w:rPr>
          <w:color w:val="FF0000"/>
        </w:rPr>
      </w:pPr>
    </w:p>
    <w:p w14:paraId="3619062D" w14:textId="374BE7EA" w:rsidR="00C45A7F" w:rsidRPr="005A68E6" w:rsidRDefault="00C45A7F" w:rsidP="00A1274B">
      <w:pPr>
        <w:rPr>
          <w:color w:val="FF0000"/>
        </w:rPr>
      </w:pPr>
    </w:p>
    <w:p w14:paraId="760CC07D" w14:textId="77777777" w:rsidR="00C45A7F" w:rsidRPr="005A68E6" w:rsidRDefault="00C45A7F" w:rsidP="00A1274B">
      <w:pPr>
        <w:rPr>
          <w:color w:val="FF0000"/>
        </w:rPr>
      </w:pPr>
    </w:p>
    <w:p w14:paraId="601CA17E" w14:textId="15FBA76D" w:rsidR="00025E2D" w:rsidRPr="005A68E6" w:rsidRDefault="00504AA6" w:rsidP="00C45A7F">
      <w:pPr>
        <w:pStyle w:val="Heading5"/>
        <w:keepNext/>
        <w:numPr>
          <w:ilvl w:val="0"/>
          <w:numId w:val="42"/>
        </w:numPr>
        <w:spacing w:before="120" w:after="240" w:line="240" w:lineRule="auto"/>
        <w:ind w:left="1077" w:hanging="357"/>
        <w:jc w:val="left"/>
        <w:rPr>
          <w:rFonts w:cs="Arial"/>
          <w:bCs w:val="0"/>
          <w:i w:val="0"/>
          <w:iCs w:val="0"/>
          <w:sz w:val="22"/>
          <w:szCs w:val="24"/>
          <w:lang w:val="en-US"/>
        </w:rPr>
      </w:pPr>
      <w:r w:rsidRPr="005A68E6">
        <w:rPr>
          <w:rFonts w:cs="Arial"/>
          <w:bCs w:val="0"/>
          <w:i w:val="0"/>
          <w:iCs w:val="0"/>
          <w:sz w:val="22"/>
          <w:szCs w:val="24"/>
          <w:lang w:val="en-US"/>
        </w:rPr>
        <w:lastRenderedPageBreak/>
        <w:t xml:space="preserve">RA Government debt payments during 2021-2026 </w:t>
      </w:r>
      <w:r w:rsidR="007243DD" w:rsidRPr="005A68E6">
        <w:rPr>
          <w:rFonts w:cs="Arial"/>
          <w:bCs w:val="0"/>
          <w:i w:val="0"/>
          <w:iCs w:val="0"/>
          <w:sz w:val="22"/>
          <w:szCs w:val="24"/>
          <w:lang w:val="en-US"/>
        </w:rPr>
        <w:t>(AMD billion)</w:t>
      </w:r>
    </w:p>
    <w:p w14:paraId="23B3F6B4" w14:textId="6CA60757" w:rsidR="008A173A" w:rsidRPr="005A68E6" w:rsidRDefault="008A173A" w:rsidP="0070296A">
      <w:pPr>
        <w:pStyle w:val="NoSpacing1"/>
        <w:rPr>
          <w:rFonts w:ascii="GHEA Grapalat" w:hAnsi="GHEA Grapalat"/>
          <w:noProof/>
          <w:color w:val="FF0000"/>
        </w:rPr>
      </w:pPr>
      <w:r w:rsidRPr="005A68E6">
        <w:rPr>
          <w:rFonts w:ascii="GHEA Grapalat" w:hAnsi="GHEA Grapalat"/>
          <w:noProof/>
        </w:rPr>
        <w:drawing>
          <wp:inline distT="0" distB="0" distL="0" distR="0" wp14:anchorId="38747B7C" wp14:editId="61E03DC8">
            <wp:extent cx="6482080" cy="3844925"/>
            <wp:effectExtent l="38100" t="57150" r="52070" b="41275"/>
            <wp:docPr id="2" name="Chart 2">
              <a:extLst xmlns:a="http://schemas.openxmlformats.org/drawingml/2006/main">
                <a:ext uri="{FF2B5EF4-FFF2-40B4-BE49-F238E27FC236}">
                  <a16:creationId xmlns:a16="http://schemas.microsoft.com/office/drawing/2014/main" id="{00000000-0008-0000-0A00-000061175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CF8F89" w14:textId="0568F949" w:rsidR="00F135ED" w:rsidRPr="005A68E6" w:rsidRDefault="007243DD" w:rsidP="00581010">
      <w:pPr>
        <w:pStyle w:val="NoSpacing1"/>
        <w:spacing w:before="120"/>
        <w:rPr>
          <w:rFonts w:ascii="GHEA Grapalat" w:hAnsi="GHEA Grapalat"/>
          <w:noProof/>
          <w:sz w:val="18"/>
          <w:szCs w:val="18"/>
        </w:rPr>
      </w:pPr>
      <w:r w:rsidRPr="005A68E6">
        <w:rPr>
          <w:rFonts w:ascii="GHEA Grapalat" w:hAnsi="GHEA Grapalat"/>
          <w:noProof/>
          <w:sz w:val="18"/>
          <w:szCs w:val="18"/>
        </w:rPr>
        <w:t>Source: RA MoF</w:t>
      </w:r>
      <w:r w:rsidR="00347C52" w:rsidRPr="005A68E6">
        <w:rPr>
          <w:rFonts w:ascii="GHEA Grapalat" w:hAnsi="GHEA Grapalat"/>
          <w:noProof/>
          <w:sz w:val="18"/>
          <w:szCs w:val="18"/>
        </w:rPr>
        <w:t xml:space="preserve"> calculations and forecas</w:t>
      </w:r>
      <w:r w:rsidRPr="005A68E6">
        <w:rPr>
          <w:rFonts w:ascii="GHEA Grapalat" w:hAnsi="GHEA Grapalat"/>
          <w:noProof/>
          <w:sz w:val="18"/>
          <w:szCs w:val="18"/>
        </w:rPr>
        <w:t xml:space="preserve">ts </w:t>
      </w:r>
    </w:p>
    <w:p w14:paraId="2FC2555C" w14:textId="77777777" w:rsidR="00F135ED" w:rsidRPr="005A68E6" w:rsidRDefault="00F135ED" w:rsidP="0070296A">
      <w:pPr>
        <w:pStyle w:val="NoSpacing1"/>
        <w:rPr>
          <w:rFonts w:ascii="GHEA Grapalat" w:hAnsi="GHEA Grapalat"/>
          <w:noProof/>
          <w:color w:val="FF0000"/>
        </w:rPr>
      </w:pPr>
    </w:p>
    <w:p w14:paraId="4D51750D" w14:textId="76948129" w:rsidR="00A14179" w:rsidRPr="005A68E6" w:rsidRDefault="00A14179" w:rsidP="00A1274B">
      <w:pPr>
        <w:rPr>
          <w:color w:val="FF0000"/>
        </w:rPr>
      </w:pPr>
    </w:p>
    <w:p w14:paraId="629E4963" w14:textId="4465ADCF" w:rsidR="0024298B" w:rsidRPr="005A68E6" w:rsidRDefault="0024298B" w:rsidP="0024298B">
      <w:r w:rsidRPr="005A68E6">
        <w:rPr>
          <w:lang w:val="en-US"/>
        </w:rPr>
        <w:t xml:space="preserve">The </w:t>
      </w:r>
      <w:r w:rsidRPr="005A68E6">
        <w:t xml:space="preserve">RA Government debt payments </w:t>
      </w:r>
      <w:r w:rsidRPr="005A68E6">
        <w:rPr>
          <w:lang w:val="en-US"/>
        </w:rPr>
        <w:t>indicator increases in the medium-term reaching AMD 1,037.6 billion in 2026. The sharp increase in debt payments in 2025 is due to the buyback of Eurobonds.</w:t>
      </w:r>
    </w:p>
    <w:p w14:paraId="757EC4BC" w14:textId="280A62D0" w:rsidR="0024298B" w:rsidRPr="005A68E6" w:rsidRDefault="0024298B" w:rsidP="00A1274B">
      <w:pPr>
        <w:rPr>
          <w:b/>
          <w:color w:val="FF0000"/>
          <w:lang w:val="en-US"/>
        </w:rPr>
      </w:pPr>
    </w:p>
    <w:p w14:paraId="6B62881A" w14:textId="49EB93E3" w:rsidR="007A19A3" w:rsidRPr="005A68E6" w:rsidRDefault="007A19A3" w:rsidP="00C45A7F">
      <w:pPr>
        <w:pStyle w:val="af6"/>
        <w:numPr>
          <w:ilvl w:val="0"/>
          <w:numId w:val="35"/>
        </w:numPr>
        <w:spacing w:after="240"/>
        <w:ind w:left="1276" w:hanging="1276"/>
        <w:rPr>
          <w:rStyle w:val="Emphasis"/>
          <w:rFonts w:cs="Cambria"/>
          <w:i/>
        </w:rPr>
      </w:pPr>
      <w:r w:rsidRPr="005A68E6">
        <w:rPr>
          <w:rStyle w:val="Emphasis"/>
          <w:rFonts w:cs="Cambria"/>
          <w:i/>
        </w:rPr>
        <w:t>RA Government debt payments by instuments (AMD billion)</w:t>
      </w:r>
    </w:p>
    <w:tbl>
      <w:tblPr>
        <w:tblW w:w="10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078"/>
        <w:gridCol w:w="1429"/>
        <w:gridCol w:w="910"/>
        <w:gridCol w:w="933"/>
        <w:gridCol w:w="1005"/>
        <w:gridCol w:w="992"/>
      </w:tblGrid>
      <w:tr w:rsidR="00874DFF" w:rsidRPr="005A68E6" w14:paraId="324C6CC1" w14:textId="77777777" w:rsidTr="00774676">
        <w:trPr>
          <w:trHeight w:val="486"/>
          <w:tblHeader/>
          <w:jc w:val="center"/>
        </w:trPr>
        <w:tc>
          <w:tcPr>
            <w:tcW w:w="4395" w:type="dxa"/>
            <w:tcBorders>
              <w:top w:val="thinThickThinSmallGap" w:sz="24" w:space="0" w:color="auto"/>
              <w:left w:val="nil"/>
              <w:bottom w:val="thinThickSmallGap" w:sz="24" w:space="0" w:color="auto"/>
              <w:right w:val="nil"/>
            </w:tcBorders>
            <w:shd w:val="clear" w:color="auto" w:fill="5B9BD5"/>
            <w:vAlign w:val="center"/>
          </w:tcPr>
          <w:p w14:paraId="44A1E4AD" w14:textId="77777777" w:rsidR="00874DFF" w:rsidRPr="005A68E6" w:rsidRDefault="00874DFF" w:rsidP="00874DFF">
            <w:pPr>
              <w:spacing w:line="240" w:lineRule="auto"/>
              <w:ind w:firstLine="20"/>
              <w:jc w:val="center"/>
            </w:pPr>
          </w:p>
        </w:tc>
        <w:tc>
          <w:tcPr>
            <w:tcW w:w="1078" w:type="dxa"/>
            <w:tcBorders>
              <w:top w:val="thinThickThinSmallGap" w:sz="24" w:space="0" w:color="auto"/>
              <w:left w:val="nil"/>
              <w:bottom w:val="thinThickSmallGap" w:sz="24" w:space="0" w:color="auto"/>
              <w:right w:val="nil"/>
            </w:tcBorders>
            <w:shd w:val="clear" w:color="auto" w:fill="5B9BD5"/>
          </w:tcPr>
          <w:p w14:paraId="11CE8FC0" w14:textId="212DE5E5" w:rsidR="00874DFF" w:rsidRPr="005A68E6" w:rsidRDefault="00874DFF" w:rsidP="00874DFF">
            <w:pPr>
              <w:spacing w:line="240" w:lineRule="auto"/>
              <w:ind w:firstLine="20"/>
              <w:jc w:val="center"/>
              <w:rPr>
                <w:lang w:val="en-US"/>
              </w:rPr>
            </w:pPr>
            <w:r w:rsidRPr="005A68E6">
              <w:t>202</w:t>
            </w:r>
            <w:r w:rsidRPr="005A68E6">
              <w:rPr>
                <w:lang w:val="en-US"/>
              </w:rPr>
              <w:t>2</w:t>
            </w:r>
            <w:r w:rsidRPr="005A68E6">
              <w:t xml:space="preserve"> </w:t>
            </w:r>
            <w:r w:rsidRPr="005A68E6">
              <w:rPr>
                <w:lang w:val="en-US"/>
              </w:rPr>
              <w:t>actual</w:t>
            </w:r>
          </w:p>
        </w:tc>
        <w:tc>
          <w:tcPr>
            <w:tcW w:w="1429" w:type="dxa"/>
            <w:tcBorders>
              <w:top w:val="thinThickThinSmallGap" w:sz="24" w:space="0" w:color="auto"/>
              <w:left w:val="nil"/>
              <w:bottom w:val="thinThickSmallGap" w:sz="24" w:space="0" w:color="auto"/>
              <w:right w:val="double" w:sz="4" w:space="0" w:color="auto"/>
            </w:tcBorders>
            <w:shd w:val="clear" w:color="auto" w:fill="5B9BD5"/>
            <w:vAlign w:val="center"/>
          </w:tcPr>
          <w:p w14:paraId="271B37BE" w14:textId="1A4B31C5" w:rsidR="00874DFF" w:rsidRPr="005A68E6" w:rsidRDefault="00874DFF" w:rsidP="001103D3">
            <w:pPr>
              <w:spacing w:line="240" w:lineRule="auto"/>
              <w:ind w:firstLine="20"/>
              <w:jc w:val="center"/>
            </w:pPr>
            <w:r w:rsidRPr="005A68E6">
              <w:t xml:space="preserve">2023 </w:t>
            </w:r>
          </w:p>
          <w:p w14:paraId="3C6D767E" w14:textId="6584354B" w:rsidR="00874DFF" w:rsidRPr="005A68E6" w:rsidRDefault="001103D3" w:rsidP="001103D3">
            <w:pPr>
              <w:spacing w:line="240" w:lineRule="auto"/>
              <w:ind w:firstLine="20"/>
              <w:jc w:val="center"/>
            </w:pPr>
            <w:r w:rsidRPr="005A68E6">
              <w:rPr>
                <w:color w:val="000000"/>
                <w:lang w:val="en-US"/>
              </w:rPr>
              <w:t xml:space="preserve">State </w:t>
            </w:r>
            <w:r w:rsidR="00874DFF" w:rsidRPr="005A68E6">
              <w:rPr>
                <w:color w:val="000000"/>
              </w:rPr>
              <w:t>budget program</w:t>
            </w:r>
          </w:p>
        </w:tc>
        <w:tc>
          <w:tcPr>
            <w:tcW w:w="910" w:type="dxa"/>
            <w:tcBorders>
              <w:top w:val="thinThickThinSmallGap" w:sz="24" w:space="0" w:color="auto"/>
              <w:left w:val="double" w:sz="4" w:space="0" w:color="auto"/>
              <w:bottom w:val="thinThickSmallGap" w:sz="24" w:space="0" w:color="auto"/>
              <w:right w:val="nil"/>
            </w:tcBorders>
            <w:shd w:val="clear" w:color="auto" w:fill="5B9BD5"/>
            <w:vAlign w:val="center"/>
          </w:tcPr>
          <w:p w14:paraId="4E678D06" w14:textId="420C46DC" w:rsidR="00874DFF" w:rsidRPr="005A68E6" w:rsidRDefault="00874DFF" w:rsidP="00874DFF">
            <w:pPr>
              <w:spacing w:line="240" w:lineRule="auto"/>
              <w:ind w:firstLine="20"/>
              <w:jc w:val="center"/>
            </w:pPr>
            <w:r w:rsidRPr="005A68E6">
              <w:t xml:space="preserve">2023 </w:t>
            </w:r>
            <w:r w:rsidRPr="005A68E6">
              <w:rPr>
                <w:lang w:val="en-US"/>
              </w:rPr>
              <w:t>forecast</w:t>
            </w:r>
          </w:p>
        </w:tc>
        <w:tc>
          <w:tcPr>
            <w:tcW w:w="933" w:type="dxa"/>
            <w:tcBorders>
              <w:top w:val="thinThickThinSmallGap" w:sz="24" w:space="0" w:color="auto"/>
              <w:left w:val="nil"/>
              <w:bottom w:val="thinThickSmallGap" w:sz="24" w:space="0" w:color="auto"/>
              <w:right w:val="nil"/>
            </w:tcBorders>
            <w:shd w:val="clear" w:color="auto" w:fill="5B9BD5"/>
            <w:vAlign w:val="center"/>
          </w:tcPr>
          <w:p w14:paraId="759A036E" w14:textId="6DB5A70B" w:rsidR="00874DFF" w:rsidRPr="005A68E6" w:rsidRDefault="00874DFF" w:rsidP="00874DFF">
            <w:pPr>
              <w:spacing w:line="240" w:lineRule="auto"/>
              <w:ind w:firstLine="20"/>
              <w:jc w:val="center"/>
            </w:pPr>
            <w:r w:rsidRPr="005A68E6">
              <w:t xml:space="preserve">2024 </w:t>
            </w:r>
            <w:r w:rsidRPr="005A68E6">
              <w:rPr>
                <w:lang w:val="en-US"/>
              </w:rPr>
              <w:t>forecast</w:t>
            </w:r>
          </w:p>
        </w:tc>
        <w:tc>
          <w:tcPr>
            <w:tcW w:w="1005" w:type="dxa"/>
            <w:tcBorders>
              <w:top w:val="thinThickThinSmallGap" w:sz="24" w:space="0" w:color="auto"/>
              <w:left w:val="nil"/>
              <w:bottom w:val="thinThickSmallGap" w:sz="24" w:space="0" w:color="auto"/>
              <w:right w:val="nil"/>
            </w:tcBorders>
            <w:shd w:val="clear" w:color="auto" w:fill="5B9BD5"/>
            <w:vAlign w:val="center"/>
          </w:tcPr>
          <w:p w14:paraId="30829483" w14:textId="72C27C9F" w:rsidR="00874DFF" w:rsidRPr="005A68E6" w:rsidRDefault="00874DFF" w:rsidP="00874DFF">
            <w:pPr>
              <w:spacing w:line="240" w:lineRule="auto"/>
              <w:ind w:firstLine="20"/>
              <w:jc w:val="center"/>
            </w:pPr>
            <w:r w:rsidRPr="005A68E6">
              <w:t xml:space="preserve">2025 </w:t>
            </w:r>
            <w:r w:rsidRPr="005A68E6">
              <w:rPr>
                <w:lang w:val="en-US"/>
              </w:rPr>
              <w:t>forecast</w:t>
            </w:r>
          </w:p>
        </w:tc>
        <w:tc>
          <w:tcPr>
            <w:tcW w:w="992" w:type="dxa"/>
            <w:tcBorders>
              <w:top w:val="thinThickThinSmallGap" w:sz="24" w:space="0" w:color="auto"/>
              <w:left w:val="nil"/>
              <w:bottom w:val="thinThickSmallGap" w:sz="24" w:space="0" w:color="auto"/>
              <w:right w:val="nil"/>
            </w:tcBorders>
            <w:shd w:val="clear" w:color="auto" w:fill="5B9BD5"/>
            <w:vAlign w:val="center"/>
          </w:tcPr>
          <w:p w14:paraId="1C8841AE" w14:textId="1EB18BB1" w:rsidR="00874DFF" w:rsidRPr="005A68E6" w:rsidRDefault="00874DFF" w:rsidP="00874DFF">
            <w:pPr>
              <w:spacing w:line="240" w:lineRule="auto"/>
              <w:ind w:firstLine="20"/>
              <w:jc w:val="center"/>
            </w:pPr>
            <w:r w:rsidRPr="005A68E6">
              <w:t xml:space="preserve">2026 </w:t>
            </w:r>
            <w:r w:rsidRPr="005A68E6">
              <w:rPr>
                <w:lang w:val="en-US"/>
              </w:rPr>
              <w:t>forecast</w:t>
            </w:r>
          </w:p>
        </w:tc>
      </w:tr>
      <w:tr w:rsidR="007A19A3" w:rsidRPr="005A68E6" w14:paraId="004A93A7" w14:textId="77777777" w:rsidTr="00774676">
        <w:trPr>
          <w:trHeight w:val="381"/>
          <w:jc w:val="center"/>
        </w:trPr>
        <w:tc>
          <w:tcPr>
            <w:tcW w:w="4395" w:type="dxa"/>
            <w:tcBorders>
              <w:left w:val="nil"/>
              <w:right w:val="nil"/>
            </w:tcBorders>
            <w:vAlign w:val="center"/>
          </w:tcPr>
          <w:p w14:paraId="38F4F8F6" w14:textId="11CE6E48" w:rsidR="007A19A3" w:rsidRPr="005A68E6" w:rsidRDefault="007A19A3" w:rsidP="007A19A3">
            <w:pPr>
              <w:spacing w:line="240" w:lineRule="auto"/>
              <w:ind w:firstLine="20"/>
              <w:jc w:val="left"/>
            </w:pPr>
            <w:r w:rsidRPr="005A68E6">
              <w:rPr>
                <w:b/>
              </w:rPr>
              <w:t>RA Government debt payments by instruments, of wh</w:t>
            </w:r>
            <w:r w:rsidRPr="005A68E6">
              <w:rPr>
                <w:b/>
                <w:lang w:val="en-US"/>
              </w:rPr>
              <w:t>ich:</w:t>
            </w:r>
          </w:p>
        </w:tc>
        <w:tc>
          <w:tcPr>
            <w:tcW w:w="1078" w:type="dxa"/>
            <w:tcBorders>
              <w:left w:val="nil"/>
              <w:right w:val="nil"/>
            </w:tcBorders>
            <w:vAlign w:val="center"/>
          </w:tcPr>
          <w:p w14:paraId="28FFCED5" w14:textId="77777777" w:rsidR="007A19A3" w:rsidRPr="005A68E6" w:rsidRDefault="007A19A3" w:rsidP="007A19A3">
            <w:pPr>
              <w:spacing w:line="240" w:lineRule="auto"/>
              <w:ind w:firstLine="0"/>
              <w:jc w:val="center"/>
              <w:rPr>
                <w:sz w:val="20"/>
                <w:szCs w:val="20"/>
                <w:lang w:val="en-US"/>
              </w:rPr>
            </w:pPr>
            <w:r w:rsidRPr="005A68E6">
              <w:rPr>
                <w:sz w:val="20"/>
                <w:szCs w:val="20"/>
                <w:lang w:val="en-US"/>
              </w:rPr>
              <w:t>445.7</w:t>
            </w:r>
          </w:p>
        </w:tc>
        <w:tc>
          <w:tcPr>
            <w:tcW w:w="1429" w:type="dxa"/>
            <w:tcBorders>
              <w:left w:val="nil"/>
              <w:right w:val="double" w:sz="4" w:space="0" w:color="auto"/>
            </w:tcBorders>
            <w:vAlign w:val="center"/>
          </w:tcPr>
          <w:p w14:paraId="78AE9692" w14:textId="77777777" w:rsidR="007A19A3" w:rsidRPr="005A68E6" w:rsidRDefault="007A19A3" w:rsidP="007A19A3">
            <w:pPr>
              <w:spacing w:line="240" w:lineRule="auto"/>
              <w:ind w:firstLine="0"/>
              <w:jc w:val="center"/>
              <w:rPr>
                <w:sz w:val="20"/>
                <w:szCs w:val="20"/>
              </w:rPr>
            </w:pPr>
            <w:r w:rsidRPr="005A68E6">
              <w:rPr>
                <w:sz w:val="20"/>
                <w:szCs w:val="20"/>
              </w:rPr>
              <w:t xml:space="preserve"> 599.5 </w:t>
            </w:r>
          </w:p>
        </w:tc>
        <w:tc>
          <w:tcPr>
            <w:tcW w:w="910" w:type="dxa"/>
            <w:tcBorders>
              <w:left w:val="double" w:sz="4" w:space="0" w:color="auto"/>
              <w:right w:val="nil"/>
            </w:tcBorders>
            <w:vAlign w:val="center"/>
          </w:tcPr>
          <w:p w14:paraId="5CD34D08" w14:textId="77777777" w:rsidR="007A19A3" w:rsidRPr="005A68E6" w:rsidRDefault="007A19A3" w:rsidP="007A19A3">
            <w:pPr>
              <w:spacing w:line="240" w:lineRule="auto"/>
              <w:ind w:firstLine="0"/>
              <w:jc w:val="center"/>
              <w:rPr>
                <w:sz w:val="20"/>
                <w:szCs w:val="20"/>
              </w:rPr>
            </w:pPr>
            <w:r w:rsidRPr="005A68E6">
              <w:rPr>
                <w:sz w:val="20"/>
                <w:szCs w:val="20"/>
              </w:rPr>
              <w:t xml:space="preserve"> 642.8 </w:t>
            </w:r>
          </w:p>
        </w:tc>
        <w:tc>
          <w:tcPr>
            <w:tcW w:w="933" w:type="dxa"/>
            <w:tcBorders>
              <w:left w:val="nil"/>
              <w:right w:val="nil"/>
            </w:tcBorders>
            <w:vAlign w:val="center"/>
          </w:tcPr>
          <w:p w14:paraId="313F1E9F" w14:textId="77777777" w:rsidR="007A19A3" w:rsidRPr="005A68E6" w:rsidRDefault="007A19A3" w:rsidP="007A19A3">
            <w:pPr>
              <w:spacing w:line="240" w:lineRule="auto"/>
              <w:ind w:firstLine="0"/>
              <w:jc w:val="center"/>
              <w:rPr>
                <w:sz w:val="20"/>
                <w:szCs w:val="20"/>
              </w:rPr>
            </w:pPr>
            <w:r w:rsidRPr="005A68E6">
              <w:rPr>
                <w:sz w:val="20"/>
                <w:szCs w:val="20"/>
              </w:rPr>
              <w:t xml:space="preserve"> 833.0 </w:t>
            </w:r>
          </w:p>
        </w:tc>
        <w:tc>
          <w:tcPr>
            <w:tcW w:w="1005" w:type="dxa"/>
            <w:tcBorders>
              <w:left w:val="nil"/>
              <w:right w:val="nil"/>
            </w:tcBorders>
            <w:vAlign w:val="center"/>
          </w:tcPr>
          <w:p w14:paraId="5D86971F" w14:textId="77777777" w:rsidR="007A19A3" w:rsidRPr="005A68E6" w:rsidRDefault="007A19A3" w:rsidP="007A19A3">
            <w:pPr>
              <w:spacing w:line="240" w:lineRule="auto"/>
              <w:ind w:firstLine="0"/>
              <w:jc w:val="center"/>
              <w:rPr>
                <w:sz w:val="20"/>
                <w:szCs w:val="20"/>
              </w:rPr>
            </w:pPr>
            <w:r w:rsidRPr="005A68E6">
              <w:rPr>
                <w:sz w:val="20"/>
                <w:szCs w:val="20"/>
              </w:rPr>
              <w:t xml:space="preserve"> 1,179.4 </w:t>
            </w:r>
          </w:p>
        </w:tc>
        <w:tc>
          <w:tcPr>
            <w:tcW w:w="992" w:type="dxa"/>
            <w:tcBorders>
              <w:left w:val="nil"/>
              <w:right w:val="nil"/>
            </w:tcBorders>
            <w:vAlign w:val="center"/>
          </w:tcPr>
          <w:p w14:paraId="0F60668B" w14:textId="77777777" w:rsidR="007A19A3" w:rsidRPr="005A68E6" w:rsidRDefault="007A19A3" w:rsidP="007A19A3">
            <w:pPr>
              <w:spacing w:line="240" w:lineRule="auto"/>
              <w:ind w:firstLine="0"/>
              <w:jc w:val="center"/>
              <w:rPr>
                <w:sz w:val="20"/>
                <w:szCs w:val="20"/>
              </w:rPr>
            </w:pPr>
            <w:r w:rsidRPr="005A68E6">
              <w:rPr>
                <w:sz w:val="20"/>
                <w:szCs w:val="20"/>
              </w:rPr>
              <w:t xml:space="preserve">1,037.6 </w:t>
            </w:r>
          </w:p>
        </w:tc>
      </w:tr>
      <w:tr w:rsidR="007A19A3" w:rsidRPr="005A68E6" w14:paraId="2F8093D4" w14:textId="77777777" w:rsidTr="00774676">
        <w:trPr>
          <w:trHeight w:val="238"/>
          <w:jc w:val="center"/>
        </w:trPr>
        <w:tc>
          <w:tcPr>
            <w:tcW w:w="4395" w:type="dxa"/>
            <w:tcBorders>
              <w:left w:val="nil"/>
              <w:right w:val="nil"/>
            </w:tcBorders>
            <w:vAlign w:val="center"/>
          </w:tcPr>
          <w:p w14:paraId="480F2723" w14:textId="65578A92" w:rsidR="007A19A3" w:rsidRPr="005A68E6" w:rsidRDefault="007A19A3" w:rsidP="007A19A3">
            <w:pPr>
              <w:spacing w:line="240" w:lineRule="auto"/>
              <w:ind w:firstLine="20"/>
              <w:jc w:val="left"/>
            </w:pPr>
            <w:r w:rsidRPr="005A68E6">
              <w:rPr>
                <w:rFonts w:cs="Calibri Light"/>
              </w:rPr>
              <w:t xml:space="preserve"> External Loans and Borrowings</w:t>
            </w:r>
          </w:p>
        </w:tc>
        <w:tc>
          <w:tcPr>
            <w:tcW w:w="1078" w:type="dxa"/>
            <w:tcBorders>
              <w:left w:val="nil"/>
              <w:right w:val="nil"/>
            </w:tcBorders>
            <w:vAlign w:val="center"/>
          </w:tcPr>
          <w:p w14:paraId="085D4FC6" w14:textId="77777777" w:rsidR="007A19A3" w:rsidRPr="005A68E6" w:rsidRDefault="007A19A3" w:rsidP="007A19A3">
            <w:pPr>
              <w:spacing w:line="240" w:lineRule="auto"/>
              <w:ind w:firstLine="0"/>
              <w:jc w:val="center"/>
              <w:rPr>
                <w:lang w:val="en-US"/>
              </w:rPr>
            </w:pPr>
            <w:r w:rsidRPr="005A68E6">
              <w:rPr>
                <w:lang w:val="en-US"/>
              </w:rPr>
              <w:t>134.6</w:t>
            </w:r>
          </w:p>
        </w:tc>
        <w:tc>
          <w:tcPr>
            <w:tcW w:w="1429" w:type="dxa"/>
            <w:tcBorders>
              <w:left w:val="nil"/>
              <w:right w:val="double" w:sz="4" w:space="0" w:color="auto"/>
            </w:tcBorders>
          </w:tcPr>
          <w:p w14:paraId="7ECA098F" w14:textId="77777777" w:rsidR="007A19A3" w:rsidRPr="005A68E6" w:rsidRDefault="007A19A3" w:rsidP="007A19A3">
            <w:pPr>
              <w:spacing w:line="240" w:lineRule="auto"/>
              <w:ind w:firstLine="0"/>
              <w:jc w:val="center"/>
              <w:rPr>
                <w:color w:val="FF0000"/>
                <w:sz w:val="20"/>
                <w:szCs w:val="20"/>
              </w:rPr>
            </w:pPr>
            <w:r w:rsidRPr="005A68E6">
              <w:t xml:space="preserve"> 208.6 </w:t>
            </w:r>
          </w:p>
        </w:tc>
        <w:tc>
          <w:tcPr>
            <w:tcW w:w="910" w:type="dxa"/>
            <w:tcBorders>
              <w:left w:val="double" w:sz="4" w:space="0" w:color="auto"/>
              <w:right w:val="nil"/>
            </w:tcBorders>
          </w:tcPr>
          <w:p w14:paraId="27DDC0B7" w14:textId="77777777" w:rsidR="007A19A3" w:rsidRPr="005A68E6" w:rsidRDefault="007A19A3" w:rsidP="007A19A3">
            <w:pPr>
              <w:spacing w:line="240" w:lineRule="auto"/>
              <w:ind w:firstLine="20"/>
              <w:jc w:val="center"/>
              <w:rPr>
                <w:color w:val="FF0000"/>
                <w:sz w:val="20"/>
                <w:szCs w:val="20"/>
              </w:rPr>
            </w:pPr>
            <w:r w:rsidRPr="005A68E6">
              <w:t xml:space="preserve"> 208.6 </w:t>
            </w:r>
          </w:p>
        </w:tc>
        <w:tc>
          <w:tcPr>
            <w:tcW w:w="933" w:type="dxa"/>
            <w:tcBorders>
              <w:left w:val="nil"/>
              <w:right w:val="nil"/>
            </w:tcBorders>
          </w:tcPr>
          <w:p w14:paraId="0136F970" w14:textId="77777777" w:rsidR="007A19A3" w:rsidRPr="005A68E6" w:rsidRDefault="007A19A3" w:rsidP="007A19A3">
            <w:pPr>
              <w:spacing w:line="240" w:lineRule="auto"/>
              <w:ind w:firstLine="20"/>
              <w:jc w:val="center"/>
              <w:rPr>
                <w:color w:val="FF0000"/>
                <w:sz w:val="20"/>
                <w:szCs w:val="20"/>
              </w:rPr>
            </w:pPr>
            <w:r w:rsidRPr="005A68E6">
              <w:t xml:space="preserve"> 274.6 </w:t>
            </w:r>
          </w:p>
        </w:tc>
        <w:tc>
          <w:tcPr>
            <w:tcW w:w="1005" w:type="dxa"/>
            <w:tcBorders>
              <w:left w:val="nil"/>
              <w:right w:val="nil"/>
            </w:tcBorders>
          </w:tcPr>
          <w:p w14:paraId="350BDFB5" w14:textId="77777777" w:rsidR="007A19A3" w:rsidRPr="005A68E6" w:rsidRDefault="007A19A3" w:rsidP="007A19A3">
            <w:pPr>
              <w:spacing w:line="240" w:lineRule="auto"/>
              <w:ind w:firstLine="20"/>
              <w:jc w:val="center"/>
              <w:rPr>
                <w:color w:val="FF0000"/>
                <w:sz w:val="20"/>
                <w:szCs w:val="20"/>
              </w:rPr>
            </w:pPr>
            <w:r w:rsidRPr="005A68E6">
              <w:t xml:space="preserve"> 294.2 </w:t>
            </w:r>
          </w:p>
        </w:tc>
        <w:tc>
          <w:tcPr>
            <w:tcW w:w="992" w:type="dxa"/>
            <w:tcBorders>
              <w:left w:val="nil"/>
              <w:right w:val="nil"/>
            </w:tcBorders>
          </w:tcPr>
          <w:p w14:paraId="2391E811" w14:textId="77777777" w:rsidR="007A19A3" w:rsidRPr="005A68E6" w:rsidRDefault="007A19A3" w:rsidP="007A19A3">
            <w:pPr>
              <w:spacing w:line="240" w:lineRule="auto"/>
              <w:ind w:firstLine="20"/>
              <w:jc w:val="center"/>
              <w:rPr>
                <w:color w:val="FF0000"/>
                <w:sz w:val="20"/>
                <w:szCs w:val="20"/>
              </w:rPr>
            </w:pPr>
            <w:r w:rsidRPr="005A68E6">
              <w:t xml:space="preserve"> 324.5 </w:t>
            </w:r>
          </w:p>
        </w:tc>
      </w:tr>
      <w:tr w:rsidR="007A19A3" w:rsidRPr="005A68E6" w14:paraId="442FDEEC" w14:textId="77777777" w:rsidTr="00233F1B">
        <w:trPr>
          <w:trHeight w:val="224"/>
          <w:jc w:val="center"/>
        </w:trPr>
        <w:tc>
          <w:tcPr>
            <w:tcW w:w="4395" w:type="dxa"/>
            <w:tcBorders>
              <w:left w:val="nil"/>
              <w:right w:val="nil"/>
            </w:tcBorders>
          </w:tcPr>
          <w:p w14:paraId="72B3FE52" w14:textId="4A63CE9D" w:rsidR="007A19A3" w:rsidRPr="005A68E6" w:rsidRDefault="007A19A3" w:rsidP="007A19A3">
            <w:pPr>
              <w:spacing w:line="240" w:lineRule="auto"/>
              <w:ind w:left="581" w:firstLine="20"/>
              <w:jc w:val="left"/>
            </w:pPr>
            <w:r w:rsidRPr="005A68E6">
              <w:rPr>
                <w:rFonts w:cs="Calibri Light"/>
              </w:rPr>
              <w:t>Interest Payment</w:t>
            </w:r>
          </w:p>
        </w:tc>
        <w:tc>
          <w:tcPr>
            <w:tcW w:w="1078" w:type="dxa"/>
            <w:tcBorders>
              <w:left w:val="nil"/>
              <w:right w:val="nil"/>
            </w:tcBorders>
            <w:vAlign w:val="center"/>
          </w:tcPr>
          <w:p w14:paraId="7E309139" w14:textId="77777777" w:rsidR="007A19A3" w:rsidRPr="005A68E6" w:rsidRDefault="007A19A3" w:rsidP="007A19A3">
            <w:pPr>
              <w:spacing w:line="240" w:lineRule="auto"/>
              <w:ind w:firstLine="20"/>
              <w:jc w:val="center"/>
              <w:rPr>
                <w:sz w:val="20"/>
                <w:szCs w:val="20"/>
                <w:lang w:val="en-US"/>
              </w:rPr>
            </w:pPr>
            <w:r w:rsidRPr="005A68E6">
              <w:rPr>
                <w:sz w:val="20"/>
                <w:szCs w:val="20"/>
                <w:lang w:val="en-US"/>
              </w:rPr>
              <w:t>35.0</w:t>
            </w:r>
          </w:p>
        </w:tc>
        <w:tc>
          <w:tcPr>
            <w:tcW w:w="1429" w:type="dxa"/>
            <w:tcBorders>
              <w:left w:val="nil"/>
              <w:right w:val="double" w:sz="4" w:space="0" w:color="auto"/>
            </w:tcBorders>
            <w:vAlign w:val="center"/>
          </w:tcPr>
          <w:p w14:paraId="284042DA"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72.6 </w:t>
            </w:r>
          </w:p>
        </w:tc>
        <w:tc>
          <w:tcPr>
            <w:tcW w:w="910" w:type="dxa"/>
            <w:tcBorders>
              <w:left w:val="double" w:sz="4" w:space="0" w:color="auto"/>
              <w:right w:val="nil"/>
            </w:tcBorders>
            <w:vAlign w:val="center"/>
          </w:tcPr>
          <w:p w14:paraId="44516483"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72.6 </w:t>
            </w:r>
          </w:p>
        </w:tc>
        <w:tc>
          <w:tcPr>
            <w:tcW w:w="933" w:type="dxa"/>
            <w:tcBorders>
              <w:left w:val="nil"/>
              <w:right w:val="nil"/>
            </w:tcBorders>
            <w:vAlign w:val="center"/>
          </w:tcPr>
          <w:p w14:paraId="0189BBBA"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87.1 </w:t>
            </w:r>
          </w:p>
        </w:tc>
        <w:tc>
          <w:tcPr>
            <w:tcW w:w="1005" w:type="dxa"/>
            <w:tcBorders>
              <w:left w:val="nil"/>
              <w:right w:val="nil"/>
            </w:tcBorders>
            <w:vAlign w:val="center"/>
          </w:tcPr>
          <w:p w14:paraId="1BF382A6"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102.5 </w:t>
            </w:r>
          </w:p>
        </w:tc>
        <w:tc>
          <w:tcPr>
            <w:tcW w:w="992" w:type="dxa"/>
            <w:tcBorders>
              <w:left w:val="nil"/>
              <w:right w:val="nil"/>
            </w:tcBorders>
            <w:vAlign w:val="center"/>
          </w:tcPr>
          <w:p w14:paraId="67E7D6FF" w14:textId="77777777" w:rsidR="007A19A3" w:rsidRPr="005A68E6" w:rsidRDefault="007A19A3" w:rsidP="007A19A3">
            <w:pPr>
              <w:spacing w:line="240" w:lineRule="auto"/>
              <w:ind w:firstLine="0"/>
              <w:jc w:val="center"/>
              <w:rPr>
                <w:color w:val="FF0000"/>
                <w:sz w:val="20"/>
                <w:szCs w:val="20"/>
              </w:rPr>
            </w:pPr>
            <w:r w:rsidRPr="005A68E6">
              <w:rPr>
                <w:sz w:val="20"/>
                <w:szCs w:val="20"/>
              </w:rPr>
              <w:t xml:space="preserve"> 118.1 </w:t>
            </w:r>
          </w:p>
        </w:tc>
      </w:tr>
      <w:tr w:rsidR="007A19A3" w:rsidRPr="005A68E6" w14:paraId="349AFAE8" w14:textId="77777777" w:rsidTr="00233F1B">
        <w:trPr>
          <w:trHeight w:val="224"/>
          <w:jc w:val="center"/>
        </w:trPr>
        <w:tc>
          <w:tcPr>
            <w:tcW w:w="4395" w:type="dxa"/>
            <w:tcBorders>
              <w:left w:val="nil"/>
              <w:right w:val="nil"/>
            </w:tcBorders>
          </w:tcPr>
          <w:p w14:paraId="7B87E3A4" w14:textId="25B950D4" w:rsidR="007A19A3" w:rsidRPr="005A68E6" w:rsidRDefault="007A19A3" w:rsidP="007A19A3">
            <w:pPr>
              <w:spacing w:line="240" w:lineRule="auto"/>
              <w:ind w:left="581" w:firstLine="20"/>
              <w:jc w:val="left"/>
            </w:pPr>
            <w:r w:rsidRPr="005A68E6">
              <w:rPr>
                <w:rFonts w:cs="Calibri Light"/>
              </w:rPr>
              <w:t>Redemption</w:t>
            </w:r>
          </w:p>
        </w:tc>
        <w:tc>
          <w:tcPr>
            <w:tcW w:w="1078" w:type="dxa"/>
            <w:tcBorders>
              <w:left w:val="nil"/>
              <w:right w:val="nil"/>
            </w:tcBorders>
            <w:vAlign w:val="center"/>
          </w:tcPr>
          <w:p w14:paraId="2734F79A" w14:textId="77777777" w:rsidR="007A19A3" w:rsidRPr="005A68E6" w:rsidRDefault="007A19A3" w:rsidP="007A19A3">
            <w:pPr>
              <w:spacing w:line="240" w:lineRule="auto"/>
              <w:ind w:firstLine="20"/>
              <w:jc w:val="center"/>
              <w:rPr>
                <w:sz w:val="20"/>
                <w:szCs w:val="20"/>
                <w:lang w:val="en-US"/>
              </w:rPr>
            </w:pPr>
            <w:r w:rsidRPr="005A68E6">
              <w:rPr>
                <w:sz w:val="20"/>
                <w:szCs w:val="20"/>
                <w:lang w:val="en-US"/>
              </w:rPr>
              <w:t>99.6</w:t>
            </w:r>
          </w:p>
        </w:tc>
        <w:tc>
          <w:tcPr>
            <w:tcW w:w="1429" w:type="dxa"/>
            <w:tcBorders>
              <w:left w:val="nil"/>
              <w:right w:val="double" w:sz="4" w:space="0" w:color="auto"/>
            </w:tcBorders>
            <w:vAlign w:val="center"/>
          </w:tcPr>
          <w:p w14:paraId="360B8D83"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136.0 </w:t>
            </w:r>
          </w:p>
        </w:tc>
        <w:tc>
          <w:tcPr>
            <w:tcW w:w="910" w:type="dxa"/>
            <w:tcBorders>
              <w:left w:val="double" w:sz="4" w:space="0" w:color="auto"/>
              <w:right w:val="nil"/>
            </w:tcBorders>
            <w:vAlign w:val="center"/>
          </w:tcPr>
          <w:p w14:paraId="7440A7C3"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136.0 </w:t>
            </w:r>
          </w:p>
        </w:tc>
        <w:tc>
          <w:tcPr>
            <w:tcW w:w="933" w:type="dxa"/>
            <w:tcBorders>
              <w:left w:val="nil"/>
              <w:right w:val="nil"/>
            </w:tcBorders>
            <w:vAlign w:val="center"/>
          </w:tcPr>
          <w:p w14:paraId="6F70E77C"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187.5 </w:t>
            </w:r>
          </w:p>
        </w:tc>
        <w:tc>
          <w:tcPr>
            <w:tcW w:w="1005" w:type="dxa"/>
            <w:tcBorders>
              <w:left w:val="nil"/>
              <w:right w:val="nil"/>
            </w:tcBorders>
            <w:vAlign w:val="center"/>
          </w:tcPr>
          <w:p w14:paraId="596D85CB"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191.7 </w:t>
            </w:r>
          </w:p>
        </w:tc>
        <w:tc>
          <w:tcPr>
            <w:tcW w:w="992" w:type="dxa"/>
            <w:tcBorders>
              <w:left w:val="nil"/>
              <w:right w:val="nil"/>
            </w:tcBorders>
            <w:vAlign w:val="center"/>
          </w:tcPr>
          <w:p w14:paraId="59B29F6D"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206.4 </w:t>
            </w:r>
          </w:p>
        </w:tc>
      </w:tr>
      <w:tr w:rsidR="007A19A3" w:rsidRPr="005A68E6" w14:paraId="59FD2C04" w14:textId="77777777" w:rsidTr="00774676">
        <w:trPr>
          <w:trHeight w:val="486"/>
          <w:jc w:val="center"/>
        </w:trPr>
        <w:tc>
          <w:tcPr>
            <w:tcW w:w="4395" w:type="dxa"/>
            <w:tcBorders>
              <w:left w:val="nil"/>
              <w:right w:val="nil"/>
            </w:tcBorders>
            <w:vAlign w:val="center"/>
          </w:tcPr>
          <w:p w14:paraId="389855BF" w14:textId="3331153D" w:rsidR="007A19A3" w:rsidRPr="005A68E6" w:rsidRDefault="007A19A3" w:rsidP="007A19A3">
            <w:pPr>
              <w:spacing w:line="240" w:lineRule="auto"/>
              <w:ind w:firstLine="20"/>
              <w:jc w:val="left"/>
            </w:pPr>
            <w:r w:rsidRPr="005A68E6">
              <w:rPr>
                <w:rFonts w:cs="Calibri Light"/>
              </w:rPr>
              <w:t>Government Treasury Bonds</w:t>
            </w:r>
          </w:p>
        </w:tc>
        <w:tc>
          <w:tcPr>
            <w:tcW w:w="1078" w:type="dxa"/>
            <w:tcBorders>
              <w:left w:val="nil"/>
              <w:right w:val="nil"/>
            </w:tcBorders>
            <w:vAlign w:val="center"/>
          </w:tcPr>
          <w:p w14:paraId="471E5475" w14:textId="77777777" w:rsidR="007A19A3" w:rsidRPr="005A68E6" w:rsidRDefault="007A19A3" w:rsidP="007A19A3">
            <w:pPr>
              <w:spacing w:line="240" w:lineRule="auto"/>
              <w:ind w:firstLine="20"/>
              <w:jc w:val="center"/>
              <w:rPr>
                <w:sz w:val="20"/>
                <w:szCs w:val="20"/>
                <w:lang w:val="en-US"/>
              </w:rPr>
            </w:pPr>
            <w:r w:rsidRPr="005A68E6">
              <w:rPr>
                <w:sz w:val="20"/>
                <w:szCs w:val="20"/>
                <w:lang w:val="en-US"/>
              </w:rPr>
              <w:t>273.7</w:t>
            </w:r>
          </w:p>
        </w:tc>
        <w:tc>
          <w:tcPr>
            <w:tcW w:w="1429" w:type="dxa"/>
            <w:tcBorders>
              <w:left w:val="nil"/>
              <w:right w:val="double" w:sz="4" w:space="0" w:color="auto"/>
            </w:tcBorders>
            <w:vAlign w:val="center"/>
          </w:tcPr>
          <w:p w14:paraId="719ADEB3"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355.1 </w:t>
            </w:r>
          </w:p>
        </w:tc>
        <w:tc>
          <w:tcPr>
            <w:tcW w:w="910" w:type="dxa"/>
            <w:tcBorders>
              <w:left w:val="double" w:sz="4" w:space="0" w:color="auto"/>
              <w:right w:val="nil"/>
            </w:tcBorders>
            <w:vAlign w:val="center"/>
          </w:tcPr>
          <w:p w14:paraId="5D5E5CD5"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398.3 </w:t>
            </w:r>
          </w:p>
        </w:tc>
        <w:tc>
          <w:tcPr>
            <w:tcW w:w="933" w:type="dxa"/>
            <w:tcBorders>
              <w:left w:val="nil"/>
              <w:right w:val="nil"/>
            </w:tcBorders>
            <w:vAlign w:val="center"/>
          </w:tcPr>
          <w:p w14:paraId="081C2F20"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521.9 </w:t>
            </w:r>
          </w:p>
        </w:tc>
        <w:tc>
          <w:tcPr>
            <w:tcW w:w="1005" w:type="dxa"/>
            <w:tcBorders>
              <w:left w:val="nil"/>
              <w:right w:val="nil"/>
            </w:tcBorders>
            <w:vAlign w:val="center"/>
          </w:tcPr>
          <w:p w14:paraId="3C4886A3"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634.9 </w:t>
            </w:r>
          </w:p>
        </w:tc>
        <w:tc>
          <w:tcPr>
            <w:tcW w:w="992" w:type="dxa"/>
            <w:tcBorders>
              <w:left w:val="nil"/>
              <w:right w:val="nil"/>
            </w:tcBorders>
            <w:vAlign w:val="center"/>
          </w:tcPr>
          <w:p w14:paraId="4561F4E7"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692.4 </w:t>
            </w:r>
          </w:p>
        </w:tc>
      </w:tr>
      <w:tr w:rsidR="007A19A3" w:rsidRPr="005A68E6" w14:paraId="60D5B3A2" w14:textId="77777777" w:rsidTr="00233F1B">
        <w:trPr>
          <w:trHeight w:val="211"/>
          <w:jc w:val="center"/>
        </w:trPr>
        <w:tc>
          <w:tcPr>
            <w:tcW w:w="4395" w:type="dxa"/>
            <w:tcBorders>
              <w:left w:val="nil"/>
              <w:right w:val="nil"/>
            </w:tcBorders>
          </w:tcPr>
          <w:p w14:paraId="608E7715" w14:textId="4DD15FCB" w:rsidR="007A19A3" w:rsidRPr="005A68E6" w:rsidRDefault="007A19A3" w:rsidP="007A19A3">
            <w:pPr>
              <w:spacing w:line="240" w:lineRule="auto"/>
              <w:ind w:left="581" w:firstLine="20"/>
              <w:jc w:val="left"/>
            </w:pPr>
            <w:r w:rsidRPr="005A68E6">
              <w:rPr>
                <w:rFonts w:cs="Calibri Light"/>
              </w:rPr>
              <w:t>Interest Payment</w:t>
            </w:r>
          </w:p>
        </w:tc>
        <w:tc>
          <w:tcPr>
            <w:tcW w:w="1078" w:type="dxa"/>
            <w:tcBorders>
              <w:left w:val="nil"/>
              <w:right w:val="nil"/>
            </w:tcBorders>
            <w:vAlign w:val="center"/>
          </w:tcPr>
          <w:p w14:paraId="547B5478" w14:textId="77777777" w:rsidR="007A19A3" w:rsidRPr="005A68E6" w:rsidRDefault="007A19A3" w:rsidP="007A19A3">
            <w:pPr>
              <w:spacing w:line="240" w:lineRule="auto"/>
              <w:ind w:firstLine="20"/>
              <w:jc w:val="center"/>
              <w:rPr>
                <w:sz w:val="20"/>
                <w:szCs w:val="20"/>
                <w:lang w:val="en-US"/>
              </w:rPr>
            </w:pPr>
            <w:r w:rsidRPr="005A68E6">
              <w:rPr>
                <w:sz w:val="20"/>
                <w:szCs w:val="20"/>
                <w:lang w:val="en-US"/>
              </w:rPr>
              <w:t>125.9</w:t>
            </w:r>
          </w:p>
        </w:tc>
        <w:tc>
          <w:tcPr>
            <w:tcW w:w="1429" w:type="dxa"/>
            <w:tcBorders>
              <w:left w:val="nil"/>
              <w:right w:val="double" w:sz="4" w:space="0" w:color="auto"/>
            </w:tcBorders>
            <w:vAlign w:val="center"/>
          </w:tcPr>
          <w:p w14:paraId="1A645264"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164.5 </w:t>
            </w:r>
          </w:p>
        </w:tc>
        <w:tc>
          <w:tcPr>
            <w:tcW w:w="910" w:type="dxa"/>
            <w:tcBorders>
              <w:left w:val="double" w:sz="4" w:space="0" w:color="auto"/>
              <w:right w:val="nil"/>
            </w:tcBorders>
            <w:vAlign w:val="center"/>
          </w:tcPr>
          <w:p w14:paraId="15B99528"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164.5 </w:t>
            </w:r>
          </w:p>
        </w:tc>
        <w:tc>
          <w:tcPr>
            <w:tcW w:w="933" w:type="dxa"/>
            <w:tcBorders>
              <w:left w:val="nil"/>
              <w:right w:val="nil"/>
            </w:tcBorders>
            <w:vAlign w:val="center"/>
          </w:tcPr>
          <w:p w14:paraId="0B9BD64F"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203.2 </w:t>
            </w:r>
          </w:p>
        </w:tc>
        <w:tc>
          <w:tcPr>
            <w:tcW w:w="1005" w:type="dxa"/>
            <w:tcBorders>
              <w:left w:val="nil"/>
              <w:right w:val="nil"/>
            </w:tcBorders>
            <w:vAlign w:val="center"/>
          </w:tcPr>
          <w:p w14:paraId="74793FB5"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237.6 </w:t>
            </w:r>
          </w:p>
        </w:tc>
        <w:tc>
          <w:tcPr>
            <w:tcW w:w="992" w:type="dxa"/>
            <w:tcBorders>
              <w:left w:val="nil"/>
              <w:right w:val="nil"/>
            </w:tcBorders>
            <w:vAlign w:val="center"/>
          </w:tcPr>
          <w:p w14:paraId="6A8DE6A2"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268.3 </w:t>
            </w:r>
          </w:p>
        </w:tc>
      </w:tr>
      <w:tr w:rsidR="007A19A3" w:rsidRPr="005A68E6" w14:paraId="086FEFDC" w14:textId="77777777" w:rsidTr="00233F1B">
        <w:trPr>
          <w:trHeight w:val="224"/>
          <w:jc w:val="center"/>
        </w:trPr>
        <w:tc>
          <w:tcPr>
            <w:tcW w:w="4395" w:type="dxa"/>
            <w:tcBorders>
              <w:left w:val="nil"/>
              <w:right w:val="nil"/>
            </w:tcBorders>
          </w:tcPr>
          <w:p w14:paraId="01594571" w14:textId="74ED6529" w:rsidR="007A19A3" w:rsidRPr="005A68E6" w:rsidRDefault="007A19A3" w:rsidP="007A19A3">
            <w:pPr>
              <w:spacing w:line="240" w:lineRule="auto"/>
              <w:ind w:left="581" w:firstLine="20"/>
              <w:jc w:val="left"/>
            </w:pPr>
            <w:r w:rsidRPr="005A68E6">
              <w:rPr>
                <w:rFonts w:cs="Calibri Light"/>
              </w:rPr>
              <w:t>Redemption</w:t>
            </w:r>
          </w:p>
        </w:tc>
        <w:tc>
          <w:tcPr>
            <w:tcW w:w="1078" w:type="dxa"/>
            <w:tcBorders>
              <w:left w:val="nil"/>
              <w:right w:val="nil"/>
            </w:tcBorders>
            <w:vAlign w:val="center"/>
          </w:tcPr>
          <w:p w14:paraId="58C9AFA1" w14:textId="77777777" w:rsidR="007A19A3" w:rsidRPr="005A68E6" w:rsidRDefault="007A19A3" w:rsidP="007A19A3">
            <w:pPr>
              <w:spacing w:line="240" w:lineRule="auto"/>
              <w:ind w:firstLine="20"/>
              <w:jc w:val="center"/>
              <w:rPr>
                <w:sz w:val="20"/>
                <w:szCs w:val="20"/>
                <w:lang w:val="en-US"/>
              </w:rPr>
            </w:pPr>
            <w:r w:rsidRPr="005A68E6">
              <w:rPr>
                <w:sz w:val="20"/>
                <w:szCs w:val="20"/>
                <w:lang w:val="en-US"/>
              </w:rPr>
              <w:t>147.8</w:t>
            </w:r>
          </w:p>
        </w:tc>
        <w:tc>
          <w:tcPr>
            <w:tcW w:w="1429" w:type="dxa"/>
            <w:tcBorders>
              <w:left w:val="nil"/>
              <w:right w:val="double" w:sz="4" w:space="0" w:color="auto"/>
            </w:tcBorders>
            <w:vAlign w:val="center"/>
          </w:tcPr>
          <w:p w14:paraId="4C639A71"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190.6 </w:t>
            </w:r>
          </w:p>
        </w:tc>
        <w:tc>
          <w:tcPr>
            <w:tcW w:w="910" w:type="dxa"/>
            <w:tcBorders>
              <w:left w:val="double" w:sz="4" w:space="0" w:color="auto"/>
              <w:right w:val="nil"/>
            </w:tcBorders>
            <w:vAlign w:val="center"/>
          </w:tcPr>
          <w:p w14:paraId="2428B606"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233.9 </w:t>
            </w:r>
          </w:p>
        </w:tc>
        <w:tc>
          <w:tcPr>
            <w:tcW w:w="933" w:type="dxa"/>
            <w:tcBorders>
              <w:left w:val="nil"/>
              <w:right w:val="nil"/>
            </w:tcBorders>
            <w:vAlign w:val="center"/>
          </w:tcPr>
          <w:p w14:paraId="48DBB6E8"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318.6 </w:t>
            </w:r>
          </w:p>
        </w:tc>
        <w:tc>
          <w:tcPr>
            <w:tcW w:w="1005" w:type="dxa"/>
            <w:tcBorders>
              <w:left w:val="nil"/>
              <w:right w:val="nil"/>
            </w:tcBorders>
            <w:vAlign w:val="center"/>
          </w:tcPr>
          <w:p w14:paraId="3004BAFF"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397.3 </w:t>
            </w:r>
          </w:p>
        </w:tc>
        <w:tc>
          <w:tcPr>
            <w:tcW w:w="992" w:type="dxa"/>
            <w:tcBorders>
              <w:left w:val="nil"/>
              <w:right w:val="nil"/>
            </w:tcBorders>
            <w:vAlign w:val="center"/>
          </w:tcPr>
          <w:p w14:paraId="4086A4E0"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424.1 </w:t>
            </w:r>
          </w:p>
        </w:tc>
      </w:tr>
      <w:tr w:rsidR="007A19A3" w:rsidRPr="005A68E6" w14:paraId="0AD2135A" w14:textId="77777777" w:rsidTr="00774676">
        <w:trPr>
          <w:trHeight w:val="542"/>
          <w:jc w:val="center"/>
        </w:trPr>
        <w:tc>
          <w:tcPr>
            <w:tcW w:w="4395" w:type="dxa"/>
            <w:tcBorders>
              <w:left w:val="nil"/>
              <w:right w:val="nil"/>
            </w:tcBorders>
            <w:vAlign w:val="center"/>
          </w:tcPr>
          <w:p w14:paraId="49516D2A" w14:textId="32C66DDE" w:rsidR="007A19A3" w:rsidRPr="005A68E6" w:rsidRDefault="007A19A3" w:rsidP="007A19A3">
            <w:pPr>
              <w:spacing w:line="240" w:lineRule="auto"/>
              <w:ind w:firstLine="20"/>
              <w:jc w:val="left"/>
            </w:pPr>
            <w:r w:rsidRPr="005A68E6">
              <w:rPr>
                <w:rFonts w:cs="Calibri Light"/>
              </w:rPr>
              <w:t>Foreign currency Denominated Government Bonds</w:t>
            </w:r>
          </w:p>
        </w:tc>
        <w:tc>
          <w:tcPr>
            <w:tcW w:w="1078" w:type="dxa"/>
            <w:tcBorders>
              <w:left w:val="nil"/>
              <w:right w:val="nil"/>
            </w:tcBorders>
            <w:vAlign w:val="center"/>
          </w:tcPr>
          <w:p w14:paraId="53D5BE78" w14:textId="77777777" w:rsidR="007A19A3" w:rsidRPr="005A68E6" w:rsidRDefault="007A19A3" w:rsidP="007A19A3">
            <w:pPr>
              <w:spacing w:line="240" w:lineRule="auto"/>
              <w:ind w:firstLine="20"/>
              <w:jc w:val="center"/>
              <w:rPr>
                <w:sz w:val="20"/>
                <w:szCs w:val="20"/>
                <w:lang w:val="en-US"/>
              </w:rPr>
            </w:pPr>
            <w:r w:rsidRPr="005A68E6">
              <w:rPr>
                <w:sz w:val="20"/>
                <w:szCs w:val="20"/>
                <w:lang w:val="en-US"/>
              </w:rPr>
              <w:t>37.4</w:t>
            </w:r>
          </w:p>
        </w:tc>
        <w:tc>
          <w:tcPr>
            <w:tcW w:w="1429" w:type="dxa"/>
            <w:tcBorders>
              <w:left w:val="nil"/>
              <w:right w:val="double" w:sz="4" w:space="0" w:color="auto"/>
            </w:tcBorders>
            <w:vAlign w:val="center"/>
          </w:tcPr>
          <w:p w14:paraId="49F8F61B"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35.9 </w:t>
            </w:r>
          </w:p>
        </w:tc>
        <w:tc>
          <w:tcPr>
            <w:tcW w:w="910" w:type="dxa"/>
            <w:tcBorders>
              <w:left w:val="double" w:sz="4" w:space="0" w:color="auto"/>
              <w:right w:val="nil"/>
            </w:tcBorders>
            <w:vAlign w:val="center"/>
          </w:tcPr>
          <w:p w14:paraId="6F0654F4" w14:textId="77777777" w:rsidR="007A19A3" w:rsidRPr="005A68E6" w:rsidRDefault="007A19A3" w:rsidP="007A19A3">
            <w:pPr>
              <w:spacing w:line="240" w:lineRule="auto"/>
              <w:ind w:firstLine="0"/>
              <w:jc w:val="center"/>
              <w:rPr>
                <w:color w:val="FF0000"/>
                <w:sz w:val="20"/>
                <w:szCs w:val="20"/>
              </w:rPr>
            </w:pPr>
            <w:r w:rsidRPr="005A68E6">
              <w:rPr>
                <w:sz w:val="20"/>
                <w:szCs w:val="20"/>
              </w:rPr>
              <w:t xml:space="preserve"> 35.9 </w:t>
            </w:r>
          </w:p>
        </w:tc>
        <w:tc>
          <w:tcPr>
            <w:tcW w:w="933" w:type="dxa"/>
            <w:tcBorders>
              <w:left w:val="nil"/>
              <w:right w:val="nil"/>
            </w:tcBorders>
            <w:vAlign w:val="center"/>
          </w:tcPr>
          <w:p w14:paraId="60F60B1A"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36.6 </w:t>
            </w:r>
          </w:p>
        </w:tc>
        <w:tc>
          <w:tcPr>
            <w:tcW w:w="1005" w:type="dxa"/>
            <w:tcBorders>
              <w:left w:val="nil"/>
              <w:right w:val="nil"/>
            </w:tcBorders>
            <w:vAlign w:val="center"/>
          </w:tcPr>
          <w:p w14:paraId="5A14C507"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250.3 </w:t>
            </w:r>
          </w:p>
        </w:tc>
        <w:tc>
          <w:tcPr>
            <w:tcW w:w="992" w:type="dxa"/>
            <w:tcBorders>
              <w:left w:val="nil"/>
              <w:right w:val="nil"/>
            </w:tcBorders>
            <w:vAlign w:val="center"/>
          </w:tcPr>
          <w:p w14:paraId="69D77C8D"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20.7 </w:t>
            </w:r>
          </w:p>
        </w:tc>
      </w:tr>
      <w:tr w:rsidR="007A19A3" w:rsidRPr="005A68E6" w14:paraId="7229EC54" w14:textId="77777777" w:rsidTr="00233F1B">
        <w:trPr>
          <w:trHeight w:val="224"/>
          <w:jc w:val="center"/>
        </w:trPr>
        <w:tc>
          <w:tcPr>
            <w:tcW w:w="4395" w:type="dxa"/>
            <w:tcBorders>
              <w:left w:val="nil"/>
              <w:right w:val="nil"/>
            </w:tcBorders>
          </w:tcPr>
          <w:p w14:paraId="383D2D47" w14:textId="02512B52" w:rsidR="007A19A3" w:rsidRPr="005A68E6" w:rsidRDefault="007A19A3" w:rsidP="007A19A3">
            <w:pPr>
              <w:spacing w:line="240" w:lineRule="auto"/>
              <w:ind w:left="581" w:firstLine="20"/>
              <w:jc w:val="left"/>
            </w:pPr>
            <w:r w:rsidRPr="005A68E6">
              <w:rPr>
                <w:rFonts w:cs="Calibri Light"/>
              </w:rPr>
              <w:lastRenderedPageBreak/>
              <w:t>Interest Payment</w:t>
            </w:r>
          </w:p>
        </w:tc>
        <w:tc>
          <w:tcPr>
            <w:tcW w:w="1078" w:type="dxa"/>
            <w:tcBorders>
              <w:left w:val="nil"/>
              <w:right w:val="nil"/>
            </w:tcBorders>
            <w:vAlign w:val="center"/>
          </w:tcPr>
          <w:p w14:paraId="1DFEBE82" w14:textId="77777777" w:rsidR="007A19A3" w:rsidRPr="005A68E6" w:rsidRDefault="007A19A3" w:rsidP="007A19A3">
            <w:pPr>
              <w:spacing w:line="240" w:lineRule="auto"/>
              <w:ind w:firstLine="20"/>
              <w:jc w:val="center"/>
              <w:rPr>
                <w:sz w:val="20"/>
                <w:szCs w:val="20"/>
                <w:lang w:val="en-US"/>
              </w:rPr>
            </w:pPr>
            <w:r w:rsidRPr="005A68E6">
              <w:rPr>
                <w:sz w:val="20"/>
                <w:szCs w:val="20"/>
                <w:lang w:val="en-US"/>
              </w:rPr>
              <w:t>37.4</w:t>
            </w:r>
          </w:p>
        </w:tc>
        <w:tc>
          <w:tcPr>
            <w:tcW w:w="1429" w:type="dxa"/>
            <w:tcBorders>
              <w:left w:val="nil"/>
              <w:right w:val="double" w:sz="4" w:space="0" w:color="auto"/>
            </w:tcBorders>
            <w:vAlign w:val="center"/>
          </w:tcPr>
          <w:p w14:paraId="50DF402A"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35.9 </w:t>
            </w:r>
          </w:p>
        </w:tc>
        <w:tc>
          <w:tcPr>
            <w:tcW w:w="910" w:type="dxa"/>
            <w:tcBorders>
              <w:left w:val="double" w:sz="4" w:space="0" w:color="auto"/>
              <w:right w:val="nil"/>
            </w:tcBorders>
            <w:vAlign w:val="center"/>
          </w:tcPr>
          <w:p w14:paraId="1FAD7B47"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35.9 </w:t>
            </w:r>
          </w:p>
        </w:tc>
        <w:tc>
          <w:tcPr>
            <w:tcW w:w="933" w:type="dxa"/>
            <w:tcBorders>
              <w:left w:val="nil"/>
              <w:right w:val="nil"/>
            </w:tcBorders>
            <w:vAlign w:val="center"/>
          </w:tcPr>
          <w:p w14:paraId="5D5F1B79"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36.6 </w:t>
            </w:r>
          </w:p>
        </w:tc>
        <w:tc>
          <w:tcPr>
            <w:tcW w:w="1005" w:type="dxa"/>
            <w:tcBorders>
              <w:left w:val="nil"/>
              <w:right w:val="nil"/>
            </w:tcBorders>
            <w:vAlign w:val="center"/>
          </w:tcPr>
          <w:p w14:paraId="24ADD224"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28.6 </w:t>
            </w:r>
          </w:p>
        </w:tc>
        <w:tc>
          <w:tcPr>
            <w:tcW w:w="992" w:type="dxa"/>
            <w:tcBorders>
              <w:left w:val="nil"/>
              <w:right w:val="nil"/>
            </w:tcBorders>
            <w:vAlign w:val="center"/>
          </w:tcPr>
          <w:p w14:paraId="3B63791C"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20.7 </w:t>
            </w:r>
          </w:p>
        </w:tc>
      </w:tr>
      <w:tr w:rsidR="007A19A3" w:rsidRPr="005A68E6" w14:paraId="145CAF6C" w14:textId="77777777" w:rsidTr="00233F1B">
        <w:trPr>
          <w:trHeight w:val="258"/>
          <w:jc w:val="center"/>
        </w:trPr>
        <w:tc>
          <w:tcPr>
            <w:tcW w:w="4395" w:type="dxa"/>
            <w:tcBorders>
              <w:left w:val="nil"/>
              <w:bottom w:val="thickThinSmallGap" w:sz="24" w:space="0" w:color="auto"/>
              <w:right w:val="nil"/>
            </w:tcBorders>
          </w:tcPr>
          <w:p w14:paraId="4D5C4575" w14:textId="7A52AF78" w:rsidR="007A19A3" w:rsidRPr="005A68E6" w:rsidRDefault="007A19A3" w:rsidP="007A19A3">
            <w:pPr>
              <w:spacing w:line="240" w:lineRule="auto"/>
              <w:ind w:left="581" w:firstLine="20"/>
              <w:jc w:val="left"/>
            </w:pPr>
            <w:r w:rsidRPr="005A68E6">
              <w:rPr>
                <w:rFonts w:cs="Calibri Light"/>
              </w:rPr>
              <w:t>Redemption</w:t>
            </w:r>
          </w:p>
        </w:tc>
        <w:tc>
          <w:tcPr>
            <w:tcW w:w="1078" w:type="dxa"/>
            <w:tcBorders>
              <w:left w:val="nil"/>
              <w:bottom w:val="thickThinSmallGap" w:sz="24" w:space="0" w:color="auto"/>
              <w:right w:val="nil"/>
            </w:tcBorders>
            <w:vAlign w:val="center"/>
          </w:tcPr>
          <w:p w14:paraId="67E1658E" w14:textId="77777777" w:rsidR="007A19A3" w:rsidRPr="005A68E6" w:rsidRDefault="007A19A3" w:rsidP="007A19A3">
            <w:pPr>
              <w:spacing w:line="240" w:lineRule="auto"/>
              <w:ind w:firstLine="20"/>
              <w:jc w:val="center"/>
              <w:rPr>
                <w:sz w:val="20"/>
                <w:szCs w:val="20"/>
                <w:lang w:val="en-US"/>
              </w:rPr>
            </w:pPr>
            <w:r w:rsidRPr="005A68E6">
              <w:rPr>
                <w:sz w:val="20"/>
                <w:szCs w:val="20"/>
                <w:lang w:val="en-US"/>
              </w:rPr>
              <w:t>-</w:t>
            </w:r>
          </w:p>
        </w:tc>
        <w:tc>
          <w:tcPr>
            <w:tcW w:w="1429" w:type="dxa"/>
            <w:tcBorders>
              <w:left w:val="nil"/>
              <w:bottom w:val="thickThinSmallGap" w:sz="24" w:space="0" w:color="auto"/>
              <w:right w:val="double" w:sz="4" w:space="0" w:color="auto"/>
            </w:tcBorders>
            <w:vAlign w:val="center"/>
          </w:tcPr>
          <w:p w14:paraId="4D01E070"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   </w:t>
            </w:r>
          </w:p>
        </w:tc>
        <w:tc>
          <w:tcPr>
            <w:tcW w:w="910" w:type="dxa"/>
            <w:tcBorders>
              <w:left w:val="double" w:sz="4" w:space="0" w:color="auto"/>
              <w:bottom w:val="thickThinSmallGap" w:sz="24" w:space="0" w:color="auto"/>
              <w:right w:val="nil"/>
            </w:tcBorders>
            <w:vAlign w:val="center"/>
          </w:tcPr>
          <w:p w14:paraId="5C0BF916"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   </w:t>
            </w:r>
          </w:p>
        </w:tc>
        <w:tc>
          <w:tcPr>
            <w:tcW w:w="933" w:type="dxa"/>
            <w:tcBorders>
              <w:left w:val="nil"/>
              <w:bottom w:val="thickThinSmallGap" w:sz="24" w:space="0" w:color="auto"/>
              <w:right w:val="nil"/>
            </w:tcBorders>
            <w:vAlign w:val="center"/>
          </w:tcPr>
          <w:p w14:paraId="525F9702"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   </w:t>
            </w:r>
          </w:p>
        </w:tc>
        <w:tc>
          <w:tcPr>
            <w:tcW w:w="1005" w:type="dxa"/>
            <w:tcBorders>
              <w:left w:val="nil"/>
              <w:bottom w:val="thickThinSmallGap" w:sz="24" w:space="0" w:color="auto"/>
              <w:right w:val="nil"/>
            </w:tcBorders>
            <w:vAlign w:val="center"/>
          </w:tcPr>
          <w:p w14:paraId="383115A6"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221.6 </w:t>
            </w:r>
          </w:p>
        </w:tc>
        <w:tc>
          <w:tcPr>
            <w:tcW w:w="992" w:type="dxa"/>
            <w:tcBorders>
              <w:left w:val="nil"/>
              <w:bottom w:val="thickThinSmallGap" w:sz="24" w:space="0" w:color="auto"/>
              <w:right w:val="nil"/>
            </w:tcBorders>
            <w:vAlign w:val="center"/>
          </w:tcPr>
          <w:p w14:paraId="4E1846B0" w14:textId="77777777" w:rsidR="007A19A3" w:rsidRPr="005A68E6" w:rsidRDefault="007A19A3" w:rsidP="007A19A3">
            <w:pPr>
              <w:spacing w:line="240" w:lineRule="auto"/>
              <w:ind w:firstLine="20"/>
              <w:jc w:val="center"/>
              <w:rPr>
                <w:color w:val="FF0000"/>
                <w:sz w:val="20"/>
                <w:szCs w:val="20"/>
              </w:rPr>
            </w:pPr>
            <w:r w:rsidRPr="005A68E6">
              <w:rPr>
                <w:sz w:val="20"/>
                <w:szCs w:val="20"/>
              </w:rPr>
              <w:t xml:space="preserve"> -   </w:t>
            </w:r>
          </w:p>
        </w:tc>
      </w:tr>
    </w:tbl>
    <w:p w14:paraId="452477C0" w14:textId="77777777" w:rsidR="001103D3" w:rsidRPr="005A68E6" w:rsidRDefault="001103D3" w:rsidP="00581010">
      <w:pPr>
        <w:tabs>
          <w:tab w:val="left" w:pos="2011"/>
        </w:tabs>
        <w:rPr>
          <w:sz w:val="16"/>
          <w:lang w:val="en-US"/>
        </w:rPr>
      </w:pPr>
    </w:p>
    <w:p w14:paraId="42C281C6" w14:textId="16F1610A" w:rsidR="0000473B" w:rsidRPr="005A68E6" w:rsidRDefault="00DA69CD" w:rsidP="00581010">
      <w:pPr>
        <w:tabs>
          <w:tab w:val="left" w:pos="2011"/>
        </w:tabs>
        <w:rPr>
          <w:sz w:val="16"/>
          <w:lang w:val="en-US"/>
        </w:rPr>
      </w:pPr>
      <w:r w:rsidRPr="005A68E6">
        <w:rPr>
          <w:sz w:val="16"/>
          <w:lang w:val="en-US"/>
        </w:rPr>
        <w:t>Source: RA MoF calculations and forecasts</w:t>
      </w:r>
    </w:p>
    <w:p w14:paraId="03BB2E1F" w14:textId="77777777" w:rsidR="00874DFF" w:rsidRPr="005A68E6" w:rsidRDefault="00874DFF" w:rsidP="00581010">
      <w:pPr>
        <w:tabs>
          <w:tab w:val="left" w:pos="2011"/>
        </w:tabs>
        <w:rPr>
          <w:sz w:val="16"/>
        </w:rPr>
      </w:pPr>
    </w:p>
    <w:p w14:paraId="2F7ADB25" w14:textId="77777777" w:rsidR="0024298B" w:rsidRPr="005A68E6" w:rsidRDefault="0024298B" w:rsidP="0024298B">
      <w:r w:rsidRPr="005A68E6">
        <w:t>The RA Government controls the refinancing risks through the application of debt and cash flow management instruments (buybacks, depositing the available funds in the Central Bank of RA, etc.).</w:t>
      </w:r>
    </w:p>
    <w:p w14:paraId="3181E018" w14:textId="77777777" w:rsidR="0024298B" w:rsidRPr="005A68E6" w:rsidRDefault="0024298B" w:rsidP="00A1274B">
      <w:pPr>
        <w:rPr>
          <w:color w:val="FF0000"/>
        </w:rPr>
      </w:pPr>
    </w:p>
    <w:p w14:paraId="3BB3A8F4" w14:textId="77777777" w:rsidR="0024298B" w:rsidRPr="005A68E6" w:rsidRDefault="0024298B" w:rsidP="0024298B">
      <w:pPr>
        <w:pStyle w:val="af8"/>
        <w:spacing w:after="240"/>
      </w:pPr>
      <w:r w:rsidRPr="005A68E6">
        <w:t xml:space="preserve">Interest rate risk </w:t>
      </w:r>
    </w:p>
    <w:p w14:paraId="76656FDB" w14:textId="047FA926" w:rsidR="0024298B" w:rsidRPr="005A68E6" w:rsidRDefault="0024298B" w:rsidP="0024298B">
      <w:r w:rsidRPr="005A68E6">
        <w:t xml:space="preserve">Interest rate risks require greater attention, as the share of </w:t>
      </w:r>
      <w:r w:rsidRPr="005A68E6">
        <w:rPr>
          <w:lang w:val="en-US"/>
        </w:rPr>
        <w:t>market-based</w:t>
      </w:r>
      <w:r w:rsidRPr="005A68E6">
        <w:t xml:space="preserve"> borrowings is continuously increasing. The objective of interest rate risk management is to ensure </w:t>
      </w:r>
      <w:r w:rsidR="00506E26" w:rsidRPr="005A68E6">
        <w:rPr>
          <w:lang w:val="en-US"/>
        </w:rPr>
        <w:t xml:space="preserve">such </w:t>
      </w:r>
      <w:r w:rsidRPr="005A68E6">
        <w:t xml:space="preserve">a Government debt structure </w:t>
      </w:r>
      <w:r w:rsidRPr="005A68E6">
        <w:rPr>
          <w:lang w:val="en-US"/>
        </w:rPr>
        <w:t>under which</w:t>
      </w:r>
      <w:r w:rsidRPr="005A68E6">
        <w:t xml:space="preserve"> the impact of interest rate fluctuations in the financial markets on the interest payments would be as low as possible. The interest rate risk indicators for the RA Government debt remain manageable in the forecasted period. </w:t>
      </w:r>
    </w:p>
    <w:p w14:paraId="754F7AC3" w14:textId="71E44C73" w:rsidR="0024298B" w:rsidRPr="005A68E6" w:rsidRDefault="0024298B" w:rsidP="0024298B">
      <w:r w:rsidRPr="005A68E6">
        <w:rPr>
          <w:lang w:val="en-US"/>
        </w:rPr>
        <w:t xml:space="preserve">The share of fixed-interest rate debt is forecasted to be 80.3% at the end of 2026. </w:t>
      </w:r>
      <w:r w:rsidRPr="005A68E6">
        <w:t>Maintaining the share of fixed interest rate debt</w:t>
      </w:r>
      <w:r w:rsidR="001411D2" w:rsidRPr="005A68E6">
        <w:rPr>
          <w:lang w:val="en-US"/>
        </w:rPr>
        <w:t xml:space="preserve"> within the benchmark range</w:t>
      </w:r>
      <w:r w:rsidRPr="005A68E6">
        <w:t xml:space="preserve"> will be significantly facilitated by the fact that in the forecasted period the </w:t>
      </w:r>
      <w:r w:rsidRPr="005A68E6">
        <w:rPr>
          <w:lang w:val="en-US"/>
        </w:rPr>
        <w:t xml:space="preserve">RA </w:t>
      </w:r>
      <w:r w:rsidRPr="005A68E6">
        <w:t>Government will increase</w:t>
      </w:r>
      <w:r w:rsidRPr="005A68E6">
        <w:rPr>
          <w:lang w:val="en-US"/>
        </w:rPr>
        <w:t xml:space="preserve"> the volume of </w:t>
      </w:r>
      <w:r w:rsidR="00615A54" w:rsidRPr="005A68E6">
        <w:rPr>
          <w:lang w:val="en-US"/>
        </w:rPr>
        <w:t>the G</w:t>
      </w:r>
      <w:r w:rsidRPr="005A68E6">
        <w:rPr>
          <w:lang w:val="en-US"/>
        </w:rPr>
        <w:t xml:space="preserve">overnment treasury bonds with a fixed interest rate. </w:t>
      </w:r>
      <w:r w:rsidRPr="005A68E6">
        <w:t xml:space="preserve">It is forecasted that the share of the outstanding volume </w:t>
      </w:r>
      <w:r w:rsidRPr="005A68E6">
        <w:rPr>
          <w:lang w:val="en-US"/>
        </w:rPr>
        <w:t xml:space="preserve">of </w:t>
      </w:r>
      <w:r w:rsidRPr="005A68E6">
        <w:t>the Government treasury bonds will rise in the medium</w:t>
      </w:r>
      <w:r w:rsidR="00615A54" w:rsidRPr="005A68E6">
        <w:rPr>
          <w:lang w:val="en-US"/>
        </w:rPr>
        <w:t>-</w:t>
      </w:r>
      <w:r w:rsidRPr="005A68E6">
        <w:t xml:space="preserve">term </w:t>
      </w:r>
      <w:r w:rsidRPr="005A68E6">
        <w:rPr>
          <w:lang w:val="en-US"/>
        </w:rPr>
        <w:t>reaching</w:t>
      </w:r>
      <w:r w:rsidRPr="005A68E6">
        <w:t xml:space="preserve"> </w:t>
      </w:r>
      <w:r w:rsidRPr="005A68E6">
        <w:rPr>
          <w:lang w:val="en-US"/>
        </w:rPr>
        <w:t>44.4</w:t>
      </w:r>
      <w:r w:rsidRPr="005A68E6">
        <w:t>% of</w:t>
      </w:r>
      <w:r w:rsidR="004D6547" w:rsidRPr="005A68E6">
        <w:rPr>
          <w:lang w:val="en-US"/>
        </w:rPr>
        <w:t xml:space="preserve"> the</w:t>
      </w:r>
      <w:r w:rsidRPr="005A68E6">
        <w:t xml:space="preserve"> RA Government debt in 202</w:t>
      </w:r>
      <w:r w:rsidRPr="005A68E6">
        <w:rPr>
          <w:lang w:val="en-US"/>
        </w:rPr>
        <w:t>6</w:t>
      </w:r>
      <w:r w:rsidRPr="005A68E6">
        <w:t xml:space="preserve"> against </w:t>
      </w:r>
      <w:r w:rsidRPr="005A68E6">
        <w:rPr>
          <w:lang w:val="en-US"/>
        </w:rPr>
        <w:t>37</w:t>
      </w:r>
      <w:r w:rsidRPr="005A68E6">
        <w:t>.7% actual indicator in 202</w:t>
      </w:r>
      <w:r w:rsidRPr="005A68E6">
        <w:rPr>
          <w:lang w:val="en-US"/>
        </w:rPr>
        <w:t>2</w:t>
      </w:r>
      <w:r w:rsidRPr="005A68E6">
        <w:t xml:space="preserve">. </w:t>
      </w:r>
      <w:r w:rsidRPr="005A68E6">
        <w:rPr>
          <w:lang w:val="en-US"/>
        </w:rPr>
        <w:t xml:space="preserve">However, </w:t>
      </w:r>
      <w:r w:rsidRPr="005A68E6">
        <w:t xml:space="preserve">on the other hand, international creditors will provide </w:t>
      </w:r>
      <w:r w:rsidRPr="005A68E6">
        <w:rPr>
          <w:lang w:val="en-US"/>
        </w:rPr>
        <w:t xml:space="preserve">more </w:t>
      </w:r>
      <w:r w:rsidRPr="005A68E6">
        <w:t xml:space="preserve">new loans with floating interest rates, which in turn, will alleviate the growth rate of the share of </w:t>
      </w:r>
      <w:r w:rsidR="004D6547" w:rsidRPr="005A68E6">
        <w:rPr>
          <w:lang w:val="en-US"/>
        </w:rPr>
        <w:t xml:space="preserve">the </w:t>
      </w:r>
      <w:r w:rsidRPr="005A68E6">
        <w:t xml:space="preserve">RA Government debt with fixed interest rates. If </w:t>
      </w:r>
      <w:r w:rsidRPr="005A68E6">
        <w:rPr>
          <w:lang w:val="en-US"/>
        </w:rPr>
        <w:t xml:space="preserve">necessary, </w:t>
      </w:r>
      <w:r w:rsidR="004259C3" w:rsidRPr="005A68E6">
        <w:rPr>
          <w:lang w:val="en-US"/>
        </w:rPr>
        <w:t>for</w:t>
      </w:r>
      <w:r w:rsidRPr="005A68E6">
        <w:t xml:space="preserve"> manag</w:t>
      </w:r>
      <w:r w:rsidR="004259C3" w:rsidRPr="005A68E6">
        <w:rPr>
          <w:lang w:val="en-US"/>
        </w:rPr>
        <w:t>ing</w:t>
      </w:r>
      <w:r w:rsidRPr="005A68E6">
        <w:t xml:space="preserve"> the interest rate risk, the fixing of the interest rates for the loans with floating interest rates will be implemented </w:t>
      </w:r>
      <w:r w:rsidR="004259C3" w:rsidRPr="005A68E6">
        <w:rPr>
          <w:lang w:val="en-US"/>
        </w:rPr>
        <w:t>according to</w:t>
      </w:r>
      <w:r w:rsidRPr="005A68E6">
        <w:t xml:space="preserve"> the procedures set by the external creditors.</w:t>
      </w:r>
    </w:p>
    <w:p w14:paraId="40551E53" w14:textId="77777777" w:rsidR="0024298B" w:rsidRPr="005A68E6" w:rsidRDefault="0024298B" w:rsidP="00A1274B">
      <w:pPr>
        <w:rPr>
          <w:color w:val="FF0000"/>
        </w:rPr>
      </w:pPr>
    </w:p>
    <w:p w14:paraId="0C12BFF5" w14:textId="70378BC1" w:rsidR="00BA13A2" w:rsidRPr="005A68E6" w:rsidRDefault="00BA13A2" w:rsidP="00A1274B"/>
    <w:p w14:paraId="1DF95EA8" w14:textId="7D724DE1" w:rsidR="00667CFC" w:rsidRPr="005A68E6" w:rsidRDefault="00667CFC" w:rsidP="00A1274B"/>
    <w:p w14:paraId="2522B31E" w14:textId="0DD994FF" w:rsidR="00667CFC" w:rsidRPr="005A68E6" w:rsidRDefault="00667CFC" w:rsidP="00A1274B"/>
    <w:p w14:paraId="6F35BF45" w14:textId="5993A69B" w:rsidR="00667CFC" w:rsidRPr="005A68E6" w:rsidRDefault="00667CFC" w:rsidP="00A1274B"/>
    <w:p w14:paraId="6D8B4210" w14:textId="34F2B734" w:rsidR="00667CFC" w:rsidRPr="005A68E6" w:rsidRDefault="00667CFC" w:rsidP="007D0709">
      <w:pPr>
        <w:pStyle w:val="af6"/>
        <w:numPr>
          <w:ilvl w:val="0"/>
          <w:numId w:val="35"/>
        </w:numPr>
        <w:spacing w:before="0"/>
        <w:ind w:left="1276" w:hanging="1276"/>
        <w:rPr>
          <w:rStyle w:val="Emphasis"/>
          <w:rFonts w:cs="Cambria"/>
          <w:i/>
        </w:rPr>
      </w:pPr>
      <w:r w:rsidRPr="005A68E6">
        <w:rPr>
          <w:rStyle w:val="Emphasis"/>
          <w:rFonts w:cs="Cambria"/>
          <w:i/>
        </w:rPr>
        <w:lastRenderedPageBreak/>
        <w:t xml:space="preserve">The shares of fixed and floating interest rate loans in </w:t>
      </w:r>
      <w:r w:rsidR="004D6547" w:rsidRPr="005A68E6">
        <w:rPr>
          <w:rStyle w:val="Emphasis"/>
          <w:rFonts w:cs="Cambria"/>
          <w:i/>
          <w:lang w:val="en-US"/>
        </w:rPr>
        <w:t xml:space="preserve">the </w:t>
      </w:r>
      <w:r w:rsidRPr="005A68E6">
        <w:rPr>
          <w:rStyle w:val="Emphasis"/>
          <w:rFonts w:cs="Cambria"/>
          <w:i/>
        </w:rPr>
        <w:t>RA Government debt structure, 2022-202</w:t>
      </w:r>
      <w:r w:rsidR="004D7FC8" w:rsidRPr="005A68E6">
        <w:rPr>
          <w:rStyle w:val="Emphasis"/>
          <w:rFonts w:cs="Cambria"/>
          <w:i/>
          <w:lang w:val="en-US"/>
        </w:rPr>
        <w:t>6</w:t>
      </w:r>
      <w:r w:rsidRPr="005A68E6">
        <w:rPr>
          <w:rStyle w:val="Emphasis"/>
          <w:rFonts w:cs="Cambria"/>
          <w:i/>
        </w:rPr>
        <w:t xml:space="preserve"> (%)</w:t>
      </w: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0"/>
        <w:gridCol w:w="1065"/>
        <w:gridCol w:w="1376"/>
        <w:gridCol w:w="1009"/>
        <w:gridCol w:w="1051"/>
        <w:gridCol w:w="986"/>
        <w:gridCol w:w="1009"/>
      </w:tblGrid>
      <w:tr w:rsidR="00667CFC" w:rsidRPr="005A68E6" w14:paraId="2CF15E5E" w14:textId="77777777" w:rsidTr="00C45A7F">
        <w:trPr>
          <w:trHeight w:val="284"/>
          <w:tblHeader/>
          <w:jc w:val="center"/>
        </w:trPr>
        <w:tc>
          <w:tcPr>
            <w:tcW w:w="4110" w:type="dxa"/>
            <w:tcBorders>
              <w:top w:val="thinThickThinSmallGap" w:sz="24" w:space="0" w:color="auto"/>
              <w:left w:val="nil"/>
              <w:bottom w:val="thinThickSmallGap" w:sz="24" w:space="0" w:color="auto"/>
              <w:right w:val="nil"/>
            </w:tcBorders>
            <w:shd w:val="clear" w:color="auto" w:fill="5B9BD5"/>
            <w:vAlign w:val="center"/>
          </w:tcPr>
          <w:p w14:paraId="797C4E78" w14:textId="77777777" w:rsidR="00667CFC" w:rsidRPr="005A68E6" w:rsidRDefault="00667CFC" w:rsidP="00667CFC">
            <w:pPr>
              <w:spacing w:line="240" w:lineRule="auto"/>
              <w:ind w:firstLine="0"/>
              <w:jc w:val="center"/>
            </w:pPr>
          </w:p>
        </w:tc>
        <w:tc>
          <w:tcPr>
            <w:tcW w:w="1065" w:type="dxa"/>
            <w:tcBorders>
              <w:top w:val="thinThickThinSmallGap" w:sz="24" w:space="0" w:color="auto"/>
              <w:left w:val="nil"/>
              <w:bottom w:val="thinThickSmallGap" w:sz="24" w:space="0" w:color="auto"/>
              <w:right w:val="nil"/>
            </w:tcBorders>
            <w:shd w:val="clear" w:color="auto" w:fill="5B9BD5"/>
          </w:tcPr>
          <w:p w14:paraId="30DB5CBD" w14:textId="13F9DDD1" w:rsidR="00667CFC" w:rsidRPr="005A68E6" w:rsidRDefault="00667CFC" w:rsidP="00667CFC">
            <w:pPr>
              <w:spacing w:line="240" w:lineRule="auto"/>
              <w:ind w:firstLine="0"/>
              <w:jc w:val="center"/>
            </w:pPr>
            <w:r w:rsidRPr="005A68E6">
              <w:t>202</w:t>
            </w:r>
            <w:r w:rsidRPr="005A68E6">
              <w:rPr>
                <w:lang w:val="en-US"/>
              </w:rPr>
              <w:t>2</w:t>
            </w:r>
            <w:r w:rsidRPr="005A68E6">
              <w:t xml:space="preserve"> </w:t>
            </w:r>
            <w:r w:rsidRPr="005A68E6">
              <w:rPr>
                <w:lang w:val="en-US"/>
              </w:rPr>
              <w:t>actual</w:t>
            </w:r>
          </w:p>
        </w:tc>
        <w:tc>
          <w:tcPr>
            <w:tcW w:w="851" w:type="dxa"/>
            <w:tcBorders>
              <w:top w:val="thinThickThinSmallGap" w:sz="24" w:space="0" w:color="auto"/>
              <w:left w:val="nil"/>
              <w:bottom w:val="thinThickSmallGap" w:sz="24" w:space="0" w:color="auto"/>
              <w:right w:val="double" w:sz="4" w:space="0" w:color="auto"/>
            </w:tcBorders>
            <w:shd w:val="clear" w:color="auto" w:fill="5B9BD5"/>
            <w:vAlign w:val="center"/>
          </w:tcPr>
          <w:p w14:paraId="0C831EDA" w14:textId="77777777" w:rsidR="00667CFC" w:rsidRPr="005A68E6" w:rsidRDefault="00667CFC" w:rsidP="00C45A7F">
            <w:pPr>
              <w:spacing w:line="240" w:lineRule="auto"/>
              <w:ind w:firstLine="20"/>
              <w:jc w:val="center"/>
            </w:pPr>
            <w:r w:rsidRPr="005A68E6">
              <w:t xml:space="preserve">2023 </w:t>
            </w:r>
          </w:p>
          <w:p w14:paraId="6A817DF9" w14:textId="743D7A00" w:rsidR="00667CFC" w:rsidRPr="005A68E6" w:rsidRDefault="004259C3" w:rsidP="00C45A7F">
            <w:pPr>
              <w:spacing w:line="240" w:lineRule="auto"/>
              <w:ind w:firstLine="0"/>
              <w:jc w:val="center"/>
            </w:pPr>
            <w:r w:rsidRPr="005A68E6">
              <w:rPr>
                <w:color w:val="000000"/>
                <w:lang w:val="en-US"/>
              </w:rPr>
              <w:t xml:space="preserve">State </w:t>
            </w:r>
            <w:r w:rsidR="00667CFC" w:rsidRPr="005A68E6">
              <w:rPr>
                <w:color w:val="000000"/>
              </w:rPr>
              <w:t>budget program</w:t>
            </w:r>
          </w:p>
        </w:tc>
        <w:tc>
          <w:tcPr>
            <w:tcW w:w="1009" w:type="dxa"/>
            <w:tcBorders>
              <w:top w:val="thinThickThinSmallGap" w:sz="24" w:space="0" w:color="auto"/>
              <w:left w:val="double" w:sz="4" w:space="0" w:color="auto"/>
              <w:bottom w:val="thinThickSmallGap" w:sz="24" w:space="0" w:color="auto"/>
              <w:right w:val="nil"/>
            </w:tcBorders>
            <w:shd w:val="clear" w:color="auto" w:fill="5B9BD5"/>
            <w:vAlign w:val="center"/>
          </w:tcPr>
          <w:p w14:paraId="04CAA5F5" w14:textId="0F491B6F" w:rsidR="00667CFC" w:rsidRPr="005A68E6" w:rsidRDefault="00667CFC" w:rsidP="00667CFC">
            <w:pPr>
              <w:spacing w:line="240" w:lineRule="auto"/>
              <w:ind w:firstLine="0"/>
              <w:jc w:val="center"/>
            </w:pPr>
            <w:r w:rsidRPr="005A68E6">
              <w:t xml:space="preserve">2023 </w:t>
            </w:r>
            <w:r w:rsidRPr="005A68E6">
              <w:rPr>
                <w:lang w:val="en-US"/>
              </w:rPr>
              <w:t>forecast</w:t>
            </w:r>
          </w:p>
        </w:tc>
        <w:tc>
          <w:tcPr>
            <w:tcW w:w="1051" w:type="dxa"/>
            <w:tcBorders>
              <w:top w:val="thinThickThinSmallGap" w:sz="24" w:space="0" w:color="auto"/>
              <w:left w:val="nil"/>
              <w:bottom w:val="thinThickSmallGap" w:sz="24" w:space="0" w:color="auto"/>
              <w:right w:val="nil"/>
            </w:tcBorders>
            <w:shd w:val="clear" w:color="auto" w:fill="5B9BD5"/>
            <w:vAlign w:val="center"/>
          </w:tcPr>
          <w:p w14:paraId="6D4D5C14" w14:textId="6D1D05C6" w:rsidR="00667CFC" w:rsidRPr="005A68E6" w:rsidRDefault="00667CFC" w:rsidP="00667CFC">
            <w:pPr>
              <w:spacing w:line="240" w:lineRule="auto"/>
              <w:ind w:firstLine="0"/>
              <w:jc w:val="center"/>
            </w:pPr>
            <w:r w:rsidRPr="005A68E6">
              <w:t xml:space="preserve">2024 </w:t>
            </w:r>
            <w:r w:rsidRPr="005A68E6">
              <w:rPr>
                <w:lang w:val="en-US"/>
              </w:rPr>
              <w:t>forecast</w:t>
            </w:r>
          </w:p>
        </w:tc>
        <w:tc>
          <w:tcPr>
            <w:tcW w:w="986" w:type="dxa"/>
            <w:tcBorders>
              <w:top w:val="thinThickThinSmallGap" w:sz="24" w:space="0" w:color="auto"/>
              <w:left w:val="nil"/>
              <w:bottom w:val="thinThickSmallGap" w:sz="24" w:space="0" w:color="auto"/>
              <w:right w:val="nil"/>
            </w:tcBorders>
            <w:shd w:val="clear" w:color="auto" w:fill="5B9BD5"/>
            <w:vAlign w:val="center"/>
          </w:tcPr>
          <w:p w14:paraId="4BD24E52" w14:textId="1EB4B6B9" w:rsidR="00667CFC" w:rsidRPr="005A68E6" w:rsidRDefault="00667CFC" w:rsidP="00667CFC">
            <w:pPr>
              <w:spacing w:line="240" w:lineRule="auto"/>
              <w:ind w:firstLine="0"/>
              <w:jc w:val="center"/>
            </w:pPr>
            <w:r w:rsidRPr="005A68E6">
              <w:t xml:space="preserve">2025 </w:t>
            </w:r>
            <w:r w:rsidRPr="005A68E6">
              <w:rPr>
                <w:lang w:val="en-US"/>
              </w:rPr>
              <w:t>forecast</w:t>
            </w:r>
          </w:p>
        </w:tc>
        <w:tc>
          <w:tcPr>
            <w:tcW w:w="1009" w:type="dxa"/>
            <w:tcBorders>
              <w:top w:val="thinThickThinSmallGap" w:sz="24" w:space="0" w:color="auto"/>
              <w:left w:val="nil"/>
              <w:bottom w:val="thinThickSmallGap" w:sz="24" w:space="0" w:color="auto"/>
              <w:right w:val="nil"/>
            </w:tcBorders>
            <w:shd w:val="clear" w:color="auto" w:fill="5B9BD5"/>
            <w:vAlign w:val="center"/>
          </w:tcPr>
          <w:p w14:paraId="5E137EB9" w14:textId="49168DA2" w:rsidR="00667CFC" w:rsidRPr="005A68E6" w:rsidRDefault="00667CFC" w:rsidP="00667CFC">
            <w:pPr>
              <w:spacing w:line="240" w:lineRule="auto"/>
              <w:ind w:firstLine="0"/>
              <w:jc w:val="center"/>
            </w:pPr>
            <w:r w:rsidRPr="005A68E6">
              <w:t xml:space="preserve">2026 </w:t>
            </w:r>
            <w:r w:rsidRPr="005A68E6">
              <w:rPr>
                <w:lang w:val="en-US"/>
              </w:rPr>
              <w:t>forecast</w:t>
            </w:r>
          </w:p>
        </w:tc>
      </w:tr>
      <w:tr w:rsidR="00667CFC" w:rsidRPr="005A68E6" w14:paraId="7FE5A09D" w14:textId="77777777" w:rsidTr="00822C2A">
        <w:trPr>
          <w:trHeight w:val="399"/>
          <w:jc w:val="center"/>
        </w:trPr>
        <w:tc>
          <w:tcPr>
            <w:tcW w:w="4110" w:type="dxa"/>
            <w:tcBorders>
              <w:top w:val="thinThickSmallGap" w:sz="24" w:space="0" w:color="auto"/>
              <w:left w:val="nil"/>
              <w:right w:val="nil"/>
            </w:tcBorders>
            <w:vAlign w:val="center"/>
          </w:tcPr>
          <w:p w14:paraId="42BE09D9" w14:textId="5B35EAEA" w:rsidR="00667CFC" w:rsidRPr="005A68E6" w:rsidRDefault="00667CFC" w:rsidP="00667CFC">
            <w:pPr>
              <w:spacing w:line="240" w:lineRule="auto"/>
              <w:ind w:firstLine="0"/>
              <w:jc w:val="left"/>
            </w:pPr>
            <w:r w:rsidRPr="005A68E6">
              <w:t>RA Government Debt</w:t>
            </w:r>
          </w:p>
        </w:tc>
        <w:tc>
          <w:tcPr>
            <w:tcW w:w="1065" w:type="dxa"/>
            <w:tcBorders>
              <w:top w:val="thinThickSmallGap" w:sz="24" w:space="0" w:color="auto"/>
              <w:left w:val="nil"/>
              <w:right w:val="nil"/>
            </w:tcBorders>
            <w:vAlign w:val="center"/>
          </w:tcPr>
          <w:p w14:paraId="0F8CB189" w14:textId="77777777" w:rsidR="00667CFC" w:rsidRPr="005A68E6" w:rsidRDefault="00667CFC" w:rsidP="00667CFC">
            <w:pPr>
              <w:spacing w:line="240" w:lineRule="auto"/>
              <w:ind w:firstLine="0"/>
              <w:jc w:val="center"/>
            </w:pPr>
            <w:r w:rsidRPr="005A68E6">
              <w:t>100.0</w:t>
            </w:r>
          </w:p>
        </w:tc>
        <w:tc>
          <w:tcPr>
            <w:tcW w:w="1376" w:type="dxa"/>
            <w:tcBorders>
              <w:top w:val="thinThickSmallGap" w:sz="24" w:space="0" w:color="auto"/>
              <w:left w:val="nil"/>
              <w:right w:val="double" w:sz="4" w:space="0" w:color="auto"/>
            </w:tcBorders>
            <w:vAlign w:val="center"/>
          </w:tcPr>
          <w:p w14:paraId="2383973C" w14:textId="77777777" w:rsidR="00667CFC" w:rsidRPr="005A68E6" w:rsidRDefault="00667CFC" w:rsidP="00667CFC">
            <w:pPr>
              <w:spacing w:line="240" w:lineRule="auto"/>
              <w:ind w:firstLine="0"/>
              <w:jc w:val="center"/>
            </w:pPr>
            <w:r w:rsidRPr="005A68E6">
              <w:t>100.0</w:t>
            </w:r>
          </w:p>
        </w:tc>
        <w:tc>
          <w:tcPr>
            <w:tcW w:w="1009" w:type="dxa"/>
            <w:tcBorders>
              <w:top w:val="thinThickSmallGap" w:sz="24" w:space="0" w:color="auto"/>
              <w:left w:val="double" w:sz="4" w:space="0" w:color="auto"/>
              <w:right w:val="nil"/>
            </w:tcBorders>
            <w:vAlign w:val="center"/>
          </w:tcPr>
          <w:p w14:paraId="0A4D90B2" w14:textId="77777777" w:rsidR="00667CFC" w:rsidRPr="005A68E6" w:rsidRDefault="00667CFC" w:rsidP="00667CFC">
            <w:pPr>
              <w:spacing w:line="240" w:lineRule="auto"/>
              <w:ind w:firstLine="0"/>
              <w:jc w:val="center"/>
            </w:pPr>
            <w:r w:rsidRPr="005A68E6">
              <w:t>100.0</w:t>
            </w:r>
          </w:p>
        </w:tc>
        <w:tc>
          <w:tcPr>
            <w:tcW w:w="1051" w:type="dxa"/>
            <w:tcBorders>
              <w:top w:val="thinThickSmallGap" w:sz="24" w:space="0" w:color="auto"/>
              <w:left w:val="nil"/>
              <w:right w:val="nil"/>
            </w:tcBorders>
            <w:vAlign w:val="center"/>
          </w:tcPr>
          <w:p w14:paraId="5CB4C378" w14:textId="77777777" w:rsidR="00667CFC" w:rsidRPr="005A68E6" w:rsidRDefault="00667CFC" w:rsidP="00667CFC">
            <w:pPr>
              <w:spacing w:line="240" w:lineRule="auto"/>
              <w:ind w:firstLine="0"/>
              <w:jc w:val="center"/>
            </w:pPr>
            <w:r w:rsidRPr="005A68E6">
              <w:t>100.0</w:t>
            </w:r>
          </w:p>
        </w:tc>
        <w:tc>
          <w:tcPr>
            <w:tcW w:w="986" w:type="dxa"/>
            <w:tcBorders>
              <w:top w:val="thinThickSmallGap" w:sz="24" w:space="0" w:color="auto"/>
              <w:left w:val="nil"/>
              <w:right w:val="nil"/>
            </w:tcBorders>
            <w:vAlign w:val="center"/>
          </w:tcPr>
          <w:p w14:paraId="1DBBC563" w14:textId="77777777" w:rsidR="00667CFC" w:rsidRPr="005A68E6" w:rsidRDefault="00667CFC" w:rsidP="00667CFC">
            <w:pPr>
              <w:spacing w:line="240" w:lineRule="auto"/>
              <w:ind w:firstLine="0"/>
              <w:jc w:val="center"/>
            </w:pPr>
            <w:r w:rsidRPr="005A68E6">
              <w:t>100.0</w:t>
            </w:r>
          </w:p>
        </w:tc>
        <w:tc>
          <w:tcPr>
            <w:tcW w:w="1009" w:type="dxa"/>
            <w:tcBorders>
              <w:top w:val="thinThickSmallGap" w:sz="24" w:space="0" w:color="auto"/>
              <w:left w:val="nil"/>
              <w:right w:val="nil"/>
            </w:tcBorders>
            <w:vAlign w:val="center"/>
          </w:tcPr>
          <w:p w14:paraId="479024EE" w14:textId="77777777" w:rsidR="00667CFC" w:rsidRPr="005A68E6" w:rsidRDefault="00667CFC" w:rsidP="00667CFC">
            <w:pPr>
              <w:spacing w:line="240" w:lineRule="auto"/>
              <w:ind w:firstLine="0"/>
              <w:jc w:val="center"/>
            </w:pPr>
            <w:r w:rsidRPr="005A68E6">
              <w:t>100.0</w:t>
            </w:r>
          </w:p>
        </w:tc>
      </w:tr>
      <w:tr w:rsidR="00667CFC" w:rsidRPr="005A68E6" w14:paraId="6711E890" w14:textId="77777777" w:rsidTr="00581010">
        <w:trPr>
          <w:trHeight w:val="306"/>
          <w:jc w:val="center"/>
        </w:trPr>
        <w:tc>
          <w:tcPr>
            <w:tcW w:w="4110" w:type="dxa"/>
            <w:tcBorders>
              <w:left w:val="nil"/>
              <w:right w:val="nil"/>
            </w:tcBorders>
            <w:vAlign w:val="center"/>
          </w:tcPr>
          <w:p w14:paraId="274FA54B" w14:textId="33A7F499" w:rsidR="00667CFC" w:rsidRPr="005A68E6" w:rsidRDefault="00667CFC" w:rsidP="00667CFC">
            <w:pPr>
              <w:spacing w:line="240" w:lineRule="auto"/>
              <w:ind w:firstLine="0"/>
              <w:jc w:val="center"/>
            </w:pPr>
            <w:r w:rsidRPr="005A68E6">
              <w:rPr>
                <w:lang w:val="en-US"/>
              </w:rPr>
              <w:t>of which:</w:t>
            </w:r>
          </w:p>
        </w:tc>
        <w:tc>
          <w:tcPr>
            <w:tcW w:w="1065" w:type="dxa"/>
            <w:tcBorders>
              <w:left w:val="nil"/>
              <w:right w:val="nil"/>
            </w:tcBorders>
          </w:tcPr>
          <w:p w14:paraId="3584E445" w14:textId="77777777" w:rsidR="00667CFC" w:rsidRPr="005A68E6" w:rsidRDefault="00667CFC" w:rsidP="00667CFC">
            <w:pPr>
              <w:spacing w:line="240" w:lineRule="auto"/>
              <w:ind w:firstLine="0"/>
              <w:jc w:val="center"/>
            </w:pPr>
          </w:p>
        </w:tc>
        <w:tc>
          <w:tcPr>
            <w:tcW w:w="1376" w:type="dxa"/>
            <w:tcBorders>
              <w:left w:val="nil"/>
              <w:right w:val="double" w:sz="4" w:space="0" w:color="auto"/>
            </w:tcBorders>
            <w:vAlign w:val="center"/>
          </w:tcPr>
          <w:p w14:paraId="4636037B" w14:textId="77777777" w:rsidR="00667CFC" w:rsidRPr="005A68E6" w:rsidRDefault="00667CFC" w:rsidP="00667CFC">
            <w:pPr>
              <w:spacing w:line="240" w:lineRule="auto"/>
              <w:ind w:firstLine="0"/>
              <w:jc w:val="center"/>
            </w:pPr>
          </w:p>
        </w:tc>
        <w:tc>
          <w:tcPr>
            <w:tcW w:w="1009" w:type="dxa"/>
            <w:tcBorders>
              <w:left w:val="double" w:sz="4" w:space="0" w:color="auto"/>
              <w:right w:val="nil"/>
            </w:tcBorders>
            <w:vAlign w:val="center"/>
          </w:tcPr>
          <w:p w14:paraId="21306C6A" w14:textId="77777777" w:rsidR="00667CFC" w:rsidRPr="005A68E6" w:rsidRDefault="00667CFC" w:rsidP="00667CFC">
            <w:pPr>
              <w:spacing w:line="240" w:lineRule="auto"/>
              <w:ind w:firstLine="0"/>
              <w:jc w:val="center"/>
            </w:pPr>
          </w:p>
        </w:tc>
        <w:tc>
          <w:tcPr>
            <w:tcW w:w="1051" w:type="dxa"/>
            <w:tcBorders>
              <w:left w:val="nil"/>
              <w:right w:val="nil"/>
            </w:tcBorders>
            <w:vAlign w:val="center"/>
          </w:tcPr>
          <w:p w14:paraId="59BBD31B" w14:textId="77777777" w:rsidR="00667CFC" w:rsidRPr="005A68E6" w:rsidRDefault="00667CFC" w:rsidP="00667CFC">
            <w:pPr>
              <w:spacing w:line="240" w:lineRule="auto"/>
              <w:ind w:firstLine="0"/>
              <w:jc w:val="center"/>
            </w:pPr>
          </w:p>
        </w:tc>
        <w:tc>
          <w:tcPr>
            <w:tcW w:w="986" w:type="dxa"/>
            <w:tcBorders>
              <w:left w:val="nil"/>
              <w:right w:val="nil"/>
            </w:tcBorders>
            <w:vAlign w:val="center"/>
          </w:tcPr>
          <w:p w14:paraId="159EA048" w14:textId="77777777" w:rsidR="00667CFC" w:rsidRPr="005A68E6" w:rsidRDefault="00667CFC" w:rsidP="00667CFC">
            <w:pPr>
              <w:spacing w:line="240" w:lineRule="auto"/>
              <w:ind w:firstLine="0"/>
              <w:jc w:val="center"/>
            </w:pPr>
          </w:p>
        </w:tc>
        <w:tc>
          <w:tcPr>
            <w:tcW w:w="1009" w:type="dxa"/>
            <w:tcBorders>
              <w:left w:val="nil"/>
              <w:right w:val="nil"/>
            </w:tcBorders>
            <w:vAlign w:val="center"/>
          </w:tcPr>
          <w:p w14:paraId="0177AC19" w14:textId="77777777" w:rsidR="00667CFC" w:rsidRPr="005A68E6" w:rsidRDefault="00667CFC" w:rsidP="00667CFC">
            <w:pPr>
              <w:spacing w:line="240" w:lineRule="auto"/>
              <w:ind w:firstLine="0"/>
              <w:jc w:val="center"/>
            </w:pPr>
          </w:p>
        </w:tc>
      </w:tr>
      <w:tr w:rsidR="00667CFC" w:rsidRPr="005A68E6" w14:paraId="14B07C2B" w14:textId="77777777" w:rsidTr="00581010">
        <w:trPr>
          <w:trHeight w:val="306"/>
          <w:jc w:val="center"/>
        </w:trPr>
        <w:tc>
          <w:tcPr>
            <w:tcW w:w="4110" w:type="dxa"/>
            <w:tcBorders>
              <w:left w:val="nil"/>
              <w:right w:val="nil"/>
            </w:tcBorders>
            <w:vAlign w:val="center"/>
          </w:tcPr>
          <w:p w14:paraId="3513BFF8" w14:textId="1DF075B9" w:rsidR="00667CFC" w:rsidRPr="005A68E6" w:rsidRDefault="00667CFC" w:rsidP="00667CFC">
            <w:pPr>
              <w:spacing w:line="240" w:lineRule="auto"/>
              <w:ind w:left="558" w:firstLine="0"/>
              <w:jc w:val="left"/>
            </w:pPr>
            <w:r w:rsidRPr="005A68E6">
              <w:t>Fixed Rate</w:t>
            </w:r>
          </w:p>
        </w:tc>
        <w:tc>
          <w:tcPr>
            <w:tcW w:w="1065" w:type="dxa"/>
            <w:tcBorders>
              <w:left w:val="nil"/>
              <w:right w:val="nil"/>
            </w:tcBorders>
          </w:tcPr>
          <w:p w14:paraId="51B8625D" w14:textId="77777777" w:rsidR="00667CFC" w:rsidRPr="005A68E6" w:rsidRDefault="00667CFC" w:rsidP="00667CFC">
            <w:pPr>
              <w:spacing w:line="240" w:lineRule="auto"/>
              <w:ind w:firstLine="0"/>
              <w:jc w:val="center"/>
              <w:rPr>
                <w:lang w:val="en-US"/>
              </w:rPr>
            </w:pPr>
            <w:r w:rsidRPr="005A68E6">
              <w:rPr>
                <w:lang w:val="en-US"/>
              </w:rPr>
              <w:t>83.5</w:t>
            </w:r>
          </w:p>
        </w:tc>
        <w:tc>
          <w:tcPr>
            <w:tcW w:w="1376" w:type="dxa"/>
            <w:tcBorders>
              <w:left w:val="nil"/>
              <w:right w:val="double" w:sz="4" w:space="0" w:color="auto"/>
            </w:tcBorders>
          </w:tcPr>
          <w:p w14:paraId="29A25863" w14:textId="77777777" w:rsidR="00667CFC" w:rsidRPr="005A68E6" w:rsidRDefault="00667CFC" w:rsidP="00667CFC">
            <w:pPr>
              <w:spacing w:line="240" w:lineRule="auto"/>
              <w:ind w:firstLine="0"/>
              <w:jc w:val="center"/>
            </w:pPr>
            <w:r w:rsidRPr="005A68E6">
              <w:t>82.0</w:t>
            </w:r>
          </w:p>
        </w:tc>
        <w:tc>
          <w:tcPr>
            <w:tcW w:w="1009" w:type="dxa"/>
            <w:tcBorders>
              <w:left w:val="double" w:sz="4" w:space="0" w:color="auto"/>
              <w:right w:val="nil"/>
            </w:tcBorders>
          </w:tcPr>
          <w:p w14:paraId="54259632" w14:textId="77777777" w:rsidR="00667CFC" w:rsidRPr="005A68E6" w:rsidRDefault="00667CFC" w:rsidP="00667CFC">
            <w:pPr>
              <w:spacing w:line="240" w:lineRule="auto"/>
              <w:ind w:firstLine="0"/>
              <w:jc w:val="center"/>
            </w:pPr>
            <w:r w:rsidRPr="005A68E6">
              <w:t>82.4</w:t>
            </w:r>
          </w:p>
        </w:tc>
        <w:tc>
          <w:tcPr>
            <w:tcW w:w="1051" w:type="dxa"/>
            <w:tcBorders>
              <w:left w:val="nil"/>
              <w:right w:val="nil"/>
            </w:tcBorders>
          </w:tcPr>
          <w:p w14:paraId="40FFD9E6" w14:textId="77777777" w:rsidR="00667CFC" w:rsidRPr="005A68E6" w:rsidRDefault="00667CFC" w:rsidP="00667CFC">
            <w:pPr>
              <w:spacing w:line="240" w:lineRule="auto"/>
              <w:ind w:firstLine="0"/>
              <w:jc w:val="center"/>
            </w:pPr>
            <w:r w:rsidRPr="005A68E6">
              <w:t>81.4</w:t>
            </w:r>
          </w:p>
        </w:tc>
        <w:tc>
          <w:tcPr>
            <w:tcW w:w="986" w:type="dxa"/>
            <w:tcBorders>
              <w:left w:val="nil"/>
              <w:right w:val="nil"/>
            </w:tcBorders>
          </w:tcPr>
          <w:p w14:paraId="32572F50" w14:textId="77777777" w:rsidR="00667CFC" w:rsidRPr="005A68E6" w:rsidRDefault="00667CFC" w:rsidP="00667CFC">
            <w:pPr>
              <w:spacing w:line="240" w:lineRule="auto"/>
              <w:ind w:firstLine="0"/>
              <w:jc w:val="center"/>
            </w:pPr>
            <w:r w:rsidRPr="005A68E6">
              <w:t>80.6</w:t>
            </w:r>
          </w:p>
        </w:tc>
        <w:tc>
          <w:tcPr>
            <w:tcW w:w="1009" w:type="dxa"/>
            <w:tcBorders>
              <w:left w:val="nil"/>
              <w:right w:val="nil"/>
            </w:tcBorders>
          </w:tcPr>
          <w:p w14:paraId="55BED2F9" w14:textId="77777777" w:rsidR="00667CFC" w:rsidRPr="005A68E6" w:rsidRDefault="00667CFC" w:rsidP="00667CFC">
            <w:pPr>
              <w:spacing w:line="240" w:lineRule="auto"/>
              <w:ind w:firstLine="0"/>
              <w:jc w:val="center"/>
              <w:rPr>
                <w:lang w:val="en-US"/>
              </w:rPr>
            </w:pPr>
            <w:r w:rsidRPr="005A68E6">
              <w:t>80.3</w:t>
            </w:r>
          </w:p>
        </w:tc>
      </w:tr>
      <w:tr w:rsidR="00667CFC" w:rsidRPr="005A68E6" w14:paraId="73AA48FE" w14:textId="77777777" w:rsidTr="00581010">
        <w:trPr>
          <w:trHeight w:val="320"/>
          <w:jc w:val="center"/>
        </w:trPr>
        <w:tc>
          <w:tcPr>
            <w:tcW w:w="4110" w:type="dxa"/>
            <w:tcBorders>
              <w:left w:val="nil"/>
              <w:right w:val="nil"/>
            </w:tcBorders>
            <w:vAlign w:val="center"/>
          </w:tcPr>
          <w:p w14:paraId="51982BB4" w14:textId="4C55E0E2" w:rsidR="00667CFC" w:rsidRPr="005A68E6" w:rsidRDefault="00667CFC" w:rsidP="00667CFC">
            <w:pPr>
              <w:spacing w:line="240" w:lineRule="auto"/>
              <w:ind w:left="558" w:firstLine="0"/>
              <w:jc w:val="left"/>
            </w:pPr>
            <w:r w:rsidRPr="005A68E6">
              <w:t>Floating Rate</w:t>
            </w:r>
          </w:p>
        </w:tc>
        <w:tc>
          <w:tcPr>
            <w:tcW w:w="1065" w:type="dxa"/>
            <w:tcBorders>
              <w:left w:val="nil"/>
              <w:right w:val="nil"/>
            </w:tcBorders>
          </w:tcPr>
          <w:p w14:paraId="55D16710" w14:textId="77777777" w:rsidR="00667CFC" w:rsidRPr="005A68E6" w:rsidRDefault="00667CFC" w:rsidP="00667CFC">
            <w:pPr>
              <w:spacing w:line="240" w:lineRule="auto"/>
              <w:ind w:firstLine="0"/>
              <w:jc w:val="center"/>
              <w:rPr>
                <w:lang w:val="en-US"/>
              </w:rPr>
            </w:pPr>
            <w:r w:rsidRPr="005A68E6">
              <w:rPr>
                <w:lang w:val="en-US"/>
              </w:rPr>
              <w:t>16.5</w:t>
            </w:r>
          </w:p>
        </w:tc>
        <w:tc>
          <w:tcPr>
            <w:tcW w:w="1376" w:type="dxa"/>
            <w:tcBorders>
              <w:left w:val="nil"/>
              <w:right w:val="double" w:sz="4" w:space="0" w:color="auto"/>
            </w:tcBorders>
          </w:tcPr>
          <w:p w14:paraId="5D6BC660" w14:textId="77777777" w:rsidR="00667CFC" w:rsidRPr="005A68E6" w:rsidRDefault="00667CFC" w:rsidP="00667CFC">
            <w:pPr>
              <w:spacing w:line="240" w:lineRule="auto"/>
              <w:ind w:firstLine="0"/>
              <w:jc w:val="center"/>
            </w:pPr>
            <w:r w:rsidRPr="005A68E6">
              <w:t>18.0</w:t>
            </w:r>
          </w:p>
        </w:tc>
        <w:tc>
          <w:tcPr>
            <w:tcW w:w="1009" w:type="dxa"/>
            <w:tcBorders>
              <w:left w:val="double" w:sz="4" w:space="0" w:color="auto"/>
              <w:right w:val="nil"/>
            </w:tcBorders>
          </w:tcPr>
          <w:p w14:paraId="0AA62A7E" w14:textId="77777777" w:rsidR="00667CFC" w:rsidRPr="005A68E6" w:rsidRDefault="00667CFC" w:rsidP="00667CFC">
            <w:pPr>
              <w:spacing w:line="240" w:lineRule="auto"/>
              <w:ind w:firstLine="0"/>
              <w:jc w:val="center"/>
            </w:pPr>
            <w:r w:rsidRPr="005A68E6">
              <w:t>17.6</w:t>
            </w:r>
          </w:p>
        </w:tc>
        <w:tc>
          <w:tcPr>
            <w:tcW w:w="1051" w:type="dxa"/>
            <w:tcBorders>
              <w:left w:val="nil"/>
              <w:right w:val="nil"/>
            </w:tcBorders>
          </w:tcPr>
          <w:p w14:paraId="23B8E08B" w14:textId="77777777" w:rsidR="00667CFC" w:rsidRPr="005A68E6" w:rsidRDefault="00667CFC" w:rsidP="00667CFC">
            <w:pPr>
              <w:spacing w:line="240" w:lineRule="auto"/>
              <w:ind w:firstLine="0"/>
              <w:jc w:val="center"/>
            </w:pPr>
            <w:r w:rsidRPr="005A68E6">
              <w:t>18.6</w:t>
            </w:r>
          </w:p>
        </w:tc>
        <w:tc>
          <w:tcPr>
            <w:tcW w:w="986" w:type="dxa"/>
            <w:tcBorders>
              <w:left w:val="nil"/>
              <w:right w:val="nil"/>
            </w:tcBorders>
          </w:tcPr>
          <w:p w14:paraId="068AF3E4" w14:textId="77777777" w:rsidR="00667CFC" w:rsidRPr="005A68E6" w:rsidRDefault="00667CFC" w:rsidP="00667CFC">
            <w:pPr>
              <w:spacing w:line="240" w:lineRule="auto"/>
              <w:ind w:firstLine="0"/>
              <w:jc w:val="center"/>
            </w:pPr>
            <w:r w:rsidRPr="005A68E6">
              <w:t>19.4</w:t>
            </w:r>
          </w:p>
        </w:tc>
        <w:tc>
          <w:tcPr>
            <w:tcW w:w="1009" w:type="dxa"/>
            <w:tcBorders>
              <w:left w:val="nil"/>
              <w:right w:val="nil"/>
            </w:tcBorders>
          </w:tcPr>
          <w:p w14:paraId="1BBB1892" w14:textId="77777777" w:rsidR="00667CFC" w:rsidRPr="005A68E6" w:rsidRDefault="00667CFC" w:rsidP="00667CFC">
            <w:pPr>
              <w:spacing w:line="240" w:lineRule="auto"/>
              <w:ind w:firstLine="0"/>
              <w:jc w:val="center"/>
              <w:rPr>
                <w:lang w:val="en-US"/>
              </w:rPr>
            </w:pPr>
            <w:r w:rsidRPr="005A68E6">
              <w:t>19.7</w:t>
            </w:r>
          </w:p>
        </w:tc>
      </w:tr>
      <w:tr w:rsidR="00667CFC" w:rsidRPr="005A68E6" w14:paraId="749ED318" w14:textId="77777777" w:rsidTr="00822C2A">
        <w:trPr>
          <w:trHeight w:val="375"/>
          <w:jc w:val="center"/>
        </w:trPr>
        <w:tc>
          <w:tcPr>
            <w:tcW w:w="4110" w:type="dxa"/>
            <w:tcBorders>
              <w:left w:val="nil"/>
              <w:right w:val="nil"/>
            </w:tcBorders>
            <w:vAlign w:val="center"/>
          </w:tcPr>
          <w:p w14:paraId="66BF1BB4" w14:textId="412AC9E5" w:rsidR="00667CFC" w:rsidRPr="005A68E6" w:rsidRDefault="00667CFC" w:rsidP="00667CFC">
            <w:pPr>
              <w:spacing w:line="240" w:lineRule="auto"/>
              <w:ind w:firstLine="0"/>
              <w:jc w:val="left"/>
            </w:pPr>
            <w:r w:rsidRPr="005A68E6">
              <w:t xml:space="preserve">RA Government </w:t>
            </w:r>
            <w:r w:rsidRPr="005A68E6">
              <w:rPr>
                <w:color w:val="000000"/>
              </w:rPr>
              <w:t>foreign currency</w:t>
            </w:r>
            <w:r w:rsidRPr="005A68E6">
              <w:rPr>
                <w:color w:val="000000"/>
                <w:lang w:val="en-US"/>
              </w:rPr>
              <w:t xml:space="preserve"> </w:t>
            </w:r>
            <w:r w:rsidRPr="005A68E6">
              <w:t>Debt</w:t>
            </w:r>
          </w:p>
        </w:tc>
        <w:tc>
          <w:tcPr>
            <w:tcW w:w="1065" w:type="dxa"/>
            <w:tcBorders>
              <w:left w:val="nil"/>
              <w:right w:val="nil"/>
            </w:tcBorders>
            <w:vAlign w:val="center"/>
          </w:tcPr>
          <w:p w14:paraId="4C96A3BA" w14:textId="77777777" w:rsidR="00667CFC" w:rsidRPr="005A68E6" w:rsidRDefault="00667CFC" w:rsidP="00667CFC">
            <w:pPr>
              <w:spacing w:line="240" w:lineRule="auto"/>
              <w:ind w:firstLine="0"/>
              <w:jc w:val="center"/>
            </w:pPr>
            <w:r w:rsidRPr="005A68E6">
              <w:t>100.0</w:t>
            </w:r>
          </w:p>
        </w:tc>
        <w:tc>
          <w:tcPr>
            <w:tcW w:w="1376" w:type="dxa"/>
            <w:tcBorders>
              <w:left w:val="nil"/>
              <w:right w:val="double" w:sz="4" w:space="0" w:color="auto"/>
            </w:tcBorders>
            <w:vAlign w:val="center"/>
          </w:tcPr>
          <w:p w14:paraId="4A140085" w14:textId="77777777" w:rsidR="00667CFC" w:rsidRPr="005A68E6" w:rsidRDefault="00667CFC" w:rsidP="00667CFC">
            <w:pPr>
              <w:spacing w:line="240" w:lineRule="auto"/>
              <w:ind w:firstLine="0"/>
              <w:jc w:val="center"/>
            </w:pPr>
            <w:r w:rsidRPr="005A68E6">
              <w:t>100.0</w:t>
            </w:r>
          </w:p>
        </w:tc>
        <w:tc>
          <w:tcPr>
            <w:tcW w:w="1009" w:type="dxa"/>
            <w:tcBorders>
              <w:left w:val="double" w:sz="4" w:space="0" w:color="auto"/>
              <w:right w:val="nil"/>
            </w:tcBorders>
            <w:vAlign w:val="center"/>
          </w:tcPr>
          <w:p w14:paraId="7C64C202" w14:textId="77777777" w:rsidR="00667CFC" w:rsidRPr="005A68E6" w:rsidRDefault="00667CFC" w:rsidP="00667CFC">
            <w:pPr>
              <w:spacing w:line="240" w:lineRule="auto"/>
              <w:ind w:firstLine="0"/>
              <w:jc w:val="center"/>
            </w:pPr>
            <w:r w:rsidRPr="005A68E6">
              <w:t>100.0</w:t>
            </w:r>
          </w:p>
        </w:tc>
        <w:tc>
          <w:tcPr>
            <w:tcW w:w="1051" w:type="dxa"/>
            <w:tcBorders>
              <w:left w:val="nil"/>
              <w:right w:val="nil"/>
            </w:tcBorders>
            <w:vAlign w:val="center"/>
          </w:tcPr>
          <w:p w14:paraId="4073C2CF" w14:textId="77777777" w:rsidR="00667CFC" w:rsidRPr="005A68E6" w:rsidRDefault="00667CFC" w:rsidP="00667CFC">
            <w:pPr>
              <w:spacing w:line="240" w:lineRule="auto"/>
              <w:ind w:firstLine="0"/>
              <w:jc w:val="center"/>
            </w:pPr>
            <w:r w:rsidRPr="005A68E6">
              <w:t>100.0</w:t>
            </w:r>
          </w:p>
        </w:tc>
        <w:tc>
          <w:tcPr>
            <w:tcW w:w="986" w:type="dxa"/>
            <w:tcBorders>
              <w:left w:val="nil"/>
              <w:right w:val="nil"/>
            </w:tcBorders>
            <w:vAlign w:val="center"/>
          </w:tcPr>
          <w:p w14:paraId="3405513F" w14:textId="77777777" w:rsidR="00667CFC" w:rsidRPr="005A68E6" w:rsidRDefault="00667CFC" w:rsidP="00667CFC">
            <w:pPr>
              <w:spacing w:line="240" w:lineRule="auto"/>
              <w:ind w:firstLine="0"/>
              <w:jc w:val="center"/>
            </w:pPr>
            <w:r w:rsidRPr="005A68E6">
              <w:t>100.0</w:t>
            </w:r>
          </w:p>
        </w:tc>
        <w:tc>
          <w:tcPr>
            <w:tcW w:w="1009" w:type="dxa"/>
            <w:tcBorders>
              <w:left w:val="nil"/>
              <w:right w:val="nil"/>
            </w:tcBorders>
            <w:vAlign w:val="center"/>
          </w:tcPr>
          <w:p w14:paraId="4B0AB3C1" w14:textId="77777777" w:rsidR="00667CFC" w:rsidRPr="005A68E6" w:rsidRDefault="00667CFC" w:rsidP="00667CFC">
            <w:pPr>
              <w:spacing w:line="240" w:lineRule="auto"/>
              <w:ind w:firstLine="0"/>
              <w:jc w:val="center"/>
            </w:pPr>
            <w:r w:rsidRPr="005A68E6">
              <w:t>100.0</w:t>
            </w:r>
          </w:p>
        </w:tc>
      </w:tr>
      <w:tr w:rsidR="00667CFC" w:rsidRPr="005A68E6" w14:paraId="5D6D2573" w14:textId="77777777" w:rsidTr="00581010">
        <w:trPr>
          <w:trHeight w:val="306"/>
          <w:jc w:val="center"/>
        </w:trPr>
        <w:tc>
          <w:tcPr>
            <w:tcW w:w="4110" w:type="dxa"/>
            <w:tcBorders>
              <w:left w:val="nil"/>
              <w:right w:val="nil"/>
            </w:tcBorders>
            <w:vAlign w:val="center"/>
          </w:tcPr>
          <w:p w14:paraId="0C1533B6" w14:textId="09AB49C3" w:rsidR="00667CFC" w:rsidRPr="005A68E6" w:rsidRDefault="00667CFC" w:rsidP="00667CFC">
            <w:pPr>
              <w:spacing w:line="240" w:lineRule="auto"/>
              <w:ind w:firstLine="0"/>
              <w:jc w:val="center"/>
            </w:pPr>
            <w:r w:rsidRPr="005A68E6">
              <w:rPr>
                <w:lang w:val="en-US"/>
              </w:rPr>
              <w:t>of which:</w:t>
            </w:r>
          </w:p>
        </w:tc>
        <w:tc>
          <w:tcPr>
            <w:tcW w:w="1065" w:type="dxa"/>
            <w:tcBorders>
              <w:left w:val="nil"/>
              <w:right w:val="nil"/>
            </w:tcBorders>
          </w:tcPr>
          <w:p w14:paraId="246D877D" w14:textId="77777777" w:rsidR="00667CFC" w:rsidRPr="005A68E6" w:rsidRDefault="00667CFC" w:rsidP="00667CFC">
            <w:pPr>
              <w:spacing w:line="240" w:lineRule="auto"/>
              <w:ind w:firstLine="0"/>
              <w:jc w:val="center"/>
            </w:pPr>
          </w:p>
        </w:tc>
        <w:tc>
          <w:tcPr>
            <w:tcW w:w="1376" w:type="dxa"/>
            <w:tcBorders>
              <w:left w:val="nil"/>
              <w:right w:val="double" w:sz="4" w:space="0" w:color="auto"/>
            </w:tcBorders>
            <w:vAlign w:val="center"/>
          </w:tcPr>
          <w:p w14:paraId="18F38CFF" w14:textId="77777777" w:rsidR="00667CFC" w:rsidRPr="005A68E6" w:rsidRDefault="00667CFC" w:rsidP="00667CFC">
            <w:pPr>
              <w:spacing w:line="240" w:lineRule="auto"/>
              <w:ind w:firstLine="0"/>
              <w:jc w:val="center"/>
            </w:pPr>
          </w:p>
        </w:tc>
        <w:tc>
          <w:tcPr>
            <w:tcW w:w="1009" w:type="dxa"/>
            <w:tcBorders>
              <w:left w:val="double" w:sz="4" w:space="0" w:color="auto"/>
              <w:right w:val="nil"/>
            </w:tcBorders>
            <w:vAlign w:val="center"/>
          </w:tcPr>
          <w:p w14:paraId="5274CA28" w14:textId="77777777" w:rsidR="00667CFC" w:rsidRPr="005A68E6" w:rsidRDefault="00667CFC" w:rsidP="00667CFC">
            <w:pPr>
              <w:spacing w:line="240" w:lineRule="auto"/>
              <w:ind w:firstLine="0"/>
              <w:jc w:val="center"/>
            </w:pPr>
          </w:p>
        </w:tc>
        <w:tc>
          <w:tcPr>
            <w:tcW w:w="1051" w:type="dxa"/>
            <w:tcBorders>
              <w:left w:val="nil"/>
              <w:right w:val="nil"/>
            </w:tcBorders>
            <w:vAlign w:val="center"/>
          </w:tcPr>
          <w:p w14:paraId="657C5139" w14:textId="77777777" w:rsidR="00667CFC" w:rsidRPr="005A68E6" w:rsidRDefault="00667CFC" w:rsidP="00667CFC">
            <w:pPr>
              <w:spacing w:line="240" w:lineRule="auto"/>
              <w:ind w:firstLine="0"/>
              <w:jc w:val="center"/>
            </w:pPr>
          </w:p>
        </w:tc>
        <w:tc>
          <w:tcPr>
            <w:tcW w:w="986" w:type="dxa"/>
            <w:tcBorders>
              <w:left w:val="nil"/>
              <w:right w:val="nil"/>
            </w:tcBorders>
            <w:vAlign w:val="center"/>
          </w:tcPr>
          <w:p w14:paraId="6D44D8BD" w14:textId="77777777" w:rsidR="00667CFC" w:rsidRPr="005A68E6" w:rsidRDefault="00667CFC" w:rsidP="00667CFC">
            <w:pPr>
              <w:spacing w:line="240" w:lineRule="auto"/>
              <w:ind w:firstLine="0"/>
              <w:jc w:val="center"/>
            </w:pPr>
          </w:p>
        </w:tc>
        <w:tc>
          <w:tcPr>
            <w:tcW w:w="1009" w:type="dxa"/>
            <w:tcBorders>
              <w:left w:val="nil"/>
              <w:right w:val="nil"/>
            </w:tcBorders>
            <w:vAlign w:val="center"/>
          </w:tcPr>
          <w:p w14:paraId="053BAD1F" w14:textId="77777777" w:rsidR="00667CFC" w:rsidRPr="005A68E6" w:rsidRDefault="00667CFC" w:rsidP="00667CFC">
            <w:pPr>
              <w:spacing w:line="240" w:lineRule="auto"/>
              <w:ind w:firstLine="0"/>
              <w:jc w:val="center"/>
            </w:pPr>
          </w:p>
        </w:tc>
      </w:tr>
      <w:tr w:rsidR="00667CFC" w:rsidRPr="005A68E6" w14:paraId="63E32D50" w14:textId="77777777" w:rsidTr="00581010">
        <w:trPr>
          <w:trHeight w:val="306"/>
          <w:jc w:val="center"/>
        </w:trPr>
        <w:tc>
          <w:tcPr>
            <w:tcW w:w="4110" w:type="dxa"/>
            <w:tcBorders>
              <w:left w:val="nil"/>
              <w:right w:val="nil"/>
            </w:tcBorders>
            <w:vAlign w:val="center"/>
          </w:tcPr>
          <w:p w14:paraId="3F42868B" w14:textId="21C5B1ED" w:rsidR="00667CFC" w:rsidRPr="005A68E6" w:rsidRDefault="00667CFC" w:rsidP="00667CFC">
            <w:pPr>
              <w:spacing w:line="240" w:lineRule="auto"/>
              <w:ind w:left="558" w:firstLine="0"/>
              <w:jc w:val="left"/>
            </w:pPr>
            <w:r w:rsidRPr="005A68E6">
              <w:t>Fixed Rate</w:t>
            </w:r>
          </w:p>
        </w:tc>
        <w:tc>
          <w:tcPr>
            <w:tcW w:w="1065" w:type="dxa"/>
            <w:tcBorders>
              <w:left w:val="nil"/>
              <w:right w:val="nil"/>
            </w:tcBorders>
          </w:tcPr>
          <w:p w14:paraId="76304D32" w14:textId="77777777" w:rsidR="00667CFC" w:rsidRPr="005A68E6" w:rsidRDefault="00667CFC" w:rsidP="00667CFC">
            <w:pPr>
              <w:spacing w:line="240" w:lineRule="auto"/>
              <w:ind w:firstLine="0"/>
              <w:jc w:val="center"/>
              <w:rPr>
                <w:lang w:val="en-US"/>
              </w:rPr>
            </w:pPr>
            <w:r w:rsidRPr="005A68E6">
              <w:rPr>
                <w:lang w:val="en-US"/>
              </w:rPr>
              <w:t>73.5</w:t>
            </w:r>
          </w:p>
        </w:tc>
        <w:tc>
          <w:tcPr>
            <w:tcW w:w="1376" w:type="dxa"/>
            <w:tcBorders>
              <w:left w:val="nil"/>
              <w:right w:val="double" w:sz="4" w:space="0" w:color="auto"/>
            </w:tcBorders>
            <w:vAlign w:val="center"/>
          </w:tcPr>
          <w:p w14:paraId="360E7B0A" w14:textId="77777777" w:rsidR="00667CFC" w:rsidRPr="005A68E6" w:rsidRDefault="00667CFC" w:rsidP="00667CFC">
            <w:pPr>
              <w:spacing w:line="240" w:lineRule="auto"/>
              <w:ind w:firstLine="0"/>
              <w:jc w:val="center"/>
            </w:pPr>
            <w:r w:rsidRPr="005A68E6">
              <w:t>68.8</w:t>
            </w:r>
          </w:p>
        </w:tc>
        <w:tc>
          <w:tcPr>
            <w:tcW w:w="1009" w:type="dxa"/>
            <w:tcBorders>
              <w:left w:val="double" w:sz="4" w:space="0" w:color="auto"/>
              <w:right w:val="nil"/>
            </w:tcBorders>
            <w:vAlign w:val="center"/>
          </w:tcPr>
          <w:p w14:paraId="6492FC7B" w14:textId="77777777" w:rsidR="00667CFC" w:rsidRPr="005A68E6" w:rsidRDefault="00667CFC" w:rsidP="00667CFC">
            <w:pPr>
              <w:spacing w:line="240" w:lineRule="auto"/>
              <w:ind w:firstLine="0"/>
              <w:jc w:val="center"/>
            </w:pPr>
            <w:r w:rsidRPr="005A68E6">
              <w:t>70.6</w:t>
            </w:r>
          </w:p>
        </w:tc>
        <w:tc>
          <w:tcPr>
            <w:tcW w:w="1051" w:type="dxa"/>
            <w:tcBorders>
              <w:left w:val="nil"/>
              <w:right w:val="nil"/>
            </w:tcBorders>
            <w:vAlign w:val="center"/>
          </w:tcPr>
          <w:p w14:paraId="75ECF051" w14:textId="77777777" w:rsidR="00667CFC" w:rsidRPr="005A68E6" w:rsidRDefault="00667CFC" w:rsidP="00667CFC">
            <w:pPr>
              <w:spacing w:line="240" w:lineRule="auto"/>
              <w:ind w:firstLine="0"/>
              <w:jc w:val="center"/>
            </w:pPr>
            <w:r w:rsidRPr="005A68E6">
              <w:t>67.7</w:t>
            </w:r>
          </w:p>
        </w:tc>
        <w:tc>
          <w:tcPr>
            <w:tcW w:w="986" w:type="dxa"/>
            <w:tcBorders>
              <w:left w:val="nil"/>
              <w:right w:val="nil"/>
            </w:tcBorders>
            <w:vAlign w:val="center"/>
          </w:tcPr>
          <w:p w14:paraId="1DCC5A60" w14:textId="77777777" w:rsidR="00667CFC" w:rsidRPr="005A68E6" w:rsidRDefault="00667CFC" w:rsidP="00667CFC">
            <w:pPr>
              <w:spacing w:line="240" w:lineRule="auto"/>
              <w:ind w:firstLine="0"/>
              <w:jc w:val="center"/>
            </w:pPr>
            <w:r w:rsidRPr="005A68E6">
              <w:t>65.7</w:t>
            </w:r>
          </w:p>
        </w:tc>
        <w:tc>
          <w:tcPr>
            <w:tcW w:w="1009" w:type="dxa"/>
            <w:tcBorders>
              <w:left w:val="nil"/>
              <w:right w:val="nil"/>
            </w:tcBorders>
            <w:vAlign w:val="center"/>
          </w:tcPr>
          <w:p w14:paraId="43B3CD99" w14:textId="77777777" w:rsidR="00667CFC" w:rsidRPr="005A68E6" w:rsidRDefault="00667CFC" w:rsidP="00667CFC">
            <w:pPr>
              <w:spacing w:line="240" w:lineRule="auto"/>
              <w:ind w:firstLine="0"/>
              <w:jc w:val="center"/>
            </w:pPr>
            <w:r w:rsidRPr="005A68E6">
              <w:t>64</w:t>
            </w:r>
            <w:r w:rsidRPr="005A68E6">
              <w:rPr>
                <w:lang w:val="en-US"/>
              </w:rPr>
              <w:t>.</w:t>
            </w:r>
            <w:r w:rsidRPr="005A68E6">
              <w:t>6</w:t>
            </w:r>
          </w:p>
        </w:tc>
      </w:tr>
      <w:tr w:rsidR="00667CFC" w:rsidRPr="005A68E6" w14:paraId="335481FA" w14:textId="77777777" w:rsidTr="00581010">
        <w:trPr>
          <w:trHeight w:val="308"/>
          <w:jc w:val="center"/>
        </w:trPr>
        <w:tc>
          <w:tcPr>
            <w:tcW w:w="4110" w:type="dxa"/>
            <w:tcBorders>
              <w:left w:val="nil"/>
              <w:right w:val="nil"/>
            </w:tcBorders>
            <w:vAlign w:val="center"/>
          </w:tcPr>
          <w:p w14:paraId="1D4E41E3" w14:textId="2C7918C6" w:rsidR="00667CFC" w:rsidRPr="005A68E6" w:rsidRDefault="00667CFC" w:rsidP="00667CFC">
            <w:pPr>
              <w:spacing w:line="240" w:lineRule="auto"/>
              <w:ind w:left="558" w:firstLine="0"/>
              <w:jc w:val="left"/>
            </w:pPr>
            <w:r w:rsidRPr="005A68E6">
              <w:t>Floating Rate</w:t>
            </w:r>
          </w:p>
        </w:tc>
        <w:tc>
          <w:tcPr>
            <w:tcW w:w="1065" w:type="dxa"/>
            <w:tcBorders>
              <w:left w:val="nil"/>
              <w:right w:val="nil"/>
            </w:tcBorders>
          </w:tcPr>
          <w:p w14:paraId="5E42638D" w14:textId="77777777" w:rsidR="00667CFC" w:rsidRPr="005A68E6" w:rsidRDefault="00667CFC" w:rsidP="00667CFC">
            <w:pPr>
              <w:spacing w:line="240" w:lineRule="auto"/>
              <w:ind w:firstLine="0"/>
              <w:jc w:val="center"/>
              <w:rPr>
                <w:lang w:val="en-US"/>
              </w:rPr>
            </w:pPr>
            <w:r w:rsidRPr="005A68E6">
              <w:rPr>
                <w:lang w:val="en-US"/>
              </w:rPr>
              <w:t>26.5</w:t>
            </w:r>
          </w:p>
        </w:tc>
        <w:tc>
          <w:tcPr>
            <w:tcW w:w="1376" w:type="dxa"/>
            <w:tcBorders>
              <w:left w:val="nil"/>
              <w:right w:val="double" w:sz="4" w:space="0" w:color="auto"/>
            </w:tcBorders>
            <w:vAlign w:val="center"/>
          </w:tcPr>
          <w:p w14:paraId="33F1FA01" w14:textId="77777777" w:rsidR="00667CFC" w:rsidRPr="005A68E6" w:rsidRDefault="00667CFC" w:rsidP="00667CFC">
            <w:pPr>
              <w:spacing w:line="240" w:lineRule="auto"/>
              <w:ind w:firstLine="0"/>
              <w:jc w:val="center"/>
            </w:pPr>
            <w:r w:rsidRPr="005A68E6">
              <w:t>31.2</w:t>
            </w:r>
          </w:p>
        </w:tc>
        <w:tc>
          <w:tcPr>
            <w:tcW w:w="1009" w:type="dxa"/>
            <w:tcBorders>
              <w:left w:val="double" w:sz="4" w:space="0" w:color="auto"/>
              <w:right w:val="nil"/>
            </w:tcBorders>
            <w:vAlign w:val="center"/>
          </w:tcPr>
          <w:p w14:paraId="6510D3C6" w14:textId="77777777" w:rsidR="00667CFC" w:rsidRPr="005A68E6" w:rsidRDefault="00667CFC" w:rsidP="00667CFC">
            <w:pPr>
              <w:spacing w:line="240" w:lineRule="auto"/>
              <w:ind w:firstLine="0"/>
              <w:jc w:val="center"/>
            </w:pPr>
            <w:r w:rsidRPr="005A68E6">
              <w:t>29.4</w:t>
            </w:r>
          </w:p>
        </w:tc>
        <w:tc>
          <w:tcPr>
            <w:tcW w:w="1051" w:type="dxa"/>
            <w:tcBorders>
              <w:left w:val="nil"/>
              <w:right w:val="nil"/>
            </w:tcBorders>
            <w:vAlign w:val="center"/>
          </w:tcPr>
          <w:p w14:paraId="519943D9" w14:textId="77777777" w:rsidR="00667CFC" w:rsidRPr="005A68E6" w:rsidRDefault="00667CFC" w:rsidP="00667CFC">
            <w:pPr>
              <w:spacing w:line="240" w:lineRule="auto"/>
              <w:ind w:firstLine="0"/>
              <w:jc w:val="center"/>
            </w:pPr>
            <w:r w:rsidRPr="005A68E6">
              <w:t>32.3</w:t>
            </w:r>
          </w:p>
        </w:tc>
        <w:tc>
          <w:tcPr>
            <w:tcW w:w="986" w:type="dxa"/>
            <w:tcBorders>
              <w:left w:val="nil"/>
              <w:right w:val="nil"/>
            </w:tcBorders>
            <w:vAlign w:val="center"/>
          </w:tcPr>
          <w:p w14:paraId="7FCCAB67" w14:textId="77777777" w:rsidR="00667CFC" w:rsidRPr="005A68E6" w:rsidRDefault="00667CFC" w:rsidP="00667CFC">
            <w:pPr>
              <w:spacing w:line="240" w:lineRule="auto"/>
              <w:ind w:firstLine="0"/>
              <w:jc w:val="center"/>
            </w:pPr>
            <w:r w:rsidRPr="005A68E6">
              <w:t>34.3</w:t>
            </w:r>
          </w:p>
        </w:tc>
        <w:tc>
          <w:tcPr>
            <w:tcW w:w="1009" w:type="dxa"/>
            <w:tcBorders>
              <w:left w:val="nil"/>
              <w:right w:val="nil"/>
            </w:tcBorders>
            <w:vAlign w:val="center"/>
          </w:tcPr>
          <w:p w14:paraId="69D88ADF" w14:textId="77777777" w:rsidR="00667CFC" w:rsidRPr="005A68E6" w:rsidRDefault="00667CFC" w:rsidP="00667CFC">
            <w:pPr>
              <w:spacing w:line="240" w:lineRule="auto"/>
              <w:ind w:firstLine="0"/>
              <w:jc w:val="center"/>
            </w:pPr>
            <w:r w:rsidRPr="005A68E6">
              <w:t>35.4</w:t>
            </w:r>
          </w:p>
        </w:tc>
      </w:tr>
      <w:tr w:rsidR="00667CFC" w:rsidRPr="005A68E6" w14:paraId="0B5AB229" w14:textId="77777777" w:rsidTr="00822C2A">
        <w:trPr>
          <w:trHeight w:val="394"/>
          <w:jc w:val="center"/>
        </w:trPr>
        <w:tc>
          <w:tcPr>
            <w:tcW w:w="4110" w:type="dxa"/>
            <w:tcBorders>
              <w:left w:val="nil"/>
              <w:right w:val="nil"/>
            </w:tcBorders>
            <w:vAlign w:val="center"/>
          </w:tcPr>
          <w:p w14:paraId="4C0B1C0D" w14:textId="1127A281" w:rsidR="00667CFC" w:rsidRPr="005A68E6" w:rsidRDefault="00667CFC" w:rsidP="00667CFC">
            <w:pPr>
              <w:spacing w:line="240" w:lineRule="auto"/>
              <w:ind w:firstLine="0"/>
              <w:jc w:val="left"/>
            </w:pPr>
            <w:r w:rsidRPr="005A68E6">
              <w:t xml:space="preserve">RA Government </w:t>
            </w:r>
            <w:r w:rsidRPr="005A68E6">
              <w:rPr>
                <w:lang w:val="en-US"/>
              </w:rPr>
              <w:t>local currency</w:t>
            </w:r>
            <w:r w:rsidRPr="005A68E6">
              <w:t xml:space="preserve"> Debt</w:t>
            </w:r>
          </w:p>
        </w:tc>
        <w:tc>
          <w:tcPr>
            <w:tcW w:w="1065" w:type="dxa"/>
            <w:tcBorders>
              <w:left w:val="nil"/>
              <w:right w:val="nil"/>
            </w:tcBorders>
            <w:vAlign w:val="center"/>
          </w:tcPr>
          <w:p w14:paraId="613FFC75" w14:textId="77777777" w:rsidR="00667CFC" w:rsidRPr="005A68E6" w:rsidRDefault="00667CFC" w:rsidP="00667CFC">
            <w:pPr>
              <w:spacing w:line="240" w:lineRule="auto"/>
              <w:ind w:firstLine="0"/>
              <w:jc w:val="center"/>
            </w:pPr>
            <w:r w:rsidRPr="005A68E6">
              <w:t>100.0</w:t>
            </w:r>
          </w:p>
        </w:tc>
        <w:tc>
          <w:tcPr>
            <w:tcW w:w="1376" w:type="dxa"/>
            <w:tcBorders>
              <w:left w:val="nil"/>
              <w:right w:val="double" w:sz="4" w:space="0" w:color="auto"/>
            </w:tcBorders>
            <w:vAlign w:val="center"/>
          </w:tcPr>
          <w:p w14:paraId="6EC4F742" w14:textId="77777777" w:rsidR="00667CFC" w:rsidRPr="005A68E6" w:rsidRDefault="00667CFC" w:rsidP="00667CFC">
            <w:pPr>
              <w:spacing w:line="240" w:lineRule="auto"/>
              <w:ind w:firstLine="0"/>
              <w:jc w:val="center"/>
            </w:pPr>
            <w:r w:rsidRPr="005A68E6">
              <w:t>100.0</w:t>
            </w:r>
          </w:p>
        </w:tc>
        <w:tc>
          <w:tcPr>
            <w:tcW w:w="1009" w:type="dxa"/>
            <w:tcBorders>
              <w:left w:val="double" w:sz="4" w:space="0" w:color="auto"/>
              <w:right w:val="nil"/>
            </w:tcBorders>
            <w:vAlign w:val="center"/>
          </w:tcPr>
          <w:p w14:paraId="154E8841" w14:textId="77777777" w:rsidR="00667CFC" w:rsidRPr="005A68E6" w:rsidRDefault="00667CFC" w:rsidP="00667CFC">
            <w:pPr>
              <w:spacing w:line="240" w:lineRule="auto"/>
              <w:ind w:firstLine="0"/>
              <w:jc w:val="center"/>
            </w:pPr>
            <w:r w:rsidRPr="005A68E6">
              <w:t>100.0</w:t>
            </w:r>
          </w:p>
        </w:tc>
        <w:tc>
          <w:tcPr>
            <w:tcW w:w="1051" w:type="dxa"/>
            <w:tcBorders>
              <w:left w:val="nil"/>
              <w:right w:val="nil"/>
            </w:tcBorders>
            <w:vAlign w:val="center"/>
          </w:tcPr>
          <w:p w14:paraId="00CDE109" w14:textId="77777777" w:rsidR="00667CFC" w:rsidRPr="005A68E6" w:rsidRDefault="00667CFC" w:rsidP="00667CFC">
            <w:pPr>
              <w:spacing w:line="240" w:lineRule="auto"/>
              <w:ind w:firstLine="0"/>
              <w:jc w:val="center"/>
            </w:pPr>
            <w:r w:rsidRPr="005A68E6">
              <w:t>100.0</w:t>
            </w:r>
          </w:p>
        </w:tc>
        <w:tc>
          <w:tcPr>
            <w:tcW w:w="986" w:type="dxa"/>
            <w:tcBorders>
              <w:left w:val="nil"/>
              <w:right w:val="nil"/>
            </w:tcBorders>
            <w:vAlign w:val="center"/>
          </w:tcPr>
          <w:p w14:paraId="753ECB51" w14:textId="77777777" w:rsidR="00667CFC" w:rsidRPr="005A68E6" w:rsidRDefault="00667CFC" w:rsidP="00667CFC">
            <w:pPr>
              <w:spacing w:line="240" w:lineRule="auto"/>
              <w:ind w:firstLine="0"/>
              <w:jc w:val="center"/>
            </w:pPr>
            <w:r w:rsidRPr="005A68E6">
              <w:t>100.0</w:t>
            </w:r>
          </w:p>
        </w:tc>
        <w:tc>
          <w:tcPr>
            <w:tcW w:w="1009" w:type="dxa"/>
            <w:tcBorders>
              <w:left w:val="nil"/>
              <w:right w:val="nil"/>
            </w:tcBorders>
            <w:vAlign w:val="center"/>
          </w:tcPr>
          <w:p w14:paraId="050AD359" w14:textId="77777777" w:rsidR="00667CFC" w:rsidRPr="005A68E6" w:rsidRDefault="00667CFC" w:rsidP="00667CFC">
            <w:pPr>
              <w:spacing w:line="240" w:lineRule="auto"/>
              <w:ind w:firstLine="0"/>
              <w:jc w:val="center"/>
            </w:pPr>
            <w:r w:rsidRPr="005A68E6">
              <w:t>100.0</w:t>
            </w:r>
          </w:p>
        </w:tc>
      </w:tr>
      <w:tr w:rsidR="00667CFC" w:rsidRPr="005A68E6" w14:paraId="640375B4" w14:textId="77777777" w:rsidTr="00581010">
        <w:trPr>
          <w:trHeight w:val="306"/>
          <w:jc w:val="center"/>
        </w:trPr>
        <w:tc>
          <w:tcPr>
            <w:tcW w:w="4110" w:type="dxa"/>
            <w:tcBorders>
              <w:left w:val="nil"/>
              <w:right w:val="nil"/>
            </w:tcBorders>
            <w:vAlign w:val="center"/>
          </w:tcPr>
          <w:p w14:paraId="3171848B" w14:textId="33653BF2" w:rsidR="00667CFC" w:rsidRPr="005A68E6" w:rsidRDefault="00667CFC" w:rsidP="00667CFC">
            <w:pPr>
              <w:spacing w:line="240" w:lineRule="auto"/>
              <w:ind w:firstLine="0"/>
              <w:jc w:val="center"/>
            </w:pPr>
            <w:r w:rsidRPr="005A68E6">
              <w:rPr>
                <w:lang w:val="en-US"/>
              </w:rPr>
              <w:t xml:space="preserve">        of which:</w:t>
            </w:r>
          </w:p>
        </w:tc>
        <w:tc>
          <w:tcPr>
            <w:tcW w:w="1065" w:type="dxa"/>
            <w:tcBorders>
              <w:left w:val="nil"/>
              <w:right w:val="nil"/>
            </w:tcBorders>
          </w:tcPr>
          <w:p w14:paraId="6AF6A46E" w14:textId="77777777" w:rsidR="00667CFC" w:rsidRPr="005A68E6" w:rsidRDefault="00667CFC" w:rsidP="00667CFC">
            <w:pPr>
              <w:spacing w:line="240" w:lineRule="auto"/>
              <w:ind w:firstLine="0"/>
              <w:jc w:val="center"/>
            </w:pPr>
          </w:p>
        </w:tc>
        <w:tc>
          <w:tcPr>
            <w:tcW w:w="1376" w:type="dxa"/>
            <w:tcBorders>
              <w:left w:val="nil"/>
              <w:right w:val="double" w:sz="4" w:space="0" w:color="auto"/>
            </w:tcBorders>
            <w:vAlign w:val="center"/>
          </w:tcPr>
          <w:p w14:paraId="130F0B4C" w14:textId="77777777" w:rsidR="00667CFC" w:rsidRPr="005A68E6" w:rsidRDefault="00667CFC" w:rsidP="00667CFC">
            <w:pPr>
              <w:spacing w:line="240" w:lineRule="auto"/>
              <w:ind w:firstLine="0"/>
              <w:jc w:val="center"/>
            </w:pPr>
          </w:p>
        </w:tc>
        <w:tc>
          <w:tcPr>
            <w:tcW w:w="1009" w:type="dxa"/>
            <w:tcBorders>
              <w:left w:val="double" w:sz="4" w:space="0" w:color="auto"/>
              <w:right w:val="nil"/>
            </w:tcBorders>
            <w:vAlign w:val="center"/>
          </w:tcPr>
          <w:p w14:paraId="4331157C" w14:textId="77777777" w:rsidR="00667CFC" w:rsidRPr="005A68E6" w:rsidRDefault="00667CFC" w:rsidP="00667CFC">
            <w:pPr>
              <w:spacing w:line="240" w:lineRule="auto"/>
              <w:ind w:firstLine="0"/>
              <w:jc w:val="center"/>
            </w:pPr>
          </w:p>
        </w:tc>
        <w:tc>
          <w:tcPr>
            <w:tcW w:w="1051" w:type="dxa"/>
            <w:tcBorders>
              <w:left w:val="nil"/>
              <w:right w:val="nil"/>
            </w:tcBorders>
            <w:vAlign w:val="center"/>
          </w:tcPr>
          <w:p w14:paraId="4D121CB3" w14:textId="77777777" w:rsidR="00667CFC" w:rsidRPr="005A68E6" w:rsidRDefault="00667CFC" w:rsidP="00667CFC">
            <w:pPr>
              <w:spacing w:line="240" w:lineRule="auto"/>
              <w:ind w:firstLine="0"/>
              <w:jc w:val="center"/>
            </w:pPr>
          </w:p>
        </w:tc>
        <w:tc>
          <w:tcPr>
            <w:tcW w:w="986" w:type="dxa"/>
            <w:tcBorders>
              <w:left w:val="nil"/>
              <w:right w:val="nil"/>
            </w:tcBorders>
            <w:vAlign w:val="center"/>
          </w:tcPr>
          <w:p w14:paraId="4AE3D306" w14:textId="77777777" w:rsidR="00667CFC" w:rsidRPr="005A68E6" w:rsidRDefault="00667CFC" w:rsidP="00667CFC">
            <w:pPr>
              <w:spacing w:line="240" w:lineRule="auto"/>
              <w:ind w:firstLine="0"/>
              <w:jc w:val="center"/>
            </w:pPr>
          </w:p>
        </w:tc>
        <w:tc>
          <w:tcPr>
            <w:tcW w:w="1009" w:type="dxa"/>
            <w:tcBorders>
              <w:left w:val="nil"/>
              <w:right w:val="nil"/>
            </w:tcBorders>
            <w:vAlign w:val="center"/>
          </w:tcPr>
          <w:p w14:paraId="21235869" w14:textId="77777777" w:rsidR="00667CFC" w:rsidRPr="005A68E6" w:rsidRDefault="00667CFC" w:rsidP="00667CFC">
            <w:pPr>
              <w:spacing w:line="240" w:lineRule="auto"/>
              <w:ind w:firstLine="0"/>
              <w:jc w:val="center"/>
            </w:pPr>
          </w:p>
        </w:tc>
      </w:tr>
      <w:tr w:rsidR="00667CFC" w:rsidRPr="005A68E6" w14:paraId="27831C52" w14:textId="77777777" w:rsidTr="00581010">
        <w:trPr>
          <w:trHeight w:val="187"/>
          <w:jc w:val="center"/>
        </w:trPr>
        <w:tc>
          <w:tcPr>
            <w:tcW w:w="4110" w:type="dxa"/>
            <w:tcBorders>
              <w:left w:val="nil"/>
              <w:right w:val="nil"/>
            </w:tcBorders>
            <w:vAlign w:val="center"/>
          </w:tcPr>
          <w:p w14:paraId="73C7781E" w14:textId="66D47764" w:rsidR="00667CFC" w:rsidRPr="005A68E6" w:rsidRDefault="00667CFC" w:rsidP="00667CFC">
            <w:pPr>
              <w:spacing w:line="240" w:lineRule="auto"/>
              <w:ind w:left="558" w:firstLine="0"/>
              <w:jc w:val="left"/>
            </w:pPr>
            <w:r w:rsidRPr="005A68E6">
              <w:t>Fixed Rate</w:t>
            </w:r>
          </w:p>
        </w:tc>
        <w:tc>
          <w:tcPr>
            <w:tcW w:w="1065" w:type="dxa"/>
            <w:tcBorders>
              <w:left w:val="nil"/>
              <w:right w:val="nil"/>
            </w:tcBorders>
            <w:vAlign w:val="center"/>
          </w:tcPr>
          <w:p w14:paraId="46580F29" w14:textId="77777777" w:rsidR="00667CFC" w:rsidRPr="005A68E6" w:rsidRDefault="00667CFC" w:rsidP="00667CFC">
            <w:pPr>
              <w:spacing w:line="240" w:lineRule="auto"/>
              <w:ind w:firstLine="0"/>
              <w:jc w:val="center"/>
            </w:pPr>
            <w:r w:rsidRPr="005A68E6">
              <w:t>100.0</w:t>
            </w:r>
          </w:p>
        </w:tc>
        <w:tc>
          <w:tcPr>
            <w:tcW w:w="1376" w:type="dxa"/>
            <w:tcBorders>
              <w:left w:val="nil"/>
              <w:right w:val="double" w:sz="4" w:space="0" w:color="auto"/>
            </w:tcBorders>
            <w:vAlign w:val="center"/>
          </w:tcPr>
          <w:p w14:paraId="3B4A5FE7" w14:textId="77777777" w:rsidR="00667CFC" w:rsidRPr="005A68E6" w:rsidRDefault="00667CFC" w:rsidP="00667CFC">
            <w:pPr>
              <w:spacing w:line="240" w:lineRule="auto"/>
              <w:ind w:firstLine="0"/>
              <w:jc w:val="center"/>
            </w:pPr>
            <w:r w:rsidRPr="005A68E6">
              <w:t>100.0</w:t>
            </w:r>
          </w:p>
        </w:tc>
        <w:tc>
          <w:tcPr>
            <w:tcW w:w="1009" w:type="dxa"/>
            <w:tcBorders>
              <w:left w:val="double" w:sz="4" w:space="0" w:color="auto"/>
              <w:right w:val="nil"/>
            </w:tcBorders>
            <w:vAlign w:val="center"/>
          </w:tcPr>
          <w:p w14:paraId="2F4DE9C0" w14:textId="77777777" w:rsidR="00667CFC" w:rsidRPr="005A68E6" w:rsidRDefault="00667CFC" w:rsidP="00667CFC">
            <w:pPr>
              <w:spacing w:line="240" w:lineRule="auto"/>
              <w:ind w:firstLine="0"/>
              <w:jc w:val="center"/>
            </w:pPr>
            <w:r w:rsidRPr="005A68E6">
              <w:t>100.0</w:t>
            </w:r>
          </w:p>
        </w:tc>
        <w:tc>
          <w:tcPr>
            <w:tcW w:w="1051" w:type="dxa"/>
            <w:tcBorders>
              <w:left w:val="nil"/>
              <w:right w:val="nil"/>
            </w:tcBorders>
            <w:vAlign w:val="center"/>
          </w:tcPr>
          <w:p w14:paraId="5B0D3381" w14:textId="77777777" w:rsidR="00667CFC" w:rsidRPr="005A68E6" w:rsidRDefault="00667CFC" w:rsidP="00667CFC">
            <w:pPr>
              <w:spacing w:line="240" w:lineRule="auto"/>
              <w:ind w:firstLine="0"/>
              <w:jc w:val="center"/>
            </w:pPr>
            <w:r w:rsidRPr="005A68E6">
              <w:t>100.0</w:t>
            </w:r>
          </w:p>
        </w:tc>
        <w:tc>
          <w:tcPr>
            <w:tcW w:w="986" w:type="dxa"/>
            <w:tcBorders>
              <w:left w:val="nil"/>
              <w:right w:val="nil"/>
            </w:tcBorders>
            <w:vAlign w:val="center"/>
          </w:tcPr>
          <w:p w14:paraId="247DC404" w14:textId="77777777" w:rsidR="00667CFC" w:rsidRPr="005A68E6" w:rsidRDefault="00667CFC" w:rsidP="00667CFC">
            <w:pPr>
              <w:spacing w:line="240" w:lineRule="auto"/>
              <w:ind w:firstLine="0"/>
              <w:jc w:val="center"/>
            </w:pPr>
            <w:r w:rsidRPr="005A68E6">
              <w:t>100.0</w:t>
            </w:r>
          </w:p>
        </w:tc>
        <w:tc>
          <w:tcPr>
            <w:tcW w:w="1009" w:type="dxa"/>
            <w:tcBorders>
              <w:left w:val="nil"/>
              <w:right w:val="nil"/>
            </w:tcBorders>
            <w:vAlign w:val="center"/>
          </w:tcPr>
          <w:p w14:paraId="07D5935D" w14:textId="77777777" w:rsidR="00667CFC" w:rsidRPr="005A68E6" w:rsidRDefault="00667CFC" w:rsidP="00667CFC">
            <w:pPr>
              <w:spacing w:line="240" w:lineRule="auto"/>
              <w:ind w:firstLine="0"/>
              <w:jc w:val="center"/>
            </w:pPr>
            <w:r w:rsidRPr="005A68E6">
              <w:t>100.0</w:t>
            </w:r>
          </w:p>
        </w:tc>
      </w:tr>
      <w:tr w:rsidR="00667CFC" w:rsidRPr="005A68E6" w14:paraId="06A89BA8" w14:textId="77777777" w:rsidTr="00581010">
        <w:trPr>
          <w:trHeight w:val="320"/>
          <w:jc w:val="center"/>
        </w:trPr>
        <w:tc>
          <w:tcPr>
            <w:tcW w:w="4110" w:type="dxa"/>
            <w:tcBorders>
              <w:left w:val="nil"/>
              <w:bottom w:val="thickThinSmallGap" w:sz="24" w:space="0" w:color="auto"/>
              <w:right w:val="nil"/>
            </w:tcBorders>
            <w:vAlign w:val="center"/>
          </w:tcPr>
          <w:p w14:paraId="6BE23ED7" w14:textId="791EBF17" w:rsidR="00667CFC" w:rsidRPr="005A68E6" w:rsidRDefault="00667CFC" w:rsidP="00667CFC">
            <w:pPr>
              <w:spacing w:line="240" w:lineRule="auto"/>
              <w:ind w:left="558" w:firstLine="0"/>
              <w:jc w:val="left"/>
            </w:pPr>
            <w:r w:rsidRPr="005A68E6">
              <w:t>Floating Rate</w:t>
            </w:r>
          </w:p>
        </w:tc>
        <w:tc>
          <w:tcPr>
            <w:tcW w:w="1065" w:type="dxa"/>
            <w:tcBorders>
              <w:left w:val="nil"/>
              <w:bottom w:val="thickThinSmallGap" w:sz="24" w:space="0" w:color="auto"/>
              <w:right w:val="nil"/>
            </w:tcBorders>
            <w:vAlign w:val="center"/>
          </w:tcPr>
          <w:p w14:paraId="6191C221" w14:textId="77777777" w:rsidR="00667CFC" w:rsidRPr="005A68E6" w:rsidRDefault="00667CFC" w:rsidP="00667CFC">
            <w:pPr>
              <w:spacing w:line="240" w:lineRule="auto"/>
              <w:ind w:firstLine="0"/>
              <w:jc w:val="center"/>
            </w:pPr>
            <w:r w:rsidRPr="005A68E6">
              <w:t>0.0</w:t>
            </w:r>
          </w:p>
        </w:tc>
        <w:tc>
          <w:tcPr>
            <w:tcW w:w="1376" w:type="dxa"/>
            <w:tcBorders>
              <w:left w:val="nil"/>
              <w:bottom w:val="thickThinSmallGap" w:sz="24" w:space="0" w:color="auto"/>
              <w:right w:val="double" w:sz="4" w:space="0" w:color="auto"/>
            </w:tcBorders>
            <w:vAlign w:val="center"/>
          </w:tcPr>
          <w:p w14:paraId="2FD147ED" w14:textId="77777777" w:rsidR="00667CFC" w:rsidRPr="005A68E6" w:rsidRDefault="00667CFC" w:rsidP="00667CFC">
            <w:pPr>
              <w:spacing w:line="240" w:lineRule="auto"/>
              <w:ind w:firstLine="0"/>
              <w:jc w:val="center"/>
            </w:pPr>
            <w:r w:rsidRPr="005A68E6">
              <w:t>0.0</w:t>
            </w:r>
          </w:p>
        </w:tc>
        <w:tc>
          <w:tcPr>
            <w:tcW w:w="1009" w:type="dxa"/>
            <w:tcBorders>
              <w:left w:val="double" w:sz="4" w:space="0" w:color="auto"/>
              <w:bottom w:val="thickThinSmallGap" w:sz="24" w:space="0" w:color="auto"/>
              <w:right w:val="nil"/>
            </w:tcBorders>
            <w:vAlign w:val="center"/>
          </w:tcPr>
          <w:p w14:paraId="0AC12412" w14:textId="77777777" w:rsidR="00667CFC" w:rsidRPr="005A68E6" w:rsidRDefault="00667CFC" w:rsidP="00667CFC">
            <w:pPr>
              <w:spacing w:line="240" w:lineRule="auto"/>
              <w:ind w:firstLine="0"/>
              <w:jc w:val="center"/>
            </w:pPr>
            <w:r w:rsidRPr="005A68E6">
              <w:t>0.0</w:t>
            </w:r>
          </w:p>
        </w:tc>
        <w:tc>
          <w:tcPr>
            <w:tcW w:w="1051" w:type="dxa"/>
            <w:tcBorders>
              <w:left w:val="nil"/>
              <w:bottom w:val="thickThinSmallGap" w:sz="24" w:space="0" w:color="auto"/>
              <w:right w:val="nil"/>
            </w:tcBorders>
            <w:vAlign w:val="center"/>
          </w:tcPr>
          <w:p w14:paraId="2E917944" w14:textId="77777777" w:rsidR="00667CFC" w:rsidRPr="005A68E6" w:rsidRDefault="00667CFC" w:rsidP="00667CFC">
            <w:pPr>
              <w:spacing w:line="240" w:lineRule="auto"/>
              <w:ind w:firstLine="0"/>
              <w:jc w:val="center"/>
            </w:pPr>
            <w:r w:rsidRPr="005A68E6">
              <w:t>0.0</w:t>
            </w:r>
          </w:p>
        </w:tc>
        <w:tc>
          <w:tcPr>
            <w:tcW w:w="986" w:type="dxa"/>
            <w:tcBorders>
              <w:left w:val="nil"/>
              <w:bottom w:val="thickThinSmallGap" w:sz="24" w:space="0" w:color="auto"/>
              <w:right w:val="nil"/>
            </w:tcBorders>
            <w:vAlign w:val="center"/>
          </w:tcPr>
          <w:p w14:paraId="1DE5FE6C" w14:textId="77777777" w:rsidR="00667CFC" w:rsidRPr="005A68E6" w:rsidRDefault="00667CFC" w:rsidP="00667CFC">
            <w:pPr>
              <w:spacing w:line="240" w:lineRule="auto"/>
              <w:ind w:firstLine="0"/>
              <w:jc w:val="center"/>
            </w:pPr>
            <w:r w:rsidRPr="005A68E6">
              <w:t>0.0</w:t>
            </w:r>
          </w:p>
        </w:tc>
        <w:tc>
          <w:tcPr>
            <w:tcW w:w="1009" w:type="dxa"/>
            <w:tcBorders>
              <w:left w:val="nil"/>
              <w:bottom w:val="thickThinSmallGap" w:sz="24" w:space="0" w:color="auto"/>
              <w:right w:val="nil"/>
            </w:tcBorders>
            <w:vAlign w:val="center"/>
          </w:tcPr>
          <w:p w14:paraId="1B5E2B1C" w14:textId="77777777" w:rsidR="00667CFC" w:rsidRPr="005A68E6" w:rsidRDefault="00667CFC" w:rsidP="00667CFC">
            <w:pPr>
              <w:spacing w:line="240" w:lineRule="auto"/>
              <w:ind w:firstLine="0"/>
              <w:jc w:val="center"/>
            </w:pPr>
            <w:r w:rsidRPr="005A68E6">
              <w:t>0.0</w:t>
            </w:r>
          </w:p>
        </w:tc>
      </w:tr>
    </w:tbl>
    <w:p w14:paraId="0D681E47" w14:textId="75609ADC" w:rsidR="006F4A30" w:rsidRPr="005A68E6" w:rsidRDefault="009C099C" w:rsidP="007D0709">
      <w:pPr>
        <w:rPr>
          <w:sz w:val="16"/>
          <w:lang w:val="en-US"/>
        </w:rPr>
      </w:pPr>
      <w:r w:rsidRPr="005A68E6">
        <w:rPr>
          <w:sz w:val="16"/>
          <w:lang w:val="en-US"/>
        </w:rPr>
        <w:t>Source: RA MoF calculations and forecasts</w:t>
      </w:r>
    </w:p>
    <w:p w14:paraId="21D75976" w14:textId="0C89E3C1" w:rsidR="0024298B" w:rsidRPr="005A68E6" w:rsidRDefault="0024298B" w:rsidP="007D0709">
      <w:pPr>
        <w:spacing w:line="288" w:lineRule="auto"/>
      </w:pPr>
      <w:r w:rsidRPr="005A68E6">
        <w:t xml:space="preserve">The Average time to refixing indicator for </w:t>
      </w:r>
      <w:r w:rsidR="004D6547" w:rsidRPr="005A68E6">
        <w:rPr>
          <w:lang w:val="en-US"/>
        </w:rPr>
        <w:t xml:space="preserve">the </w:t>
      </w:r>
      <w:r w:rsidRPr="005A68E6">
        <w:t xml:space="preserve">RA Government debt will amount </w:t>
      </w:r>
      <w:r w:rsidRPr="005A68E6">
        <w:rPr>
          <w:lang w:val="en-US"/>
        </w:rPr>
        <w:t>to</w:t>
      </w:r>
      <w:r w:rsidRPr="005A68E6">
        <w:t xml:space="preserve"> 5.</w:t>
      </w:r>
      <w:r w:rsidRPr="005A68E6">
        <w:rPr>
          <w:lang w:val="en-US"/>
        </w:rPr>
        <w:t>7</w:t>
      </w:r>
      <w:r w:rsidRPr="005A68E6">
        <w:t xml:space="preserve"> years and the share of </w:t>
      </w:r>
      <w:r w:rsidR="004D6547" w:rsidRPr="005A68E6">
        <w:rPr>
          <w:lang w:val="en-US"/>
        </w:rPr>
        <w:t xml:space="preserve">the </w:t>
      </w:r>
      <w:r w:rsidRPr="005A68E6">
        <w:t xml:space="preserve">RA Government debt refixing in one year indicator will </w:t>
      </w:r>
      <w:r w:rsidRPr="005A68E6">
        <w:rPr>
          <w:lang w:val="en-US"/>
        </w:rPr>
        <w:t>be</w:t>
      </w:r>
      <w:r w:rsidRPr="005A68E6">
        <w:t xml:space="preserve"> </w:t>
      </w:r>
      <w:r w:rsidRPr="005A68E6">
        <w:rPr>
          <w:lang w:val="en-US"/>
        </w:rPr>
        <w:t>28.1</w:t>
      </w:r>
      <w:r w:rsidRPr="005A68E6">
        <w:t>% at the end of the period.</w:t>
      </w:r>
    </w:p>
    <w:p w14:paraId="5DE85E01" w14:textId="6997FF3E" w:rsidR="004D7FC8" w:rsidRPr="005A68E6" w:rsidRDefault="004D7FC8" w:rsidP="007D0709">
      <w:pPr>
        <w:pStyle w:val="af6"/>
        <w:numPr>
          <w:ilvl w:val="0"/>
          <w:numId w:val="35"/>
        </w:numPr>
        <w:spacing w:before="120"/>
        <w:ind w:left="992" w:firstLine="0"/>
        <w:rPr>
          <w:rFonts w:cs="Cambria"/>
          <w:iCs/>
          <w:lang w:val="en-US"/>
        </w:rPr>
      </w:pPr>
      <w:r w:rsidRPr="005A68E6">
        <w:rPr>
          <w:rStyle w:val="Emphasis"/>
          <w:rFonts w:cs="Cambria"/>
          <w:i/>
        </w:rPr>
        <w:t xml:space="preserve">Interest rate risk indicators of </w:t>
      </w:r>
      <w:r w:rsidR="004D6547" w:rsidRPr="005A68E6">
        <w:rPr>
          <w:rStyle w:val="Emphasis"/>
          <w:rFonts w:cs="Cambria"/>
          <w:i/>
          <w:lang w:val="en-US"/>
        </w:rPr>
        <w:t xml:space="preserve">the </w:t>
      </w:r>
      <w:r w:rsidRPr="005A68E6">
        <w:rPr>
          <w:rStyle w:val="Emphasis"/>
          <w:rFonts w:cs="Cambria"/>
          <w:i/>
        </w:rPr>
        <w:t>RA Government debt for 2022-202</w:t>
      </w:r>
      <w:r w:rsidRPr="005A68E6">
        <w:rPr>
          <w:rStyle w:val="Emphasis"/>
          <w:rFonts w:cs="Cambria"/>
          <w:i/>
          <w:lang w:val="en-US"/>
        </w:rPr>
        <w:t>6</w:t>
      </w:r>
    </w:p>
    <w:tbl>
      <w:tblPr>
        <w:tblpPr w:leftFromText="180" w:rightFromText="180" w:vertAnchor="text" w:horzAnchor="margin" w:tblpXSpec="center" w:tblpY="79"/>
        <w:tblW w:w="10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1080"/>
        <w:gridCol w:w="990"/>
        <w:gridCol w:w="990"/>
        <w:gridCol w:w="990"/>
        <w:gridCol w:w="105"/>
        <w:gridCol w:w="923"/>
      </w:tblGrid>
      <w:tr w:rsidR="004D7FC8" w:rsidRPr="005A68E6" w14:paraId="77E3C1F6" w14:textId="77777777" w:rsidTr="004D7FC8">
        <w:trPr>
          <w:trHeight w:val="578"/>
          <w:tblHeader/>
        </w:trPr>
        <w:tc>
          <w:tcPr>
            <w:tcW w:w="4950" w:type="dxa"/>
            <w:tcBorders>
              <w:top w:val="thinThickThinSmallGap" w:sz="24" w:space="0" w:color="auto"/>
              <w:left w:val="nil"/>
              <w:bottom w:val="thinThickSmallGap" w:sz="24" w:space="0" w:color="auto"/>
              <w:right w:val="nil"/>
            </w:tcBorders>
            <w:shd w:val="clear" w:color="auto" w:fill="5B9BD5"/>
            <w:vAlign w:val="center"/>
          </w:tcPr>
          <w:p w14:paraId="47E9AA94" w14:textId="77777777" w:rsidR="004D7FC8" w:rsidRPr="005A68E6" w:rsidRDefault="004D7FC8" w:rsidP="004D7FC8">
            <w:pPr>
              <w:spacing w:line="240" w:lineRule="auto"/>
              <w:ind w:left="567" w:firstLine="0"/>
              <w:jc w:val="center"/>
            </w:pPr>
          </w:p>
        </w:tc>
        <w:tc>
          <w:tcPr>
            <w:tcW w:w="1080" w:type="dxa"/>
            <w:tcBorders>
              <w:top w:val="thinThickThinSmallGap" w:sz="24" w:space="0" w:color="auto"/>
              <w:left w:val="nil"/>
              <w:bottom w:val="thinThickSmallGap" w:sz="24" w:space="0" w:color="auto"/>
              <w:right w:val="nil"/>
            </w:tcBorders>
            <w:shd w:val="clear" w:color="auto" w:fill="5B9BD5"/>
          </w:tcPr>
          <w:p w14:paraId="6A41C6D4" w14:textId="0686898B" w:rsidR="004D7FC8" w:rsidRPr="005A68E6" w:rsidRDefault="004D7FC8" w:rsidP="004D7FC8">
            <w:pPr>
              <w:spacing w:line="240" w:lineRule="auto"/>
              <w:ind w:firstLine="0"/>
              <w:jc w:val="center"/>
              <w:rPr>
                <w:lang w:val="en-US"/>
              </w:rPr>
            </w:pPr>
            <w:r w:rsidRPr="005A68E6">
              <w:t>202</w:t>
            </w:r>
            <w:r w:rsidRPr="005A68E6">
              <w:rPr>
                <w:lang w:val="en-US"/>
              </w:rPr>
              <w:t>2</w:t>
            </w:r>
            <w:r w:rsidRPr="005A68E6">
              <w:t xml:space="preserve"> </w:t>
            </w:r>
            <w:r w:rsidRPr="005A68E6">
              <w:rPr>
                <w:lang w:val="en-US"/>
              </w:rPr>
              <w:t>actual</w:t>
            </w:r>
          </w:p>
        </w:tc>
        <w:tc>
          <w:tcPr>
            <w:tcW w:w="990" w:type="dxa"/>
            <w:tcBorders>
              <w:top w:val="thinThickThinSmallGap" w:sz="24" w:space="0" w:color="auto"/>
              <w:left w:val="nil"/>
              <w:bottom w:val="thinThickSmallGap" w:sz="24" w:space="0" w:color="auto"/>
              <w:right w:val="nil"/>
            </w:tcBorders>
            <w:shd w:val="clear" w:color="auto" w:fill="5B9BD5"/>
            <w:vAlign w:val="center"/>
          </w:tcPr>
          <w:p w14:paraId="7875B5C3" w14:textId="54EEEDB2" w:rsidR="004D7FC8" w:rsidRPr="005A68E6" w:rsidRDefault="004D7FC8" w:rsidP="004D7FC8">
            <w:pPr>
              <w:spacing w:line="240" w:lineRule="auto"/>
              <w:ind w:firstLine="0"/>
              <w:jc w:val="center"/>
            </w:pPr>
            <w:r w:rsidRPr="005A68E6">
              <w:t xml:space="preserve">2023 </w:t>
            </w:r>
            <w:r w:rsidRPr="005A68E6">
              <w:rPr>
                <w:lang w:val="en-US"/>
              </w:rPr>
              <w:t>forecast</w:t>
            </w:r>
          </w:p>
        </w:tc>
        <w:tc>
          <w:tcPr>
            <w:tcW w:w="990" w:type="dxa"/>
            <w:tcBorders>
              <w:top w:val="thinThickThinSmallGap" w:sz="24" w:space="0" w:color="auto"/>
              <w:left w:val="nil"/>
              <w:bottom w:val="thinThickSmallGap" w:sz="24" w:space="0" w:color="auto"/>
              <w:right w:val="nil"/>
            </w:tcBorders>
            <w:shd w:val="clear" w:color="auto" w:fill="5B9BD5"/>
            <w:vAlign w:val="center"/>
          </w:tcPr>
          <w:p w14:paraId="56CAF89E" w14:textId="3D2D7254" w:rsidR="004D7FC8" w:rsidRPr="005A68E6" w:rsidRDefault="004D7FC8" w:rsidP="004D7FC8">
            <w:pPr>
              <w:spacing w:line="240" w:lineRule="auto"/>
              <w:ind w:firstLine="0"/>
              <w:jc w:val="center"/>
            </w:pPr>
            <w:r w:rsidRPr="005A68E6">
              <w:t xml:space="preserve">2024 </w:t>
            </w:r>
            <w:r w:rsidRPr="005A68E6">
              <w:rPr>
                <w:lang w:val="en-US"/>
              </w:rPr>
              <w:t>forecast</w:t>
            </w:r>
          </w:p>
        </w:tc>
        <w:tc>
          <w:tcPr>
            <w:tcW w:w="990" w:type="dxa"/>
            <w:tcBorders>
              <w:top w:val="thinThickThinSmallGap" w:sz="24" w:space="0" w:color="auto"/>
              <w:left w:val="nil"/>
              <w:bottom w:val="thinThickSmallGap" w:sz="24" w:space="0" w:color="auto"/>
              <w:right w:val="nil"/>
            </w:tcBorders>
            <w:shd w:val="clear" w:color="auto" w:fill="5B9BD5"/>
            <w:vAlign w:val="center"/>
          </w:tcPr>
          <w:p w14:paraId="43B0AC20" w14:textId="5F859312" w:rsidR="004D7FC8" w:rsidRPr="005A68E6" w:rsidRDefault="004D7FC8" w:rsidP="004D7FC8">
            <w:pPr>
              <w:spacing w:line="240" w:lineRule="auto"/>
              <w:ind w:firstLine="0"/>
              <w:jc w:val="center"/>
            </w:pPr>
            <w:r w:rsidRPr="005A68E6">
              <w:t xml:space="preserve">2025 </w:t>
            </w:r>
            <w:r w:rsidRPr="005A68E6">
              <w:rPr>
                <w:lang w:val="en-US"/>
              </w:rPr>
              <w:t>forecast</w:t>
            </w:r>
          </w:p>
        </w:tc>
        <w:tc>
          <w:tcPr>
            <w:tcW w:w="1028" w:type="dxa"/>
            <w:gridSpan w:val="2"/>
            <w:tcBorders>
              <w:top w:val="thinThickThinSmallGap" w:sz="24" w:space="0" w:color="auto"/>
              <w:left w:val="nil"/>
              <w:bottom w:val="thinThickSmallGap" w:sz="24" w:space="0" w:color="auto"/>
              <w:right w:val="nil"/>
            </w:tcBorders>
            <w:shd w:val="clear" w:color="auto" w:fill="5B9BD5"/>
            <w:vAlign w:val="center"/>
          </w:tcPr>
          <w:p w14:paraId="6BC82296" w14:textId="0CBC3634" w:rsidR="004D7FC8" w:rsidRPr="005A68E6" w:rsidRDefault="004D7FC8" w:rsidP="004D7FC8">
            <w:pPr>
              <w:spacing w:line="240" w:lineRule="auto"/>
              <w:ind w:firstLine="0"/>
              <w:jc w:val="center"/>
            </w:pPr>
            <w:r w:rsidRPr="005A68E6">
              <w:t xml:space="preserve">2026 </w:t>
            </w:r>
            <w:r w:rsidRPr="005A68E6">
              <w:rPr>
                <w:lang w:val="en-US"/>
              </w:rPr>
              <w:t>forecast</w:t>
            </w:r>
          </w:p>
        </w:tc>
      </w:tr>
      <w:tr w:rsidR="001B392A" w:rsidRPr="005A68E6" w14:paraId="561089A9" w14:textId="77777777" w:rsidTr="004D7FC8">
        <w:trPr>
          <w:trHeight w:val="616"/>
        </w:trPr>
        <w:tc>
          <w:tcPr>
            <w:tcW w:w="4950" w:type="dxa"/>
            <w:tcBorders>
              <w:top w:val="thinThickSmallGap" w:sz="24" w:space="0" w:color="auto"/>
              <w:left w:val="nil"/>
              <w:right w:val="nil"/>
            </w:tcBorders>
            <w:vAlign w:val="center"/>
          </w:tcPr>
          <w:p w14:paraId="7794E2BD" w14:textId="4210AB2F" w:rsidR="001B392A" w:rsidRPr="005A68E6" w:rsidRDefault="007C7ABA" w:rsidP="002264FD">
            <w:pPr>
              <w:spacing w:line="240" w:lineRule="auto"/>
              <w:ind w:firstLine="0"/>
              <w:jc w:val="left"/>
            </w:pPr>
            <w:r w:rsidRPr="005A68E6">
              <w:rPr>
                <w:b/>
              </w:rPr>
              <w:t>Average Time to Refixing for RA Government Debt, (years)</w:t>
            </w:r>
          </w:p>
        </w:tc>
        <w:tc>
          <w:tcPr>
            <w:tcW w:w="1080" w:type="dxa"/>
            <w:tcBorders>
              <w:top w:val="thinThickSmallGap" w:sz="24" w:space="0" w:color="auto"/>
              <w:left w:val="nil"/>
              <w:right w:val="nil"/>
            </w:tcBorders>
            <w:vAlign w:val="center"/>
          </w:tcPr>
          <w:p w14:paraId="25CB6DEA" w14:textId="77777777" w:rsidR="001B392A" w:rsidRPr="005A68E6" w:rsidRDefault="001B392A" w:rsidP="002264FD">
            <w:pPr>
              <w:spacing w:line="240" w:lineRule="auto"/>
              <w:ind w:firstLine="0"/>
              <w:jc w:val="center"/>
              <w:rPr>
                <w:lang w:val="en-US"/>
              </w:rPr>
            </w:pPr>
            <w:r w:rsidRPr="005A68E6">
              <w:rPr>
                <w:lang w:val="en-US"/>
              </w:rPr>
              <w:t>6.6</w:t>
            </w:r>
          </w:p>
        </w:tc>
        <w:tc>
          <w:tcPr>
            <w:tcW w:w="990" w:type="dxa"/>
            <w:tcBorders>
              <w:top w:val="thinThickSmallGap" w:sz="24" w:space="0" w:color="auto"/>
              <w:left w:val="nil"/>
              <w:right w:val="nil"/>
            </w:tcBorders>
            <w:vAlign w:val="center"/>
          </w:tcPr>
          <w:p w14:paraId="08446A3A" w14:textId="77777777" w:rsidR="001B392A" w:rsidRPr="005A68E6" w:rsidRDefault="001B392A" w:rsidP="002264FD">
            <w:pPr>
              <w:spacing w:line="240" w:lineRule="auto"/>
              <w:ind w:firstLine="0"/>
              <w:jc w:val="center"/>
            </w:pPr>
            <w:r w:rsidRPr="005A68E6">
              <w:rPr>
                <w:lang w:val="en-US"/>
              </w:rPr>
              <w:t>6.</w:t>
            </w:r>
            <w:r w:rsidRPr="005A68E6">
              <w:t>0</w:t>
            </w:r>
          </w:p>
        </w:tc>
        <w:tc>
          <w:tcPr>
            <w:tcW w:w="990" w:type="dxa"/>
            <w:tcBorders>
              <w:top w:val="thinThickSmallGap" w:sz="24" w:space="0" w:color="auto"/>
              <w:left w:val="nil"/>
              <w:right w:val="nil"/>
            </w:tcBorders>
            <w:vAlign w:val="center"/>
          </w:tcPr>
          <w:p w14:paraId="43ABD9BC" w14:textId="77777777" w:rsidR="001B392A" w:rsidRPr="005A68E6" w:rsidRDefault="001B392A" w:rsidP="002264FD">
            <w:pPr>
              <w:spacing w:line="240" w:lineRule="auto"/>
              <w:ind w:firstLine="0"/>
              <w:jc w:val="center"/>
            </w:pPr>
            <w:r w:rsidRPr="005A68E6">
              <w:t>5.5</w:t>
            </w:r>
          </w:p>
        </w:tc>
        <w:tc>
          <w:tcPr>
            <w:tcW w:w="1095" w:type="dxa"/>
            <w:gridSpan w:val="2"/>
            <w:tcBorders>
              <w:top w:val="thinThickSmallGap" w:sz="24" w:space="0" w:color="auto"/>
              <w:left w:val="nil"/>
              <w:right w:val="nil"/>
            </w:tcBorders>
            <w:vAlign w:val="center"/>
          </w:tcPr>
          <w:p w14:paraId="32CCD0A6" w14:textId="77777777" w:rsidR="001B392A" w:rsidRPr="005A68E6" w:rsidRDefault="001B392A" w:rsidP="002264FD">
            <w:pPr>
              <w:spacing w:line="240" w:lineRule="auto"/>
              <w:ind w:firstLine="0"/>
              <w:jc w:val="center"/>
            </w:pPr>
            <w:r w:rsidRPr="005A68E6">
              <w:t>5.8</w:t>
            </w:r>
          </w:p>
        </w:tc>
        <w:tc>
          <w:tcPr>
            <w:tcW w:w="923" w:type="dxa"/>
            <w:tcBorders>
              <w:top w:val="thinThickSmallGap" w:sz="24" w:space="0" w:color="auto"/>
              <w:left w:val="nil"/>
              <w:right w:val="nil"/>
            </w:tcBorders>
            <w:vAlign w:val="center"/>
          </w:tcPr>
          <w:p w14:paraId="766D317D" w14:textId="77777777" w:rsidR="001B392A" w:rsidRPr="005A68E6" w:rsidRDefault="001B392A" w:rsidP="002264FD">
            <w:pPr>
              <w:spacing w:line="240" w:lineRule="auto"/>
              <w:ind w:firstLine="0"/>
              <w:jc w:val="center"/>
            </w:pPr>
            <w:r w:rsidRPr="005A68E6">
              <w:rPr>
                <w:lang w:val="en-US"/>
              </w:rPr>
              <w:t>5.</w:t>
            </w:r>
            <w:r w:rsidRPr="005A68E6">
              <w:t>7</w:t>
            </w:r>
          </w:p>
        </w:tc>
      </w:tr>
      <w:tr w:rsidR="007C7ABA" w:rsidRPr="005A68E6" w14:paraId="0E9D188C" w14:textId="77777777" w:rsidTr="004D7FC8">
        <w:trPr>
          <w:trHeight w:val="651"/>
        </w:trPr>
        <w:tc>
          <w:tcPr>
            <w:tcW w:w="4950" w:type="dxa"/>
            <w:tcBorders>
              <w:left w:val="nil"/>
              <w:bottom w:val="single" w:sz="4" w:space="0" w:color="auto"/>
              <w:right w:val="nil"/>
            </w:tcBorders>
            <w:vAlign w:val="center"/>
          </w:tcPr>
          <w:p w14:paraId="537DFEF8" w14:textId="40125F7C" w:rsidR="007C7ABA" w:rsidRPr="005A68E6" w:rsidRDefault="007C7ABA" w:rsidP="004259C3">
            <w:pPr>
              <w:spacing w:line="240" w:lineRule="auto"/>
              <w:ind w:left="519" w:firstLine="0"/>
              <w:jc w:val="left"/>
            </w:pPr>
            <w:r w:rsidRPr="005A68E6">
              <w:t xml:space="preserve">Average Time to Refixing for RA Government </w:t>
            </w:r>
            <w:r w:rsidRPr="005A68E6">
              <w:rPr>
                <w:color w:val="000000"/>
              </w:rPr>
              <w:t xml:space="preserve"> </w:t>
            </w:r>
            <w:r w:rsidR="004259C3" w:rsidRPr="005A68E6">
              <w:rPr>
                <w:color w:val="000000"/>
                <w:lang w:val="en-US"/>
              </w:rPr>
              <w:t>F</w:t>
            </w:r>
            <w:r w:rsidRPr="005A68E6">
              <w:rPr>
                <w:color w:val="000000"/>
              </w:rPr>
              <w:t xml:space="preserve">oreign </w:t>
            </w:r>
            <w:r w:rsidR="004259C3" w:rsidRPr="005A68E6">
              <w:rPr>
                <w:color w:val="000000"/>
                <w:lang w:val="en-US"/>
              </w:rPr>
              <w:t>C</w:t>
            </w:r>
            <w:r w:rsidRPr="005A68E6">
              <w:rPr>
                <w:color w:val="000000"/>
              </w:rPr>
              <w:t>urrency</w:t>
            </w:r>
            <w:r w:rsidRPr="005A68E6">
              <w:rPr>
                <w:color w:val="000000"/>
                <w:lang w:val="en-US"/>
              </w:rPr>
              <w:t xml:space="preserve"> </w:t>
            </w:r>
            <w:r w:rsidRPr="005A68E6">
              <w:t xml:space="preserve"> Debt, (years)</w:t>
            </w:r>
          </w:p>
        </w:tc>
        <w:tc>
          <w:tcPr>
            <w:tcW w:w="1080" w:type="dxa"/>
            <w:tcBorders>
              <w:left w:val="nil"/>
              <w:bottom w:val="single" w:sz="4" w:space="0" w:color="auto"/>
              <w:right w:val="nil"/>
            </w:tcBorders>
            <w:vAlign w:val="center"/>
          </w:tcPr>
          <w:p w14:paraId="23AB637C" w14:textId="77777777" w:rsidR="007C7ABA" w:rsidRPr="005A68E6" w:rsidRDefault="007C7ABA" w:rsidP="007C7ABA">
            <w:pPr>
              <w:spacing w:line="240" w:lineRule="auto"/>
              <w:ind w:firstLine="0"/>
              <w:jc w:val="center"/>
              <w:rPr>
                <w:lang w:val="en-US"/>
              </w:rPr>
            </w:pPr>
            <w:r w:rsidRPr="005A68E6">
              <w:rPr>
                <w:lang w:val="en-US"/>
              </w:rPr>
              <w:t>5.4</w:t>
            </w:r>
          </w:p>
        </w:tc>
        <w:tc>
          <w:tcPr>
            <w:tcW w:w="990" w:type="dxa"/>
            <w:tcBorders>
              <w:left w:val="nil"/>
              <w:bottom w:val="single" w:sz="4" w:space="0" w:color="auto"/>
              <w:right w:val="nil"/>
            </w:tcBorders>
            <w:vAlign w:val="center"/>
          </w:tcPr>
          <w:p w14:paraId="01145B66" w14:textId="77777777" w:rsidR="007C7ABA" w:rsidRPr="005A68E6" w:rsidRDefault="007C7ABA" w:rsidP="007C7ABA">
            <w:pPr>
              <w:spacing w:line="240" w:lineRule="auto"/>
              <w:ind w:firstLine="0"/>
              <w:jc w:val="center"/>
            </w:pPr>
            <w:r w:rsidRPr="005A68E6">
              <w:t>4.7</w:t>
            </w:r>
          </w:p>
        </w:tc>
        <w:tc>
          <w:tcPr>
            <w:tcW w:w="990" w:type="dxa"/>
            <w:tcBorders>
              <w:left w:val="nil"/>
              <w:bottom w:val="single" w:sz="4" w:space="0" w:color="auto"/>
              <w:right w:val="nil"/>
            </w:tcBorders>
            <w:vAlign w:val="center"/>
          </w:tcPr>
          <w:p w14:paraId="0503193F" w14:textId="77777777" w:rsidR="007C7ABA" w:rsidRPr="005A68E6" w:rsidRDefault="007C7ABA" w:rsidP="007C7ABA">
            <w:pPr>
              <w:spacing w:line="240" w:lineRule="auto"/>
              <w:ind w:firstLine="0"/>
              <w:jc w:val="center"/>
            </w:pPr>
            <w:r w:rsidRPr="005A68E6">
              <w:rPr>
                <w:lang w:val="en-US"/>
              </w:rPr>
              <w:t>4.</w:t>
            </w:r>
            <w:r w:rsidRPr="005A68E6">
              <w:t>0</w:t>
            </w:r>
          </w:p>
        </w:tc>
        <w:tc>
          <w:tcPr>
            <w:tcW w:w="1095" w:type="dxa"/>
            <w:gridSpan w:val="2"/>
            <w:tcBorders>
              <w:left w:val="nil"/>
              <w:bottom w:val="single" w:sz="4" w:space="0" w:color="auto"/>
              <w:right w:val="nil"/>
            </w:tcBorders>
            <w:vAlign w:val="center"/>
          </w:tcPr>
          <w:p w14:paraId="62EC3A69" w14:textId="77777777" w:rsidR="007C7ABA" w:rsidRPr="005A68E6" w:rsidRDefault="007C7ABA" w:rsidP="007C7ABA">
            <w:pPr>
              <w:spacing w:line="240" w:lineRule="auto"/>
              <w:ind w:firstLine="0"/>
              <w:jc w:val="center"/>
            </w:pPr>
            <w:r w:rsidRPr="005A68E6">
              <w:t>4</w:t>
            </w:r>
            <w:r w:rsidRPr="005A68E6">
              <w:rPr>
                <w:lang w:val="en-US"/>
              </w:rPr>
              <w:t>.</w:t>
            </w:r>
            <w:r w:rsidRPr="005A68E6">
              <w:t>3</w:t>
            </w:r>
          </w:p>
        </w:tc>
        <w:tc>
          <w:tcPr>
            <w:tcW w:w="923" w:type="dxa"/>
            <w:tcBorders>
              <w:left w:val="nil"/>
              <w:bottom w:val="single" w:sz="4" w:space="0" w:color="auto"/>
              <w:right w:val="nil"/>
            </w:tcBorders>
            <w:vAlign w:val="center"/>
          </w:tcPr>
          <w:p w14:paraId="1B89C025" w14:textId="77777777" w:rsidR="007C7ABA" w:rsidRPr="005A68E6" w:rsidRDefault="007C7ABA" w:rsidP="007C7ABA">
            <w:pPr>
              <w:spacing w:line="240" w:lineRule="auto"/>
              <w:ind w:firstLine="0"/>
              <w:jc w:val="center"/>
            </w:pPr>
            <w:r w:rsidRPr="005A68E6">
              <w:rPr>
                <w:lang w:val="en-US"/>
              </w:rPr>
              <w:t>4.</w:t>
            </w:r>
            <w:r w:rsidRPr="005A68E6">
              <w:t>1</w:t>
            </w:r>
          </w:p>
        </w:tc>
      </w:tr>
      <w:tr w:rsidR="007C7ABA" w:rsidRPr="005A68E6" w14:paraId="5EEC9F62" w14:textId="77777777" w:rsidTr="004D7FC8">
        <w:trPr>
          <w:trHeight w:val="718"/>
        </w:trPr>
        <w:tc>
          <w:tcPr>
            <w:tcW w:w="4950" w:type="dxa"/>
            <w:tcBorders>
              <w:left w:val="nil"/>
              <w:bottom w:val="single" w:sz="12" w:space="0" w:color="auto"/>
              <w:right w:val="nil"/>
            </w:tcBorders>
            <w:vAlign w:val="center"/>
          </w:tcPr>
          <w:p w14:paraId="3BC362D0" w14:textId="3FF26AB4" w:rsidR="007C7ABA" w:rsidRPr="005A68E6" w:rsidRDefault="007C7ABA" w:rsidP="004259C3">
            <w:pPr>
              <w:spacing w:line="240" w:lineRule="auto"/>
              <w:ind w:left="519" w:firstLine="0"/>
              <w:jc w:val="left"/>
              <w:rPr>
                <w:lang w:val="en-US"/>
              </w:rPr>
            </w:pPr>
            <w:r w:rsidRPr="005A68E6">
              <w:t xml:space="preserve">Average Time to Refixing for RA Government </w:t>
            </w:r>
            <w:r w:rsidR="004259C3" w:rsidRPr="005A68E6">
              <w:rPr>
                <w:lang w:val="en-US"/>
              </w:rPr>
              <w:t>L</w:t>
            </w:r>
            <w:r w:rsidRPr="005A68E6">
              <w:rPr>
                <w:lang w:val="en-US"/>
              </w:rPr>
              <w:t>ocal</w:t>
            </w:r>
            <w:r w:rsidR="004259C3" w:rsidRPr="005A68E6">
              <w:rPr>
                <w:color w:val="000000"/>
              </w:rPr>
              <w:t xml:space="preserve"> C</w:t>
            </w:r>
            <w:r w:rsidRPr="005A68E6">
              <w:rPr>
                <w:color w:val="000000"/>
              </w:rPr>
              <w:t>urrency</w:t>
            </w:r>
            <w:r w:rsidRPr="005A68E6">
              <w:t xml:space="preserve">  Debt, (years</w:t>
            </w:r>
            <w:r w:rsidR="009C099C" w:rsidRPr="005A68E6">
              <w:rPr>
                <w:lang w:val="en-US"/>
              </w:rPr>
              <w:t>)</w:t>
            </w:r>
          </w:p>
        </w:tc>
        <w:tc>
          <w:tcPr>
            <w:tcW w:w="1080" w:type="dxa"/>
            <w:tcBorders>
              <w:left w:val="nil"/>
              <w:bottom w:val="single" w:sz="12" w:space="0" w:color="auto"/>
              <w:right w:val="nil"/>
            </w:tcBorders>
            <w:vAlign w:val="center"/>
          </w:tcPr>
          <w:p w14:paraId="51B2A8FE" w14:textId="77777777" w:rsidR="007C7ABA" w:rsidRPr="005A68E6" w:rsidRDefault="007C7ABA" w:rsidP="007C7ABA">
            <w:pPr>
              <w:spacing w:line="240" w:lineRule="auto"/>
              <w:ind w:firstLine="0"/>
              <w:jc w:val="center"/>
              <w:rPr>
                <w:lang w:val="en-US"/>
              </w:rPr>
            </w:pPr>
            <w:r w:rsidRPr="005A68E6">
              <w:rPr>
                <w:lang w:val="en-US"/>
              </w:rPr>
              <w:t>8.7</w:t>
            </w:r>
          </w:p>
        </w:tc>
        <w:tc>
          <w:tcPr>
            <w:tcW w:w="990" w:type="dxa"/>
            <w:tcBorders>
              <w:left w:val="nil"/>
              <w:bottom w:val="single" w:sz="12" w:space="0" w:color="auto"/>
              <w:right w:val="nil"/>
            </w:tcBorders>
            <w:vAlign w:val="center"/>
          </w:tcPr>
          <w:p w14:paraId="4E09F389" w14:textId="77777777" w:rsidR="007C7ABA" w:rsidRPr="005A68E6" w:rsidRDefault="007C7ABA" w:rsidP="007C7ABA">
            <w:pPr>
              <w:spacing w:line="240" w:lineRule="auto"/>
              <w:ind w:firstLine="0"/>
              <w:jc w:val="center"/>
            </w:pPr>
            <w:r w:rsidRPr="005A68E6">
              <w:t>7</w:t>
            </w:r>
            <w:r w:rsidRPr="005A68E6">
              <w:rPr>
                <w:lang w:val="en-US"/>
              </w:rPr>
              <w:t>.</w:t>
            </w:r>
            <w:r w:rsidRPr="005A68E6">
              <w:t>9</w:t>
            </w:r>
          </w:p>
        </w:tc>
        <w:tc>
          <w:tcPr>
            <w:tcW w:w="990" w:type="dxa"/>
            <w:tcBorders>
              <w:left w:val="nil"/>
              <w:bottom w:val="single" w:sz="12" w:space="0" w:color="auto"/>
              <w:right w:val="nil"/>
            </w:tcBorders>
            <w:vAlign w:val="center"/>
          </w:tcPr>
          <w:p w14:paraId="6ED0B1BF" w14:textId="77777777" w:rsidR="007C7ABA" w:rsidRPr="005A68E6" w:rsidRDefault="007C7ABA" w:rsidP="007C7ABA">
            <w:pPr>
              <w:spacing w:line="240" w:lineRule="auto"/>
              <w:ind w:firstLine="0"/>
              <w:jc w:val="center"/>
              <w:rPr>
                <w:lang w:val="en-US"/>
              </w:rPr>
            </w:pPr>
            <w:r w:rsidRPr="005A68E6">
              <w:t>7</w:t>
            </w:r>
            <w:r w:rsidRPr="005A68E6">
              <w:rPr>
                <w:lang w:val="en-US"/>
              </w:rPr>
              <w:t>.6</w:t>
            </w:r>
          </w:p>
        </w:tc>
        <w:tc>
          <w:tcPr>
            <w:tcW w:w="1095" w:type="dxa"/>
            <w:gridSpan w:val="2"/>
            <w:tcBorders>
              <w:left w:val="nil"/>
              <w:bottom w:val="single" w:sz="12" w:space="0" w:color="auto"/>
              <w:right w:val="nil"/>
            </w:tcBorders>
            <w:vAlign w:val="center"/>
          </w:tcPr>
          <w:p w14:paraId="573FEA91" w14:textId="77777777" w:rsidR="007C7ABA" w:rsidRPr="005A68E6" w:rsidRDefault="007C7ABA" w:rsidP="007C7ABA">
            <w:pPr>
              <w:spacing w:line="240" w:lineRule="auto"/>
              <w:ind w:firstLine="0"/>
              <w:jc w:val="center"/>
            </w:pPr>
            <w:r w:rsidRPr="005A68E6">
              <w:t>7</w:t>
            </w:r>
            <w:r w:rsidRPr="005A68E6">
              <w:rPr>
                <w:lang w:val="en-US"/>
              </w:rPr>
              <w:t>.</w:t>
            </w:r>
            <w:r w:rsidRPr="005A68E6">
              <w:t>7</w:t>
            </w:r>
          </w:p>
        </w:tc>
        <w:tc>
          <w:tcPr>
            <w:tcW w:w="923" w:type="dxa"/>
            <w:tcBorders>
              <w:left w:val="nil"/>
              <w:bottom w:val="single" w:sz="12" w:space="0" w:color="auto"/>
              <w:right w:val="nil"/>
            </w:tcBorders>
            <w:vAlign w:val="center"/>
          </w:tcPr>
          <w:p w14:paraId="4A169205" w14:textId="77777777" w:rsidR="007C7ABA" w:rsidRPr="005A68E6" w:rsidRDefault="007C7ABA" w:rsidP="007C7ABA">
            <w:pPr>
              <w:spacing w:line="240" w:lineRule="auto"/>
              <w:ind w:firstLine="0"/>
              <w:jc w:val="center"/>
            </w:pPr>
            <w:r w:rsidRPr="005A68E6">
              <w:rPr>
                <w:lang w:val="en-US"/>
              </w:rPr>
              <w:t>7.</w:t>
            </w:r>
            <w:r w:rsidRPr="005A68E6">
              <w:t>6</w:t>
            </w:r>
          </w:p>
        </w:tc>
      </w:tr>
      <w:tr w:rsidR="007C7ABA" w:rsidRPr="005A68E6" w14:paraId="2F5CF192" w14:textId="77777777" w:rsidTr="004D7FC8">
        <w:trPr>
          <w:trHeight w:val="565"/>
        </w:trPr>
        <w:tc>
          <w:tcPr>
            <w:tcW w:w="4950" w:type="dxa"/>
            <w:tcBorders>
              <w:top w:val="single" w:sz="12" w:space="0" w:color="auto"/>
              <w:left w:val="nil"/>
              <w:right w:val="nil"/>
            </w:tcBorders>
            <w:vAlign w:val="center"/>
          </w:tcPr>
          <w:p w14:paraId="36AB5D13" w14:textId="38FEEDF0" w:rsidR="007C7ABA" w:rsidRPr="005A68E6" w:rsidRDefault="007C7ABA" w:rsidP="007C7ABA">
            <w:pPr>
              <w:spacing w:line="240" w:lineRule="auto"/>
              <w:ind w:firstLine="0"/>
              <w:jc w:val="left"/>
            </w:pPr>
            <w:r w:rsidRPr="005A68E6">
              <w:rPr>
                <w:b/>
              </w:rPr>
              <w:t>Share of RA Government Debt Refixing in One Year (%)</w:t>
            </w:r>
          </w:p>
        </w:tc>
        <w:tc>
          <w:tcPr>
            <w:tcW w:w="1080" w:type="dxa"/>
            <w:tcBorders>
              <w:top w:val="single" w:sz="12" w:space="0" w:color="auto"/>
              <w:left w:val="nil"/>
              <w:right w:val="nil"/>
            </w:tcBorders>
            <w:vAlign w:val="center"/>
          </w:tcPr>
          <w:p w14:paraId="671E8003" w14:textId="77777777" w:rsidR="007C7ABA" w:rsidRPr="005A68E6" w:rsidRDefault="007C7ABA" w:rsidP="007C7ABA">
            <w:pPr>
              <w:spacing w:line="240" w:lineRule="auto"/>
              <w:ind w:firstLine="0"/>
              <w:jc w:val="center"/>
              <w:rPr>
                <w:lang w:val="en-US"/>
              </w:rPr>
            </w:pPr>
            <w:r w:rsidRPr="005A68E6">
              <w:rPr>
                <w:lang w:val="en-US"/>
              </w:rPr>
              <w:t>23.3</w:t>
            </w:r>
          </w:p>
        </w:tc>
        <w:tc>
          <w:tcPr>
            <w:tcW w:w="990" w:type="dxa"/>
            <w:tcBorders>
              <w:top w:val="single" w:sz="12" w:space="0" w:color="auto"/>
              <w:left w:val="nil"/>
              <w:right w:val="nil"/>
            </w:tcBorders>
            <w:vAlign w:val="center"/>
          </w:tcPr>
          <w:p w14:paraId="1821D254" w14:textId="77777777" w:rsidR="007C7ABA" w:rsidRPr="005A68E6" w:rsidRDefault="007C7ABA" w:rsidP="007C7ABA">
            <w:pPr>
              <w:spacing w:line="240" w:lineRule="auto"/>
              <w:ind w:firstLine="0"/>
              <w:jc w:val="center"/>
            </w:pPr>
            <w:r w:rsidRPr="005A68E6">
              <w:rPr>
                <w:lang w:val="en-US"/>
              </w:rPr>
              <w:t>24.</w:t>
            </w:r>
            <w:r w:rsidRPr="005A68E6">
              <w:t>9</w:t>
            </w:r>
          </w:p>
        </w:tc>
        <w:tc>
          <w:tcPr>
            <w:tcW w:w="990" w:type="dxa"/>
            <w:tcBorders>
              <w:top w:val="single" w:sz="12" w:space="0" w:color="auto"/>
              <w:left w:val="nil"/>
              <w:right w:val="nil"/>
            </w:tcBorders>
            <w:vAlign w:val="center"/>
          </w:tcPr>
          <w:p w14:paraId="648E8ED2" w14:textId="77777777" w:rsidR="007C7ABA" w:rsidRPr="005A68E6" w:rsidRDefault="007C7ABA" w:rsidP="007C7ABA">
            <w:pPr>
              <w:spacing w:line="240" w:lineRule="auto"/>
              <w:ind w:firstLine="0"/>
              <w:jc w:val="center"/>
            </w:pPr>
            <w:r w:rsidRPr="005A68E6">
              <w:t>31</w:t>
            </w:r>
            <w:r w:rsidRPr="005A68E6">
              <w:rPr>
                <w:lang w:val="en-US"/>
              </w:rPr>
              <w:t>.</w:t>
            </w:r>
            <w:r w:rsidRPr="005A68E6">
              <w:t>4</w:t>
            </w:r>
          </w:p>
        </w:tc>
        <w:tc>
          <w:tcPr>
            <w:tcW w:w="1095" w:type="dxa"/>
            <w:gridSpan w:val="2"/>
            <w:tcBorders>
              <w:top w:val="single" w:sz="12" w:space="0" w:color="auto"/>
              <w:left w:val="nil"/>
              <w:right w:val="nil"/>
            </w:tcBorders>
            <w:vAlign w:val="center"/>
          </w:tcPr>
          <w:p w14:paraId="4C09F1DE" w14:textId="77777777" w:rsidR="007C7ABA" w:rsidRPr="005A68E6" w:rsidRDefault="007C7ABA" w:rsidP="007C7ABA">
            <w:pPr>
              <w:spacing w:line="240" w:lineRule="auto"/>
              <w:ind w:firstLine="0"/>
              <w:jc w:val="center"/>
            </w:pPr>
            <w:r w:rsidRPr="005A68E6">
              <w:t>28.4</w:t>
            </w:r>
          </w:p>
        </w:tc>
        <w:tc>
          <w:tcPr>
            <w:tcW w:w="923" w:type="dxa"/>
            <w:tcBorders>
              <w:top w:val="single" w:sz="12" w:space="0" w:color="auto"/>
              <w:left w:val="nil"/>
              <w:right w:val="nil"/>
            </w:tcBorders>
            <w:vAlign w:val="center"/>
          </w:tcPr>
          <w:p w14:paraId="3490BAD9" w14:textId="77777777" w:rsidR="007C7ABA" w:rsidRPr="005A68E6" w:rsidRDefault="007C7ABA" w:rsidP="007C7ABA">
            <w:pPr>
              <w:spacing w:line="240" w:lineRule="auto"/>
              <w:ind w:firstLine="0"/>
              <w:jc w:val="center"/>
            </w:pPr>
            <w:r w:rsidRPr="005A68E6">
              <w:t>28</w:t>
            </w:r>
            <w:r w:rsidRPr="005A68E6">
              <w:rPr>
                <w:lang w:val="en-US"/>
              </w:rPr>
              <w:t>.</w:t>
            </w:r>
            <w:r w:rsidRPr="005A68E6">
              <w:t>1</w:t>
            </w:r>
          </w:p>
        </w:tc>
      </w:tr>
      <w:tr w:rsidR="007C7ABA" w:rsidRPr="005A68E6" w14:paraId="3FD7847C" w14:textId="77777777" w:rsidTr="004D7FC8">
        <w:trPr>
          <w:trHeight w:val="636"/>
        </w:trPr>
        <w:tc>
          <w:tcPr>
            <w:tcW w:w="4950" w:type="dxa"/>
            <w:tcBorders>
              <w:left w:val="nil"/>
              <w:right w:val="nil"/>
            </w:tcBorders>
            <w:vAlign w:val="center"/>
          </w:tcPr>
          <w:p w14:paraId="1BAC469B" w14:textId="6400D384" w:rsidR="007C7ABA" w:rsidRPr="005A68E6" w:rsidRDefault="007C7ABA" w:rsidP="004259C3">
            <w:pPr>
              <w:spacing w:line="240" w:lineRule="auto"/>
              <w:ind w:left="519" w:firstLine="0"/>
              <w:jc w:val="left"/>
            </w:pPr>
            <w:r w:rsidRPr="005A68E6">
              <w:t xml:space="preserve">Share of RA Government </w:t>
            </w:r>
            <w:r w:rsidRPr="005A68E6">
              <w:rPr>
                <w:color w:val="000000"/>
              </w:rPr>
              <w:t>foreign currency</w:t>
            </w:r>
            <w:r w:rsidRPr="005A68E6">
              <w:rPr>
                <w:color w:val="000000"/>
                <w:lang w:val="en-US"/>
              </w:rPr>
              <w:t xml:space="preserve"> </w:t>
            </w:r>
            <w:r w:rsidRPr="005A68E6">
              <w:t xml:space="preserve"> Debt Refixing in One Year</w:t>
            </w:r>
            <w:r w:rsidR="004259C3" w:rsidRPr="005A68E6">
              <w:rPr>
                <w:lang w:val="en-US"/>
              </w:rPr>
              <w:t xml:space="preserve"> in </w:t>
            </w:r>
            <w:r w:rsidR="004259C3" w:rsidRPr="005A68E6">
              <w:rPr>
                <w:color w:val="000000"/>
              </w:rPr>
              <w:t xml:space="preserve"> </w:t>
            </w:r>
            <w:r w:rsidR="004259C3" w:rsidRPr="005A68E6">
              <w:rPr>
                <w:color w:val="000000"/>
                <w:lang w:val="en-US"/>
              </w:rPr>
              <w:t>F</w:t>
            </w:r>
            <w:r w:rsidR="004259C3" w:rsidRPr="005A68E6">
              <w:rPr>
                <w:color w:val="000000"/>
              </w:rPr>
              <w:t xml:space="preserve">oreign </w:t>
            </w:r>
            <w:r w:rsidR="004259C3" w:rsidRPr="005A68E6">
              <w:rPr>
                <w:color w:val="000000"/>
                <w:lang w:val="en-US"/>
              </w:rPr>
              <w:t>C</w:t>
            </w:r>
            <w:r w:rsidR="004259C3" w:rsidRPr="005A68E6">
              <w:rPr>
                <w:color w:val="000000"/>
              </w:rPr>
              <w:t>urrency</w:t>
            </w:r>
            <w:r w:rsidR="004259C3" w:rsidRPr="005A68E6">
              <w:rPr>
                <w:color w:val="000000"/>
                <w:lang w:val="en-US"/>
              </w:rPr>
              <w:t xml:space="preserve"> </w:t>
            </w:r>
            <w:r w:rsidR="004259C3" w:rsidRPr="005A68E6">
              <w:t xml:space="preserve">Debt </w:t>
            </w:r>
            <w:r w:rsidRPr="005A68E6">
              <w:t xml:space="preserve"> (%)</w:t>
            </w:r>
          </w:p>
        </w:tc>
        <w:tc>
          <w:tcPr>
            <w:tcW w:w="1080" w:type="dxa"/>
            <w:tcBorders>
              <w:left w:val="nil"/>
              <w:right w:val="nil"/>
            </w:tcBorders>
            <w:vAlign w:val="center"/>
          </w:tcPr>
          <w:p w14:paraId="3B1D769C" w14:textId="77777777" w:rsidR="007C7ABA" w:rsidRPr="005A68E6" w:rsidRDefault="007C7ABA" w:rsidP="007C7ABA">
            <w:pPr>
              <w:spacing w:line="240" w:lineRule="auto"/>
              <w:ind w:firstLine="0"/>
              <w:jc w:val="center"/>
              <w:rPr>
                <w:lang w:val="en-US"/>
              </w:rPr>
            </w:pPr>
            <w:r w:rsidRPr="005A68E6">
              <w:rPr>
                <w:lang w:val="en-US"/>
              </w:rPr>
              <w:t>29.5</w:t>
            </w:r>
          </w:p>
        </w:tc>
        <w:tc>
          <w:tcPr>
            <w:tcW w:w="990" w:type="dxa"/>
            <w:tcBorders>
              <w:left w:val="nil"/>
              <w:right w:val="nil"/>
            </w:tcBorders>
            <w:vAlign w:val="center"/>
          </w:tcPr>
          <w:p w14:paraId="745C1164" w14:textId="77777777" w:rsidR="007C7ABA" w:rsidRPr="005A68E6" w:rsidRDefault="007C7ABA" w:rsidP="007C7ABA">
            <w:pPr>
              <w:spacing w:line="240" w:lineRule="auto"/>
              <w:ind w:firstLine="0"/>
              <w:jc w:val="center"/>
            </w:pPr>
            <w:r w:rsidRPr="005A68E6">
              <w:rPr>
                <w:lang w:val="en-US"/>
              </w:rPr>
              <w:t>3</w:t>
            </w:r>
            <w:r w:rsidRPr="005A68E6">
              <w:t>2</w:t>
            </w:r>
            <w:r w:rsidRPr="005A68E6">
              <w:rPr>
                <w:lang w:val="en-US"/>
              </w:rPr>
              <w:t>.</w:t>
            </w:r>
            <w:r w:rsidRPr="005A68E6">
              <w:t>4</w:t>
            </w:r>
          </w:p>
        </w:tc>
        <w:tc>
          <w:tcPr>
            <w:tcW w:w="990" w:type="dxa"/>
            <w:tcBorders>
              <w:left w:val="nil"/>
              <w:right w:val="nil"/>
            </w:tcBorders>
            <w:vAlign w:val="center"/>
          </w:tcPr>
          <w:p w14:paraId="0B14178D" w14:textId="77777777" w:rsidR="007C7ABA" w:rsidRPr="005A68E6" w:rsidRDefault="007C7ABA" w:rsidP="007C7ABA">
            <w:pPr>
              <w:spacing w:line="240" w:lineRule="auto"/>
              <w:ind w:firstLine="0"/>
              <w:jc w:val="center"/>
            </w:pPr>
            <w:r w:rsidRPr="005A68E6">
              <w:t>43</w:t>
            </w:r>
            <w:r w:rsidRPr="005A68E6">
              <w:rPr>
                <w:lang w:val="en-US"/>
              </w:rPr>
              <w:t>.</w:t>
            </w:r>
            <w:r w:rsidRPr="005A68E6">
              <w:t>1</w:t>
            </w:r>
          </w:p>
        </w:tc>
        <w:tc>
          <w:tcPr>
            <w:tcW w:w="1095" w:type="dxa"/>
            <w:gridSpan w:val="2"/>
            <w:tcBorders>
              <w:left w:val="nil"/>
              <w:right w:val="nil"/>
            </w:tcBorders>
            <w:vAlign w:val="center"/>
          </w:tcPr>
          <w:p w14:paraId="1CD83732" w14:textId="77777777" w:rsidR="007C7ABA" w:rsidRPr="005A68E6" w:rsidRDefault="007C7ABA" w:rsidP="007C7ABA">
            <w:pPr>
              <w:spacing w:line="240" w:lineRule="auto"/>
              <w:ind w:firstLine="0"/>
              <w:jc w:val="center"/>
              <w:rPr>
                <w:lang w:val="en-US"/>
              </w:rPr>
            </w:pPr>
            <w:r w:rsidRPr="005A68E6">
              <w:rPr>
                <w:lang w:val="en-US"/>
              </w:rPr>
              <w:t>3</w:t>
            </w:r>
            <w:r w:rsidRPr="005A68E6">
              <w:t>9</w:t>
            </w:r>
            <w:r w:rsidRPr="005A68E6">
              <w:rPr>
                <w:lang w:val="en-US"/>
              </w:rPr>
              <w:t>.3</w:t>
            </w:r>
          </w:p>
        </w:tc>
        <w:tc>
          <w:tcPr>
            <w:tcW w:w="923" w:type="dxa"/>
            <w:tcBorders>
              <w:left w:val="nil"/>
              <w:right w:val="nil"/>
            </w:tcBorders>
            <w:vAlign w:val="center"/>
          </w:tcPr>
          <w:p w14:paraId="2DCA2AC5" w14:textId="77777777" w:rsidR="007C7ABA" w:rsidRPr="005A68E6" w:rsidRDefault="007C7ABA" w:rsidP="007C7ABA">
            <w:pPr>
              <w:spacing w:line="240" w:lineRule="auto"/>
              <w:ind w:firstLine="0"/>
              <w:jc w:val="center"/>
            </w:pPr>
            <w:r w:rsidRPr="005A68E6">
              <w:rPr>
                <w:lang w:val="en-US"/>
              </w:rPr>
              <w:t>3</w:t>
            </w:r>
            <w:r w:rsidRPr="005A68E6">
              <w:t>8</w:t>
            </w:r>
            <w:r w:rsidRPr="005A68E6">
              <w:rPr>
                <w:lang w:val="en-US"/>
              </w:rPr>
              <w:t>.</w:t>
            </w:r>
            <w:r w:rsidRPr="005A68E6">
              <w:t>8</w:t>
            </w:r>
          </w:p>
        </w:tc>
      </w:tr>
      <w:tr w:rsidR="007C7ABA" w:rsidRPr="005A68E6" w14:paraId="3E133083" w14:textId="77777777" w:rsidTr="004D7FC8">
        <w:trPr>
          <w:trHeight w:val="687"/>
        </w:trPr>
        <w:tc>
          <w:tcPr>
            <w:tcW w:w="4950" w:type="dxa"/>
            <w:tcBorders>
              <w:left w:val="nil"/>
              <w:bottom w:val="thickThinSmallGap" w:sz="24" w:space="0" w:color="auto"/>
              <w:right w:val="nil"/>
            </w:tcBorders>
            <w:vAlign w:val="center"/>
          </w:tcPr>
          <w:p w14:paraId="4A02565F" w14:textId="7816E07A" w:rsidR="007C7ABA" w:rsidRPr="005A68E6" w:rsidRDefault="007C7ABA" w:rsidP="004259C3">
            <w:pPr>
              <w:spacing w:line="240" w:lineRule="auto"/>
              <w:ind w:left="519" w:firstLine="0"/>
              <w:jc w:val="left"/>
            </w:pPr>
            <w:r w:rsidRPr="005A68E6">
              <w:t xml:space="preserve">Share of RA Government </w:t>
            </w:r>
            <w:r w:rsidR="004259C3" w:rsidRPr="005A68E6">
              <w:rPr>
                <w:lang w:val="en-US"/>
              </w:rPr>
              <w:t>L</w:t>
            </w:r>
            <w:r w:rsidRPr="005A68E6">
              <w:rPr>
                <w:lang w:val="en-US"/>
              </w:rPr>
              <w:t>ocal</w:t>
            </w:r>
            <w:r w:rsidR="004259C3" w:rsidRPr="005A68E6">
              <w:rPr>
                <w:color w:val="000000"/>
              </w:rPr>
              <w:t xml:space="preserve"> C</w:t>
            </w:r>
            <w:r w:rsidRPr="005A68E6">
              <w:rPr>
                <w:color w:val="000000"/>
              </w:rPr>
              <w:t>urrency</w:t>
            </w:r>
            <w:r w:rsidR="004259C3" w:rsidRPr="005A68E6">
              <w:t xml:space="preserve"> </w:t>
            </w:r>
            <w:r w:rsidRPr="005A68E6">
              <w:t xml:space="preserve">Debt Refixing in One Year </w:t>
            </w:r>
            <w:r w:rsidR="004259C3" w:rsidRPr="005A68E6">
              <w:rPr>
                <w:lang w:val="en-US"/>
              </w:rPr>
              <w:t>in  Local</w:t>
            </w:r>
            <w:r w:rsidR="004259C3" w:rsidRPr="005A68E6">
              <w:rPr>
                <w:color w:val="000000"/>
              </w:rPr>
              <w:t xml:space="preserve"> Currency</w:t>
            </w:r>
            <w:r w:rsidR="004259C3" w:rsidRPr="005A68E6">
              <w:t xml:space="preserve"> Debt </w:t>
            </w:r>
            <w:r w:rsidRPr="005A68E6">
              <w:t>(%)</w:t>
            </w:r>
          </w:p>
        </w:tc>
        <w:tc>
          <w:tcPr>
            <w:tcW w:w="1080" w:type="dxa"/>
            <w:tcBorders>
              <w:left w:val="nil"/>
              <w:bottom w:val="thickThinSmallGap" w:sz="24" w:space="0" w:color="auto"/>
              <w:right w:val="nil"/>
            </w:tcBorders>
            <w:vAlign w:val="center"/>
          </w:tcPr>
          <w:p w14:paraId="56B865BC" w14:textId="77777777" w:rsidR="007C7ABA" w:rsidRPr="005A68E6" w:rsidRDefault="007C7ABA" w:rsidP="007C7ABA">
            <w:pPr>
              <w:spacing w:line="240" w:lineRule="auto"/>
              <w:ind w:firstLine="0"/>
              <w:jc w:val="center"/>
              <w:rPr>
                <w:lang w:val="en-US"/>
              </w:rPr>
            </w:pPr>
            <w:r w:rsidRPr="005A68E6">
              <w:rPr>
                <w:lang w:val="en-US"/>
              </w:rPr>
              <w:t>13.1</w:t>
            </w:r>
          </w:p>
        </w:tc>
        <w:tc>
          <w:tcPr>
            <w:tcW w:w="990" w:type="dxa"/>
            <w:tcBorders>
              <w:left w:val="nil"/>
              <w:bottom w:val="thickThinSmallGap" w:sz="24" w:space="0" w:color="auto"/>
              <w:right w:val="nil"/>
            </w:tcBorders>
            <w:vAlign w:val="center"/>
          </w:tcPr>
          <w:p w14:paraId="7B23B45C" w14:textId="77777777" w:rsidR="007C7ABA" w:rsidRPr="005A68E6" w:rsidRDefault="007C7ABA" w:rsidP="007C7ABA">
            <w:pPr>
              <w:spacing w:line="240" w:lineRule="auto"/>
              <w:ind w:firstLine="0"/>
              <w:jc w:val="center"/>
            </w:pPr>
            <w:r w:rsidRPr="005A68E6">
              <w:rPr>
                <w:lang w:val="en-US"/>
              </w:rPr>
              <w:t>1</w:t>
            </w:r>
            <w:r w:rsidRPr="005A68E6">
              <w:t>3</w:t>
            </w:r>
            <w:r w:rsidRPr="005A68E6">
              <w:rPr>
                <w:lang w:val="en-US"/>
              </w:rPr>
              <w:t>.</w:t>
            </w:r>
            <w:r w:rsidRPr="005A68E6">
              <w:t>8</w:t>
            </w:r>
          </w:p>
        </w:tc>
        <w:tc>
          <w:tcPr>
            <w:tcW w:w="990" w:type="dxa"/>
            <w:tcBorders>
              <w:left w:val="nil"/>
              <w:bottom w:val="thickThinSmallGap" w:sz="24" w:space="0" w:color="auto"/>
              <w:right w:val="nil"/>
            </w:tcBorders>
            <w:vAlign w:val="center"/>
          </w:tcPr>
          <w:p w14:paraId="23CB302C" w14:textId="77777777" w:rsidR="007C7ABA" w:rsidRPr="005A68E6" w:rsidRDefault="007C7ABA" w:rsidP="007C7ABA">
            <w:pPr>
              <w:spacing w:line="240" w:lineRule="auto"/>
              <w:ind w:firstLine="0"/>
              <w:jc w:val="center"/>
            </w:pPr>
            <w:r w:rsidRPr="005A68E6">
              <w:t>15.3</w:t>
            </w:r>
          </w:p>
        </w:tc>
        <w:tc>
          <w:tcPr>
            <w:tcW w:w="1095" w:type="dxa"/>
            <w:gridSpan w:val="2"/>
            <w:tcBorders>
              <w:left w:val="nil"/>
              <w:bottom w:val="thickThinSmallGap" w:sz="24" w:space="0" w:color="auto"/>
              <w:right w:val="nil"/>
            </w:tcBorders>
            <w:vAlign w:val="center"/>
          </w:tcPr>
          <w:p w14:paraId="4503E07A" w14:textId="77777777" w:rsidR="007C7ABA" w:rsidRPr="005A68E6" w:rsidRDefault="007C7ABA" w:rsidP="007C7ABA">
            <w:pPr>
              <w:spacing w:line="240" w:lineRule="auto"/>
              <w:ind w:firstLine="0"/>
              <w:jc w:val="center"/>
            </w:pPr>
            <w:r w:rsidRPr="005A68E6">
              <w:rPr>
                <w:lang w:val="en-US"/>
              </w:rPr>
              <w:t>1</w:t>
            </w:r>
            <w:r w:rsidRPr="005A68E6">
              <w:t>4</w:t>
            </w:r>
            <w:r w:rsidRPr="005A68E6">
              <w:rPr>
                <w:lang w:val="en-US"/>
              </w:rPr>
              <w:t>.</w:t>
            </w:r>
            <w:r w:rsidRPr="005A68E6">
              <w:t>4</w:t>
            </w:r>
          </w:p>
        </w:tc>
        <w:tc>
          <w:tcPr>
            <w:tcW w:w="923" w:type="dxa"/>
            <w:tcBorders>
              <w:left w:val="nil"/>
              <w:bottom w:val="thickThinSmallGap" w:sz="24" w:space="0" w:color="auto"/>
              <w:right w:val="nil"/>
            </w:tcBorders>
            <w:vAlign w:val="center"/>
          </w:tcPr>
          <w:p w14:paraId="40C76FA7" w14:textId="77777777" w:rsidR="007C7ABA" w:rsidRPr="005A68E6" w:rsidRDefault="007C7ABA" w:rsidP="007C7ABA">
            <w:pPr>
              <w:spacing w:line="240" w:lineRule="auto"/>
              <w:ind w:firstLine="0"/>
              <w:jc w:val="center"/>
            </w:pPr>
            <w:r w:rsidRPr="005A68E6">
              <w:t>14</w:t>
            </w:r>
            <w:r w:rsidRPr="005A68E6">
              <w:rPr>
                <w:lang w:val="en-US"/>
              </w:rPr>
              <w:t>.</w:t>
            </w:r>
            <w:r w:rsidRPr="005A68E6">
              <w:t>8</w:t>
            </w:r>
          </w:p>
        </w:tc>
      </w:tr>
    </w:tbl>
    <w:p w14:paraId="709E4483" w14:textId="6D1E0254" w:rsidR="004D7FC8" w:rsidRPr="005A68E6" w:rsidRDefault="009C099C" w:rsidP="007D0709">
      <w:pPr>
        <w:pStyle w:val="af6"/>
        <w:spacing w:before="0" w:after="0"/>
        <w:rPr>
          <w:sz w:val="18"/>
          <w:lang w:val="en-US"/>
        </w:rPr>
      </w:pPr>
      <w:r w:rsidRPr="005A68E6">
        <w:rPr>
          <w:sz w:val="18"/>
          <w:lang w:val="en-US"/>
        </w:rPr>
        <w:t>Source: RA MoF calculations and forecasts</w:t>
      </w:r>
    </w:p>
    <w:p w14:paraId="495EE47F" w14:textId="55F996BF" w:rsidR="003D49C0" w:rsidRPr="005A68E6" w:rsidRDefault="003D49C0">
      <w:pPr>
        <w:spacing w:line="240" w:lineRule="auto"/>
        <w:ind w:firstLine="0"/>
        <w:jc w:val="left"/>
        <w:rPr>
          <w:b/>
          <w:kern w:val="16"/>
          <w:sz w:val="26"/>
          <w:lang w:val="af-ZA" w:eastAsia="x-none"/>
        </w:rPr>
      </w:pPr>
      <w:bookmarkStart w:id="14" w:name="_Toc137412825"/>
      <w:bookmarkStart w:id="15" w:name="_Toc137413246"/>
      <w:bookmarkStart w:id="16" w:name="_Toc137413919"/>
      <w:bookmarkStart w:id="17" w:name="_Toc137414061"/>
      <w:bookmarkStart w:id="18" w:name="_Toc137513463"/>
      <w:bookmarkStart w:id="19" w:name="_Toc137412826"/>
      <w:bookmarkStart w:id="20" w:name="_Toc137413247"/>
      <w:bookmarkStart w:id="21" w:name="_Toc137413920"/>
      <w:bookmarkStart w:id="22" w:name="_Toc137414062"/>
      <w:bookmarkStart w:id="23" w:name="_Toc137513464"/>
      <w:bookmarkEnd w:id="14"/>
      <w:bookmarkEnd w:id="15"/>
      <w:bookmarkEnd w:id="16"/>
      <w:bookmarkEnd w:id="17"/>
      <w:bookmarkEnd w:id="18"/>
      <w:bookmarkEnd w:id="19"/>
      <w:bookmarkEnd w:id="20"/>
      <w:bookmarkEnd w:id="21"/>
      <w:bookmarkEnd w:id="22"/>
      <w:bookmarkEnd w:id="23"/>
    </w:p>
    <w:p w14:paraId="7BD7C941" w14:textId="2E45DDE8" w:rsidR="00F9378D" w:rsidRPr="005A68E6" w:rsidRDefault="00931F00" w:rsidP="00941791">
      <w:pPr>
        <w:pStyle w:val="Heading2"/>
      </w:pPr>
      <w:bookmarkStart w:id="24" w:name="_Toc150627825"/>
      <w:r w:rsidRPr="005A68E6">
        <w:lastRenderedPageBreak/>
        <w:t>Benchmark indicators</w:t>
      </w:r>
      <w:bookmarkEnd w:id="24"/>
      <w:r w:rsidRPr="005A68E6">
        <w:t xml:space="preserve"> </w:t>
      </w:r>
    </w:p>
    <w:p w14:paraId="2050CE0F" w14:textId="4A963580" w:rsidR="00F9378D" w:rsidRPr="005A68E6" w:rsidRDefault="00F9378D" w:rsidP="00F9378D">
      <w:pPr>
        <w:rPr>
          <w:color w:val="FF0000"/>
        </w:rPr>
      </w:pPr>
    </w:p>
    <w:p w14:paraId="75A199CE" w14:textId="77777777" w:rsidR="0024298B" w:rsidRPr="005A68E6" w:rsidRDefault="0024298B" w:rsidP="0024298B">
      <w:pPr>
        <w:rPr>
          <w:lang w:val="en-US"/>
        </w:rPr>
      </w:pPr>
      <w:r w:rsidRPr="005A68E6">
        <w:t xml:space="preserve">For the efficient management of the RA Government debt portfolio, it is necessary to identify and assess the risks inherent </w:t>
      </w:r>
      <w:r w:rsidRPr="005A68E6">
        <w:rPr>
          <w:lang w:val="en-US"/>
        </w:rPr>
        <w:t xml:space="preserve">to the </w:t>
      </w:r>
      <w:r w:rsidRPr="005A68E6">
        <w:t>RA Government debt</w:t>
      </w:r>
      <w:r w:rsidRPr="005A68E6">
        <w:rPr>
          <w:lang w:val="en-US"/>
        </w:rPr>
        <w:t>.</w:t>
      </w:r>
      <w:r w:rsidRPr="005A68E6">
        <w:t xml:space="preserve"> </w:t>
      </w:r>
      <w:r w:rsidRPr="005A68E6">
        <w:rPr>
          <w:lang w:val="en-US"/>
        </w:rPr>
        <w:t xml:space="preserve">For this regard, the </w:t>
      </w:r>
      <w:r w:rsidRPr="005A68E6">
        <w:t xml:space="preserve">RA Government </w:t>
      </w:r>
      <w:r w:rsidRPr="005A68E6">
        <w:rPr>
          <w:lang w:val="en-US"/>
        </w:rPr>
        <w:t>debt management strategy defines benchmark indicators for the debt portfolio risks, which aim at keeping the exchange rate, interest rate, and refinancing risks under control through certain restrictions.</w:t>
      </w:r>
      <w:r w:rsidRPr="005A68E6">
        <w:t xml:space="preserve"> </w:t>
      </w:r>
      <w:r w:rsidRPr="005A68E6">
        <w:rPr>
          <w:lang w:val="en-US"/>
        </w:rPr>
        <w:t xml:space="preserve">The benchmark indicators have been defined taking into account the features and constraints inherent to the </w:t>
      </w:r>
      <w:r w:rsidRPr="005A68E6">
        <w:t>RA Government debt</w:t>
      </w:r>
      <w:r w:rsidRPr="005A68E6">
        <w:rPr>
          <w:lang w:val="en-US"/>
        </w:rPr>
        <w:t xml:space="preserve"> management.</w:t>
      </w:r>
    </w:p>
    <w:p w14:paraId="33A94C11" w14:textId="77777777" w:rsidR="0024298B" w:rsidRPr="005A68E6" w:rsidRDefault="0024298B" w:rsidP="00F9378D">
      <w:pPr>
        <w:rPr>
          <w:color w:val="FF0000"/>
        </w:rPr>
      </w:pPr>
    </w:p>
    <w:p w14:paraId="4E3BF178" w14:textId="4745CAB1" w:rsidR="00233F1B" w:rsidRPr="005A68E6" w:rsidRDefault="00F9378D" w:rsidP="005A68E6">
      <w:pPr>
        <w:pStyle w:val="af6"/>
        <w:numPr>
          <w:ilvl w:val="0"/>
          <w:numId w:val="35"/>
        </w:numPr>
        <w:spacing w:after="240"/>
        <w:ind w:left="1276" w:hanging="1276"/>
        <w:rPr>
          <w:rStyle w:val="Emphasis"/>
          <w:rFonts w:cs="Cambria"/>
          <w:i/>
          <w:lang w:val="en-US"/>
        </w:rPr>
      </w:pPr>
      <w:r w:rsidRPr="005A68E6">
        <w:t xml:space="preserve"> </w:t>
      </w:r>
      <w:r w:rsidR="00233F1B" w:rsidRPr="005A68E6">
        <w:rPr>
          <w:rStyle w:val="Emphasis"/>
          <w:rFonts w:cs="Cambria"/>
          <w:i/>
          <w:lang w:val="en-US"/>
        </w:rPr>
        <w:t>Benchmark</w:t>
      </w:r>
      <w:r w:rsidR="00233F1B" w:rsidRPr="005A68E6">
        <w:rPr>
          <w:rStyle w:val="Emphasis"/>
          <w:rFonts w:cs="Cambria"/>
          <w:i/>
        </w:rPr>
        <w:t xml:space="preserve"> indicators of </w:t>
      </w:r>
      <w:r w:rsidR="004D6547" w:rsidRPr="005A68E6">
        <w:rPr>
          <w:rStyle w:val="Emphasis"/>
          <w:rFonts w:cs="Cambria"/>
          <w:i/>
          <w:lang w:val="en-US"/>
        </w:rPr>
        <w:t xml:space="preserve">the </w:t>
      </w:r>
      <w:r w:rsidR="00233F1B" w:rsidRPr="005A68E6">
        <w:rPr>
          <w:rStyle w:val="Emphasis"/>
          <w:rFonts w:cs="Cambria"/>
          <w:i/>
        </w:rPr>
        <w:t xml:space="preserve">RA Government debt </w:t>
      </w:r>
      <w:r w:rsidR="005F5A98" w:rsidRPr="005A68E6">
        <w:rPr>
          <w:rStyle w:val="Emphasis"/>
          <w:rFonts w:cs="Cambria"/>
          <w:i/>
          <w:lang w:val="en-US"/>
        </w:rPr>
        <w:t xml:space="preserve">portfolio </w:t>
      </w:r>
      <w:r w:rsidR="00233F1B" w:rsidRPr="005A68E6">
        <w:rPr>
          <w:rStyle w:val="Emphasis"/>
          <w:rFonts w:cs="Cambria"/>
          <w:i/>
        </w:rPr>
        <w:t>for 202</w:t>
      </w:r>
      <w:r w:rsidR="00520656" w:rsidRPr="005A68E6">
        <w:rPr>
          <w:rStyle w:val="Emphasis"/>
          <w:rFonts w:cs="Cambria"/>
          <w:i/>
          <w:lang w:val="en-US"/>
        </w:rPr>
        <w:t>3</w:t>
      </w:r>
      <w:r w:rsidR="00233F1B" w:rsidRPr="005A68E6">
        <w:rPr>
          <w:rStyle w:val="Emphasis"/>
          <w:rFonts w:cs="Cambria"/>
          <w:i/>
        </w:rPr>
        <w:t>-202</w:t>
      </w:r>
      <w:r w:rsidR="00233F1B" w:rsidRPr="005A68E6">
        <w:rPr>
          <w:rStyle w:val="Emphasis"/>
          <w:rFonts w:cs="Cambria"/>
          <w:i/>
          <w:lang w:val="en-US"/>
        </w:rPr>
        <w:t>6</w:t>
      </w:r>
      <w:r w:rsidR="004F1282" w:rsidRPr="005A68E6">
        <w:rPr>
          <w:rStyle w:val="Emphasis"/>
          <w:rFonts w:cs="Cambria"/>
          <w:i/>
          <w:lang w:val="en-US"/>
        </w:rPr>
        <w:t xml:space="preserve"> (as of the end of the year)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1"/>
        <w:gridCol w:w="2780"/>
      </w:tblGrid>
      <w:tr w:rsidR="00F9378D" w:rsidRPr="005A68E6" w14:paraId="40CFF3E1" w14:textId="77777777" w:rsidTr="002C2C65">
        <w:trPr>
          <w:tblHeader/>
          <w:jc w:val="center"/>
        </w:trPr>
        <w:tc>
          <w:tcPr>
            <w:tcW w:w="7241" w:type="dxa"/>
            <w:tcBorders>
              <w:top w:val="thinThickThinSmallGap" w:sz="24" w:space="0" w:color="auto"/>
              <w:left w:val="nil"/>
              <w:bottom w:val="thinThickSmallGap" w:sz="24" w:space="0" w:color="auto"/>
              <w:right w:val="nil"/>
            </w:tcBorders>
            <w:shd w:val="clear" w:color="auto" w:fill="5B9BD5"/>
          </w:tcPr>
          <w:p w14:paraId="6145BB71" w14:textId="77777777" w:rsidR="00F9378D" w:rsidRPr="005A68E6" w:rsidRDefault="00F9378D" w:rsidP="002C2C65"/>
        </w:tc>
        <w:tc>
          <w:tcPr>
            <w:tcW w:w="2780" w:type="dxa"/>
            <w:tcBorders>
              <w:top w:val="thinThickThinSmallGap" w:sz="24" w:space="0" w:color="auto"/>
              <w:left w:val="nil"/>
              <w:bottom w:val="thinThickSmallGap" w:sz="24" w:space="0" w:color="auto"/>
              <w:right w:val="nil"/>
            </w:tcBorders>
            <w:shd w:val="clear" w:color="auto" w:fill="5B9BD5"/>
            <w:vAlign w:val="center"/>
          </w:tcPr>
          <w:p w14:paraId="4B34B9FD" w14:textId="4C8D5BFE" w:rsidR="00F9378D" w:rsidRPr="005A68E6" w:rsidRDefault="004F1282" w:rsidP="002C2C65">
            <w:pPr>
              <w:spacing w:line="240" w:lineRule="auto"/>
              <w:ind w:hanging="69"/>
              <w:jc w:val="center"/>
              <w:rPr>
                <w:lang w:val="en-US"/>
              </w:rPr>
            </w:pPr>
            <w:r w:rsidRPr="005A68E6">
              <w:rPr>
                <w:lang w:val="en-US"/>
              </w:rPr>
              <w:t>Benchmark</w:t>
            </w:r>
          </w:p>
        </w:tc>
      </w:tr>
      <w:tr w:rsidR="00233F1B" w:rsidRPr="005A68E6" w14:paraId="4472BA2C" w14:textId="77777777" w:rsidTr="00233F1B">
        <w:trPr>
          <w:trHeight w:val="405"/>
          <w:jc w:val="center"/>
        </w:trPr>
        <w:tc>
          <w:tcPr>
            <w:tcW w:w="7241" w:type="dxa"/>
            <w:tcBorders>
              <w:top w:val="thinThickSmallGap" w:sz="24" w:space="0" w:color="auto"/>
              <w:left w:val="nil"/>
              <w:right w:val="nil"/>
            </w:tcBorders>
          </w:tcPr>
          <w:p w14:paraId="04CBD7D5" w14:textId="19630869" w:rsidR="00233F1B" w:rsidRPr="005A68E6" w:rsidRDefault="00233F1B" w:rsidP="00233F1B">
            <w:pPr>
              <w:spacing w:line="240" w:lineRule="auto"/>
              <w:ind w:firstLine="647"/>
              <w:jc w:val="left"/>
              <w:rPr>
                <w:b/>
              </w:rPr>
            </w:pPr>
            <w:r w:rsidRPr="005A68E6">
              <w:rPr>
                <w:b/>
                <w:lang w:val="en-US"/>
              </w:rPr>
              <w:t>Refinancing risk</w:t>
            </w:r>
          </w:p>
        </w:tc>
        <w:tc>
          <w:tcPr>
            <w:tcW w:w="2780" w:type="dxa"/>
            <w:tcBorders>
              <w:top w:val="thinThickSmallGap" w:sz="24" w:space="0" w:color="auto"/>
              <w:left w:val="nil"/>
              <w:right w:val="nil"/>
            </w:tcBorders>
            <w:vAlign w:val="center"/>
          </w:tcPr>
          <w:p w14:paraId="1B23B8BC" w14:textId="77777777" w:rsidR="00233F1B" w:rsidRPr="005A68E6" w:rsidRDefault="00233F1B" w:rsidP="00233F1B">
            <w:pPr>
              <w:spacing w:line="240" w:lineRule="auto"/>
              <w:ind w:firstLine="0"/>
              <w:jc w:val="center"/>
              <w:rPr>
                <w:b/>
              </w:rPr>
            </w:pPr>
          </w:p>
        </w:tc>
      </w:tr>
      <w:tr w:rsidR="00233F1B" w:rsidRPr="005A68E6" w14:paraId="75B988F4" w14:textId="77777777" w:rsidTr="00233F1B">
        <w:trPr>
          <w:jc w:val="center"/>
        </w:trPr>
        <w:tc>
          <w:tcPr>
            <w:tcW w:w="7241" w:type="dxa"/>
            <w:tcBorders>
              <w:left w:val="nil"/>
              <w:right w:val="nil"/>
            </w:tcBorders>
          </w:tcPr>
          <w:p w14:paraId="005CF478" w14:textId="325CAC43" w:rsidR="00233F1B" w:rsidRPr="005A68E6" w:rsidRDefault="00233F1B" w:rsidP="00233F1B">
            <w:pPr>
              <w:spacing w:line="240" w:lineRule="auto"/>
              <w:ind w:firstLine="0"/>
              <w:jc w:val="left"/>
            </w:pPr>
            <w:r w:rsidRPr="005A68E6">
              <w:rPr>
                <w:lang w:val="en-US"/>
              </w:rPr>
              <w:t>Average time to maturity</w:t>
            </w:r>
            <w:r w:rsidRPr="005A68E6">
              <w:t xml:space="preserve"> </w:t>
            </w:r>
          </w:p>
        </w:tc>
        <w:tc>
          <w:tcPr>
            <w:tcW w:w="2780" w:type="dxa"/>
            <w:tcBorders>
              <w:left w:val="nil"/>
              <w:right w:val="nil"/>
            </w:tcBorders>
            <w:vAlign w:val="center"/>
          </w:tcPr>
          <w:p w14:paraId="091B41D7" w14:textId="3A3D733C" w:rsidR="00233F1B" w:rsidRPr="005A68E6" w:rsidRDefault="00233F1B" w:rsidP="004F1282">
            <w:pPr>
              <w:spacing w:line="240" w:lineRule="auto"/>
              <w:ind w:firstLine="0"/>
              <w:jc w:val="center"/>
              <w:rPr>
                <w:lang w:val="en-US"/>
              </w:rPr>
            </w:pPr>
            <w:r w:rsidRPr="005A68E6">
              <w:rPr>
                <w:lang w:val="en-US"/>
              </w:rPr>
              <w:t>7</w:t>
            </w:r>
            <w:r w:rsidRPr="005A68E6">
              <w:t>– 1</w:t>
            </w:r>
            <w:r w:rsidRPr="005A68E6">
              <w:rPr>
                <w:lang w:val="en-US"/>
              </w:rPr>
              <w:t>0</w:t>
            </w:r>
            <w:r w:rsidRPr="005A68E6">
              <w:t xml:space="preserve"> </w:t>
            </w:r>
            <w:r w:rsidR="004F1282" w:rsidRPr="005A68E6">
              <w:rPr>
                <w:lang w:val="en-US"/>
              </w:rPr>
              <w:t>years</w:t>
            </w:r>
          </w:p>
        </w:tc>
      </w:tr>
      <w:tr w:rsidR="00F9378D" w:rsidRPr="005A68E6" w14:paraId="5BD64937" w14:textId="77777777" w:rsidTr="002C2C65">
        <w:trPr>
          <w:jc w:val="center"/>
        </w:trPr>
        <w:tc>
          <w:tcPr>
            <w:tcW w:w="7241" w:type="dxa"/>
            <w:tcBorders>
              <w:left w:val="nil"/>
              <w:right w:val="nil"/>
            </w:tcBorders>
            <w:vAlign w:val="center"/>
          </w:tcPr>
          <w:p w14:paraId="69C7FB87" w14:textId="4F3483AC" w:rsidR="00F9378D" w:rsidRPr="005A68E6" w:rsidRDefault="00B23B4F" w:rsidP="004F1282">
            <w:pPr>
              <w:spacing w:line="240" w:lineRule="auto"/>
              <w:ind w:firstLine="0"/>
              <w:jc w:val="left"/>
              <w:rPr>
                <w:lang w:val="en-US"/>
              </w:rPr>
            </w:pPr>
            <w:r w:rsidRPr="005A68E6">
              <w:t xml:space="preserve">Share of </w:t>
            </w:r>
            <w:r w:rsidRPr="005A68E6">
              <w:rPr>
                <w:lang w:val="en-US"/>
              </w:rPr>
              <w:t>debt</w:t>
            </w:r>
            <w:r w:rsidRPr="005A68E6">
              <w:t xml:space="preserve"> maturing </w:t>
            </w:r>
            <w:r w:rsidR="004F1282" w:rsidRPr="005A68E6">
              <w:rPr>
                <w:lang w:val="en-US"/>
              </w:rPr>
              <w:t>in</w:t>
            </w:r>
            <w:r w:rsidR="004F1282" w:rsidRPr="005A68E6">
              <w:t xml:space="preserve"> </w:t>
            </w:r>
            <w:r w:rsidR="00520656" w:rsidRPr="005A68E6">
              <w:rPr>
                <w:lang w:val="en-US"/>
              </w:rPr>
              <w:t xml:space="preserve">the next </w:t>
            </w:r>
            <w:r w:rsidRPr="005A68E6">
              <w:rPr>
                <w:lang w:val="en-US"/>
              </w:rPr>
              <w:t xml:space="preserve">3 </w:t>
            </w:r>
            <w:r w:rsidRPr="005A68E6">
              <w:t>year</w:t>
            </w:r>
            <w:r w:rsidRPr="005A68E6">
              <w:rPr>
                <w:lang w:val="en-US"/>
              </w:rPr>
              <w:t>s</w:t>
            </w:r>
            <w:r w:rsidRPr="005A68E6">
              <w:t xml:space="preserve"> in </w:t>
            </w:r>
            <w:r w:rsidR="00520656" w:rsidRPr="005A68E6">
              <w:t>total debt</w:t>
            </w:r>
          </w:p>
        </w:tc>
        <w:tc>
          <w:tcPr>
            <w:tcW w:w="2780" w:type="dxa"/>
            <w:tcBorders>
              <w:left w:val="nil"/>
              <w:right w:val="nil"/>
            </w:tcBorders>
            <w:vAlign w:val="center"/>
          </w:tcPr>
          <w:p w14:paraId="3809678C" w14:textId="6634C422" w:rsidR="00F9378D" w:rsidRPr="005A68E6" w:rsidRDefault="004F1282" w:rsidP="002C2C65">
            <w:pPr>
              <w:spacing w:line="240" w:lineRule="auto"/>
              <w:ind w:firstLine="0"/>
              <w:jc w:val="center"/>
              <w:rPr>
                <w:lang w:val="en-US"/>
              </w:rPr>
            </w:pPr>
            <w:r w:rsidRPr="005A68E6">
              <w:rPr>
                <w:lang w:val="en-US"/>
              </w:rPr>
              <w:t>max</w:t>
            </w:r>
            <w:r w:rsidRPr="005A68E6">
              <w:t xml:space="preserve"> </w:t>
            </w:r>
            <w:r w:rsidR="00F9378D" w:rsidRPr="005A68E6">
              <w:t>35%</w:t>
            </w:r>
          </w:p>
        </w:tc>
      </w:tr>
      <w:tr w:rsidR="00F9378D" w:rsidRPr="005A68E6" w14:paraId="0A851BDA" w14:textId="77777777" w:rsidTr="002C2C65">
        <w:trPr>
          <w:jc w:val="center"/>
        </w:trPr>
        <w:tc>
          <w:tcPr>
            <w:tcW w:w="7241" w:type="dxa"/>
            <w:tcBorders>
              <w:left w:val="nil"/>
              <w:right w:val="nil"/>
            </w:tcBorders>
            <w:vAlign w:val="center"/>
          </w:tcPr>
          <w:p w14:paraId="46C39746" w14:textId="2B53EEEA" w:rsidR="00F9378D" w:rsidRPr="005A68E6" w:rsidRDefault="00233F1B" w:rsidP="004F1282">
            <w:pPr>
              <w:spacing w:line="240" w:lineRule="auto"/>
              <w:ind w:firstLine="0"/>
              <w:jc w:val="left"/>
            </w:pPr>
            <w:r w:rsidRPr="005A68E6">
              <w:t xml:space="preserve">Share of Government treasury bonds maturing </w:t>
            </w:r>
            <w:r w:rsidR="004F1282" w:rsidRPr="005A68E6">
              <w:rPr>
                <w:lang w:val="en-US"/>
              </w:rPr>
              <w:t>in</w:t>
            </w:r>
            <w:r w:rsidR="004F1282" w:rsidRPr="005A68E6">
              <w:t xml:space="preserve"> </w:t>
            </w:r>
            <w:r w:rsidR="004F1282" w:rsidRPr="005A68E6">
              <w:rPr>
                <w:lang w:val="en-US"/>
              </w:rPr>
              <w:t>1</w:t>
            </w:r>
            <w:r w:rsidR="004F1282" w:rsidRPr="005A68E6">
              <w:t xml:space="preserve"> </w:t>
            </w:r>
            <w:r w:rsidRPr="005A68E6">
              <w:t xml:space="preserve">year in the outstanding Government treasury bonds </w:t>
            </w:r>
          </w:p>
        </w:tc>
        <w:tc>
          <w:tcPr>
            <w:tcW w:w="2780" w:type="dxa"/>
            <w:tcBorders>
              <w:left w:val="nil"/>
              <w:right w:val="nil"/>
            </w:tcBorders>
            <w:vAlign w:val="center"/>
          </w:tcPr>
          <w:p w14:paraId="588F3F88" w14:textId="3EDBBA8C" w:rsidR="00F9378D" w:rsidRPr="005A68E6" w:rsidRDefault="004F1282" w:rsidP="002C2C65">
            <w:pPr>
              <w:spacing w:line="240" w:lineRule="auto"/>
              <w:ind w:firstLine="0"/>
              <w:jc w:val="center"/>
            </w:pPr>
            <w:r w:rsidRPr="005A68E6">
              <w:rPr>
                <w:lang w:val="en-US"/>
              </w:rPr>
              <w:t>max</w:t>
            </w:r>
            <w:r w:rsidRPr="005A68E6">
              <w:t xml:space="preserve"> </w:t>
            </w:r>
            <w:r w:rsidR="00F9378D" w:rsidRPr="005A68E6">
              <w:t>20%</w:t>
            </w:r>
          </w:p>
        </w:tc>
      </w:tr>
      <w:tr w:rsidR="00B23B4F" w:rsidRPr="005A68E6" w14:paraId="02CB0459" w14:textId="77777777" w:rsidTr="008130DB">
        <w:trPr>
          <w:trHeight w:val="417"/>
          <w:jc w:val="center"/>
        </w:trPr>
        <w:tc>
          <w:tcPr>
            <w:tcW w:w="7241" w:type="dxa"/>
            <w:tcBorders>
              <w:left w:val="nil"/>
              <w:right w:val="nil"/>
            </w:tcBorders>
          </w:tcPr>
          <w:p w14:paraId="2F8A2CB3" w14:textId="04409237" w:rsidR="00B23B4F" w:rsidRPr="005A68E6" w:rsidRDefault="00B23B4F" w:rsidP="00B23B4F">
            <w:pPr>
              <w:spacing w:line="240" w:lineRule="auto"/>
              <w:ind w:firstLine="647"/>
              <w:jc w:val="left"/>
              <w:rPr>
                <w:b/>
              </w:rPr>
            </w:pPr>
            <w:r w:rsidRPr="005A68E6">
              <w:rPr>
                <w:b/>
                <w:lang w:val="en-US"/>
              </w:rPr>
              <w:t>Interest rate risk</w:t>
            </w:r>
          </w:p>
        </w:tc>
        <w:tc>
          <w:tcPr>
            <w:tcW w:w="2780" w:type="dxa"/>
            <w:tcBorders>
              <w:left w:val="nil"/>
              <w:right w:val="nil"/>
            </w:tcBorders>
            <w:vAlign w:val="center"/>
          </w:tcPr>
          <w:p w14:paraId="62E192D6" w14:textId="77777777" w:rsidR="00B23B4F" w:rsidRPr="005A68E6" w:rsidRDefault="00B23B4F" w:rsidP="00B23B4F">
            <w:pPr>
              <w:spacing w:line="240" w:lineRule="auto"/>
              <w:ind w:firstLine="0"/>
              <w:jc w:val="center"/>
              <w:rPr>
                <w:b/>
              </w:rPr>
            </w:pPr>
          </w:p>
        </w:tc>
      </w:tr>
      <w:tr w:rsidR="00B23B4F" w:rsidRPr="005A68E6" w14:paraId="63893E75" w14:textId="77777777" w:rsidTr="008130DB">
        <w:trPr>
          <w:jc w:val="center"/>
        </w:trPr>
        <w:tc>
          <w:tcPr>
            <w:tcW w:w="7241" w:type="dxa"/>
            <w:tcBorders>
              <w:left w:val="nil"/>
              <w:right w:val="nil"/>
            </w:tcBorders>
          </w:tcPr>
          <w:p w14:paraId="41726D53" w14:textId="7EFC5DAA" w:rsidR="00B23B4F" w:rsidRPr="005A68E6" w:rsidRDefault="00B23B4F" w:rsidP="00B23B4F">
            <w:pPr>
              <w:spacing w:line="240" w:lineRule="auto"/>
              <w:ind w:firstLine="0"/>
              <w:jc w:val="left"/>
            </w:pPr>
            <w:r w:rsidRPr="005A68E6">
              <w:t>Share of fixed rate debt in total debt</w:t>
            </w:r>
          </w:p>
        </w:tc>
        <w:tc>
          <w:tcPr>
            <w:tcW w:w="2780" w:type="dxa"/>
            <w:tcBorders>
              <w:left w:val="nil"/>
              <w:right w:val="nil"/>
            </w:tcBorders>
            <w:vAlign w:val="center"/>
          </w:tcPr>
          <w:p w14:paraId="5DD8DC53" w14:textId="08F15566" w:rsidR="00B23B4F" w:rsidRPr="005A68E6" w:rsidRDefault="004F1282" w:rsidP="00B23B4F">
            <w:pPr>
              <w:spacing w:line="240" w:lineRule="auto"/>
              <w:ind w:firstLine="0"/>
              <w:jc w:val="center"/>
            </w:pPr>
            <w:r w:rsidRPr="005A68E6">
              <w:rPr>
                <w:lang w:val="en-US"/>
              </w:rPr>
              <w:t>min</w:t>
            </w:r>
            <w:r w:rsidRPr="005A68E6">
              <w:t xml:space="preserve"> </w:t>
            </w:r>
            <w:r w:rsidR="00B23B4F" w:rsidRPr="005A68E6">
              <w:t>80%</w:t>
            </w:r>
          </w:p>
        </w:tc>
      </w:tr>
      <w:tr w:rsidR="00B23B4F" w:rsidRPr="005A68E6" w14:paraId="57132079" w14:textId="77777777" w:rsidTr="008130DB">
        <w:trPr>
          <w:trHeight w:val="414"/>
          <w:jc w:val="center"/>
        </w:trPr>
        <w:tc>
          <w:tcPr>
            <w:tcW w:w="7241" w:type="dxa"/>
            <w:tcBorders>
              <w:left w:val="nil"/>
              <w:right w:val="nil"/>
            </w:tcBorders>
          </w:tcPr>
          <w:p w14:paraId="232DF455" w14:textId="5ED071CD" w:rsidR="00B23B4F" w:rsidRPr="005A68E6" w:rsidRDefault="00B23B4F" w:rsidP="00B23B4F">
            <w:pPr>
              <w:spacing w:line="240" w:lineRule="auto"/>
              <w:ind w:firstLine="647"/>
              <w:jc w:val="left"/>
              <w:rPr>
                <w:b/>
              </w:rPr>
            </w:pPr>
            <w:r w:rsidRPr="005A68E6">
              <w:rPr>
                <w:b/>
                <w:lang w:val="en-US"/>
              </w:rPr>
              <w:t>Exchange rate risk</w:t>
            </w:r>
          </w:p>
        </w:tc>
        <w:tc>
          <w:tcPr>
            <w:tcW w:w="2780" w:type="dxa"/>
            <w:tcBorders>
              <w:left w:val="nil"/>
              <w:right w:val="nil"/>
            </w:tcBorders>
            <w:vAlign w:val="center"/>
          </w:tcPr>
          <w:p w14:paraId="350334F3" w14:textId="77777777" w:rsidR="00B23B4F" w:rsidRPr="005A68E6" w:rsidRDefault="00B23B4F" w:rsidP="00B23B4F">
            <w:pPr>
              <w:spacing w:line="240" w:lineRule="auto"/>
              <w:ind w:firstLine="0"/>
              <w:jc w:val="center"/>
              <w:rPr>
                <w:b/>
              </w:rPr>
            </w:pPr>
          </w:p>
        </w:tc>
      </w:tr>
      <w:tr w:rsidR="00B23B4F" w:rsidRPr="005A68E6" w14:paraId="29367F81" w14:textId="77777777" w:rsidTr="008130DB">
        <w:trPr>
          <w:jc w:val="center"/>
        </w:trPr>
        <w:tc>
          <w:tcPr>
            <w:tcW w:w="7241" w:type="dxa"/>
            <w:tcBorders>
              <w:left w:val="nil"/>
              <w:right w:val="nil"/>
            </w:tcBorders>
          </w:tcPr>
          <w:p w14:paraId="13D1A5C4" w14:textId="17BF79F1" w:rsidR="00B23B4F" w:rsidRPr="005A68E6" w:rsidRDefault="00B23B4F" w:rsidP="00B23B4F">
            <w:pPr>
              <w:spacing w:line="240" w:lineRule="auto"/>
              <w:ind w:firstLine="0"/>
              <w:jc w:val="left"/>
            </w:pPr>
            <w:r w:rsidRPr="005A68E6">
              <w:t>Share of domestic debt in total debt</w:t>
            </w:r>
          </w:p>
        </w:tc>
        <w:tc>
          <w:tcPr>
            <w:tcW w:w="2780" w:type="dxa"/>
            <w:tcBorders>
              <w:left w:val="nil"/>
              <w:right w:val="nil"/>
            </w:tcBorders>
            <w:vAlign w:val="center"/>
          </w:tcPr>
          <w:p w14:paraId="6CD10194" w14:textId="323B38A2" w:rsidR="00B23B4F" w:rsidRPr="005A68E6" w:rsidRDefault="004F1282" w:rsidP="00B23B4F">
            <w:pPr>
              <w:spacing w:line="240" w:lineRule="auto"/>
              <w:ind w:firstLine="0"/>
              <w:jc w:val="center"/>
            </w:pPr>
            <w:r w:rsidRPr="005A68E6">
              <w:rPr>
                <w:lang w:val="en-US"/>
              </w:rPr>
              <w:t>min</w:t>
            </w:r>
            <w:r w:rsidRPr="005A68E6">
              <w:t xml:space="preserve"> </w:t>
            </w:r>
            <w:r w:rsidR="00B23B4F" w:rsidRPr="005A68E6">
              <w:t>40%</w:t>
            </w:r>
          </w:p>
        </w:tc>
      </w:tr>
      <w:tr w:rsidR="00B23B4F" w:rsidRPr="005A68E6" w14:paraId="4F289734" w14:textId="77777777" w:rsidTr="008130DB">
        <w:trPr>
          <w:jc w:val="center"/>
        </w:trPr>
        <w:tc>
          <w:tcPr>
            <w:tcW w:w="7241" w:type="dxa"/>
            <w:tcBorders>
              <w:left w:val="nil"/>
              <w:bottom w:val="thickThinSmallGap" w:sz="24" w:space="0" w:color="auto"/>
              <w:right w:val="nil"/>
            </w:tcBorders>
          </w:tcPr>
          <w:p w14:paraId="2AC651B4" w14:textId="04C83D38" w:rsidR="00B23B4F" w:rsidRPr="005A68E6" w:rsidRDefault="00B23B4F" w:rsidP="00B23B4F">
            <w:pPr>
              <w:spacing w:line="240" w:lineRule="auto"/>
              <w:ind w:firstLine="0"/>
              <w:jc w:val="left"/>
              <w:rPr>
                <w:strike/>
              </w:rPr>
            </w:pPr>
            <w:r w:rsidRPr="005A68E6">
              <w:t>Share of AMD denominated debt in total debt</w:t>
            </w:r>
          </w:p>
        </w:tc>
        <w:tc>
          <w:tcPr>
            <w:tcW w:w="2780" w:type="dxa"/>
            <w:tcBorders>
              <w:left w:val="nil"/>
              <w:bottom w:val="thickThinSmallGap" w:sz="24" w:space="0" w:color="auto"/>
              <w:right w:val="nil"/>
            </w:tcBorders>
            <w:vAlign w:val="center"/>
          </w:tcPr>
          <w:p w14:paraId="15393811" w14:textId="209714A2" w:rsidR="00B23B4F" w:rsidRPr="005A68E6" w:rsidRDefault="004F1282" w:rsidP="00B23B4F">
            <w:pPr>
              <w:spacing w:line="240" w:lineRule="auto"/>
              <w:ind w:firstLine="0"/>
              <w:jc w:val="center"/>
              <w:rPr>
                <w:strike/>
              </w:rPr>
            </w:pPr>
            <w:r w:rsidRPr="005A68E6">
              <w:rPr>
                <w:lang w:val="en-US"/>
              </w:rPr>
              <w:t>min</w:t>
            </w:r>
            <w:r w:rsidRPr="005A68E6">
              <w:t xml:space="preserve"> </w:t>
            </w:r>
            <w:r w:rsidR="00B23B4F" w:rsidRPr="005A68E6">
              <w:t>40%</w:t>
            </w:r>
          </w:p>
        </w:tc>
      </w:tr>
    </w:tbl>
    <w:p w14:paraId="633D741D" w14:textId="793D3FFF" w:rsidR="00F9378D" w:rsidRPr="005A68E6" w:rsidRDefault="00F9378D" w:rsidP="005A68E6">
      <w:pPr>
        <w:spacing w:before="240"/>
        <w:rPr>
          <w:sz w:val="18"/>
          <w:lang w:val="en-US"/>
        </w:rPr>
      </w:pPr>
      <w:r w:rsidRPr="005A68E6">
        <w:rPr>
          <w:color w:val="FF0000"/>
        </w:rPr>
        <w:t xml:space="preserve"> </w:t>
      </w:r>
      <w:r w:rsidR="004F1282" w:rsidRPr="005A68E6">
        <w:rPr>
          <w:sz w:val="18"/>
          <w:lang w:val="en-US"/>
        </w:rPr>
        <w:t>Source: RA MoF calculations</w:t>
      </w:r>
    </w:p>
    <w:p w14:paraId="286F1954" w14:textId="77777777" w:rsidR="00233F1B" w:rsidRPr="005A68E6" w:rsidRDefault="00233F1B" w:rsidP="00F9378D">
      <w:pPr>
        <w:rPr>
          <w:sz w:val="18"/>
        </w:rPr>
      </w:pPr>
    </w:p>
    <w:p w14:paraId="08132FA7" w14:textId="77777777" w:rsidR="0024298B" w:rsidRPr="005A68E6" w:rsidRDefault="0024298B" w:rsidP="0024298B">
      <w:pPr>
        <w:rPr>
          <w:lang w:val="en-US"/>
        </w:rPr>
      </w:pPr>
      <w:r w:rsidRPr="005A68E6">
        <w:rPr>
          <w:lang w:val="en-US"/>
        </w:rPr>
        <w:t>Compared to</w:t>
      </w:r>
      <w:r w:rsidRPr="005A68E6">
        <w:t xml:space="preserve"> the RA Government debt </w:t>
      </w:r>
      <w:r w:rsidRPr="005A68E6">
        <w:rPr>
          <w:lang w:val="en-US"/>
        </w:rPr>
        <w:t xml:space="preserve">management </w:t>
      </w:r>
      <w:r w:rsidRPr="005A68E6">
        <w:t>strategy for 2023-2025, the following benchmark</w:t>
      </w:r>
      <w:r w:rsidRPr="005A68E6">
        <w:rPr>
          <w:lang w:val="en-US"/>
        </w:rPr>
        <w:t xml:space="preserve"> indicators have been revised.</w:t>
      </w:r>
    </w:p>
    <w:p w14:paraId="6317E0D9" w14:textId="49560094" w:rsidR="0024298B" w:rsidRPr="005A68E6" w:rsidRDefault="0024298B" w:rsidP="00F45C85">
      <w:pPr>
        <w:pStyle w:val="ListParagraph"/>
        <w:numPr>
          <w:ilvl w:val="0"/>
          <w:numId w:val="45"/>
        </w:numPr>
        <w:spacing w:line="360" w:lineRule="auto"/>
        <w:rPr>
          <w:rFonts w:ascii="GHEA Grapalat" w:eastAsia="Times New Roman" w:hAnsi="GHEA Grapalat" w:cs="Times Unicode"/>
        </w:rPr>
      </w:pPr>
      <w:r w:rsidRPr="005A68E6">
        <w:rPr>
          <w:rFonts w:ascii="GHEA Grapalat" w:eastAsia="Times New Roman" w:hAnsi="GHEA Grapalat" w:cs="Times Unicode"/>
          <w:lang w:val="en-US"/>
        </w:rPr>
        <w:t>T</w:t>
      </w:r>
      <w:r w:rsidRPr="005A68E6">
        <w:rPr>
          <w:rFonts w:ascii="GHEA Grapalat" w:eastAsia="Times New Roman" w:hAnsi="GHEA Grapalat" w:cs="Times Unicode"/>
        </w:rPr>
        <w:t xml:space="preserve">he </w:t>
      </w:r>
      <w:r w:rsidR="006A616E" w:rsidRPr="005A68E6">
        <w:rPr>
          <w:rFonts w:ascii="GHEA Grapalat" w:eastAsia="Times New Roman" w:hAnsi="GHEA Grapalat" w:cs="Times Unicode"/>
          <w:lang w:val="en-US"/>
        </w:rPr>
        <w:t>“S</w:t>
      </w:r>
      <w:r w:rsidR="00D80E2F" w:rsidRPr="005A68E6">
        <w:rPr>
          <w:rFonts w:ascii="GHEA Grapalat" w:eastAsia="Times New Roman" w:hAnsi="GHEA Grapalat" w:cs="Times Unicode"/>
          <w:lang w:val="en-US"/>
        </w:rPr>
        <w:t xml:space="preserve">hare </w:t>
      </w:r>
      <w:r w:rsidRPr="005A68E6">
        <w:rPr>
          <w:rFonts w:ascii="GHEA Grapalat" w:eastAsia="Times New Roman" w:hAnsi="GHEA Grapalat" w:cs="Times Unicode"/>
        </w:rPr>
        <w:t xml:space="preserve">of debt </w:t>
      </w:r>
      <w:r w:rsidR="00F45C85" w:rsidRPr="005A68E6">
        <w:rPr>
          <w:rFonts w:ascii="GHEA Grapalat" w:eastAsia="Times New Roman" w:hAnsi="GHEA Grapalat" w:cs="Times Unicode"/>
        </w:rPr>
        <w:t xml:space="preserve">maturing in the next </w:t>
      </w:r>
      <w:r w:rsidR="006A616E" w:rsidRPr="005A68E6">
        <w:rPr>
          <w:rFonts w:ascii="GHEA Grapalat" w:eastAsia="Times New Roman" w:hAnsi="GHEA Grapalat" w:cs="Times Unicode"/>
          <w:lang w:val="en-US"/>
        </w:rPr>
        <w:t>three</w:t>
      </w:r>
      <w:r w:rsidR="00F45C85" w:rsidRPr="005A68E6">
        <w:rPr>
          <w:rFonts w:ascii="GHEA Grapalat" w:eastAsia="Times New Roman" w:hAnsi="GHEA Grapalat" w:cs="Times Unicode"/>
        </w:rPr>
        <w:t xml:space="preserve"> years in total debt</w:t>
      </w:r>
      <w:r w:rsidR="006A616E" w:rsidRPr="005A68E6">
        <w:rPr>
          <w:rFonts w:ascii="GHEA Grapalat" w:eastAsia="Times New Roman" w:hAnsi="GHEA Grapalat" w:cs="Times Unicode"/>
          <w:lang w:val="en-US"/>
        </w:rPr>
        <w:t>”</w:t>
      </w:r>
      <w:r w:rsidRPr="005A68E6">
        <w:rPr>
          <w:rFonts w:ascii="GHEA Grapalat" w:eastAsia="Times New Roman" w:hAnsi="GHEA Grapalat" w:cs="Times Unicode"/>
        </w:rPr>
        <w:t xml:space="preserve"> </w:t>
      </w:r>
      <w:r w:rsidR="006A616E" w:rsidRPr="005A68E6">
        <w:rPr>
          <w:rFonts w:ascii="GHEA Grapalat" w:eastAsia="Times New Roman" w:hAnsi="GHEA Grapalat" w:cs="Times Unicode"/>
          <w:lang w:val="en-US"/>
        </w:rPr>
        <w:t>indicator</w:t>
      </w:r>
      <w:r w:rsidR="006A616E" w:rsidRPr="005A68E6">
        <w:rPr>
          <w:rFonts w:ascii="GHEA Grapalat" w:eastAsia="Times New Roman" w:hAnsi="GHEA Grapalat" w:cs="Times Unicode"/>
        </w:rPr>
        <w:t xml:space="preserve"> </w:t>
      </w:r>
      <w:r w:rsidR="006A616E" w:rsidRPr="005A68E6">
        <w:rPr>
          <w:rFonts w:ascii="GHEA Grapalat" w:eastAsia="Times New Roman" w:hAnsi="GHEA Grapalat" w:cs="Times Unicode"/>
          <w:lang w:val="en-US"/>
        </w:rPr>
        <w:t>was</w:t>
      </w:r>
      <w:r w:rsidRPr="005A68E6">
        <w:rPr>
          <w:rFonts w:ascii="GHEA Grapalat" w:eastAsia="Times New Roman" w:hAnsi="GHEA Grapalat" w:cs="Times Unicode"/>
        </w:rPr>
        <w:t xml:space="preserve"> added</w:t>
      </w:r>
      <w:r w:rsidR="00A00F2C" w:rsidRPr="005A68E6">
        <w:rPr>
          <w:rFonts w:ascii="GHEA Grapalat" w:eastAsia="Times New Roman" w:hAnsi="GHEA Grapalat" w:cs="Times Unicode"/>
          <w:lang w:val="en-US"/>
        </w:rPr>
        <w:t>, which</w:t>
      </w:r>
      <w:r w:rsidR="006A616E" w:rsidRPr="005A68E6">
        <w:rPr>
          <w:rFonts w:ascii="GHEA Grapalat" w:eastAsia="Times New Roman" w:hAnsi="GHEA Grapalat" w:cs="Times Unicode"/>
          <w:lang w:val="en-US"/>
        </w:rPr>
        <w:t xml:space="preserve"> </w:t>
      </w:r>
      <w:r w:rsidRPr="005A68E6">
        <w:rPr>
          <w:rFonts w:ascii="GHEA Grapalat" w:eastAsia="Times New Roman" w:hAnsi="GHEA Grapalat" w:cs="Times Unicode"/>
        </w:rPr>
        <w:t xml:space="preserve">aimed </w:t>
      </w:r>
      <w:r w:rsidRPr="005A68E6">
        <w:rPr>
          <w:rFonts w:ascii="GHEA Grapalat" w:eastAsia="Times New Roman" w:hAnsi="GHEA Grapalat" w:cs="Times Unicode"/>
          <w:lang w:val="en-US"/>
        </w:rPr>
        <w:t>to</w:t>
      </w:r>
      <w:r w:rsidRPr="005A68E6">
        <w:rPr>
          <w:rFonts w:ascii="GHEA Grapalat" w:eastAsia="Times New Roman" w:hAnsi="GHEA Grapalat" w:cs="Times Unicode"/>
        </w:rPr>
        <w:t xml:space="preserve"> increas</w:t>
      </w:r>
      <w:r w:rsidRPr="005A68E6">
        <w:rPr>
          <w:rFonts w:ascii="GHEA Grapalat" w:eastAsia="Times New Roman" w:hAnsi="GHEA Grapalat" w:cs="Times Unicode"/>
          <w:lang w:val="en-US"/>
        </w:rPr>
        <w:t>e</w:t>
      </w:r>
      <w:r w:rsidRPr="005A68E6">
        <w:rPr>
          <w:rFonts w:ascii="GHEA Grapalat" w:eastAsia="Times New Roman" w:hAnsi="GHEA Grapalat" w:cs="Times Unicode"/>
        </w:rPr>
        <w:t xml:space="preserve"> </w:t>
      </w:r>
      <w:r w:rsidR="00A00F2C" w:rsidRPr="005A68E6">
        <w:rPr>
          <w:rFonts w:ascii="GHEA Grapalat" w:eastAsia="Times New Roman" w:hAnsi="GHEA Grapalat" w:cs="Times Unicode"/>
          <w:lang w:val="en-US"/>
        </w:rPr>
        <w:t>oversight</w:t>
      </w:r>
      <w:r w:rsidRPr="005A68E6">
        <w:rPr>
          <w:rFonts w:ascii="GHEA Grapalat" w:eastAsia="Times New Roman" w:hAnsi="GHEA Grapalat" w:cs="Times Unicode"/>
        </w:rPr>
        <w:t xml:space="preserve"> over the refinancing risk and smooth the </w:t>
      </w:r>
      <w:r w:rsidR="00D80E2F" w:rsidRPr="005A68E6">
        <w:rPr>
          <w:rFonts w:ascii="GHEA Grapalat" w:eastAsia="Times New Roman" w:hAnsi="GHEA Grapalat" w:cs="Times Unicode"/>
          <w:lang w:val="en-US"/>
        </w:rPr>
        <w:t>redemption profile</w:t>
      </w:r>
      <w:r w:rsidRPr="005A68E6">
        <w:rPr>
          <w:rFonts w:ascii="GHEA Grapalat" w:eastAsia="Times New Roman" w:hAnsi="GHEA Grapalat" w:cs="Times Unicode"/>
          <w:lang w:val="en-US"/>
        </w:rPr>
        <w:t>.</w:t>
      </w:r>
    </w:p>
    <w:p w14:paraId="2619D41A" w14:textId="2278A2DF" w:rsidR="0024298B" w:rsidRPr="005A68E6" w:rsidRDefault="00A00F2C" w:rsidP="0024298B">
      <w:pPr>
        <w:numPr>
          <w:ilvl w:val="0"/>
          <w:numId w:val="45"/>
        </w:numPr>
      </w:pPr>
      <w:r w:rsidRPr="005A68E6">
        <w:rPr>
          <w:lang w:val="en-US"/>
        </w:rPr>
        <w:t>T</w:t>
      </w:r>
      <w:r w:rsidR="0024298B" w:rsidRPr="005A68E6">
        <w:rPr>
          <w:lang w:val="en-US"/>
        </w:rPr>
        <w:t xml:space="preserve">he </w:t>
      </w:r>
      <w:r w:rsidRPr="005A68E6">
        <w:rPr>
          <w:lang w:val="en-US"/>
        </w:rPr>
        <w:t>“</w:t>
      </w:r>
      <w:r w:rsidR="0024298B" w:rsidRPr="005A68E6">
        <w:rPr>
          <w:lang w:val="en-US"/>
        </w:rPr>
        <w:t>Share of domestic debt in total debt</w:t>
      </w:r>
      <w:r w:rsidRPr="005A68E6">
        <w:rPr>
          <w:lang w:val="en-US"/>
        </w:rPr>
        <w:t>”</w:t>
      </w:r>
      <w:r w:rsidR="0024298B" w:rsidRPr="005A68E6">
        <w:rPr>
          <w:lang w:val="en-US"/>
        </w:rPr>
        <w:t xml:space="preserve"> and the </w:t>
      </w:r>
      <w:r w:rsidRPr="005A68E6">
        <w:rPr>
          <w:lang w:val="en-US"/>
        </w:rPr>
        <w:t>“</w:t>
      </w:r>
      <w:r w:rsidR="0024298B" w:rsidRPr="005A68E6">
        <w:rPr>
          <w:lang w:val="en-US"/>
        </w:rPr>
        <w:t>Share of AMD denominated debt in total debt</w:t>
      </w:r>
      <w:r w:rsidRPr="005A68E6">
        <w:rPr>
          <w:lang w:val="en-US"/>
        </w:rPr>
        <w:t>”</w:t>
      </w:r>
      <w:r w:rsidR="0024298B" w:rsidRPr="005A68E6">
        <w:rPr>
          <w:lang w:val="en-US"/>
        </w:rPr>
        <w:t xml:space="preserve"> </w:t>
      </w:r>
      <w:r w:rsidRPr="005A68E6">
        <w:rPr>
          <w:lang w:val="en-US"/>
        </w:rPr>
        <w:t xml:space="preserve">indicators </w:t>
      </w:r>
      <w:r w:rsidR="0024298B" w:rsidRPr="005A68E6">
        <w:rPr>
          <w:lang w:val="en-US"/>
        </w:rPr>
        <w:t xml:space="preserve">were revised from a minimum of 30% to be minimum of 40% </w:t>
      </w:r>
      <w:r w:rsidRPr="005A68E6">
        <w:rPr>
          <w:lang w:val="en-US"/>
        </w:rPr>
        <w:t>within the framework of the consistent policy of reducing the exchange rate risk.</w:t>
      </w:r>
    </w:p>
    <w:p w14:paraId="090D0468" w14:textId="77777777" w:rsidR="005A68E6" w:rsidRPr="005A68E6" w:rsidRDefault="005A68E6" w:rsidP="005A68E6">
      <w:pPr>
        <w:ind w:left="1287" w:firstLine="0"/>
      </w:pPr>
    </w:p>
    <w:p w14:paraId="5D4806A0" w14:textId="7F224B3F" w:rsidR="00025E2D" w:rsidRPr="005A68E6" w:rsidRDefault="00931F00" w:rsidP="00941791">
      <w:pPr>
        <w:pStyle w:val="Heading2"/>
      </w:pPr>
      <w:bookmarkStart w:id="25" w:name="_Toc150627826"/>
      <w:r w:rsidRPr="005A68E6">
        <w:lastRenderedPageBreak/>
        <w:t>Sensitivity analysis</w:t>
      </w:r>
      <w:bookmarkEnd w:id="25"/>
    </w:p>
    <w:p w14:paraId="2F331991" w14:textId="7F839FC4" w:rsidR="00025E2D" w:rsidRPr="005A68E6" w:rsidRDefault="00025E2D" w:rsidP="00A1274B">
      <w:pPr>
        <w:rPr>
          <w:color w:val="FF0000"/>
        </w:rPr>
      </w:pPr>
    </w:p>
    <w:p w14:paraId="6AE216A7" w14:textId="0966958C" w:rsidR="0024298B" w:rsidRPr="005A68E6" w:rsidRDefault="0024298B" w:rsidP="0024298B">
      <w:pPr>
        <w:spacing w:line="336" w:lineRule="auto"/>
      </w:pPr>
      <w:r w:rsidRPr="005A68E6">
        <w:t>The cost-at-risk analysis implemented so far was based on the forecasted macroeconomic and fiscal indicators and represents the baseline scenario for the RA Government debt management strategy. The deviations of the cost-at-risk indicators from the baseline scenario</w:t>
      </w:r>
      <w:r w:rsidR="006E74B7" w:rsidRPr="005A68E6">
        <w:rPr>
          <w:lang w:val="en-US"/>
        </w:rPr>
        <w:t xml:space="preserve"> or the</w:t>
      </w:r>
      <w:r w:rsidR="00C36FA4" w:rsidRPr="005A68E6">
        <w:rPr>
          <w:lang w:val="en-US"/>
        </w:rPr>
        <w:t xml:space="preserve"> </w:t>
      </w:r>
      <w:r w:rsidR="00931F00" w:rsidRPr="005A68E6">
        <w:rPr>
          <w:lang w:val="en-US"/>
        </w:rPr>
        <w:t>adopted</w:t>
      </w:r>
      <w:r w:rsidR="00C36FA4" w:rsidRPr="005A68E6">
        <w:rPr>
          <w:lang w:val="en-US"/>
        </w:rPr>
        <w:t xml:space="preserve"> strategy</w:t>
      </w:r>
      <w:r w:rsidRPr="005A68E6">
        <w:t xml:space="preserve"> after simulating different shocks to the market variables are presented below.</w:t>
      </w:r>
    </w:p>
    <w:p w14:paraId="2D38C676" w14:textId="77777777" w:rsidR="0024298B" w:rsidRPr="005A68E6" w:rsidRDefault="0024298B" w:rsidP="00A1274B">
      <w:pPr>
        <w:rPr>
          <w:color w:val="FF0000"/>
        </w:rPr>
      </w:pPr>
    </w:p>
    <w:p w14:paraId="0A597388" w14:textId="3588A0A5" w:rsidR="00D87CE7" w:rsidRPr="005A68E6" w:rsidRDefault="00D87CE7" w:rsidP="006E74B7">
      <w:pPr>
        <w:pStyle w:val="Heading5"/>
        <w:keepNext/>
        <w:numPr>
          <w:ilvl w:val="0"/>
          <w:numId w:val="42"/>
        </w:numPr>
        <w:spacing w:before="120" w:after="240" w:line="240" w:lineRule="auto"/>
        <w:jc w:val="left"/>
        <w:rPr>
          <w:rFonts w:cs="Arial"/>
          <w:bCs w:val="0"/>
          <w:i w:val="0"/>
          <w:iCs w:val="0"/>
          <w:sz w:val="22"/>
          <w:szCs w:val="24"/>
          <w:lang w:val="en-US"/>
        </w:rPr>
      </w:pPr>
      <w:r w:rsidRPr="005A68E6">
        <w:rPr>
          <w:rFonts w:cs="Arial"/>
          <w:bCs w:val="0"/>
          <w:i w:val="0"/>
          <w:iCs w:val="0"/>
          <w:sz w:val="22"/>
          <w:szCs w:val="24"/>
          <w:lang w:val="en-US"/>
        </w:rPr>
        <w:t>RA Government debt/GDP ratio for 2023-2026</w:t>
      </w:r>
    </w:p>
    <w:p w14:paraId="05425A06" w14:textId="0848F5DB" w:rsidR="00BF2905" w:rsidRPr="005A68E6" w:rsidRDefault="00B97C9A" w:rsidP="00A24611">
      <w:pPr>
        <w:pStyle w:val="NoSpacing"/>
        <w:rPr>
          <w:rFonts w:ascii="GHEA Grapalat" w:hAnsi="GHEA Grapalat"/>
          <w:color w:val="FF0000"/>
        </w:rPr>
      </w:pPr>
      <w:r w:rsidRPr="005A68E6">
        <w:rPr>
          <w:rFonts w:ascii="GHEA Grapalat" w:hAnsi="GHEA Grapalat"/>
          <w:noProof/>
        </w:rPr>
        <w:drawing>
          <wp:inline distT="0" distB="0" distL="0" distR="0" wp14:anchorId="314C61FB" wp14:editId="5A57BB0C">
            <wp:extent cx="5495924" cy="3876675"/>
            <wp:effectExtent l="0" t="0" r="10160" b="9525"/>
            <wp:docPr id="6" name="Chart 6">
              <a:extLst xmlns:a="http://schemas.openxmlformats.org/drawingml/2006/main">
                <a:ext uri="{FF2B5EF4-FFF2-40B4-BE49-F238E27FC236}">
                  <a16:creationId xmlns:a16="http://schemas.microsoft.com/office/drawing/2014/main" id="{00000000-0008-0000-0F00-00004640F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0C8AFA" w14:textId="2FC6F250" w:rsidR="00C36FA4" w:rsidRPr="005A68E6" w:rsidRDefault="00C36FA4" w:rsidP="00C36FA4">
      <w:pPr>
        <w:pStyle w:val="NoSpacing"/>
        <w:spacing w:before="120"/>
        <w:rPr>
          <w:rFonts w:ascii="GHEA Grapalat" w:hAnsi="GHEA Grapalat"/>
          <w:sz w:val="18"/>
        </w:rPr>
      </w:pPr>
      <w:r w:rsidRPr="005A68E6">
        <w:rPr>
          <w:rFonts w:ascii="GHEA Grapalat" w:hAnsi="GHEA Grapalat"/>
          <w:sz w:val="18"/>
        </w:rPr>
        <w:t>Source: RA MoF calculations and forecasts</w:t>
      </w:r>
    </w:p>
    <w:p w14:paraId="7E4AA639" w14:textId="7CA3726D" w:rsidR="006E74B7" w:rsidRPr="005A68E6" w:rsidRDefault="006E74B7" w:rsidP="00C36FA4">
      <w:pPr>
        <w:pStyle w:val="NoSpacing"/>
        <w:spacing w:before="120"/>
        <w:rPr>
          <w:rFonts w:ascii="GHEA Grapalat" w:hAnsi="GHEA Grapalat"/>
          <w:color w:val="FF0000"/>
        </w:rPr>
      </w:pPr>
    </w:p>
    <w:p w14:paraId="2569BFBA" w14:textId="77B34FCF" w:rsidR="005A68E6" w:rsidRPr="005A68E6" w:rsidRDefault="005A68E6" w:rsidP="00C36FA4">
      <w:pPr>
        <w:pStyle w:val="NoSpacing"/>
        <w:spacing w:before="120"/>
        <w:rPr>
          <w:rFonts w:ascii="GHEA Grapalat" w:hAnsi="GHEA Grapalat"/>
          <w:color w:val="FF0000"/>
        </w:rPr>
      </w:pPr>
    </w:p>
    <w:p w14:paraId="3509A7C5" w14:textId="49A0F915" w:rsidR="005A68E6" w:rsidRPr="005A68E6" w:rsidRDefault="005A68E6" w:rsidP="00C36FA4">
      <w:pPr>
        <w:pStyle w:val="NoSpacing"/>
        <w:spacing w:before="120"/>
        <w:rPr>
          <w:rFonts w:ascii="GHEA Grapalat" w:hAnsi="GHEA Grapalat"/>
          <w:color w:val="FF0000"/>
        </w:rPr>
      </w:pPr>
    </w:p>
    <w:p w14:paraId="3F80834E" w14:textId="358A8206" w:rsidR="005A68E6" w:rsidRPr="005A68E6" w:rsidRDefault="005A68E6" w:rsidP="00C36FA4">
      <w:pPr>
        <w:pStyle w:val="NoSpacing"/>
        <w:spacing w:before="120"/>
        <w:rPr>
          <w:rFonts w:ascii="GHEA Grapalat" w:hAnsi="GHEA Grapalat"/>
          <w:color w:val="FF0000"/>
        </w:rPr>
      </w:pPr>
    </w:p>
    <w:p w14:paraId="1DAAFFDE" w14:textId="3A64EAD2" w:rsidR="005A68E6" w:rsidRPr="005A68E6" w:rsidRDefault="005A68E6" w:rsidP="00C36FA4">
      <w:pPr>
        <w:pStyle w:val="NoSpacing"/>
        <w:spacing w:before="120"/>
        <w:rPr>
          <w:rFonts w:ascii="GHEA Grapalat" w:hAnsi="GHEA Grapalat"/>
          <w:color w:val="FF0000"/>
        </w:rPr>
      </w:pPr>
    </w:p>
    <w:p w14:paraId="4C913DCD" w14:textId="6151ECE2" w:rsidR="005A68E6" w:rsidRPr="005A68E6" w:rsidRDefault="005A68E6" w:rsidP="00C36FA4">
      <w:pPr>
        <w:pStyle w:val="NoSpacing"/>
        <w:spacing w:before="120"/>
        <w:rPr>
          <w:rFonts w:ascii="GHEA Grapalat" w:hAnsi="GHEA Grapalat"/>
          <w:color w:val="FF0000"/>
        </w:rPr>
      </w:pPr>
    </w:p>
    <w:p w14:paraId="1EF97D16" w14:textId="362677CB" w:rsidR="005A68E6" w:rsidRPr="005A68E6" w:rsidRDefault="005A68E6" w:rsidP="00C36FA4">
      <w:pPr>
        <w:pStyle w:val="NoSpacing"/>
        <w:spacing w:before="120"/>
        <w:rPr>
          <w:rFonts w:ascii="GHEA Grapalat" w:hAnsi="GHEA Grapalat"/>
          <w:color w:val="FF0000"/>
        </w:rPr>
      </w:pPr>
    </w:p>
    <w:p w14:paraId="7CCE8A53" w14:textId="18A22374" w:rsidR="005A68E6" w:rsidRPr="005A68E6" w:rsidRDefault="005A68E6" w:rsidP="00C36FA4">
      <w:pPr>
        <w:pStyle w:val="NoSpacing"/>
        <w:spacing w:before="120"/>
        <w:rPr>
          <w:rFonts w:ascii="GHEA Grapalat" w:hAnsi="GHEA Grapalat"/>
          <w:color w:val="FF0000"/>
        </w:rPr>
      </w:pPr>
    </w:p>
    <w:p w14:paraId="1F36CC78" w14:textId="77777777" w:rsidR="005A68E6" w:rsidRPr="005A68E6" w:rsidRDefault="005A68E6" w:rsidP="00C36FA4">
      <w:pPr>
        <w:pStyle w:val="NoSpacing"/>
        <w:spacing w:before="120"/>
        <w:rPr>
          <w:rFonts w:ascii="GHEA Grapalat" w:hAnsi="GHEA Grapalat"/>
          <w:color w:val="FF0000"/>
        </w:rPr>
      </w:pPr>
    </w:p>
    <w:p w14:paraId="41C394E5" w14:textId="198BF721" w:rsidR="008F1A0B" w:rsidRPr="005A68E6" w:rsidRDefault="008F1A0B" w:rsidP="006E74B7">
      <w:pPr>
        <w:pStyle w:val="Heading5"/>
        <w:keepNext/>
        <w:numPr>
          <w:ilvl w:val="0"/>
          <w:numId w:val="42"/>
        </w:numPr>
        <w:spacing w:before="120" w:after="240" w:line="240" w:lineRule="auto"/>
        <w:jc w:val="left"/>
        <w:rPr>
          <w:rFonts w:cs="Arial"/>
          <w:bCs w:val="0"/>
          <w:i w:val="0"/>
          <w:iCs w:val="0"/>
          <w:sz w:val="22"/>
          <w:szCs w:val="24"/>
          <w:lang w:val="en-US"/>
        </w:rPr>
      </w:pPr>
      <w:r w:rsidRPr="005A68E6">
        <w:rPr>
          <w:rFonts w:cs="Arial"/>
          <w:bCs w:val="0"/>
          <w:i w:val="0"/>
          <w:iCs w:val="0"/>
          <w:sz w:val="22"/>
          <w:szCs w:val="24"/>
          <w:lang w:val="en-US"/>
        </w:rPr>
        <w:lastRenderedPageBreak/>
        <w:t>Interest payments/GDP for 2023-2026</w:t>
      </w:r>
    </w:p>
    <w:p w14:paraId="342D246B" w14:textId="622CAD8F" w:rsidR="008F1A0B" w:rsidRPr="005A68E6" w:rsidRDefault="008F1A0B" w:rsidP="00D76EC5">
      <w:pPr>
        <w:pStyle w:val="NoSpacing1"/>
        <w:spacing w:before="120"/>
        <w:rPr>
          <w:rFonts w:ascii="GHEA Grapalat" w:hAnsi="GHEA Grapalat"/>
          <w:noProof/>
          <w:color w:val="FF0000"/>
        </w:rPr>
      </w:pPr>
      <w:r w:rsidRPr="005A68E6">
        <w:rPr>
          <w:rFonts w:ascii="GHEA Grapalat" w:hAnsi="GHEA Grapalat"/>
          <w:noProof/>
        </w:rPr>
        <w:drawing>
          <wp:inline distT="0" distB="0" distL="0" distR="0" wp14:anchorId="7BBBF22A" wp14:editId="7446299E">
            <wp:extent cx="5048250" cy="3609975"/>
            <wp:effectExtent l="0" t="0" r="0" b="9525"/>
            <wp:docPr id="7" name="Chart 7">
              <a:extLst xmlns:a="http://schemas.openxmlformats.org/drawingml/2006/main">
                <a:ext uri="{FF2B5EF4-FFF2-40B4-BE49-F238E27FC236}">
                  <a16:creationId xmlns:a16="http://schemas.microsoft.com/office/drawing/2014/main" id="{00000000-0008-0000-0F00-00004740F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0BAED8" w14:textId="77777777" w:rsidR="00C36FA4" w:rsidRPr="005A68E6" w:rsidRDefault="00C36FA4" w:rsidP="00C36FA4">
      <w:pPr>
        <w:pStyle w:val="NoSpacing"/>
        <w:spacing w:before="120"/>
        <w:rPr>
          <w:rFonts w:ascii="GHEA Grapalat" w:hAnsi="GHEA Grapalat"/>
          <w:color w:val="FF0000"/>
          <w:sz w:val="24"/>
        </w:rPr>
      </w:pPr>
      <w:r w:rsidRPr="005A68E6">
        <w:rPr>
          <w:rFonts w:ascii="GHEA Grapalat" w:hAnsi="GHEA Grapalat"/>
          <w:sz w:val="18"/>
        </w:rPr>
        <w:t>Source: RA MoF calculations and forecasts</w:t>
      </w:r>
    </w:p>
    <w:p w14:paraId="670B3039" w14:textId="77777777" w:rsidR="00C36FA4" w:rsidRPr="005A68E6" w:rsidRDefault="00C36FA4" w:rsidP="00D76EC5">
      <w:pPr>
        <w:pStyle w:val="NoSpacing1"/>
        <w:spacing w:before="120"/>
        <w:rPr>
          <w:rFonts w:ascii="GHEA Grapalat" w:hAnsi="GHEA Grapalat"/>
          <w:noProof/>
          <w:color w:val="FF0000"/>
        </w:rPr>
      </w:pPr>
    </w:p>
    <w:p w14:paraId="661B0210" w14:textId="73215882" w:rsidR="00025E2D" w:rsidRPr="005A68E6" w:rsidRDefault="00025E2D" w:rsidP="00A1274B">
      <w:pPr>
        <w:rPr>
          <w:color w:val="FF0000"/>
        </w:rPr>
      </w:pPr>
    </w:p>
    <w:p w14:paraId="18C1E545" w14:textId="77777777" w:rsidR="0024298B" w:rsidRPr="005A68E6" w:rsidRDefault="0024298B" w:rsidP="0024298B">
      <w:pPr>
        <w:pStyle w:val="af8"/>
        <w:spacing w:before="0"/>
      </w:pPr>
      <w:r w:rsidRPr="005A68E6">
        <w:t>Exchange rate shock</w:t>
      </w:r>
    </w:p>
    <w:p w14:paraId="61853F70" w14:textId="1CC31132" w:rsidR="0024298B" w:rsidRPr="005A68E6" w:rsidRDefault="0024298B" w:rsidP="0024298B">
      <w:r w:rsidRPr="005A68E6">
        <w:t>The RA Government debt portfolio is exposed to substantial exchange rate risks. When applying a 23.6% shock</w:t>
      </w:r>
      <w:r w:rsidR="00767413" w:rsidRPr="005A68E6">
        <w:rPr>
          <w:rStyle w:val="FootnoteReference"/>
        </w:rPr>
        <w:footnoteReference w:id="2"/>
      </w:r>
      <w:r w:rsidRPr="005A68E6">
        <w:t xml:space="preserve"> equal to the historical maximum value </w:t>
      </w:r>
      <w:r w:rsidR="00767413" w:rsidRPr="005A68E6">
        <w:rPr>
          <w:lang w:val="en-US"/>
        </w:rPr>
        <w:t>of AMD de</w:t>
      </w:r>
      <w:r w:rsidR="00BD42CE" w:rsidRPr="005A68E6">
        <w:rPr>
          <w:lang w:val="en-US"/>
        </w:rPr>
        <w:t>pre</w:t>
      </w:r>
      <w:r w:rsidR="00794255" w:rsidRPr="005A68E6">
        <w:rPr>
          <w:lang w:val="en-US"/>
        </w:rPr>
        <w:t xml:space="preserve">ciation </w:t>
      </w:r>
      <w:r w:rsidRPr="005A68E6">
        <w:t>and devaluating AMD against USD, EUR, and SDR in 202</w:t>
      </w:r>
      <w:r w:rsidRPr="005A68E6">
        <w:rPr>
          <w:lang w:val="en-US"/>
        </w:rPr>
        <w:t>4</w:t>
      </w:r>
      <w:r w:rsidRPr="005A68E6">
        <w:t xml:space="preserve">, the RA Government debt/GDP ratio reaches </w:t>
      </w:r>
      <w:r w:rsidRPr="005A68E6">
        <w:rPr>
          <w:lang w:val="en-US"/>
        </w:rPr>
        <w:t>55.7</w:t>
      </w:r>
      <w:r w:rsidRPr="005A68E6">
        <w:t>% at the end of 202</w:t>
      </w:r>
      <w:r w:rsidRPr="005A68E6">
        <w:rPr>
          <w:lang w:val="en-US"/>
        </w:rPr>
        <w:t>6</w:t>
      </w:r>
      <w:r w:rsidRPr="005A68E6">
        <w:t xml:space="preserve">, which exceeds the same indicator against the baseline scenario by </w:t>
      </w:r>
      <w:r w:rsidRPr="005A68E6">
        <w:rPr>
          <w:lang w:val="en-US"/>
        </w:rPr>
        <w:t>6.5</w:t>
      </w:r>
      <w:r w:rsidRPr="005A68E6">
        <w:t xml:space="preserve"> percentage points.</w:t>
      </w:r>
    </w:p>
    <w:p w14:paraId="4FDF8E71" w14:textId="270E1B33" w:rsidR="0024298B" w:rsidRPr="005A68E6" w:rsidRDefault="0024298B" w:rsidP="0024298B">
      <w:r w:rsidRPr="005A68E6">
        <w:t>A 1% change in the exchange rates formed as of 01.02.202</w:t>
      </w:r>
      <w:r w:rsidRPr="005A68E6">
        <w:rPr>
          <w:lang w:val="en-US"/>
        </w:rPr>
        <w:t>3</w:t>
      </w:r>
      <w:r w:rsidRPr="005A68E6">
        <w:t xml:space="preserve"> (based on which the foreign currency denominated RA Government debt </w:t>
      </w:r>
      <w:r w:rsidR="00794255" w:rsidRPr="005A68E6">
        <w:rPr>
          <w:lang w:val="en-US"/>
        </w:rPr>
        <w:t>was</w:t>
      </w:r>
      <w:r w:rsidRPr="005A68E6">
        <w:t xml:space="preserve"> converted into USD) will result in an average annual change of AMD 3</w:t>
      </w:r>
      <w:r w:rsidRPr="005A68E6">
        <w:rPr>
          <w:lang w:val="en-US"/>
        </w:rPr>
        <w:t>1</w:t>
      </w:r>
      <w:r w:rsidRPr="005A68E6">
        <w:t>.</w:t>
      </w:r>
      <w:r w:rsidRPr="005A68E6">
        <w:rPr>
          <w:lang w:val="en-US"/>
        </w:rPr>
        <w:t>1</w:t>
      </w:r>
      <w:r w:rsidRPr="005A68E6">
        <w:t xml:space="preserve"> billion or 0.</w:t>
      </w:r>
      <w:r w:rsidRPr="005A68E6">
        <w:rPr>
          <w:lang w:val="en-US"/>
        </w:rPr>
        <w:t>3</w:t>
      </w:r>
      <w:r w:rsidRPr="005A68E6">
        <w:t xml:space="preserve">% of GDP </w:t>
      </w:r>
      <w:r w:rsidRPr="005A68E6">
        <w:rPr>
          <w:lang w:val="en-US"/>
        </w:rPr>
        <w:t xml:space="preserve">of </w:t>
      </w:r>
      <w:r w:rsidRPr="005A68E6">
        <w:t>the foreign currency denominated RA Government debt during 202</w:t>
      </w:r>
      <w:r w:rsidRPr="005A68E6">
        <w:rPr>
          <w:lang w:val="en-US"/>
        </w:rPr>
        <w:t>4</w:t>
      </w:r>
      <w:r w:rsidRPr="005A68E6">
        <w:t>-202</w:t>
      </w:r>
      <w:r w:rsidRPr="005A68E6">
        <w:rPr>
          <w:lang w:val="en-US"/>
        </w:rPr>
        <w:t>6</w:t>
      </w:r>
      <w:r w:rsidRPr="005A68E6">
        <w:t>.</w:t>
      </w:r>
    </w:p>
    <w:p w14:paraId="5B8E27F6" w14:textId="77777777" w:rsidR="0024298B" w:rsidRPr="005A68E6" w:rsidRDefault="0024298B" w:rsidP="00A1274B">
      <w:pPr>
        <w:rPr>
          <w:color w:val="FF0000"/>
        </w:rPr>
      </w:pPr>
    </w:p>
    <w:p w14:paraId="776E4826" w14:textId="77777777" w:rsidR="0024298B" w:rsidRPr="005A68E6" w:rsidRDefault="0024298B" w:rsidP="0024298B">
      <w:pPr>
        <w:pStyle w:val="af8"/>
        <w:spacing w:after="240"/>
        <w:rPr>
          <w:lang w:val="en-US"/>
        </w:rPr>
      </w:pPr>
      <w:r w:rsidRPr="005A68E6">
        <w:rPr>
          <w:lang w:val="en-US"/>
        </w:rPr>
        <w:t>Interest rate shock</w:t>
      </w:r>
    </w:p>
    <w:p w14:paraId="5CD2CB8B" w14:textId="36AF8159" w:rsidR="0024298B" w:rsidRPr="005A68E6" w:rsidRDefault="0024298B" w:rsidP="0024298B">
      <w:r w:rsidRPr="005A68E6">
        <w:t xml:space="preserve">Analyzing the shock scenario </w:t>
      </w:r>
      <w:r w:rsidRPr="005A68E6">
        <w:rPr>
          <w:lang w:val="en-US"/>
        </w:rPr>
        <w:t xml:space="preserve">of a 250 basis points </w:t>
      </w:r>
      <w:r w:rsidRPr="005A68E6">
        <w:t xml:space="preserve">increase </w:t>
      </w:r>
      <w:r w:rsidRPr="005A68E6">
        <w:rPr>
          <w:lang w:val="en-US"/>
        </w:rPr>
        <w:t>in</w:t>
      </w:r>
      <w:r w:rsidRPr="005A68E6">
        <w:t xml:space="preserve"> interest rates for external and domestic borrowings</w:t>
      </w:r>
      <w:r w:rsidR="00E71A50" w:rsidRPr="005A68E6">
        <w:rPr>
          <w:lang w:val="en-US"/>
        </w:rPr>
        <w:t xml:space="preserve"> </w:t>
      </w:r>
      <w:r w:rsidR="00794255" w:rsidRPr="005A68E6">
        <w:rPr>
          <w:lang w:val="en-US"/>
        </w:rPr>
        <w:t>(I</w:t>
      </w:r>
      <w:r w:rsidRPr="005A68E6">
        <w:rPr>
          <w:lang w:val="en-US"/>
        </w:rPr>
        <w:t>nterest rate shock 1)</w:t>
      </w:r>
      <w:r w:rsidRPr="005A68E6">
        <w:t xml:space="preserve">, which is a standard moderate shock used </w:t>
      </w:r>
      <w:r w:rsidR="00E71A50" w:rsidRPr="005A68E6">
        <w:rPr>
          <w:lang w:val="en-US"/>
        </w:rPr>
        <w:t xml:space="preserve">in debt strategy analysis </w:t>
      </w:r>
      <w:r w:rsidRPr="005A68E6">
        <w:t xml:space="preserve">by </w:t>
      </w:r>
      <w:r w:rsidR="00794255" w:rsidRPr="005A68E6">
        <w:rPr>
          <w:lang w:val="en-US"/>
        </w:rPr>
        <w:t xml:space="preserve">the </w:t>
      </w:r>
      <w:r w:rsidRPr="005A68E6">
        <w:t xml:space="preserve">international financial institutions (it is </w:t>
      </w:r>
      <w:r w:rsidR="005354B4" w:rsidRPr="005A68E6">
        <w:t>roughly</w:t>
      </w:r>
      <w:r w:rsidR="005354B4" w:rsidRPr="005A68E6" w:rsidDel="005354B4">
        <w:t xml:space="preserve"> </w:t>
      </w:r>
      <w:r w:rsidRPr="005A68E6">
        <w:t xml:space="preserve">equal to one standard deviation </w:t>
      </w:r>
      <w:r w:rsidRPr="005A68E6">
        <w:rPr>
          <w:lang w:val="en-US"/>
        </w:rPr>
        <w:t xml:space="preserve">of </w:t>
      </w:r>
      <w:r w:rsidRPr="005A68E6">
        <w:t xml:space="preserve">the historical volatility of </w:t>
      </w:r>
      <w:r w:rsidRPr="005A68E6">
        <w:lastRenderedPageBreak/>
        <w:t xml:space="preserve">real interest rates), it becomes clear that the impact of interest rate shock on </w:t>
      </w:r>
      <w:r w:rsidR="004D6547" w:rsidRPr="005A68E6">
        <w:rPr>
          <w:lang w:val="en-US"/>
        </w:rPr>
        <w:t xml:space="preserve">the </w:t>
      </w:r>
      <w:r w:rsidRPr="005A68E6">
        <w:t xml:space="preserve">RA Government debt portfolio remains moderate. The RA Government debt/GDP ratio reaches </w:t>
      </w:r>
      <w:r w:rsidRPr="005A68E6">
        <w:rPr>
          <w:lang w:val="en-US"/>
        </w:rPr>
        <w:t>50</w:t>
      </w:r>
      <w:r w:rsidRPr="005A68E6">
        <w:t>.</w:t>
      </w:r>
      <w:r w:rsidRPr="005A68E6">
        <w:rPr>
          <w:lang w:val="en-US"/>
        </w:rPr>
        <w:t>3</w:t>
      </w:r>
      <w:r w:rsidRPr="005A68E6">
        <w:t>% at the end of 202</w:t>
      </w:r>
      <w:r w:rsidRPr="005A68E6">
        <w:rPr>
          <w:lang w:val="en-US"/>
        </w:rPr>
        <w:t>6</w:t>
      </w:r>
      <w:r w:rsidRPr="005A68E6">
        <w:t xml:space="preserve">, increasing by </w:t>
      </w:r>
      <w:r w:rsidRPr="005A68E6">
        <w:rPr>
          <w:lang w:val="en-US"/>
        </w:rPr>
        <w:t>1</w:t>
      </w:r>
      <w:r w:rsidRPr="005A68E6">
        <w:t xml:space="preserve">.1 percentage points </w:t>
      </w:r>
      <w:r w:rsidRPr="005A68E6">
        <w:rPr>
          <w:lang w:val="en-US"/>
        </w:rPr>
        <w:t>compared to</w:t>
      </w:r>
      <w:r w:rsidRPr="005A68E6">
        <w:t xml:space="preserve"> the same indicator of the baseline scenario. In this case, the Interest payment/ GDP ratio </w:t>
      </w:r>
      <w:r w:rsidRPr="005A68E6">
        <w:rPr>
          <w:lang w:val="en-US"/>
        </w:rPr>
        <w:t>might</w:t>
      </w:r>
      <w:r w:rsidRPr="005A68E6">
        <w:t xml:space="preserve"> increase by 0.</w:t>
      </w:r>
      <w:r w:rsidRPr="005A68E6">
        <w:rPr>
          <w:lang w:val="en-US"/>
        </w:rPr>
        <w:t>5</w:t>
      </w:r>
      <w:r w:rsidRPr="005A68E6">
        <w:t xml:space="preserve"> percentage points. </w:t>
      </w:r>
    </w:p>
    <w:p w14:paraId="2E1217ED" w14:textId="6D4B6C0C" w:rsidR="0024298B" w:rsidRPr="005A68E6" w:rsidRDefault="0024298B" w:rsidP="0024298B">
      <w:r w:rsidRPr="005A68E6">
        <w:t>At the same time</w:t>
      </w:r>
      <w:r w:rsidRPr="005A68E6">
        <w:rPr>
          <w:lang w:val="en-US"/>
        </w:rPr>
        <w:t>,</w:t>
      </w:r>
      <w:r w:rsidRPr="005A68E6">
        <w:t xml:space="preserve"> another shock scenario was analyzed, which assumed the substantial 500 basis points increase in interest rates for external and domestic borrowings</w:t>
      </w:r>
      <w:r w:rsidR="000E7C95" w:rsidRPr="005A68E6">
        <w:rPr>
          <w:lang w:val="en-US"/>
        </w:rPr>
        <w:t xml:space="preserve"> </w:t>
      </w:r>
      <w:r w:rsidRPr="005A68E6">
        <w:rPr>
          <w:lang w:val="en-US"/>
        </w:rPr>
        <w:t>(</w:t>
      </w:r>
      <w:r w:rsidR="00794255" w:rsidRPr="005A68E6">
        <w:rPr>
          <w:lang w:val="en-US"/>
        </w:rPr>
        <w:t>I</w:t>
      </w:r>
      <w:r w:rsidRPr="005A68E6">
        <w:rPr>
          <w:lang w:val="en-US"/>
        </w:rPr>
        <w:t>nterest rate shock 2)</w:t>
      </w:r>
      <w:r w:rsidRPr="005A68E6">
        <w:t xml:space="preserve">, which is a standard extreme shock used </w:t>
      </w:r>
      <w:r w:rsidR="000E7C95" w:rsidRPr="005A68E6">
        <w:rPr>
          <w:lang w:val="en-US"/>
        </w:rPr>
        <w:t xml:space="preserve">in debt strategy analysis </w:t>
      </w:r>
      <w:r w:rsidRPr="005A68E6">
        <w:t xml:space="preserve">by </w:t>
      </w:r>
      <w:r w:rsidR="00794255" w:rsidRPr="005A68E6">
        <w:rPr>
          <w:lang w:val="en-US"/>
        </w:rPr>
        <w:t xml:space="preserve">the </w:t>
      </w:r>
      <w:r w:rsidRPr="005A68E6">
        <w:t xml:space="preserve">international financial </w:t>
      </w:r>
      <w:r w:rsidR="00794255" w:rsidRPr="005A68E6">
        <w:rPr>
          <w:lang w:val="en-US"/>
        </w:rPr>
        <w:t xml:space="preserve">institutions </w:t>
      </w:r>
      <w:r w:rsidRPr="005A68E6">
        <w:t xml:space="preserve">(it is </w:t>
      </w:r>
      <w:r w:rsidR="005354B4" w:rsidRPr="005A68E6">
        <w:t>roughly</w:t>
      </w:r>
      <w:r w:rsidR="005354B4" w:rsidRPr="005A68E6" w:rsidDel="005354B4">
        <w:t xml:space="preserve"> </w:t>
      </w:r>
      <w:r w:rsidRPr="005A68E6">
        <w:t xml:space="preserve">equal to two standard deviations of the historical volatility of real interest rates), </w:t>
      </w:r>
      <w:r w:rsidRPr="005A68E6">
        <w:rPr>
          <w:lang w:val="en-US"/>
        </w:rPr>
        <w:t xml:space="preserve">the probability of which is </w:t>
      </w:r>
      <w:r w:rsidRPr="005A68E6">
        <w:t xml:space="preserve">quite low. Such an interest rate shock will </w:t>
      </w:r>
      <w:r w:rsidR="00794255" w:rsidRPr="005A68E6">
        <w:t>increase the RA Government debt</w:t>
      </w:r>
      <w:r w:rsidRPr="005A68E6">
        <w:t xml:space="preserve">/GDP ratio by </w:t>
      </w:r>
      <w:r w:rsidRPr="005A68E6">
        <w:rPr>
          <w:lang w:val="en-US"/>
        </w:rPr>
        <w:t>2</w:t>
      </w:r>
      <w:r w:rsidRPr="005A68E6">
        <w:t>.</w:t>
      </w:r>
      <w:r w:rsidRPr="005A68E6">
        <w:rPr>
          <w:lang w:val="en-US"/>
        </w:rPr>
        <w:t>2</w:t>
      </w:r>
      <w:r w:rsidRPr="005A68E6">
        <w:t xml:space="preserve"> percentage points </w:t>
      </w:r>
      <w:r w:rsidRPr="005A68E6">
        <w:rPr>
          <w:lang w:val="en-US"/>
        </w:rPr>
        <w:t>compared to</w:t>
      </w:r>
      <w:r w:rsidRPr="005A68E6">
        <w:t xml:space="preserve"> the baseline scenario </w:t>
      </w:r>
      <w:r w:rsidRPr="005A68E6">
        <w:rPr>
          <w:lang w:val="en-US"/>
        </w:rPr>
        <w:t>reaching to 51</w:t>
      </w:r>
      <w:r w:rsidRPr="005A68E6">
        <w:t>.</w:t>
      </w:r>
      <w:r w:rsidRPr="005A68E6">
        <w:rPr>
          <w:lang w:val="en-US"/>
        </w:rPr>
        <w:t>4</w:t>
      </w:r>
      <w:r w:rsidRPr="005A68E6">
        <w:t>% at the end of 202</w:t>
      </w:r>
      <w:r w:rsidRPr="005A68E6">
        <w:rPr>
          <w:lang w:val="en-US"/>
        </w:rPr>
        <w:t>6</w:t>
      </w:r>
      <w:r w:rsidRPr="005A68E6">
        <w:t xml:space="preserve">. From the perspective of </w:t>
      </w:r>
      <w:r w:rsidR="004D6547" w:rsidRPr="005A68E6">
        <w:rPr>
          <w:lang w:val="en-US"/>
        </w:rPr>
        <w:t xml:space="preserve">the </w:t>
      </w:r>
      <w:r w:rsidRPr="005A68E6">
        <w:t xml:space="preserve">RA Government debt service, this substantial shock </w:t>
      </w:r>
      <w:r w:rsidRPr="005A68E6">
        <w:rPr>
          <w:lang w:val="en-US"/>
        </w:rPr>
        <w:t>might</w:t>
      </w:r>
      <w:r w:rsidRPr="005A68E6">
        <w:t xml:space="preserve"> increase the Interest payment/GDP ratio indicator by </w:t>
      </w:r>
      <w:r w:rsidRPr="005A68E6">
        <w:rPr>
          <w:lang w:val="en-US"/>
        </w:rPr>
        <w:t>1.0</w:t>
      </w:r>
      <w:r w:rsidR="00AA3694" w:rsidRPr="005A68E6">
        <w:t xml:space="preserve"> percentage point</w:t>
      </w:r>
      <w:r w:rsidRPr="005A68E6">
        <w:t xml:space="preserve"> at the end of 202</w:t>
      </w:r>
      <w:r w:rsidRPr="005A68E6">
        <w:rPr>
          <w:lang w:val="en-US"/>
        </w:rPr>
        <w:t>6</w:t>
      </w:r>
      <w:r w:rsidRPr="005A68E6">
        <w:t>.</w:t>
      </w:r>
    </w:p>
    <w:p w14:paraId="485176A9" w14:textId="77777777" w:rsidR="0024298B" w:rsidRPr="005A68E6" w:rsidRDefault="0024298B" w:rsidP="00A1274B">
      <w:pPr>
        <w:rPr>
          <w:color w:val="FF0000"/>
        </w:rPr>
      </w:pPr>
    </w:p>
    <w:p w14:paraId="50DE5088" w14:textId="77777777" w:rsidR="0024298B" w:rsidRPr="005A68E6" w:rsidRDefault="0024298B" w:rsidP="0024298B">
      <w:pPr>
        <w:pStyle w:val="af8"/>
        <w:spacing w:after="240"/>
      </w:pPr>
      <w:r w:rsidRPr="005A68E6">
        <w:t>Exchange rate and interest rate combined shock</w:t>
      </w:r>
    </w:p>
    <w:p w14:paraId="7BC45E20" w14:textId="0246E272" w:rsidR="0024298B" w:rsidRPr="005A68E6" w:rsidRDefault="0024298B" w:rsidP="0024298B">
      <w:r w:rsidRPr="005A68E6">
        <w:t>Applying a 15% exchange rate shock</w:t>
      </w:r>
      <w:r w:rsidRPr="005A68E6">
        <w:rPr>
          <w:lang w:val="en-US"/>
        </w:rPr>
        <w:t xml:space="preserve">, </w:t>
      </w:r>
      <w:r w:rsidRPr="005A68E6">
        <w:t xml:space="preserve">which is a standard moderate shock used </w:t>
      </w:r>
      <w:r w:rsidR="00034659" w:rsidRPr="005A68E6">
        <w:rPr>
          <w:lang w:val="en-US"/>
        </w:rPr>
        <w:t xml:space="preserve">in debt strategy analysis </w:t>
      </w:r>
      <w:r w:rsidRPr="005A68E6">
        <w:t>by</w:t>
      </w:r>
      <w:r w:rsidR="00AA3694" w:rsidRPr="005A68E6">
        <w:rPr>
          <w:lang w:val="en-US"/>
        </w:rPr>
        <w:t xml:space="preserve"> the</w:t>
      </w:r>
      <w:r w:rsidRPr="005A68E6">
        <w:t xml:space="preserve"> international financial institutions (devaluating AMD against USD, EUR, and SDR in 202</w:t>
      </w:r>
      <w:r w:rsidRPr="005A68E6">
        <w:rPr>
          <w:lang w:val="en-US"/>
        </w:rPr>
        <w:t>4</w:t>
      </w:r>
      <w:r w:rsidRPr="005A68E6">
        <w:t xml:space="preserve">) </w:t>
      </w:r>
      <w:r w:rsidR="00034659" w:rsidRPr="005A68E6">
        <w:rPr>
          <w:lang w:val="en-US"/>
        </w:rPr>
        <w:t xml:space="preserve">together with </w:t>
      </w:r>
      <w:r w:rsidR="00F83CA5" w:rsidRPr="005A68E6">
        <w:rPr>
          <w:lang w:val="en-US"/>
        </w:rPr>
        <w:t>the</w:t>
      </w:r>
      <w:r w:rsidR="00F83CA5" w:rsidRPr="005A68E6">
        <w:t xml:space="preserve"> </w:t>
      </w:r>
      <w:r w:rsidRPr="005A68E6">
        <w:t>moderate interest rate shock (</w:t>
      </w:r>
      <w:r w:rsidR="00AA3694" w:rsidRPr="005A68E6">
        <w:rPr>
          <w:lang w:val="en-US"/>
        </w:rPr>
        <w:t>I</w:t>
      </w:r>
      <w:r w:rsidRPr="005A68E6">
        <w:t xml:space="preserve">nterest rate shock 1), RA Government debt/GDP ratio reaches </w:t>
      </w:r>
      <w:r w:rsidRPr="005A68E6">
        <w:rPr>
          <w:lang w:val="en-US"/>
        </w:rPr>
        <w:t>54.5</w:t>
      </w:r>
      <w:r w:rsidRPr="005A68E6">
        <w:t>% at the end of 202</w:t>
      </w:r>
      <w:r w:rsidRPr="005A68E6">
        <w:rPr>
          <w:lang w:val="en-US"/>
        </w:rPr>
        <w:t>6</w:t>
      </w:r>
      <w:r w:rsidRPr="005A68E6">
        <w:t xml:space="preserve">, which is </w:t>
      </w:r>
      <w:r w:rsidRPr="005A68E6">
        <w:rPr>
          <w:lang w:val="en-US"/>
        </w:rPr>
        <w:t>higher</w:t>
      </w:r>
      <w:r w:rsidRPr="005A68E6">
        <w:t xml:space="preserve"> by </w:t>
      </w:r>
      <w:r w:rsidRPr="005A68E6">
        <w:rPr>
          <w:lang w:val="en-US"/>
        </w:rPr>
        <w:t>5.3</w:t>
      </w:r>
      <w:r w:rsidRPr="005A68E6">
        <w:t xml:space="preserve"> percentage points </w:t>
      </w:r>
      <w:r w:rsidRPr="005A68E6">
        <w:rPr>
          <w:lang w:val="en-US"/>
        </w:rPr>
        <w:t>compared to</w:t>
      </w:r>
      <w:r w:rsidRPr="005A68E6">
        <w:t xml:space="preserve"> the same indicator of the baseline scenario. In this case, the Interest payment/GDP ratio </w:t>
      </w:r>
      <w:r w:rsidRPr="005A68E6">
        <w:rPr>
          <w:lang w:val="en-US"/>
        </w:rPr>
        <w:t>might</w:t>
      </w:r>
      <w:r w:rsidRPr="005A68E6">
        <w:t xml:space="preserve"> increase by </w:t>
      </w:r>
      <w:r w:rsidRPr="005A68E6">
        <w:rPr>
          <w:lang w:val="en-US"/>
        </w:rPr>
        <w:t>0.7</w:t>
      </w:r>
      <w:r w:rsidRPr="005A68E6">
        <w:t xml:space="preserve"> percentage points.</w:t>
      </w:r>
    </w:p>
    <w:p w14:paraId="375BE0F8" w14:textId="3BA75888" w:rsidR="0024298B" w:rsidRPr="005A68E6" w:rsidRDefault="0024298B" w:rsidP="0024298B">
      <w:r w:rsidRPr="005A68E6">
        <w:t xml:space="preserve">The impacts of a one percentage point increase </w:t>
      </w:r>
      <w:r w:rsidRPr="005A68E6">
        <w:rPr>
          <w:lang w:val="en-US"/>
        </w:rPr>
        <w:t>in</w:t>
      </w:r>
      <w:r w:rsidRPr="005A68E6">
        <w:t xml:space="preserve"> floating interest rate debt and a one percentage point increase </w:t>
      </w:r>
      <w:r w:rsidRPr="005A68E6">
        <w:rPr>
          <w:lang w:val="en-US"/>
        </w:rPr>
        <w:t>in</w:t>
      </w:r>
      <w:r w:rsidRPr="005A68E6">
        <w:t xml:space="preserve"> domestic interest rates are </w:t>
      </w:r>
      <w:r w:rsidR="00034659" w:rsidRPr="005A68E6">
        <w:rPr>
          <w:lang w:val="en-US"/>
        </w:rPr>
        <w:t xml:space="preserve">also </w:t>
      </w:r>
      <w:r w:rsidRPr="005A68E6">
        <w:t>presented below.</w:t>
      </w:r>
    </w:p>
    <w:p w14:paraId="5AD260EF" w14:textId="692D6F1E" w:rsidR="0024298B" w:rsidRPr="005A68E6" w:rsidRDefault="0024298B" w:rsidP="0024298B">
      <w:pPr>
        <w:rPr>
          <w:lang w:val="en-US"/>
        </w:rPr>
      </w:pPr>
      <w:r w:rsidRPr="005A68E6">
        <w:rPr>
          <w:lang w:val="en-US"/>
        </w:rPr>
        <w:t xml:space="preserve"> In the event of</w:t>
      </w:r>
      <w:r w:rsidRPr="005A68E6">
        <w:t xml:space="preserve"> a one percentage point change of the floating interest rates – </w:t>
      </w:r>
      <w:r w:rsidRPr="005A68E6">
        <w:rPr>
          <w:lang w:val="en-US"/>
        </w:rPr>
        <w:t>SOFR</w:t>
      </w:r>
      <w:r w:rsidRPr="005A68E6">
        <w:t xml:space="preserve"> and 6-month Euribor, the interest costs of</w:t>
      </w:r>
      <w:r w:rsidR="004D6547" w:rsidRPr="005A68E6">
        <w:rPr>
          <w:lang w:val="en-US"/>
        </w:rPr>
        <w:t xml:space="preserve"> the</w:t>
      </w:r>
      <w:r w:rsidRPr="005A68E6">
        <w:t xml:space="preserve"> RA Government external debt will be changed by AMD</w:t>
      </w:r>
      <w:r w:rsidRPr="005A68E6">
        <w:rPr>
          <w:lang w:val="en-US"/>
        </w:rPr>
        <w:t xml:space="preserve"> 9.0</w:t>
      </w:r>
      <w:r w:rsidRPr="005A68E6">
        <w:t xml:space="preserve"> billion</w:t>
      </w:r>
      <w:r w:rsidRPr="005A68E6">
        <w:rPr>
          <w:lang w:val="en-US"/>
        </w:rPr>
        <w:t xml:space="preserve"> per year</w:t>
      </w:r>
      <w:r w:rsidRPr="005A68E6">
        <w:t xml:space="preserve"> </w:t>
      </w:r>
      <w:r w:rsidRPr="005A68E6">
        <w:rPr>
          <w:lang w:val="en-US"/>
        </w:rPr>
        <w:t>o</w:t>
      </w:r>
      <w:r w:rsidRPr="005A68E6">
        <w:t>n average during 202</w:t>
      </w:r>
      <w:r w:rsidRPr="005A68E6">
        <w:rPr>
          <w:lang w:val="en-US"/>
        </w:rPr>
        <w:t>4</w:t>
      </w:r>
      <w:r w:rsidRPr="005A68E6">
        <w:t>-202</w:t>
      </w:r>
      <w:r w:rsidRPr="005A68E6">
        <w:rPr>
          <w:lang w:val="en-US"/>
        </w:rPr>
        <w:t>6</w:t>
      </w:r>
      <w:r w:rsidRPr="005A68E6">
        <w:t>.</w:t>
      </w:r>
    </w:p>
    <w:p w14:paraId="0868E3A9" w14:textId="53CB629A" w:rsidR="0024298B" w:rsidRDefault="0024298B" w:rsidP="00A1274B">
      <w:pPr>
        <w:rPr>
          <w:color w:val="FF0000"/>
        </w:rPr>
      </w:pPr>
    </w:p>
    <w:p w14:paraId="3C929280" w14:textId="77777777" w:rsidR="005A68E6" w:rsidRPr="005A68E6" w:rsidRDefault="005A68E6" w:rsidP="00A1274B">
      <w:pPr>
        <w:rPr>
          <w:color w:val="FF0000"/>
        </w:rPr>
      </w:pPr>
    </w:p>
    <w:p w14:paraId="00C0DAAC" w14:textId="172F3265" w:rsidR="00BA765B" w:rsidRPr="005A68E6" w:rsidRDefault="00BA765B" w:rsidP="005A68E6">
      <w:pPr>
        <w:pStyle w:val="af6"/>
        <w:numPr>
          <w:ilvl w:val="0"/>
          <w:numId w:val="35"/>
        </w:numPr>
        <w:spacing w:after="240"/>
        <w:ind w:left="1276" w:hanging="1276"/>
        <w:rPr>
          <w:rStyle w:val="Emphasis"/>
          <w:rFonts w:cs="Cambria"/>
          <w:i/>
        </w:rPr>
      </w:pPr>
      <w:r w:rsidRPr="005A68E6">
        <w:rPr>
          <w:rStyle w:val="Emphasis"/>
          <w:rFonts w:cs="Cambria"/>
          <w:i/>
          <w:lang w:val="en-US"/>
        </w:rPr>
        <w:t>T</w:t>
      </w:r>
      <w:r w:rsidRPr="005A68E6">
        <w:rPr>
          <w:rStyle w:val="Emphasis"/>
          <w:rFonts w:cs="Cambria"/>
          <w:i/>
        </w:rPr>
        <w:t>he impact of one percentage point change in floating interest rates on interest payments for</w:t>
      </w:r>
      <w:r w:rsidR="004D6547" w:rsidRPr="005A68E6">
        <w:rPr>
          <w:rStyle w:val="Emphasis"/>
          <w:rFonts w:cs="Cambria"/>
          <w:i/>
          <w:lang w:val="en-US"/>
        </w:rPr>
        <w:t xml:space="preserve"> the</w:t>
      </w:r>
      <w:r w:rsidRPr="005A68E6">
        <w:rPr>
          <w:rStyle w:val="Emphasis"/>
          <w:rFonts w:cs="Cambria"/>
          <w:i/>
        </w:rPr>
        <w:t xml:space="preserve"> RA Government external debt</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7"/>
        <w:gridCol w:w="1421"/>
        <w:gridCol w:w="1358"/>
        <w:gridCol w:w="1212"/>
      </w:tblGrid>
      <w:tr w:rsidR="00907534" w:rsidRPr="005A68E6" w14:paraId="67069D73" w14:textId="77777777" w:rsidTr="007E010D">
        <w:trPr>
          <w:trHeight w:val="294"/>
          <w:tblHeader/>
          <w:jc w:val="center"/>
        </w:trPr>
        <w:tc>
          <w:tcPr>
            <w:tcW w:w="5227" w:type="dxa"/>
            <w:tcBorders>
              <w:top w:val="thinThickSmallGap" w:sz="24" w:space="0" w:color="auto"/>
              <w:left w:val="nil"/>
              <w:bottom w:val="thinThickSmallGap" w:sz="24" w:space="0" w:color="auto"/>
              <w:right w:val="nil"/>
            </w:tcBorders>
            <w:shd w:val="clear" w:color="auto" w:fill="5B9BD5"/>
            <w:noWrap/>
            <w:vAlign w:val="center"/>
          </w:tcPr>
          <w:p w14:paraId="058CAFD6" w14:textId="77777777" w:rsidR="00025E2D" w:rsidRPr="005A68E6" w:rsidRDefault="00025E2D" w:rsidP="007E37AA">
            <w:pPr>
              <w:spacing w:line="240" w:lineRule="auto"/>
              <w:ind w:firstLine="0"/>
              <w:jc w:val="center"/>
            </w:pPr>
          </w:p>
        </w:tc>
        <w:tc>
          <w:tcPr>
            <w:tcW w:w="1421" w:type="dxa"/>
            <w:tcBorders>
              <w:top w:val="thinThickSmallGap" w:sz="24" w:space="0" w:color="auto"/>
              <w:left w:val="nil"/>
              <w:bottom w:val="thinThickSmallGap" w:sz="24" w:space="0" w:color="auto"/>
              <w:right w:val="nil"/>
            </w:tcBorders>
            <w:shd w:val="clear" w:color="auto" w:fill="5B9BD5"/>
            <w:noWrap/>
            <w:vAlign w:val="center"/>
          </w:tcPr>
          <w:p w14:paraId="014268EE" w14:textId="77777777" w:rsidR="00025E2D" w:rsidRPr="005A68E6" w:rsidRDefault="004A01E2" w:rsidP="00074649">
            <w:pPr>
              <w:spacing w:line="240" w:lineRule="auto"/>
              <w:ind w:firstLine="0"/>
              <w:jc w:val="center"/>
            </w:pPr>
            <w:r w:rsidRPr="005A68E6">
              <w:t>2024</w:t>
            </w:r>
          </w:p>
        </w:tc>
        <w:tc>
          <w:tcPr>
            <w:tcW w:w="1358" w:type="dxa"/>
            <w:tcBorders>
              <w:top w:val="thinThickSmallGap" w:sz="24" w:space="0" w:color="auto"/>
              <w:left w:val="nil"/>
              <w:bottom w:val="thinThickSmallGap" w:sz="24" w:space="0" w:color="auto"/>
              <w:right w:val="nil"/>
            </w:tcBorders>
            <w:shd w:val="clear" w:color="auto" w:fill="5B9BD5"/>
            <w:noWrap/>
            <w:vAlign w:val="center"/>
          </w:tcPr>
          <w:p w14:paraId="6BC0312C" w14:textId="77777777" w:rsidR="00025E2D" w:rsidRPr="005A68E6" w:rsidRDefault="004A01E2" w:rsidP="00074649">
            <w:pPr>
              <w:spacing w:line="240" w:lineRule="auto"/>
              <w:ind w:firstLine="0"/>
              <w:jc w:val="center"/>
            </w:pPr>
            <w:r w:rsidRPr="005A68E6">
              <w:t>2025</w:t>
            </w:r>
          </w:p>
        </w:tc>
        <w:tc>
          <w:tcPr>
            <w:tcW w:w="1212" w:type="dxa"/>
            <w:tcBorders>
              <w:top w:val="thinThickSmallGap" w:sz="24" w:space="0" w:color="auto"/>
              <w:left w:val="nil"/>
              <w:bottom w:val="thinThickSmallGap" w:sz="24" w:space="0" w:color="auto"/>
              <w:right w:val="nil"/>
            </w:tcBorders>
            <w:shd w:val="clear" w:color="auto" w:fill="5B9BD5"/>
            <w:noWrap/>
            <w:vAlign w:val="center"/>
          </w:tcPr>
          <w:p w14:paraId="472B6676" w14:textId="77777777" w:rsidR="00025E2D" w:rsidRPr="005A68E6" w:rsidRDefault="004A01E2" w:rsidP="006D07E7">
            <w:pPr>
              <w:spacing w:line="240" w:lineRule="auto"/>
              <w:ind w:firstLine="0"/>
              <w:jc w:val="center"/>
            </w:pPr>
            <w:r w:rsidRPr="005A68E6">
              <w:t>2026</w:t>
            </w:r>
          </w:p>
        </w:tc>
      </w:tr>
      <w:tr w:rsidR="00907534" w:rsidRPr="005A68E6" w14:paraId="6D1BEC26" w14:textId="77777777" w:rsidTr="00120E7C">
        <w:trPr>
          <w:trHeight w:val="653"/>
          <w:jc w:val="center"/>
        </w:trPr>
        <w:tc>
          <w:tcPr>
            <w:tcW w:w="5227" w:type="dxa"/>
            <w:tcBorders>
              <w:left w:val="nil"/>
              <w:bottom w:val="single" w:sz="4" w:space="0" w:color="auto"/>
              <w:right w:val="nil"/>
            </w:tcBorders>
            <w:shd w:val="clear" w:color="auto" w:fill="auto"/>
            <w:noWrap/>
            <w:vAlign w:val="center"/>
          </w:tcPr>
          <w:p w14:paraId="03D323CA" w14:textId="6DF0481E" w:rsidR="005732FE" w:rsidRPr="005A68E6" w:rsidRDefault="00BA765B" w:rsidP="00BA765B">
            <w:pPr>
              <w:spacing w:line="240" w:lineRule="auto"/>
              <w:ind w:firstLine="0"/>
              <w:jc w:val="left"/>
            </w:pPr>
            <w:r w:rsidRPr="005A68E6">
              <w:t xml:space="preserve">Change in interest payment for RA Government </w:t>
            </w:r>
            <w:r w:rsidRPr="005A68E6">
              <w:rPr>
                <w:color w:val="000000"/>
              </w:rPr>
              <w:t>foreign currency</w:t>
            </w:r>
            <w:r w:rsidRPr="005A68E6">
              <w:t xml:space="preserve"> debt</w:t>
            </w:r>
            <w:r w:rsidRPr="005A68E6">
              <w:rPr>
                <w:lang w:val="en-US"/>
              </w:rPr>
              <w:t xml:space="preserve"> </w:t>
            </w:r>
            <w:r w:rsidRPr="005A68E6">
              <w:t>(</w:t>
            </w:r>
            <w:r w:rsidRPr="005A68E6">
              <w:rPr>
                <w:lang w:val="en-US"/>
              </w:rPr>
              <w:t>AMD billion)</w:t>
            </w:r>
          </w:p>
        </w:tc>
        <w:tc>
          <w:tcPr>
            <w:tcW w:w="1421" w:type="dxa"/>
            <w:tcBorders>
              <w:left w:val="nil"/>
              <w:bottom w:val="single" w:sz="4" w:space="0" w:color="auto"/>
              <w:right w:val="nil"/>
            </w:tcBorders>
            <w:shd w:val="clear" w:color="auto" w:fill="auto"/>
            <w:noWrap/>
            <w:vAlign w:val="bottom"/>
          </w:tcPr>
          <w:p w14:paraId="5610BC25" w14:textId="77777777" w:rsidR="005732FE" w:rsidRPr="005A68E6" w:rsidRDefault="005732FE" w:rsidP="006D07E7">
            <w:pPr>
              <w:spacing w:line="240" w:lineRule="auto"/>
              <w:ind w:firstLine="0"/>
              <w:rPr>
                <w:sz w:val="24"/>
                <w:szCs w:val="24"/>
              </w:rPr>
            </w:pPr>
            <w:r w:rsidRPr="005A68E6">
              <w:rPr>
                <w:sz w:val="24"/>
                <w:szCs w:val="24"/>
              </w:rPr>
              <w:t xml:space="preserve">      </w:t>
            </w:r>
            <w:r w:rsidR="00907534" w:rsidRPr="005A68E6">
              <w:rPr>
                <w:sz w:val="24"/>
                <w:szCs w:val="24"/>
              </w:rPr>
              <w:t>7</w:t>
            </w:r>
            <w:r w:rsidRPr="005A68E6">
              <w:rPr>
                <w:sz w:val="24"/>
                <w:szCs w:val="24"/>
              </w:rPr>
              <w:t>.</w:t>
            </w:r>
            <w:r w:rsidR="00907534" w:rsidRPr="005A68E6">
              <w:rPr>
                <w:sz w:val="24"/>
                <w:szCs w:val="24"/>
              </w:rPr>
              <w:t>7</w:t>
            </w:r>
            <w:r w:rsidRPr="005A68E6">
              <w:rPr>
                <w:sz w:val="24"/>
                <w:szCs w:val="24"/>
              </w:rPr>
              <w:t xml:space="preserve"> </w:t>
            </w:r>
          </w:p>
        </w:tc>
        <w:tc>
          <w:tcPr>
            <w:tcW w:w="1358" w:type="dxa"/>
            <w:tcBorders>
              <w:left w:val="nil"/>
              <w:bottom w:val="single" w:sz="4" w:space="0" w:color="auto"/>
              <w:right w:val="nil"/>
            </w:tcBorders>
            <w:shd w:val="clear" w:color="auto" w:fill="auto"/>
            <w:noWrap/>
            <w:vAlign w:val="bottom"/>
          </w:tcPr>
          <w:p w14:paraId="5B0EC762" w14:textId="77777777" w:rsidR="005732FE" w:rsidRPr="005A68E6" w:rsidRDefault="005732FE" w:rsidP="0070296A">
            <w:pPr>
              <w:spacing w:line="240" w:lineRule="auto"/>
              <w:ind w:firstLine="0"/>
              <w:jc w:val="center"/>
              <w:rPr>
                <w:sz w:val="24"/>
                <w:szCs w:val="24"/>
              </w:rPr>
            </w:pPr>
            <w:r w:rsidRPr="005A68E6">
              <w:rPr>
                <w:sz w:val="24"/>
                <w:szCs w:val="24"/>
              </w:rPr>
              <w:t>8.</w:t>
            </w:r>
            <w:r w:rsidR="00907534" w:rsidRPr="005A68E6">
              <w:rPr>
                <w:sz w:val="24"/>
                <w:szCs w:val="24"/>
              </w:rPr>
              <w:t>9</w:t>
            </w:r>
            <w:r w:rsidRPr="005A68E6">
              <w:rPr>
                <w:sz w:val="24"/>
                <w:szCs w:val="24"/>
              </w:rPr>
              <w:t xml:space="preserve"> </w:t>
            </w:r>
          </w:p>
        </w:tc>
        <w:tc>
          <w:tcPr>
            <w:tcW w:w="1212" w:type="dxa"/>
            <w:tcBorders>
              <w:left w:val="nil"/>
              <w:bottom w:val="single" w:sz="4" w:space="0" w:color="auto"/>
              <w:right w:val="nil"/>
            </w:tcBorders>
            <w:shd w:val="clear" w:color="auto" w:fill="auto"/>
            <w:noWrap/>
            <w:vAlign w:val="bottom"/>
          </w:tcPr>
          <w:p w14:paraId="6103E2AD" w14:textId="77777777" w:rsidR="005732FE" w:rsidRPr="005A68E6" w:rsidRDefault="005732FE" w:rsidP="0070296A">
            <w:pPr>
              <w:spacing w:line="240" w:lineRule="auto"/>
              <w:ind w:firstLine="0"/>
              <w:rPr>
                <w:sz w:val="24"/>
                <w:szCs w:val="24"/>
              </w:rPr>
            </w:pPr>
            <w:r w:rsidRPr="005A68E6">
              <w:rPr>
                <w:sz w:val="24"/>
                <w:szCs w:val="24"/>
                <w:lang w:val="en-US"/>
              </w:rPr>
              <w:t xml:space="preserve">  </w:t>
            </w:r>
            <w:r w:rsidRPr="005A68E6">
              <w:rPr>
                <w:sz w:val="24"/>
                <w:szCs w:val="24"/>
              </w:rPr>
              <w:t xml:space="preserve">   </w:t>
            </w:r>
            <w:r w:rsidR="00907534" w:rsidRPr="005A68E6">
              <w:rPr>
                <w:sz w:val="24"/>
                <w:szCs w:val="24"/>
              </w:rPr>
              <w:t>10</w:t>
            </w:r>
            <w:r w:rsidRPr="005A68E6">
              <w:rPr>
                <w:sz w:val="24"/>
                <w:szCs w:val="24"/>
              </w:rPr>
              <w:t>.</w:t>
            </w:r>
            <w:r w:rsidR="00907534" w:rsidRPr="005A68E6">
              <w:rPr>
                <w:sz w:val="24"/>
                <w:szCs w:val="24"/>
              </w:rPr>
              <w:t>3</w:t>
            </w:r>
            <w:r w:rsidRPr="005A68E6">
              <w:rPr>
                <w:sz w:val="24"/>
                <w:szCs w:val="24"/>
              </w:rPr>
              <w:t xml:space="preserve"> </w:t>
            </w:r>
          </w:p>
        </w:tc>
      </w:tr>
      <w:tr w:rsidR="00025E2D" w:rsidRPr="005A68E6" w14:paraId="093684D6" w14:textId="77777777" w:rsidTr="007E37AA">
        <w:trPr>
          <w:trHeight w:val="294"/>
          <w:jc w:val="center"/>
        </w:trPr>
        <w:tc>
          <w:tcPr>
            <w:tcW w:w="5227" w:type="dxa"/>
            <w:tcBorders>
              <w:left w:val="nil"/>
              <w:bottom w:val="single" w:sz="4" w:space="0" w:color="auto"/>
              <w:right w:val="nil"/>
            </w:tcBorders>
            <w:shd w:val="clear" w:color="auto" w:fill="auto"/>
            <w:noWrap/>
            <w:vAlign w:val="center"/>
          </w:tcPr>
          <w:p w14:paraId="633F5DD2" w14:textId="4E11266C" w:rsidR="00025E2D" w:rsidRPr="005A68E6" w:rsidRDefault="00BA765B" w:rsidP="0070296A">
            <w:pPr>
              <w:spacing w:line="240" w:lineRule="auto"/>
              <w:ind w:left="393" w:firstLine="708"/>
              <w:jc w:val="left"/>
            </w:pPr>
            <w:r w:rsidRPr="005A68E6">
              <w:rPr>
                <w:lang w:val="en-US"/>
              </w:rPr>
              <w:t>Including:</w:t>
            </w:r>
          </w:p>
        </w:tc>
        <w:tc>
          <w:tcPr>
            <w:tcW w:w="1421" w:type="dxa"/>
            <w:tcBorders>
              <w:left w:val="nil"/>
              <w:bottom w:val="single" w:sz="4" w:space="0" w:color="auto"/>
              <w:right w:val="nil"/>
            </w:tcBorders>
            <w:shd w:val="clear" w:color="auto" w:fill="auto"/>
            <w:noWrap/>
            <w:vAlign w:val="center"/>
          </w:tcPr>
          <w:p w14:paraId="10FF3069" w14:textId="77777777" w:rsidR="00025E2D" w:rsidRPr="005A68E6" w:rsidRDefault="00025E2D" w:rsidP="007E37AA">
            <w:pPr>
              <w:spacing w:line="240" w:lineRule="auto"/>
              <w:ind w:firstLine="0"/>
              <w:jc w:val="center"/>
              <w:rPr>
                <w:sz w:val="24"/>
                <w:szCs w:val="24"/>
              </w:rPr>
            </w:pPr>
          </w:p>
        </w:tc>
        <w:tc>
          <w:tcPr>
            <w:tcW w:w="1358" w:type="dxa"/>
            <w:tcBorders>
              <w:left w:val="nil"/>
              <w:bottom w:val="single" w:sz="4" w:space="0" w:color="auto"/>
              <w:right w:val="nil"/>
            </w:tcBorders>
            <w:shd w:val="clear" w:color="auto" w:fill="auto"/>
            <w:noWrap/>
            <w:vAlign w:val="center"/>
          </w:tcPr>
          <w:p w14:paraId="28F0EDEF" w14:textId="77777777" w:rsidR="00025E2D" w:rsidRPr="005A68E6" w:rsidRDefault="00025E2D" w:rsidP="007E37AA">
            <w:pPr>
              <w:spacing w:line="240" w:lineRule="auto"/>
              <w:ind w:firstLine="0"/>
              <w:jc w:val="center"/>
              <w:rPr>
                <w:sz w:val="24"/>
                <w:szCs w:val="24"/>
              </w:rPr>
            </w:pPr>
          </w:p>
        </w:tc>
        <w:tc>
          <w:tcPr>
            <w:tcW w:w="1212" w:type="dxa"/>
            <w:tcBorders>
              <w:left w:val="nil"/>
              <w:bottom w:val="single" w:sz="4" w:space="0" w:color="auto"/>
              <w:right w:val="nil"/>
            </w:tcBorders>
            <w:shd w:val="clear" w:color="auto" w:fill="auto"/>
            <w:noWrap/>
            <w:vAlign w:val="center"/>
          </w:tcPr>
          <w:p w14:paraId="3DE4AFBC" w14:textId="77777777" w:rsidR="00025E2D" w:rsidRPr="005A68E6" w:rsidRDefault="00025E2D" w:rsidP="007E37AA">
            <w:pPr>
              <w:spacing w:line="240" w:lineRule="auto"/>
              <w:ind w:firstLine="0"/>
              <w:jc w:val="center"/>
              <w:rPr>
                <w:sz w:val="24"/>
                <w:szCs w:val="24"/>
              </w:rPr>
            </w:pPr>
          </w:p>
        </w:tc>
      </w:tr>
      <w:tr w:rsidR="00907534" w:rsidRPr="005A68E6" w14:paraId="51E69AC3" w14:textId="77777777" w:rsidTr="00120E7C">
        <w:trPr>
          <w:trHeight w:val="294"/>
          <w:jc w:val="center"/>
        </w:trPr>
        <w:tc>
          <w:tcPr>
            <w:tcW w:w="5227" w:type="dxa"/>
            <w:tcBorders>
              <w:left w:val="nil"/>
              <w:right w:val="nil"/>
            </w:tcBorders>
            <w:shd w:val="clear" w:color="auto" w:fill="auto"/>
            <w:noWrap/>
            <w:vAlign w:val="center"/>
          </w:tcPr>
          <w:p w14:paraId="0B92A870" w14:textId="50711B94" w:rsidR="005732FE" w:rsidRPr="005A68E6" w:rsidRDefault="005732FE" w:rsidP="0070296A">
            <w:pPr>
              <w:spacing w:line="240" w:lineRule="auto"/>
              <w:ind w:left="393" w:firstLine="0"/>
              <w:jc w:val="left"/>
            </w:pPr>
            <w:r w:rsidRPr="005A68E6">
              <w:rPr>
                <w:lang w:val="en-US"/>
              </w:rPr>
              <w:lastRenderedPageBreak/>
              <w:t>SOFR</w:t>
            </w:r>
            <w:r w:rsidRPr="005A68E6">
              <w:t xml:space="preserve"> </w:t>
            </w:r>
            <w:r w:rsidR="00BA765B" w:rsidRPr="005A68E6">
              <w:t>(</w:t>
            </w:r>
            <w:r w:rsidR="00BA765B" w:rsidRPr="005A68E6">
              <w:rPr>
                <w:lang w:val="en-US"/>
              </w:rPr>
              <w:t>AMD billion)</w:t>
            </w:r>
          </w:p>
        </w:tc>
        <w:tc>
          <w:tcPr>
            <w:tcW w:w="1421" w:type="dxa"/>
            <w:tcBorders>
              <w:left w:val="nil"/>
              <w:right w:val="nil"/>
            </w:tcBorders>
            <w:shd w:val="clear" w:color="auto" w:fill="auto"/>
            <w:noWrap/>
            <w:vAlign w:val="bottom"/>
          </w:tcPr>
          <w:p w14:paraId="145487FD" w14:textId="77777777" w:rsidR="005732FE" w:rsidRPr="005A68E6" w:rsidRDefault="00907534" w:rsidP="00074649">
            <w:pPr>
              <w:spacing w:line="240" w:lineRule="auto"/>
              <w:ind w:firstLine="0"/>
              <w:jc w:val="center"/>
              <w:rPr>
                <w:sz w:val="24"/>
                <w:szCs w:val="24"/>
              </w:rPr>
            </w:pPr>
            <w:r w:rsidRPr="005A68E6">
              <w:rPr>
                <w:sz w:val="24"/>
                <w:szCs w:val="24"/>
              </w:rPr>
              <w:t>5</w:t>
            </w:r>
            <w:r w:rsidR="005732FE" w:rsidRPr="005A68E6">
              <w:rPr>
                <w:sz w:val="24"/>
                <w:szCs w:val="24"/>
              </w:rPr>
              <w:t>.</w:t>
            </w:r>
            <w:r w:rsidRPr="005A68E6">
              <w:rPr>
                <w:sz w:val="24"/>
                <w:szCs w:val="24"/>
              </w:rPr>
              <w:t>6</w:t>
            </w:r>
            <w:r w:rsidR="005732FE" w:rsidRPr="005A68E6">
              <w:rPr>
                <w:sz w:val="24"/>
                <w:szCs w:val="24"/>
              </w:rPr>
              <w:t xml:space="preserve"> </w:t>
            </w:r>
          </w:p>
        </w:tc>
        <w:tc>
          <w:tcPr>
            <w:tcW w:w="1358" w:type="dxa"/>
            <w:tcBorders>
              <w:left w:val="nil"/>
              <w:right w:val="nil"/>
            </w:tcBorders>
            <w:shd w:val="clear" w:color="auto" w:fill="auto"/>
            <w:noWrap/>
            <w:vAlign w:val="bottom"/>
          </w:tcPr>
          <w:p w14:paraId="09F1AA56" w14:textId="77777777" w:rsidR="005732FE" w:rsidRPr="005A68E6" w:rsidRDefault="005732FE" w:rsidP="006D07E7">
            <w:pPr>
              <w:spacing w:line="240" w:lineRule="auto"/>
              <w:ind w:firstLine="0"/>
              <w:jc w:val="center"/>
              <w:rPr>
                <w:sz w:val="24"/>
                <w:szCs w:val="24"/>
              </w:rPr>
            </w:pPr>
            <w:r w:rsidRPr="005A68E6">
              <w:rPr>
                <w:sz w:val="24"/>
                <w:szCs w:val="24"/>
              </w:rPr>
              <w:t xml:space="preserve"> </w:t>
            </w:r>
            <w:r w:rsidR="00907534" w:rsidRPr="005A68E6">
              <w:rPr>
                <w:sz w:val="24"/>
                <w:szCs w:val="24"/>
              </w:rPr>
              <w:t>5</w:t>
            </w:r>
            <w:r w:rsidRPr="005A68E6">
              <w:rPr>
                <w:sz w:val="24"/>
                <w:szCs w:val="24"/>
              </w:rPr>
              <w:t>.</w:t>
            </w:r>
            <w:r w:rsidR="00907534" w:rsidRPr="005A68E6">
              <w:rPr>
                <w:sz w:val="24"/>
                <w:szCs w:val="24"/>
              </w:rPr>
              <w:t>9</w:t>
            </w:r>
            <w:r w:rsidRPr="005A68E6">
              <w:rPr>
                <w:sz w:val="24"/>
                <w:szCs w:val="24"/>
              </w:rPr>
              <w:t xml:space="preserve"> </w:t>
            </w:r>
          </w:p>
        </w:tc>
        <w:tc>
          <w:tcPr>
            <w:tcW w:w="1212" w:type="dxa"/>
            <w:tcBorders>
              <w:left w:val="nil"/>
              <w:right w:val="nil"/>
            </w:tcBorders>
            <w:shd w:val="clear" w:color="auto" w:fill="auto"/>
            <w:noWrap/>
            <w:vAlign w:val="bottom"/>
          </w:tcPr>
          <w:p w14:paraId="17206C47" w14:textId="77777777" w:rsidR="005732FE" w:rsidRPr="005A68E6" w:rsidRDefault="00907534" w:rsidP="0070296A">
            <w:pPr>
              <w:spacing w:line="240" w:lineRule="auto"/>
              <w:ind w:firstLine="0"/>
              <w:jc w:val="center"/>
              <w:rPr>
                <w:sz w:val="24"/>
                <w:szCs w:val="24"/>
              </w:rPr>
            </w:pPr>
            <w:r w:rsidRPr="005A68E6">
              <w:rPr>
                <w:sz w:val="24"/>
                <w:szCs w:val="24"/>
              </w:rPr>
              <w:t>5</w:t>
            </w:r>
            <w:r w:rsidR="005732FE" w:rsidRPr="005A68E6">
              <w:rPr>
                <w:sz w:val="24"/>
                <w:szCs w:val="24"/>
              </w:rPr>
              <w:t>.</w:t>
            </w:r>
            <w:r w:rsidRPr="005A68E6">
              <w:rPr>
                <w:sz w:val="24"/>
                <w:szCs w:val="24"/>
              </w:rPr>
              <w:t>9</w:t>
            </w:r>
            <w:r w:rsidR="005732FE" w:rsidRPr="005A68E6">
              <w:rPr>
                <w:sz w:val="24"/>
                <w:szCs w:val="24"/>
              </w:rPr>
              <w:t xml:space="preserve"> </w:t>
            </w:r>
          </w:p>
        </w:tc>
      </w:tr>
      <w:tr w:rsidR="00907534" w:rsidRPr="005A68E6" w14:paraId="69D11A9A" w14:textId="77777777" w:rsidTr="00120E7C">
        <w:trPr>
          <w:trHeight w:val="294"/>
          <w:jc w:val="center"/>
        </w:trPr>
        <w:tc>
          <w:tcPr>
            <w:tcW w:w="5227" w:type="dxa"/>
            <w:tcBorders>
              <w:top w:val="single" w:sz="4" w:space="0" w:color="auto"/>
              <w:left w:val="nil"/>
              <w:bottom w:val="single" w:sz="4" w:space="0" w:color="auto"/>
              <w:right w:val="nil"/>
            </w:tcBorders>
            <w:shd w:val="clear" w:color="auto" w:fill="auto"/>
            <w:noWrap/>
            <w:vAlign w:val="center"/>
          </w:tcPr>
          <w:p w14:paraId="16CC02CF" w14:textId="1413D5C0" w:rsidR="005732FE" w:rsidRPr="005A68E6" w:rsidRDefault="00BA765B" w:rsidP="0070296A">
            <w:pPr>
              <w:spacing w:line="240" w:lineRule="auto"/>
              <w:ind w:left="393" w:firstLine="0"/>
              <w:jc w:val="left"/>
            </w:pPr>
            <w:r w:rsidRPr="005A68E6">
              <w:t>6-</w:t>
            </w:r>
            <w:r w:rsidRPr="005A68E6">
              <w:rPr>
                <w:lang w:val="en-US"/>
              </w:rPr>
              <w:t>month</w:t>
            </w:r>
            <w:r w:rsidRPr="005A68E6">
              <w:t xml:space="preserve"> Euribor (</w:t>
            </w:r>
            <w:r w:rsidRPr="005A68E6">
              <w:rPr>
                <w:lang w:val="en-US"/>
              </w:rPr>
              <w:t>AMD billion</w:t>
            </w:r>
            <w:r w:rsidRPr="005A68E6">
              <w:t>)</w:t>
            </w:r>
          </w:p>
        </w:tc>
        <w:tc>
          <w:tcPr>
            <w:tcW w:w="1421" w:type="dxa"/>
            <w:tcBorders>
              <w:top w:val="single" w:sz="4" w:space="0" w:color="auto"/>
              <w:left w:val="nil"/>
              <w:bottom w:val="single" w:sz="4" w:space="0" w:color="auto"/>
              <w:right w:val="nil"/>
            </w:tcBorders>
            <w:shd w:val="clear" w:color="auto" w:fill="auto"/>
            <w:noWrap/>
            <w:vAlign w:val="bottom"/>
          </w:tcPr>
          <w:p w14:paraId="2B947C1E" w14:textId="77777777" w:rsidR="005732FE" w:rsidRPr="005A68E6" w:rsidRDefault="00907534" w:rsidP="00074649">
            <w:pPr>
              <w:spacing w:line="240" w:lineRule="auto"/>
              <w:ind w:firstLine="0"/>
              <w:jc w:val="center"/>
              <w:rPr>
                <w:sz w:val="24"/>
                <w:szCs w:val="24"/>
              </w:rPr>
            </w:pPr>
            <w:r w:rsidRPr="005A68E6">
              <w:rPr>
                <w:sz w:val="24"/>
                <w:szCs w:val="24"/>
              </w:rPr>
              <w:t>2</w:t>
            </w:r>
            <w:r w:rsidR="005732FE" w:rsidRPr="005A68E6">
              <w:rPr>
                <w:sz w:val="24"/>
                <w:szCs w:val="24"/>
              </w:rPr>
              <w:t>.</w:t>
            </w:r>
            <w:r w:rsidRPr="005A68E6">
              <w:rPr>
                <w:sz w:val="24"/>
                <w:szCs w:val="24"/>
              </w:rPr>
              <w:t>1</w:t>
            </w:r>
            <w:r w:rsidR="005732FE" w:rsidRPr="005A68E6">
              <w:rPr>
                <w:sz w:val="24"/>
                <w:szCs w:val="24"/>
              </w:rPr>
              <w:t xml:space="preserve"> </w:t>
            </w:r>
          </w:p>
        </w:tc>
        <w:tc>
          <w:tcPr>
            <w:tcW w:w="1358" w:type="dxa"/>
            <w:tcBorders>
              <w:top w:val="single" w:sz="4" w:space="0" w:color="auto"/>
              <w:left w:val="nil"/>
              <w:bottom w:val="single" w:sz="4" w:space="0" w:color="auto"/>
              <w:right w:val="nil"/>
            </w:tcBorders>
            <w:shd w:val="clear" w:color="auto" w:fill="auto"/>
            <w:noWrap/>
            <w:vAlign w:val="bottom"/>
          </w:tcPr>
          <w:p w14:paraId="7A6A5839" w14:textId="77777777" w:rsidR="005732FE" w:rsidRPr="005A68E6" w:rsidRDefault="005732FE" w:rsidP="006D07E7">
            <w:pPr>
              <w:spacing w:line="240" w:lineRule="auto"/>
              <w:ind w:firstLine="0"/>
              <w:jc w:val="center"/>
              <w:rPr>
                <w:sz w:val="24"/>
                <w:szCs w:val="24"/>
              </w:rPr>
            </w:pPr>
            <w:r w:rsidRPr="005A68E6">
              <w:rPr>
                <w:sz w:val="24"/>
                <w:szCs w:val="24"/>
              </w:rPr>
              <w:t xml:space="preserve"> </w:t>
            </w:r>
            <w:r w:rsidR="00907534" w:rsidRPr="005A68E6">
              <w:rPr>
                <w:sz w:val="24"/>
                <w:szCs w:val="24"/>
              </w:rPr>
              <w:t>3</w:t>
            </w:r>
            <w:r w:rsidRPr="005A68E6">
              <w:rPr>
                <w:sz w:val="24"/>
                <w:szCs w:val="24"/>
              </w:rPr>
              <w:t xml:space="preserve">.0 </w:t>
            </w:r>
          </w:p>
        </w:tc>
        <w:tc>
          <w:tcPr>
            <w:tcW w:w="1212" w:type="dxa"/>
            <w:tcBorders>
              <w:top w:val="single" w:sz="4" w:space="0" w:color="auto"/>
              <w:left w:val="nil"/>
              <w:bottom w:val="single" w:sz="4" w:space="0" w:color="auto"/>
              <w:right w:val="nil"/>
            </w:tcBorders>
            <w:shd w:val="clear" w:color="auto" w:fill="auto"/>
            <w:noWrap/>
            <w:vAlign w:val="bottom"/>
          </w:tcPr>
          <w:p w14:paraId="5CC76DEE" w14:textId="77777777" w:rsidR="005732FE" w:rsidRPr="005A68E6" w:rsidRDefault="005732FE" w:rsidP="0070296A">
            <w:pPr>
              <w:spacing w:line="240" w:lineRule="auto"/>
              <w:ind w:firstLine="0"/>
              <w:jc w:val="center"/>
              <w:rPr>
                <w:sz w:val="24"/>
                <w:szCs w:val="24"/>
              </w:rPr>
            </w:pPr>
            <w:r w:rsidRPr="005A68E6">
              <w:rPr>
                <w:sz w:val="24"/>
                <w:szCs w:val="24"/>
              </w:rPr>
              <w:t xml:space="preserve"> </w:t>
            </w:r>
            <w:r w:rsidR="00907534" w:rsidRPr="005A68E6">
              <w:rPr>
                <w:sz w:val="24"/>
                <w:szCs w:val="24"/>
              </w:rPr>
              <w:t>4</w:t>
            </w:r>
            <w:r w:rsidRPr="005A68E6">
              <w:rPr>
                <w:sz w:val="24"/>
                <w:szCs w:val="24"/>
              </w:rPr>
              <w:t>.</w:t>
            </w:r>
            <w:r w:rsidR="00907534" w:rsidRPr="005A68E6">
              <w:rPr>
                <w:sz w:val="24"/>
                <w:szCs w:val="24"/>
              </w:rPr>
              <w:t>4</w:t>
            </w:r>
            <w:r w:rsidRPr="005A68E6">
              <w:rPr>
                <w:sz w:val="24"/>
                <w:szCs w:val="24"/>
              </w:rPr>
              <w:t xml:space="preserve"> </w:t>
            </w:r>
          </w:p>
        </w:tc>
      </w:tr>
      <w:tr w:rsidR="00907534" w:rsidRPr="005A68E6" w14:paraId="2E6D38A9" w14:textId="77777777" w:rsidTr="00120E7C">
        <w:trPr>
          <w:trHeight w:val="612"/>
          <w:jc w:val="center"/>
        </w:trPr>
        <w:tc>
          <w:tcPr>
            <w:tcW w:w="5227" w:type="dxa"/>
            <w:tcBorders>
              <w:top w:val="single" w:sz="4" w:space="0" w:color="auto"/>
              <w:left w:val="nil"/>
              <w:bottom w:val="single" w:sz="4" w:space="0" w:color="auto"/>
              <w:right w:val="nil"/>
            </w:tcBorders>
            <w:shd w:val="clear" w:color="auto" w:fill="auto"/>
            <w:noWrap/>
            <w:vAlign w:val="center"/>
          </w:tcPr>
          <w:p w14:paraId="15F6694E" w14:textId="513A0AEE" w:rsidR="005732FE" w:rsidRPr="005A68E6" w:rsidRDefault="00BA765B" w:rsidP="00074649">
            <w:pPr>
              <w:spacing w:line="240" w:lineRule="auto"/>
              <w:ind w:firstLine="0"/>
              <w:jc w:val="left"/>
            </w:pPr>
            <w:r w:rsidRPr="005A68E6">
              <w:t>Change in interest payment for RA Governme</w:t>
            </w:r>
            <w:r w:rsidRPr="005A68E6">
              <w:rPr>
                <w:lang w:val="en-US"/>
              </w:rPr>
              <w:t xml:space="preserve">nt </w:t>
            </w:r>
            <w:r w:rsidRPr="005A68E6">
              <w:rPr>
                <w:color w:val="000000"/>
              </w:rPr>
              <w:t>foreign currency</w:t>
            </w:r>
            <w:r w:rsidRPr="005A68E6">
              <w:rPr>
                <w:lang w:val="en-US"/>
              </w:rPr>
              <w:t xml:space="preserve"> debt </w:t>
            </w:r>
            <w:r w:rsidRPr="005A68E6">
              <w:t>(%)</w:t>
            </w:r>
          </w:p>
        </w:tc>
        <w:tc>
          <w:tcPr>
            <w:tcW w:w="1421" w:type="dxa"/>
            <w:tcBorders>
              <w:top w:val="single" w:sz="4" w:space="0" w:color="auto"/>
              <w:left w:val="nil"/>
              <w:bottom w:val="single" w:sz="4" w:space="0" w:color="auto"/>
              <w:right w:val="nil"/>
            </w:tcBorders>
            <w:shd w:val="clear" w:color="auto" w:fill="auto"/>
            <w:noWrap/>
            <w:vAlign w:val="bottom"/>
          </w:tcPr>
          <w:p w14:paraId="29328345" w14:textId="77777777" w:rsidR="005732FE" w:rsidRPr="005A68E6" w:rsidRDefault="005732FE" w:rsidP="006D07E7">
            <w:pPr>
              <w:spacing w:line="240" w:lineRule="auto"/>
              <w:ind w:firstLine="0"/>
              <w:jc w:val="center"/>
              <w:rPr>
                <w:sz w:val="24"/>
                <w:szCs w:val="24"/>
              </w:rPr>
            </w:pPr>
            <w:r w:rsidRPr="005A68E6">
              <w:rPr>
                <w:sz w:val="24"/>
                <w:szCs w:val="24"/>
              </w:rPr>
              <w:t xml:space="preserve"> </w:t>
            </w:r>
            <w:r w:rsidR="00907534" w:rsidRPr="005A68E6">
              <w:rPr>
                <w:sz w:val="24"/>
                <w:szCs w:val="24"/>
              </w:rPr>
              <w:t>8</w:t>
            </w:r>
            <w:r w:rsidRPr="005A68E6">
              <w:rPr>
                <w:sz w:val="24"/>
                <w:szCs w:val="24"/>
              </w:rPr>
              <w:t>.</w:t>
            </w:r>
            <w:r w:rsidR="00907534" w:rsidRPr="005A68E6">
              <w:rPr>
                <w:sz w:val="24"/>
                <w:szCs w:val="24"/>
              </w:rPr>
              <w:t>8</w:t>
            </w:r>
            <w:r w:rsidRPr="005A68E6">
              <w:rPr>
                <w:sz w:val="24"/>
                <w:szCs w:val="24"/>
              </w:rPr>
              <w:t xml:space="preserve"> </w:t>
            </w:r>
          </w:p>
        </w:tc>
        <w:tc>
          <w:tcPr>
            <w:tcW w:w="1358" w:type="dxa"/>
            <w:tcBorders>
              <w:top w:val="single" w:sz="4" w:space="0" w:color="auto"/>
              <w:left w:val="nil"/>
              <w:bottom w:val="single" w:sz="4" w:space="0" w:color="auto"/>
              <w:right w:val="nil"/>
            </w:tcBorders>
            <w:shd w:val="clear" w:color="auto" w:fill="auto"/>
            <w:noWrap/>
            <w:vAlign w:val="bottom"/>
          </w:tcPr>
          <w:p w14:paraId="11E2AECF" w14:textId="77777777" w:rsidR="005732FE" w:rsidRPr="005A68E6" w:rsidRDefault="005732FE" w:rsidP="0070296A">
            <w:pPr>
              <w:spacing w:line="240" w:lineRule="auto"/>
              <w:ind w:firstLine="0"/>
              <w:jc w:val="center"/>
              <w:rPr>
                <w:sz w:val="24"/>
                <w:szCs w:val="24"/>
              </w:rPr>
            </w:pPr>
            <w:r w:rsidRPr="005A68E6">
              <w:rPr>
                <w:sz w:val="24"/>
                <w:szCs w:val="24"/>
              </w:rPr>
              <w:t xml:space="preserve">  </w:t>
            </w:r>
            <w:r w:rsidR="00907534" w:rsidRPr="005A68E6">
              <w:rPr>
                <w:sz w:val="24"/>
                <w:szCs w:val="24"/>
              </w:rPr>
              <w:t>8</w:t>
            </w:r>
            <w:r w:rsidRPr="005A68E6">
              <w:rPr>
                <w:sz w:val="24"/>
                <w:szCs w:val="24"/>
              </w:rPr>
              <w:t>.</w:t>
            </w:r>
            <w:r w:rsidR="00907534" w:rsidRPr="005A68E6">
              <w:rPr>
                <w:sz w:val="24"/>
                <w:szCs w:val="24"/>
              </w:rPr>
              <w:t>7</w:t>
            </w:r>
            <w:r w:rsidRPr="005A68E6">
              <w:rPr>
                <w:sz w:val="24"/>
                <w:szCs w:val="24"/>
              </w:rPr>
              <w:t xml:space="preserve"> </w:t>
            </w:r>
          </w:p>
        </w:tc>
        <w:tc>
          <w:tcPr>
            <w:tcW w:w="1212" w:type="dxa"/>
            <w:tcBorders>
              <w:top w:val="single" w:sz="4" w:space="0" w:color="auto"/>
              <w:left w:val="nil"/>
              <w:bottom w:val="single" w:sz="4" w:space="0" w:color="auto"/>
              <w:right w:val="nil"/>
            </w:tcBorders>
            <w:shd w:val="clear" w:color="auto" w:fill="auto"/>
            <w:noWrap/>
            <w:vAlign w:val="bottom"/>
          </w:tcPr>
          <w:p w14:paraId="4058EC47" w14:textId="77777777" w:rsidR="005732FE" w:rsidRPr="005A68E6" w:rsidRDefault="005732FE" w:rsidP="0070296A">
            <w:pPr>
              <w:spacing w:line="240" w:lineRule="auto"/>
              <w:ind w:firstLine="0"/>
              <w:jc w:val="center"/>
              <w:rPr>
                <w:sz w:val="24"/>
                <w:szCs w:val="24"/>
              </w:rPr>
            </w:pPr>
            <w:r w:rsidRPr="005A68E6">
              <w:rPr>
                <w:sz w:val="24"/>
                <w:szCs w:val="24"/>
              </w:rPr>
              <w:t xml:space="preserve">  </w:t>
            </w:r>
            <w:r w:rsidR="00907534" w:rsidRPr="005A68E6">
              <w:rPr>
                <w:sz w:val="24"/>
                <w:szCs w:val="24"/>
              </w:rPr>
              <w:t>8</w:t>
            </w:r>
            <w:r w:rsidRPr="005A68E6">
              <w:rPr>
                <w:sz w:val="24"/>
                <w:szCs w:val="24"/>
              </w:rPr>
              <w:t>.</w:t>
            </w:r>
            <w:r w:rsidR="00907534" w:rsidRPr="005A68E6">
              <w:rPr>
                <w:sz w:val="24"/>
                <w:szCs w:val="24"/>
              </w:rPr>
              <w:t>8</w:t>
            </w:r>
            <w:r w:rsidRPr="005A68E6">
              <w:rPr>
                <w:sz w:val="24"/>
                <w:szCs w:val="24"/>
              </w:rPr>
              <w:t xml:space="preserve"> </w:t>
            </w:r>
          </w:p>
        </w:tc>
      </w:tr>
      <w:tr w:rsidR="005732FE" w:rsidRPr="005A68E6" w14:paraId="2FBAC212" w14:textId="77777777" w:rsidTr="00120E7C">
        <w:trPr>
          <w:trHeight w:val="1028"/>
          <w:jc w:val="center"/>
        </w:trPr>
        <w:tc>
          <w:tcPr>
            <w:tcW w:w="5227" w:type="dxa"/>
            <w:tcBorders>
              <w:top w:val="single" w:sz="4" w:space="0" w:color="auto"/>
              <w:left w:val="nil"/>
              <w:bottom w:val="thinThickSmallGap" w:sz="24" w:space="0" w:color="auto"/>
              <w:right w:val="nil"/>
            </w:tcBorders>
            <w:shd w:val="clear" w:color="auto" w:fill="auto"/>
            <w:noWrap/>
            <w:vAlign w:val="center"/>
          </w:tcPr>
          <w:p w14:paraId="2F236F35" w14:textId="044A16BD" w:rsidR="005732FE" w:rsidRPr="005A68E6" w:rsidRDefault="00BA765B" w:rsidP="00AA3694">
            <w:pPr>
              <w:spacing w:line="240" w:lineRule="auto"/>
              <w:ind w:firstLine="0"/>
              <w:jc w:val="left"/>
            </w:pPr>
            <w:r w:rsidRPr="005A68E6">
              <w:t xml:space="preserve">Share of the change in interest payment for RA Government </w:t>
            </w:r>
            <w:r w:rsidRPr="005A68E6">
              <w:rPr>
                <w:color w:val="000000"/>
              </w:rPr>
              <w:t>foreign currency</w:t>
            </w:r>
            <w:r w:rsidR="00AA3694" w:rsidRPr="005A68E6">
              <w:rPr>
                <w:color w:val="000000"/>
                <w:lang w:val="en-US"/>
              </w:rPr>
              <w:t xml:space="preserve"> debt</w:t>
            </w:r>
            <w:r w:rsidRPr="005A68E6">
              <w:t xml:space="preserve"> in the State </w:t>
            </w:r>
            <w:r w:rsidR="00AA3694" w:rsidRPr="005A68E6">
              <w:rPr>
                <w:lang w:val="en-US"/>
              </w:rPr>
              <w:t>b</w:t>
            </w:r>
            <w:r w:rsidRPr="005A68E6">
              <w:t>udget own revenues (</w:t>
            </w:r>
            <w:r w:rsidRPr="005A68E6">
              <w:rPr>
                <w:lang w:val="en-US"/>
              </w:rPr>
              <w:t>without grants</w:t>
            </w:r>
            <w:r w:rsidRPr="005A68E6">
              <w:t>) (%)</w:t>
            </w:r>
          </w:p>
        </w:tc>
        <w:tc>
          <w:tcPr>
            <w:tcW w:w="1421" w:type="dxa"/>
            <w:tcBorders>
              <w:top w:val="single" w:sz="4" w:space="0" w:color="auto"/>
              <w:left w:val="nil"/>
              <w:bottom w:val="thinThickSmallGap" w:sz="24" w:space="0" w:color="auto"/>
              <w:right w:val="nil"/>
            </w:tcBorders>
            <w:shd w:val="clear" w:color="auto" w:fill="auto"/>
            <w:noWrap/>
            <w:vAlign w:val="bottom"/>
          </w:tcPr>
          <w:p w14:paraId="7D6E067D" w14:textId="77777777" w:rsidR="005732FE" w:rsidRPr="005A68E6" w:rsidRDefault="005732FE" w:rsidP="006D07E7">
            <w:pPr>
              <w:spacing w:line="240" w:lineRule="auto"/>
              <w:ind w:firstLine="0"/>
              <w:jc w:val="center"/>
              <w:rPr>
                <w:sz w:val="24"/>
                <w:szCs w:val="24"/>
              </w:rPr>
            </w:pPr>
            <w:r w:rsidRPr="005A68E6">
              <w:rPr>
                <w:sz w:val="24"/>
                <w:szCs w:val="24"/>
              </w:rPr>
              <w:t xml:space="preserve"> 0.</w:t>
            </w:r>
            <w:r w:rsidR="00907534" w:rsidRPr="005A68E6">
              <w:rPr>
                <w:sz w:val="24"/>
                <w:szCs w:val="24"/>
              </w:rPr>
              <w:t xml:space="preserve">3 </w:t>
            </w:r>
          </w:p>
        </w:tc>
        <w:tc>
          <w:tcPr>
            <w:tcW w:w="1358" w:type="dxa"/>
            <w:tcBorders>
              <w:top w:val="single" w:sz="4" w:space="0" w:color="auto"/>
              <w:left w:val="nil"/>
              <w:bottom w:val="thinThickSmallGap" w:sz="24" w:space="0" w:color="auto"/>
              <w:right w:val="nil"/>
            </w:tcBorders>
            <w:shd w:val="clear" w:color="auto" w:fill="auto"/>
            <w:noWrap/>
            <w:vAlign w:val="bottom"/>
          </w:tcPr>
          <w:p w14:paraId="00FBD922" w14:textId="77777777" w:rsidR="005732FE" w:rsidRPr="005A68E6" w:rsidRDefault="005732FE" w:rsidP="005732FE">
            <w:pPr>
              <w:spacing w:line="240" w:lineRule="auto"/>
              <w:ind w:firstLine="0"/>
              <w:jc w:val="center"/>
              <w:rPr>
                <w:sz w:val="24"/>
                <w:szCs w:val="24"/>
              </w:rPr>
            </w:pPr>
            <w:r w:rsidRPr="005A68E6">
              <w:rPr>
                <w:sz w:val="24"/>
                <w:szCs w:val="24"/>
              </w:rPr>
              <w:t xml:space="preserve">   0.3 </w:t>
            </w:r>
          </w:p>
        </w:tc>
        <w:tc>
          <w:tcPr>
            <w:tcW w:w="1212" w:type="dxa"/>
            <w:tcBorders>
              <w:top w:val="single" w:sz="4" w:space="0" w:color="auto"/>
              <w:left w:val="nil"/>
              <w:bottom w:val="thinThickSmallGap" w:sz="24" w:space="0" w:color="auto"/>
              <w:right w:val="nil"/>
            </w:tcBorders>
            <w:shd w:val="clear" w:color="auto" w:fill="auto"/>
            <w:noWrap/>
            <w:vAlign w:val="bottom"/>
          </w:tcPr>
          <w:p w14:paraId="58C59A3C" w14:textId="77777777" w:rsidR="005732FE" w:rsidRPr="005A68E6" w:rsidRDefault="005732FE" w:rsidP="005732FE">
            <w:pPr>
              <w:spacing w:line="240" w:lineRule="auto"/>
              <w:ind w:firstLine="0"/>
              <w:jc w:val="center"/>
              <w:rPr>
                <w:sz w:val="24"/>
                <w:szCs w:val="24"/>
              </w:rPr>
            </w:pPr>
            <w:r w:rsidRPr="005A68E6">
              <w:rPr>
                <w:sz w:val="24"/>
                <w:szCs w:val="24"/>
              </w:rPr>
              <w:t xml:space="preserve">  0.3 </w:t>
            </w:r>
          </w:p>
        </w:tc>
      </w:tr>
    </w:tbl>
    <w:p w14:paraId="2AB3FC6A" w14:textId="1D42F660" w:rsidR="00025E2D" w:rsidRPr="005A68E6" w:rsidRDefault="00F7292C" w:rsidP="00D76EC5">
      <w:pPr>
        <w:spacing w:before="120"/>
        <w:rPr>
          <w:sz w:val="18"/>
          <w:lang w:val="en-US"/>
        </w:rPr>
      </w:pPr>
      <w:r w:rsidRPr="005A68E6">
        <w:rPr>
          <w:sz w:val="18"/>
          <w:lang w:val="en-US"/>
        </w:rPr>
        <w:t>Source: RA MoF calculations</w:t>
      </w:r>
    </w:p>
    <w:p w14:paraId="55E73A1C" w14:textId="77777777" w:rsidR="002264FD" w:rsidRPr="005A68E6" w:rsidRDefault="002264FD" w:rsidP="00A1274B">
      <w:pPr>
        <w:rPr>
          <w:color w:val="FF0000"/>
        </w:rPr>
      </w:pPr>
    </w:p>
    <w:p w14:paraId="3F93CFE7" w14:textId="6AA0ACDD" w:rsidR="001835ED" w:rsidRPr="005A68E6" w:rsidRDefault="001835ED" w:rsidP="001835ED">
      <w:r w:rsidRPr="005A68E6">
        <w:t>At the beginning of the medium</w:t>
      </w:r>
      <w:r w:rsidR="00211AFB" w:rsidRPr="005A68E6">
        <w:rPr>
          <w:lang w:val="en-US"/>
        </w:rPr>
        <w:t>-</w:t>
      </w:r>
      <w:r w:rsidRPr="005A68E6">
        <w:t>term, an increase in the yield curve by one percentage point in the domestic debt market will increase debt interest payments by an average of AMD</w:t>
      </w:r>
      <w:r w:rsidRPr="005A68E6">
        <w:rPr>
          <w:lang w:val="en-US"/>
        </w:rPr>
        <w:t xml:space="preserve"> 9.2</w:t>
      </w:r>
      <w:r w:rsidRPr="005A68E6">
        <w:t xml:space="preserve"> billion per year during 202</w:t>
      </w:r>
      <w:r w:rsidRPr="005A68E6">
        <w:rPr>
          <w:lang w:val="en-US"/>
        </w:rPr>
        <w:t>4</w:t>
      </w:r>
      <w:r w:rsidRPr="005A68E6">
        <w:t>-202</w:t>
      </w:r>
      <w:r w:rsidRPr="005A68E6">
        <w:rPr>
          <w:lang w:val="en-US"/>
        </w:rPr>
        <w:t>6</w:t>
      </w:r>
      <w:r w:rsidRPr="005A68E6">
        <w:t>.</w:t>
      </w:r>
    </w:p>
    <w:p w14:paraId="2E129ACC" w14:textId="68D2C2CA" w:rsidR="00324DB6" w:rsidRPr="005A68E6" w:rsidRDefault="00324DB6" w:rsidP="005A68E6">
      <w:pPr>
        <w:pStyle w:val="af6"/>
        <w:numPr>
          <w:ilvl w:val="0"/>
          <w:numId w:val="35"/>
        </w:numPr>
        <w:spacing w:after="240"/>
        <w:ind w:left="1276" w:hanging="1276"/>
        <w:rPr>
          <w:rStyle w:val="Emphasis"/>
          <w:i/>
          <w:iCs w:val="0"/>
        </w:rPr>
      </w:pPr>
      <w:r w:rsidRPr="005A68E6">
        <w:rPr>
          <w:rStyle w:val="Emphasis"/>
          <w:rFonts w:cs="Cambria"/>
          <w:i/>
        </w:rPr>
        <w:t xml:space="preserve">The impact of one percentage point change in </w:t>
      </w:r>
      <w:r w:rsidR="004D6547" w:rsidRPr="005A68E6">
        <w:rPr>
          <w:rStyle w:val="Emphasis"/>
          <w:rFonts w:cs="Cambria"/>
          <w:i/>
          <w:lang w:val="en-US"/>
        </w:rPr>
        <w:t xml:space="preserve">the </w:t>
      </w:r>
      <w:r w:rsidRPr="005A68E6">
        <w:rPr>
          <w:rStyle w:val="Emphasis"/>
          <w:rFonts w:cs="Cambria"/>
          <w:i/>
        </w:rPr>
        <w:t xml:space="preserve">RA Government </w:t>
      </w:r>
      <w:r w:rsidR="000117CD" w:rsidRPr="005A68E6">
        <w:rPr>
          <w:rStyle w:val="Emphasis"/>
          <w:rFonts w:cs="Cambria"/>
          <w:i/>
          <w:lang w:val="en-US"/>
        </w:rPr>
        <w:t>local</w:t>
      </w:r>
      <w:r w:rsidRPr="005A68E6">
        <w:rPr>
          <w:rStyle w:val="Emphasis"/>
          <w:rFonts w:cs="Cambria"/>
          <w:i/>
        </w:rPr>
        <w:t xml:space="preserve"> </w:t>
      </w:r>
      <w:r w:rsidR="000117CD" w:rsidRPr="005A68E6">
        <w:rPr>
          <w:rStyle w:val="Emphasis"/>
          <w:rFonts w:cs="Cambria"/>
          <w:i/>
          <w:lang w:val="en-US"/>
        </w:rPr>
        <w:t xml:space="preserve">currency </w:t>
      </w:r>
      <w:r w:rsidRPr="005A68E6">
        <w:rPr>
          <w:rStyle w:val="Emphasis"/>
          <w:rFonts w:cs="Cambria"/>
          <w:i/>
        </w:rPr>
        <w:t xml:space="preserve">debt interest rate at the beginning of the medium-term on the interest payments for </w:t>
      </w:r>
      <w:r w:rsidR="004D6547" w:rsidRPr="005A68E6">
        <w:rPr>
          <w:rStyle w:val="Emphasis"/>
          <w:rFonts w:cs="Cambria"/>
          <w:i/>
          <w:lang w:val="en-US"/>
        </w:rPr>
        <w:t xml:space="preserve">the </w:t>
      </w:r>
      <w:r w:rsidRPr="005A68E6">
        <w:rPr>
          <w:rStyle w:val="Emphasis"/>
          <w:rFonts w:cs="Cambria"/>
          <w:i/>
        </w:rPr>
        <w:t xml:space="preserve">RA Government </w:t>
      </w:r>
      <w:r w:rsidR="00BF5639" w:rsidRPr="005A68E6">
        <w:rPr>
          <w:rStyle w:val="Emphasis"/>
          <w:rFonts w:cs="Cambria"/>
          <w:i/>
          <w:lang w:val="en-US"/>
        </w:rPr>
        <w:t>local</w:t>
      </w:r>
      <w:r w:rsidR="00BF5639" w:rsidRPr="005A68E6">
        <w:rPr>
          <w:rStyle w:val="Emphasis"/>
          <w:rFonts w:cs="Cambria"/>
          <w:i/>
        </w:rPr>
        <w:t xml:space="preserve"> </w:t>
      </w:r>
      <w:r w:rsidR="00BF5639" w:rsidRPr="005A68E6">
        <w:rPr>
          <w:rStyle w:val="Emphasis"/>
          <w:rFonts w:cs="Cambria"/>
          <w:i/>
          <w:lang w:val="en-US"/>
        </w:rPr>
        <w:t xml:space="preserve">currency </w:t>
      </w:r>
      <w:r w:rsidRPr="005A68E6">
        <w:rPr>
          <w:rStyle w:val="Emphasis"/>
          <w:rFonts w:cs="Cambria"/>
          <w:i/>
        </w:rPr>
        <w:t>debt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7"/>
        <w:gridCol w:w="1170"/>
        <w:gridCol w:w="1040"/>
        <w:gridCol w:w="1107"/>
      </w:tblGrid>
      <w:tr w:rsidR="00324DB6" w:rsidRPr="005A68E6" w14:paraId="7D1A3C50" w14:textId="77777777" w:rsidTr="007E010D">
        <w:trPr>
          <w:trHeight w:val="612"/>
          <w:tblHeader/>
          <w:jc w:val="center"/>
        </w:trPr>
        <w:tc>
          <w:tcPr>
            <w:tcW w:w="5627" w:type="dxa"/>
            <w:tcBorders>
              <w:top w:val="thinThickThinSmallGap" w:sz="24" w:space="0" w:color="auto"/>
              <w:left w:val="nil"/>
              <w:bottom w:val="thinThickSmallGap" w:sz="24" w:space="0" w:color="auto"/>
              <w:right w:val="nil"/>
            </w:tcBorders>
            <w:shd w:val="clear" w:color="auto" w:fill="5B9BD5"/>
            <w:vAlign w:val="center"/>
          </w:tcPr>
          <w:p w14:paraId="0EEEA6D1" w14:textId="77777777" w:rsidR="00324DB6" w:rsidRPr="005A68E6" w:rsidRDefault="00324DB6" w:rsidP="00324DB6">
            <w:pPr>
              <w:spacing w:line="240" w:lineRule="auto"/>
              <w:ind w:firstLine="131"/>
              <w:jc w:val="center"/>
            </w:pPr>
          </w:p>
        </w:tc>
        <w:tc>
          <w:tcPr>
            <w:tcW w:w="1170" w:type="dxa"/>
            <w:tcBorders>
              <w:top w:val="thinThickThinSmallGap" w:sz="24" w:space="0" w:color="auto"/>
              <w:left w:val="double" w:sz="4" w:space="0" w:color="auto"/>
              <w:bottom w:val="thinThickSmallGap" w:sz="24" w:space="0" w:color="auto"/>
              <w:right w:val="nil"/>
            </w:tcBorders>
            <w:shd w:val="clear" w:color="auto" w:fill="5B9BD5"/>
            <w:vAlign w:val="center"/>
          </w:tcPr>
          <w:p w14:paraId="7482563F" w14:textId="6AF972FB" w:rsidR="00324DB6" w:rsidRPr="005A68E6" w:rsidRDefault="00324DB6" w:rsidP="00324DB6">
            <w:pPr>
              <w:spacing w:line="240" w:lineRule="auto"/>
              <w:ind w:firstLine="131"/>
            </w:pPr>
            <w:r w:rsidRPr="005A68E6">
              <w:t xml:space="preserve">2024 </w:t>
            </w:r>
            <w:r w:rsidRPr="005A68E6">
              <w:rPr>
                <w:lang w:val="en-US"/>
              </w:rPr>
              <w:t>forecast</w:t>
            </w:r>
          </w:p>
        </w:tc>
        <w:tc>
          <w:tcPr>
            <w:tcW w:w="1040" w:type="dxa"/>
            <w:tcBorders>
              <w:top w:val="thinThickThinSmallGap" w:sz="24" w:space="0" w:color="auto"/>
              <w:left w:val="nil"/>
              <w:bottom w:val="thinThickSmallGap" w:sz="24" w:space="0" w:color="auto"/>
              <w:right w:val="nil"/>
            </w:tcBorders>
            <w:shd w:val="clear" w:color="auto" w:fill="5B9BD5"/>
            <w:vAlign w:val="center"/>
          </w:tcPr>
          <w:p w14:paraId="4733A32D" w14:textId="30AC8282" w:rsidR="00324DB6" w:rsidRPr="005A68E6" w:rsidRDefault="00324DB6" w:rsidP="00324DB6">
            <w:pPr>
              <w:spacing w:line="240" w:lineRule="auto"/>
              <w:ind w:firstLine="131"/>
              <w:jc w:val="center"/>
            </w:pPr>
            <w:r w:rsidRPr="005A68E6">
              <w:t xml:space="preserve">2025 </w:t>
            </w:r>
            <w:r w:rsidRPr="005A68E6">
              <w:rPr>
                <w:lang w:val="en-US"/>
              </w:rPr>
              <w:t>forecast</w:t>
            </w:r>
          </w:p>
        </w:tc>
        <w:tc>
          <w:tcPr>
            <w:tcW w:w="1107" w:type="dxa"/>
            <w:tcBorders>
              <w:top w:val="thinThickThinSmallGap" w:sz="24" w:space="0" w:color="auto"/>
              <w:left w:val="nil"/>
              <w:bottom w:val="thinThickSmallGap" w:sz="24" w:space="0" w:color="auto"/>
              <w:right w:val="nil"/>
            </w:tcBorders>
            <w:shd w:val="clear" w:color="auto" w:fill="5B9BD5"/>
            <w:vAlign w:val="center"/>
          </w:tcPr>
          <w:p w14:paraId="2307CB98" w14:textId="53CCD15D" w:rsidR="00324DB6" w:rsidRPr="005A68E6" w:rsidRDefault="00324DB6" w:rsidP="00324DB6">
            <w:pPr>
              <w:spacing w:line="240" w:lineRule="auto"/>
              <w:ind w:firstLine="131"/>
              <w:jc w:val="center"/>
            </w:pPr>
            <w:r w:rsidRPr="005A68E6">
              <w:t xml:space="preserve">2026 </w:t>
            </w:r>
            <w:r w:rsidRPr="005A68E6">
              <w:rPr>
                <w:lang w:val="en-US"/>
              </w:rPr>
              <w:t>forecast</w:t>
            </w:r>
          </w:p>
        </w:tc>
      </w:tr>
      <w:tr w:rsidR="00324DB6" w:rsidRPr="005A68E6" w14:paraId="318BF69D" w14:textId="77777777" w:rsidTr="00322BF2">
        <w:trPr>
          <w:trHeight w:val="607"/>
          <w:jc w:val="center"/>
        </w:trPr>
        <w:tc>
          <w:tcPr>
            <w:tcW w:w="5627" w:type="dxa"/>
            <w:tcBorders>
              <w:left w:val="nil"/>
              <w:right w:val="nil"/>
            </w:tcBorders>
            <w:vAlign w:val="center"/>
          </w:tcPr>
          <w:p w14:paraId="7288CECF" w14:textId="5B767584" w:rsidR="00324DB6" w:rsidRPr="005A68E6" w:rsidRDefault="00324DB6" w:rsidP="00324DB6">
            <w:pPr>
              <w:spacing w:line="240" w:lineRule="auto"/>
              <w:ind w:firstLine="131"/>
              <w:jc w:val="left"/>
            </w:pPr>
            <w:r w:rsidRPr="005A68E6">
              <w:rPr>
                <w:lang w:val="en-US"/>
              </w:rPr>
              <w:t>Change in interest payment for RA Government local currency debt</w:t>
            </w:r>
            <w:r w:rsidRPr="005A68E6">
              <w:t xml:space="preserve"> (</w:t>
            </w:r>
            <w:r w:rsidRPr="005A68E6">
              <w:rPr>
                <w:lang w:val="en-US"/>
              </w:rPr>
              <w:t>AMD billion</w:t>
            </w:r>
            <w:r w:rsidRPr="005A68E6">
              <w:t>)</w:t>
            </w:r>
          </w:p>
        </w:tc>
        <w:tc>
          <w:tcPr>
            <w:tcW w:w="1170" w:type="dxa"/>
            <w:tcBorders>
              <w:left w:val="double" w:sz="4" w:space="0" w:color="auto"/>
              <w:right w:val="nil"/>
            </w:tcBorders>
            <w:vAlign w:val="center"/>
          </w:tcPr>
          <w:p w14:paraId="0572BDE2" w14:textId="77777777" w:rsidR="00324DB6" w:rsidRPr="005A68E6" w:rsidRDefault="00324DB6" w:rsidP="00324DB6">
            <w:pPr>
              <w:spacing w:line="240" w:lineRule="auto"/>
              <w:ind w:firstLine="131"/>
              <w:jc w:val="center"/>
            </w:pPr>
            <w:r w:rsidRPr="005A68E6">
              <w:t>2.8</w:t>
            </w:r>
          </w:p>
        </w:tc>
        <w:tc>
          <w:tcPr>
            <w:tcW w:w="1040" w:type="dxa"/>
            <w:tcBorders>
              <w:left w:val="nil"/>
              <w:right w:val="nil"/>
            </w:tcBorders>
            <w:vAlign w:val="center"/>
          </w:tcPr>
          <w:p w14:paraId="1DEB431F" w14:textId="77777777" w:rsidR="00324DB6" w:rsidRPr="005A68E6" w:rsidRDefault="00324DB6" w:rsidP="00324DB6">
            <w:pPr>
              <w:spacing w:line="240" w:lineRule="auto"/>
              <w:ind w:firstLine="131"/>
              <w:jc w:val="center"/>
            </w:pPr>
            <w:r w:rsidRPr="005A68E6">
              <w:t>9.1</w:t>
            </w:r>
          </w:p>
        </w:tc>
        <w:tc>
          <w:tcPr>
            <w:tcW w:w="1107" w:type="dxa"/>
            <w:tcBorders>
              <w:left w:val="nil"/>
              <w:right w:val="nil"/>
            </w:tcBorders>
            <w:vAlign w:val="center"/>
          </w:tcPr>
          <w:p w14:paraId="657AC2B1" w14:textId="77777777" w:rsidR="00324DB6" w:rsidRPr="005A68E6" w:rsidRDefault="00324DB6" w:rsidP="00324DB6">
            <w:pPr>
              <w:spacing w:line="240" w:lineRule="auto"/>
              <w:ind w:firstLine="131"/>
              <w:jc w:val="center"/>
            </w:pPr>
            <w:r w:rsidRPr="005A68E6">
              <w:rPr>
                <w:lang w:val="en-US"/>
              </w:rPr>
              <w:t>1</w:t>
            </w:r>
            <w:r w:rsidRPr="005A68E6">
              <w:t>5</w:t>
            </w:r>
            <w:r w:rsidRPr="005A68E6">
              <w:rPr>
                <w:lang w:val="en-US"/>
              </w:rPr>
              <w:t>.</w:t>
            </w:r>
            <w:r w:rsidRPr="005A68E6">
              <w:t>8</w:t>
            </w:r>
          </w:p>
        </w:tc>
      </w:tr>
      <w:tr w:rsidR="00324DB6" w:rsidRPr="005A68E6" w14:paraId="504AA8DB" w14:textId="77777777" w:rsidTr="00322BF2">
        <w:trPr>
          <w:trHeight w:val="696"/>
          <w:jc w:val="center"/>
        </w:trPr>
        <w:tc>
          <w:tcPr>
            <w:tcW w:w="5627" w:type="dxa"/>
            <w:tcBorders>
              <w:left w:val="nil"/>
              <w:right w:val="nil"/>
            </w:tcBorders>
            <w:vAlign w:val="center"/>
          </w:tcPr>
          <w:p w14:paraId="6180B79B" w14:textId="590EF12F" w:rsidR="00324DB6" w:rsidRPr="005A68E6" w:rsidRDefault="00324DB6" w:rsidP="00324DB6">
            <w:pPr>
              <w:spacing w:line="240" w:lineRule="auto"/>
              <w:ind w:firstLine="131"/>
              <w:jc w:val="left"/>
            </w:pPr>
            <w:r w:rsidRPr="005A68E6">
              <w:t>Change in interest payment for RA Govern</w:t>
            </w:r>
            <w:r w:rsidRPr="005A68E6">
              <w:rPr>
                <w:lang w:val="en-US"/>
              </w:rPr>
              <w:t xml:space="preserve">ment local currency debt </w:t>
            </w:r>
            <w:r w:rsidRPr="005A68E6">
              <w:t>(%)</w:t>
            </w:r>
          </w:p>
        </w:tc>
        <w:tc>
          <w:tcPr>
            <w:tcW w:w="1170" w:type="dxa"/>
            <w:tcBorders>
              <w:left w:val="double" w:sz="4" w:space="0" w:color="auto"/>
              <w:right w:val="nil"/>
            </w:tcBorders>
            <w:vAlign w:val="center"/>
          </w:tcPr>
          <w:p w14:paraId="22109598" w14:textId="77777777" w:rsidR="00324DB6" w:rsidRPr="005A68E6" w:rsidRDefault="00324DB6" w:rsidP="00324DB6">
            <w:pPr>
              <w:spacing w:line="240" w:lineRule="auto"/>
              <w:ind w:firstLine="131"/>
              <w:jc w:val="center"/>
            </w:pPr>
            <w:r w:rsidRPr="005A68E6">
              <w:t>1.4</w:t>
            </w:r>
          </w:p>
        </w:tc>
        <w:tc>
          <w:tcPr>
            <w:tcW w:w="1040" w:type="dxa"/>
            <w:tcBorders>
              <w:left w:val="nil"/>
              <w:right w:val="nil"/>
            </w:tcBorders>
            <w:vAlign w:val="center"/>
          </w:tcPr>
          <w:p w14:paraId="7147AB5A" w14:textId="77777777" w:rsidR="00324DB6" w:rsidRPr="005A68E6" w:rsidRDefault="00324DB6" w:rsidP="00324DB6">
            <w:pPr>
              <w:spacing w:line="240" w:lineRule="auto"/>
              <w:ind w:firstLine="131"/>
              <w:jc w:val="center"/>
            </w:pPr>
            <w:r w:rsidRPr="005A68E6">
              <w:t>3.8</w:t>
            </w:r>
          </w:p>
        </w:tc>
        <w:tc>
          <w:tcPr>
            <w:tcW w:w="1107" w:type="dxa"/>
            <w:tcBorders>
              <w:left w:val="nil"/>
              <w:right w:val="nil"/>
            </w:tcBorders>
            <w:vAlign w:val="center"/>
          </w:tcPr>
          <w:p w14:paraId="6585924E" w14:textId="77777777" w:rsidR="00324DB6" w:rsidRPr="005A68E6" w:rsidRDefault="00324DB6" w:rsidP="00324DB6">
            <w:pPr>
              <w:spacing w:line="240" w:lineRule="auto"/>
              <w:ind w:firstLine="131"/>
              <w:jc w:val="center"/>
            </w:pPr>
            <w:r w:rsidRPr="005A68E6">
              <w:t>5</w:t>
            </w:r>
            <w:r w:rsidRPr="005A68E6">
              <w:rPr>
                <w:lang w:val="en-US"/>
              </w:rPr>
              <w:t>.</w:t>
            </w:r>
            <w:r w:rsidRPr="005A68E6">
              <w:t>9</w:t>
            </w:r>
          </w:p>
        </w:tc>
      </w:tr>
      <w:tr w:rsidR="00324DB6" w:rsidRPr="005A68E6" w14:paraId="290E50EB" w14:textId="77777777" w:rsidTr="00322BF2">
        <w:trPr>
          <w:trHeight w:val="887"/>
          <w:jc w:val="center"/>
        </w:trPr>
        <w:tc>
          <w:tcPr>
            <w:tcW w:w="5627" w:type="dxa"/>
            <w:tcBorders>
              <w:left w:val="nil"/>
              <w:bottom w:val="thickThinSmallGap" w:sz="24" w:space="0" w:color="auto"/>
              <w:right w:val="nil"/>
            </w:tcBorders>
            <w:vAlign w:val="center"/>
          </w:tcPr>
          <w:p w14:paraId="5B3CB053" w14:textId="14E7447D" w:rsidR="00324DB6" w:rsidRPr="005A68E6" w:rsidRDefault="00324DB6" w:rsidP="006730A0">
            <w:pPr>
              <w:spacing w:line="240" w:lineRule="auto"/>
              <w:ind w:firstLine="131"/>
              <w:jc w:val="left"/>
            </w:pPr>
            <w:r w:rsidRPr="005A68E6">
              <w:t>Share of</w:t>
            </w:r>
            <w:r w:rsidRPr="005A68E6">
              <w:rPr>
                <w:lang w:val="en-US"/>
              </w:rPr>
              <w:t xml:space="preserve"> </w:t>
            </w:r>
            <w:r w:rsidRPr="005A68E6">
              <w:t xml:space="preserve">the change in interest payment for RA Government </w:t>
            </w:r>
            <w:r w:rsidRPr="005A68E6">
              <w:rPr>
                <w:lang w:val="en-US"/>
              </w:rPr>
              <w:t>local currency</w:t>
            </w:r>
            <w:r w:rsidRPr="005A68E6">
              <w:t xml:space="preserve"> debt in the State </w:t>
            </w:r>
            <w:r w:rsidR="006730A0" w:rsidRPr="005A68E6">
              <w:rPr>
                <w:lang w:val="en-US"/>
              </w:rPr>
              <w:t>b</w:t>
            </w:r>
            <w:r w:rsidRPr="005A68E6">
              <w:t>udget own revenues (without grants)</w:t>
            </w:r>
            <w:r w:rsidRPr="005A68E6">
              <w:rPr>
                <w:lang w:val="en-US"/>
              </w:rPr>
              <w:t xml:space="preserve"> </w:t>
            </w:r>
            <w:r w:rsidRPr="005A68E6">
              <w:t>(%)</w:t>
            </w:r>
          </w:p>
        </w:tc>
        <w:tc>
          <w:tcPr>
            <w:tcW w:w="1170" w:type="dxa"/>
            <w:tcBorders>
              <w:left w:val="double" w:sz="4" w:space="0" w:color="auto"/>
              <w:bottom w:val="thickThinSmallGap" w:sz="24" w:space="0" w:color="auto"/>
              <w:right w:val="nil"/>
            </w:tcBorders>
            <w:vAlign w:val="center"/>
          </w:tcPr>
          <w:p w14:paraId="42454707" w14:textId="77777777" w:rsidR="00324DB6" w:rsidRPr="005A68E6" w:rsidRDefault="00324DB6" w:rsidP="00324DB6">
            <w:pPr>
              <w:spacing w:line="240" w:lineRule="auto"/>
              <w:ind w:firstLine="131"/>
              <w:jc w:val="center"/>
            </w:pPr>
            <w:r w:rsidRPr="005A68E6">
              <w:t>0.1</w:t>
            </w:r>
          </w:p>
        </w:tc>
        <w:tc>
          <w:tcPr>
            <w:tcW w:w="1040" w:type="dxa"/>
            <w:tcBorders>
              <w:left w:val="nil"/>
              <w:bottom w:val="thickThinSmallGap" w:sz="24" w:space="0" w:color="auto"/>
              <w:right w:val="nil"/>
            </w:tcBorders>
            <w:vAlign w:val="center"/>
          </w:tcPr>
          <w:p w14:paraId="76C2C071" w14:textId="77777777" w:rsidR="00324DB6" w:rsidRPr="005A68E6" w:rsidRDefault="00324DB6" w:rsidP="00324DB6">
            <w:pPr>
              <w:spacing w:line="240" w:lineRule="auto"/>
              <w:ind w:firstLine="131"/>
              <w:jc w:val="center"/>
            </w:pPr>
            <w:r w:rsidRPr="005A68E6">
              <w:t>0.3</w:t>
            </w:r>
          </w:p>
        </w:tc>
        <w:tc>
          <w:tcPr>
            <w:tcW w:w="1107" w:type="dxa"/>
            <w:tcBorders>
              <w:left w:val="nil"/>
              <w:bottom w:val="thickThinSmallGap" w:sz="24" w:space="0" w:color="auto"/>
              <w:right w:val="nil"/>
            </w:tcBorders>
            <w:vAlign w:val="center"/>
          </w:tcPr>
          <w:p w14:paraId="285D9448" w14:textId="77777777" w:rsidR="00324DB6" w:rsidRPr="005A68E6" w:rsidRDefault="00324DB6" w:rsidP="00324DB6">
            <w:pPr>
              <w:spacing w:line="240" w:lineRule="auto"/>
              <w:ind w:firstLine="131"/>
              <w:jc w:val="center"/>
            </w:pPr>
            <w:r w:rsidRPr="005A68E6">
              <w:t>0.5</w:t>
            </w:r>
          </w:p>
        </w:tc>
      </w:tr>
    </w:tbl>
    <w:p w14:paraId="25431B25" w14:textId="27DC7E9C" w:rsidR="001F100C" w:rsidRPr="005A68E6" w:rsidRDefault="000E2C30" w:rsidP="00D76EC5">
      <w:pPr>
        <w:spacing w:before="120"/>
        <w:rPr>
          <w:sz w:val="18"/>
          <w:lang w:val="en-US"/>
        </w:rPr>
      </w:pPr>
      <w:r w:rsidRPr="005A68E6">
        <w:rPr>
          <w:sz w:val="18"/>
          <w:lang w:val="en-US"/>
        </w:rPr>
        <w:t>Source: RA MoF calculations and forecasts</w:t>
      </w:r>
    </w:p>
    <w:p w14:paraId="1810FD22" w14:textId="77777777" w:rsidR="002264FD" w:rsidRPr="005A68E6" w:rsidRDefault="002264FD" w:rsidP="00A1274B">
      <w:pPr>
        <w:rPr>
          <w:color w:val="FF0000"/>
        </w:rPr>
      </w:pPr>
    </w:p>
    <w:p w14:paraId="5038B826" w14:textId="1250EBAD" w:rsidR="001835ED" w:rsidRPr="005A68E6" w:rsidRDefault="001835ED" w:rsidP="001835ED">
      <w:r w:rsidRPr="005A68E6">
        <w:t xml:space="preserve">The conducted sensitivity analyses allow </w:t>
      </w:r>
      <w:r w:rsidRPr="005A68E6">
        <w:rPr>
          <w:lang w:val="en-US"/>
        </w:rPr>
        <w:t>to assume</w:t>
      </w:r>
      <w:r w:rsidRPr="005A68E6">
        <w:t xml:space="preserve"> that the impact of the exchange rate shock on the RA Government debt portfolio is much </w:t>
      </w:r>
      <w:r w:rsidRPr="005A68E6">
        <w:rPr>
          <w:lang w:val="en-US"/>
        </w:rPr>
        <w:t>greater</w:t>
      </w:r>
      <w:r w:rsidRPr="005A68E6">
        <w:t xml:space="preserve"> than the impact of the interest rate shock. This is mainly due to the </w:t>
      </w:r>
      <w:r w:rsidRPr="005A68E6">
        <w:rPr>
          <w:lang w:val="en-US"/>
        </w:rPr>
        <w:t>large share</w:t>
      </w:r>
      <w:r w:rsidRPr="005A68E6">
        <w:t xml:space="preserve"> of foreign currency-denominated debt </w:t>
      </w:r>
      <w:r w:rsidRPr="005A68E6">
        <w:rPr>
          <w:lang w:val="en-US"/>
        </w:rPr>
        <w:t xml:space="preserve">on </w:t>
      </w:r>
      <w:r w:rsidR="000E2C30" w:rsidRPr="005A68E6">
        <w:rPr>
          <w:lang w:val="en-US"/>
        </w:rPr>
        <w:t xml:space="preserve">one </w:t>
      </w:r>
      <w:r w:rsidRPr="005A68E6">
        <w:rPr>
          <w:lang w:val="en-US"/>
        </w:rPr>
        <w:t xml:space="preserve">hand </w:t>
      </w:r>
      <w:r w:rsidR="007B6B25" w:rsidRPr="005A68E6">
        <w:rPr>
          <w:lang w:val="en-US"/>
        </w:rPr>
        <w:t xml:space="preserve">and </w:t>
      </w:r>
      <w:r w:rsidRPr="005A68E6">
        <w:t>the dominance of fixed-rate debt in the RA Government debt portfolio</w:t>
      </w:r>
      <w:r w:rsidR="000E2C30" w:rsidRPr="005A68E6">
        <w:rPr>
          <w:lang w:val="en-US"/>
        </w:rPr>
        <w:t xml:space="preserve"> on the other</w:t>
      </w:r>
      <w:r w:rsidRPr="005A68E6">
        <w:t>.</w:t>
      </w:r>
    </w:p>
    <w:p w14:paraId="20D21481" w14:textId="2BDE465F" w:rsidR="002432D1" w:rsidRPr="005A68E6" w:rsidRDefault="002432D1" w:rsidP="001835ED">
      <w:pPr>
        <w:ind w:firstLine="0"/>
      </w:pPr>
    </w:p>
    <w:p w14:paraId="093E3094" w14:textId="22AD166A" w:rsidR="00025E2D" w:rsidRPr="005A68E6" w:rsidRDefault="008E092A" w:rsidP="00941791">
      <w:pPr>
        <w:pStyle w:val="Heading2"/>
      </w:pPr>
      <w:bookmarkStart w:id="26" w:name="_Toc150627827"/>
      <w:r w:rsidRPr="005A68E6">
        <w:t>Conclusions</w:t>
      </w:r>
      <w:bookmarkEnd w:id="26"/>
      <w:r w:rsidRPr="005A68E6">
        <w:t xml:space="preserve"> </w:t>
      </w:r>
    </w:p>
    <w:p w14:paraId="31DA5A02" w14:textId="479835EF" w:rsidR="00025E2D" w:rsidRPr="005A68E6" w:rsidRDefault="00025E2D" w:rsidP="00D33024">
      <w:pPr>
        <w:rPr>
          <w:color w:val="FF0000"/>
        </w:rPr>
      </w:pPr>
    </w:p>
    <w:p w14:paraId="1E153125" w14:textId="32868465" w:rsidR="001835ED" w:rsidRPr="005A68E6" w:rsidRDefault="001835ED" w:rsidP="001835ED">
      <w:pPr>
        <w:rPr>
          <w:lang w:val="en-US"/>
        </w:rPr>
      </w:pPr>
      <w:r w:rsidRPr="005A68E6">
        <w:t xml:space="preserve">The results of the Government debt portfolio cost-at-risk analysis show that the debt portfolio is mostly exposed to exchange rate risk. Therefore, </w:t>
      </w:r>
      <w:r w:rsidR="004D6547" w:rsidRPr="005A68E6">
        <w:rPr>
          <w:lang w:val="en-US"/>
        </w:rPr>
        <w:t xml:space="preserve">the </w:t>
      </w:r>
      <w:r w:rsidRPr="005A68E6">
        <w:t xml:space="preserve">RA Government considers the continuous development of </w:t>
      </w:r>
      <w:r w:rsidRPr="005A68E6">
        <w:rPr>
          <w:lang w:val="en-US"/>
        </w:rPr>
        <w:t xml:space="preserve">the </w:t>
      </w:r>
      <w:r w:rsidRPr="005A68E6">
        <w:lastRenderedPageBreak/>
        <w:t xml:space="preserve">Government treasury </w:t>
      </w:r>
      <w:r w:rsidRPr="005A68E6">
        <w:rPr>
          <w:lang w:val="en-US"/>
        </w:rPr>
        <w:t>bonds</w:t>
      </w:r>
      <w:r w:rsidRPr="005A68E6">
        <w:t xml:space="preserve"> market and the</w:t>
      </w:r>
      <w:r w:rsidRPr="005A68E6">
        <w:rPr>
          <w:lang w:val="en-US"/>
        </w:rPr>
        <w:t xml:space="preserve"> growth in</w:t>
      </w:r>
      <w:r w:rsidRPr="005A68E6">
        <w:t xml:space="preserve"> the share of AMD</w:t>
      </w:r>
      <w:r w:rsidRPr="005A68E6">
        <w:rPr>
          <w:lang w:val="en-US"/>
        </w:rPr>
        <w:t xml:space="preserve"> denominated </w:t>
      </w:r>
      <w:r w:rsidRPr="005A68E6">
        <w:t xml:space="preserve"> debt by increasing the volume of the borrowings from the domestic market</w:t>
      </w:r>
      <w:r w:rsidRPr="005A68E6">
        <w:rPr>
          <w:lang w:val="en-US"/>
        </w:rPr>
        <w:t xml:space="preserve"> as a priority</w:t>
      </w:r>
      <w:r w:rsidRPr="005A68E6">
        <w:t>. In the medium</w:t>
      </w:r>
      <w:r w:rsidR="006730A0" w:rsidRPr="005A68E6">
        <w:rPr>
          <w:lang w:val="en-US"/>
        </w:rPr>
        <w:t>-</w:t>
      </w:r>
      <w:r w:rsidRPr="005A68E6">
        <w:t xml:space="preserve">term, it is planned to make the </w:t>
      </w:r>
      <w:r w:rsidR="006730A0" w:rsidRPr="005A68E6">
        <w:rPr>
          <w:lang w:val="en-US"/>
        </w:rPr>
        <w:t>G</w:t>
      </w:r>
      <w:r w:rsidRPr="005A68E6">
        <w:t>overnment treasury bond</w:t>
      </w:r>
      <w:r w:rsidRPr="005A68E6">
        <w:rPr>
          <w:lang w:val="en-US"/>
        </w:rPr>
        <w:t>s</w:t>
      </w:r>
      <w:r w:rsidRPr="005A68E6">
        <w:t xml:space="preserve"> market more accessible</w:t>
      </w:r>
      <w:r w:rsidR="00165881" w:rsidRPr="005A68E6">
        <w:rPr>
          <w:lang w:val="en-US"/>
        </w:rPr>
        <w:t xml:space="preserve"> for non-residents,</w:t>
      </w:r>
      <w:r w:rsidRPr="005A68E6">
        <w:rPr>
          <w:lang w:val="en-US"/>
        </w:rPr>
        <w:t xml:space="preserve"> </w:t>
      </w:r>
      <w:r w:rsidRPr="005A68E6">
        <w:t xml:space="preserve">to increase the </w:t>
      </w:r>
      <w:r w:rsidRPr="005A68E6">
        <w:rPr>
          <w:lang w:val="en-US"/>
        </w:rPr>
        <w:t>weight</w:t>
      </w:r>
      <w:r w:rsidRPr="005A68E6">
        <w:t xml:space="preserve"> of deficit financing through domestic net borrowings and </w:t>
      </w:r>
      <w:r w:rsidRPr="005A68E6">
        <w:rPr>
          <w:lang w:val="en-US"/>
        </w:rPr>
        <w:t xml:space="preserve">ensure at least a 40% share of domestic debt in the structure of RA Government debt. It is also planned to introduce an electronic system for organizing </w:t>
      </w:r>
      <w:r w:rsidR="00165881" w:rsidRPr="005A68E6">
        <w:rPr>
          <w:lang w:val="en-US"/>
        </w:rPr>
        <w:t xml:space="preserve">switch </w:t>
      </w:r>
      <w:r w:rsidRPr="005A68E6">
        <w:rPr>
          <w:lang w:val="en-US"/>
        </w:rPr>
        <w:t xml:space="preserve">auctions of </w:t>
      </w:r>
      <w:r w:rsidR="004D6547" w:rsidRPr="005A68E6">
        <w:rPr>
          <w:lang w:val="en-US"/>
        </w:rPr>
        <w:t>the G</w:t>
      </w:r>
      <w:r w:rsidRPr="005A68E6">
        <w:rPr>
          <w:lang w:val="en-US"/>
        </w:rPr>
        <w:t xml:space="preserve">overnment treasury bonds and increase the volume of </w:t>
      </w:r>
      <w:r w:rsidR="00165881" w:rsidRPr="005A68E6">
        <w:rPr>
          <w:lang w:val="en-US"/>
        </w:rPr>
        <w:t xml:space="preserve">outstanding </w:t>
      </w:r>
      <w:r w:rsidRPr="005A68E6">
        <w:rPr>
          <w:lang w:val="en-US"/>
        </w:rPr>
        <w:t xml:space="preserve">bonds, contributing to the growth of liquidity of </w:t>
      </w:r>
      <w:r w:rsidR="004D6547" w:rsidRPr="005A68E6">
        <w:rPr>
          <w:lang w:val="en-US"/>
        </w:rPr>
        <w:t xml:space="preserve">the </w:t>
      </w:r>
      <w:r w:rsidR="006730A0" w:rsidRPr="005A68E6">
        <w:rPr>
          <w:lang w:val="en-US"/>
        </w:rPr>
        <w:t>G</w:t>
      </w:r>
      <w:r w:rsidRPr="005A68E6">
        <w:rPr>
          <w:lang w:val="en-US"/>
        </w:rPr>
        <w:t>overnment treasury bonds.</w:t>
      </w:r>
    </w:p>
    <w:p w14:paraId="20BBDA11" w14:textId="6697C96D" w:rsidR="00025E2D" w:rsidRPr="005A68E6" w:rsidRDefault="00165881" w:rsidP="00165881">
      <w:r w:rsidRPr="005A68E6">
        <w:t xml:space="preserve">It is important to mention that the </w:t>
      </w:r>
      <w:r w:rsidRPr="005A68E6">
        <w:rPr>
          <w:lang w:val="en-US"/>
        </w:rPr>
        <w:t>measures</w:t>
      </w:r>
      <w:r w:rsidRPr="005A68E6">
        <w:t xml:space="preserve"> </w:t>
      </w:r>
      <w:r w:rsidRPr="005A68E6">
        <w:rPr>
          <w:lang w:val="en-US"/>
        </w:rPr>
        <w:t>implemented</w:t>
      </w:r>
      <w:r w:rsidRPr="005A68E6">
        <w:t xml:space="preserve"> only in the RA Government debt management area are not sufficient for the substantial development of the RA Government domestic debt market. One of the preconditions for the development of the domestic debt market and the extension of the investor base is </w:t>
      </w:r>
      <w:r w:rsidRPr="005A68E6">
        <w:rPr>
          <w:lang w:val="en-US"/>
        </w:rPr>
        <w:t xml:space="preserve">the further development of the non-banking sector </w:t>
      </w:r>
      <w:r w:rsidRPr="005A68E6">
        <w:t>of the financial market.</w:t>
      </w:r>
    </w:p>
    <w:p w14:paraId="3635EA5A" w14:textId="7C10D557" w:rsidR="00165881" w:rsidRPr="005A68E6" w:rsidRDefault="00165881" w:rsidP="00165881">
      <w:pPr>
        <w:rPr>
          <w:lang w:val="en-US"/>
        </w:rPr>
      </w:pPr>
      <w:r w:rsidRPr="005A68E6">
        <w:rPr>
          <w:lang w:val="en-US"/>
        </w:rPr>
        <w:t xml:space="preserve">Cooperation with </w:t>
      </w:r>
      <w:r w:rsidR="006730A0" w:rsidRPr="005A68E6">
        <w:rPr>
          <w:lang w:val="en-US"/>
        </w:rPr>
        <w:t xml:space="preserve">the </w:t>
      </w:r>
      <w:r w:rsidRPr="005A68E6">
        <w:rPr>
          <w:lang w:val="en-US"/>
        </w:rPr>
        <w:t xml:space="preserve">external creditors </w:t>
      </w:r>
      <w:r w:rsidR="006730A0" w:rsidRPr="005A68E6">
        <w:t>will be continued</w:t>
      </w:r>
      <w:r w:rsidRPr="005A68E6">
        <w:rPr>
          <w:lang w:val="en-US"/>
        </w:rPr>
        <w:t xml:space="preserve">, as program loans will be directed to the </w:t>
      </w:r>
      <w:r w:rsidR="00C65DC7" w:rsidRPr="005A68E6">
        <w:rPr>
          <w:lang w:val="en-US"/>
        </w:rPr>
        <w:t xml:space="preserve">creation </w:t>
      </w:r>
      <w:r w:rsidRPr="005A68E6">
        <w:rPr>
          <w:lang w:val="en-US"/>
        </w:rPr>
        <w:t>of important infrastructures, and other loans</w:t>
      </w:r>
      <w:r w:rsidR="00C65DC7" w:rsidRPr="005A68E6">
        <w:rPr>
          <w:lang w:val="en-US"/>
        </w:rPr>
        <w:t xml:space="preserve"> will gradually expand </w:t>
      </w:r>
      <w:r w:rsidRPr="005A68E6">
        <w:rPr>
          <w:lang w:val="en-US"/>
        </w:rPr>
        <w:t xml:space="preserve">the use of results-based instruments, which will stimulate economic growth and, </w:t>
      </w:r>
      <w:r w:rsidR="00C65DC7" w:rsidRPr="005A68E6">
        <w:rPr>
          <w:lang w:val="en-US"/>
        </w:rPr>
        <w:t>therefore</w:t>
      </w:r>
      <w:r w:rsidRPr="005A68E6">
        <w:rPr>
          <w:lang w:val="en-US"/>
        </w:rPr>
        <w:t xml:space="preserve">, generate </w:t>
      </w:r>
      <w:r w:rsidR="00C65DC7" w:rsidRPr="005A68E6">
        <w:rPr>
          <w:lang w:val="en-US"/>
        </w:rPr>
        <w:t>revenues</w:t>
      </w:r>
      <w:r w:rsidRPr="005A68E6">
        <w:rPr>
          <w:lang w:val="en-US"/>
        </w:rPr>
        <w:t xml:space="preserve">, which, in turn, will ensure debt </w:t>
      </w:r>
      <w:r w:rsidR="00C65DC7" w:rsidRPr="005A68E6">
        <w:rPr>
          <w:lang w:val="en-US"/>
        </w:rPr>
        <w:t xml:space="preserve">sustainability </w:t>
      </w:r>
      <w:r w:rsidRPr="005A68E6">
        <w:rPr>
          <w:lang w:val="en-US"/>
        </w:rPr>
        <w:t xml:space="preserve">and maintain debt </w:t>
      </w:r>
      <w:r w:rsidR="006730A0" w:rsidRPr="005A68E6">
        <w:rPr>
          <w:lang w:val="en-US"/>
        </w:rPr>
        <w:t>b</w:t>
      </w:r>
      <w:r w:rsidR="00AC6018" w:rsidRPr="005A68E6">
        <w:rPr>
          <w:lang w:val="en-US"/>
        </w:rPr>
        <w:t xml:space="preserve">urden </w:t>
      </w:r>
      <w:r w:rsidRPr="005A68E6">
        <w:rPr>
          <w:lang w:val="en-US"/>
        </w:rPr>
        <w:t>indicators at a manageable level.</w:t>
      </w:r>
    </w:p>
    <w:p w14:paraId="6F52F168" w14:textId="2086923D" w:rsidR="001835ED" w:rsidRPr="005A68E6" w:rsidRDefault="001835ED" w:rsidP="001835ED">
      <w:r w:rsidRPr="005A68E6">
        <w:t>In the medium</w:t>
      </w:r>
      <w:r w:rsidR="00211AFB" w:rsidRPr="005A68E6">
        <w:rPr>
          <w:lang w:val="en-US"/>
        </w:rPr>
        <w:t>-</w:t>
      </w:r>
      <w:r w:rsidRPr="005A68E6">
        <w:t xml:space="preserve">term, </w:t>
      </w:r>
      <w:r w:rsidR="004D6547" w:rsidRPr="005A68E6">
        <w:rPr>
          <w:lang w:val="en-US"/>
        </w:rPr>
        <w:t xml:space="preserve">the </w:t>
      </w:r>
      <w:r w:rsidRPr="005A68E6">
        <w:t>RA Government will continue implementing the actions aimed at smoothing the RA Government debt redemption profile and reducing the refinancing risk by applying liquidity management instruments such as the formation of the cash buffer, implementation of buybacks and switches.</w:t>
      </w:r>
    </w:p>
    <w:p w14:paraId="65A41643" w14:textId="77777777" w:rsidR="001835ED" w:rsidRPr="005A68E6" w:rsidRDefault="001835ED" w:rsidP="00A1274B">
      <w:pPr>
        <w:rPr>
          <w:color w:val="FF0000"/>
        </w:rPr>
      </w:pPr>
    </w:p>
    <w:p w14:paraId="080FFED8" w14:textId="363B6FF1" w:rsidR="001835ED" w:rsidRPr="005A68E6" w:rsidRDefault="00025E2D" w:rsidP="00941791">
      <w:pPr>
        <w:pStyle w:val="Heading1"/>
        <w:spacing w:line="240" w:lineRule="auto"/>
      </w:pPr>
      <w:r w:rsidRPr="005A68E6">
        <w:rPr>
          <w:color w:val="FF0000"/>
        </w:rPr>
        <w:br w:type="page"/>
      </w:r>
      <w:bookmarkStart w:id="27" w:name="_Toc118450090"/>
      <w:bookmarkStart w:id="28" w:name="_Toc150627828"/>
      <w:r w:rsidR="008E092A" w:rsidRPr="005A68E6">
        <w:lastRenderedPageBreak/>
        <w:t>Appendix</w:t>
      </w:r>
      <w:bookmarkEnd w:id="27"/>
      <w:bookmarkEnd w:id="28"/>
    </w:p>
    <w:p w14:paraId="0D3CE639" w14:textId="10E49EEA" w:rsidR="001835ED" w:rsidRPr="005A68E6" w:rsidRDefault="001835ED" w:rsidP="005A68E6">
      <w:pPr>
        <w:spacing w:after="240" w:line="312" w:lineRule="auto"/>
        <w:rPr>
          <w:lang w:val="en-US"/>
        </w:rPr>
      </w:pPr>
      <w:r w:rsidRPr="005A68E6">
        <w:rPr>
          <w:lang w:val="en-US"/>
        </w:rPr>
        <w:t xml:space="preserve">2021-2022 actual, 2023 </w:t>
      </w:r>
      <w:r w:rsidR="00D06B6C" w:rsidRPr="005A68E6">
        <w:rPr>
          <w:lang w:val="en-US"/>
        </w:rPr>
        <w:t>S</w:t>
      </w:r>
      <w:r w:rsidRPr="005A68E6">
        <w:rPr>
          <w:lang w:val="en-US"/>
        </w:rPr>
        <w:t xml:space="preserve">tate budget program and 2024-2026 forecasted indicators characterizing </w:t>
      </w:r>
      <w:r w:rsidR="004D6547" w:rsidRPr="005A68E6">
        <w:rPr>
          <w:lang w:val="en-US"/>
        </w:rPr>
        <w:t xml:space="preserve">the </w:t>
      </w:r>
      <w:r w:rsidRPr="005A68E6">
        <w:rPr>
          <w:lang w:val="en-US"/>
        </w:rPr>
        <w:t xml:space="preserve">RA Government debt: </w:t>
      </w:r>
    </w:p>
    <w:p w14:paraId="59572120" w14:textId="47D7DC9E" w:rsidR="00BF5639" w:rsidRPr="005A68E6" w:rsidRDefault="00BF5639" w:rsidP="00941791">
      <w:pPr>
        <w:pStyle w:val="af6"/>
        <w:numPr>
          <w:ilvl w:val="0"/>
          <w:numId w:val="35"/>
        </w:numPr>
        <w:spacing w:before="0"/>
        <w:ind w:left="1276" w:hanging="1276"/>
      </w:pPr>
      <w:r w:rsidRPr="005A68E6">
        <w:rPr>
          <w:rStyle w:val="Emphasis"/>
          <w:rFonts w:cs="Cambria"/>
          <w:i/>
        </w:rPr>
        <w:t xml:space="preserve">Key indicators of </w:t>
      </w:r>
      <w:r w:rsidR="004D6547" w:rsidRPr="005A68E6">
        <w:rPr>
          <w:rStyle w:val="Emphasis"/>
          <w:rFonts w:cs="Cambria"/>
          <w:i/>
          <w:lang w:val="en-US"/>
        </w:rPr>
        <w:t xml:space="preserve">the </w:t>
      </w:r>
      <w:r w:rsidRPr="005A68E6">
        <w:rPr>
          <w:rStyle w:val="Emphasis"/>
          <w:rFonts w:cs="Cambria"/>
          <w:i/>
        </w:rPr>
        <w:t>RA Government debt for 202</w:t>
      </w:r>
      <w:r w:rsidRPr="005A68E6">
        <w:rPr>
          <w:rStyle w:val="Emphasis"/>
          <w:rFonts w:cs="Cambria"/>
          <w:i/>
          <w:lang w:val="en-US"/>
        </w:rPr>
        <w:t>1</w:t>
      </w:r>
      <w:r w:rsidRPr="005A68E6">
        <w:rPr>
          <w:rStyle w:val="Emphasis"/>
          <w:rFonts w:cs="Cambria"/>
          <w:i/>
        </w:rPr>
        <w:t>-202</w:t>
      </w:r>
      <w:r w:rsidRPr="005A68E6">
        <w:rPr>
          <w:rStyle w:val="Emphasis"/>
          <w:rFonts w:cs="Cambria"/>
          <w:i/>
          <w:lang w:val="en-US"/>
        </w:rPr>
        <w:t>6</w:t>
      </w:r>
      <w:r w:rsidRPr="005A68E6">
        <w:rPr>
          <w:rStyle w:val="Emphasis"/>
          <w:rFonts w:cs="Cambria"/>
          <w:i/>
        </w:rPr>
        <w:t xml:space="preserve"> (AMD billion)</w:t>
      </w:r>
    </w:p>
    <w:tbl>
      <w:tblPr>
        <w:tblW w:w="10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095"/>
        <w:gridCol w:w="1071"/>
        <w:gridCol w:w="1493"/>
        <w:gridCol w:w="1071"/>
        <w:gridCol w:w="1093"/>
        <w:gridCol w:w="1014"/>
        <w:gridCol w:w="1019"/>
      </w:tblGrid>
      <w:tr w:rsidR="00BF5639" w:rsidRPr="005A68E6" w14:paraId="505C6372" w14:textId="77777777" w:rsidTr="0070296A">
        <w:trPr>
          <w:trHeight w:val="616"/>
          <w:tblHeader/>
          <w:jc w:val="center"/>
        </w:trPr>
        <w:tc>
          <w:tcPr>
            <w:tcW w:w="2880" w:type="dxa"/>
            <w:tcBorders>
              <w:top w:val="thinThickThinSmallGap" w:sz="24" w:space="0" w:color="auto"/>
              <w:left w:val="nil"/>
              <w:bottom w:val="thinThickSmallGap" w:sz="24" w:space="0" w:color="auto"/>
              <w:right w:val="nil"/>
            </w:tcBorders>
            <w:shd w:val="clear" w:color="auto" w:fill="5B9BD5"/>
            <w:vAlign w:val="center"/>
          </w:tcPr>
          <w:p w14:paraId="2B15017F" w14:textId="77777777" w:rsidR="00BF5639" w:rsidRPr="005A68E6" w:rsidRDefault="00BF5639" w:rsidP="00BF5639">
            <w:pPr>
              <w:spacing w:line="240" w:lineRule="auto"/>
              <w:ind w:hanging="5"/>
              <w:jc w:val="center"/>
            </w:pPr>
          </w:p>
        </w:tc>
        <w:tc>
          <w:tcPr>
            <w:tcW w:w="1095" w:type="dxa"/>
            <w:tcBorders>
              <w:top w:val="thinThickThinSmallGap" w:sz="24" w:space="0" w:color="auto"/>
              <w:left w:val="nil"/>
              <w:bottom w:val="thinThickSmallGap" w:sz="24" w:space="0" w:color="auto"/>
              <w:right w:val="nil"/>
            </w:tcBorders>
            <w:shd w:val="clear" w:color="auto" w:fill="5B9BD5"/>
            <w:vAlign w:val="center"/>
          </w:tcPr>
          <w:p w14:paraId="5FE732C3" w14:textId="1CC8E650" w:rsidR="00BF5639" w:rsidRPr="005A68E6" w:rsidRDefault="00BF5639" w:rsidP="00BF5639">
            <w:pPr>
              <w:spacing w:line="240" w:lineRule="auto"/>
              <w:ind w:hanging="5"/>
              <w:jc w:val="center"/>
              <w:rPr>
                <w:lang w:val="en-US"/>
              </w:rPr>
            </w:pPr>
            <w:r w:rsidRPr="005A68E6">
              <w:t>202</w:t>
            </w:r>
            <w:r w:rsidRPr="005A68E6">
              <w:rPr>
                <w:lang w:val="en-US"/>
              </w:rPr>
              <w:t>1</w:t>
            </w:r>
            <w:r w:rsidRPr="005A68E6">
              <w:t xml:space="preserve"> </w:t>
            </w:r>
            <w:r w:rsidRPr="005A68E6">
              <w:rPr>
                <w:lang w:val="en-US"/>
              </w:rPr>
              <w:t>actual</w:t>
            </w:r>
          </w:p>
        </w:tc>
        <w:tc>
          <w:tcPr>
            <w:tcW w:w="1071" w:type="dxa"/>
            <w:tcBorders>
              <w:top w:val="thinThickThinSmallGap" w:sz="24" w:space="0" w:color="auto"/>
              <w:left w:val="nil"/>
              <w:bottom w:val="thinThickSmallGap" w:sz="24" w:space="0" w:color="auto"/>
              <w:right w:val="nil"/>
            </w:tcBorders>
            <w:shd w:val="clear" w:color="auto" w:fill="5B9BD5"/>
            <w:vAlign w:val="center"/>
          </w:tcPr>
          <w:p w14:paraId="43934393" w14:textId="11ED318E" w:rsidR="00BF5639" w:rsidRPr="005A68E6" w:rsidRDefault="00BF5639" w:rsidP="00BF5639">
            <w:pPr>
              <w:spacing w:line="240" w:lineRule="auto"/>
              <w:ind w:hanging="5"/>
              <w:jc w:val="center"/>
            </w:pPr>
            <w:r w:rsidRPr="005A68E6">
              <w:t xml:space="preserve">2022 </w:t>
            </w:r>
            <w:r w:rsidRPr="005A68E6">
              <w:rPr>
                <w:lang w:val="en-US"/>
              </w:rPr>
              <w:t>actual</w:t>
            </w:r>
          </w:p>
        </w:tc>
        <w:tc>
          <w:tcPr>
            <w:tcW w:w="1493" w:type="dxa"/>
            <w:tcBorders>
              <w:top w:val="thinThickThinSmallGap" w:sz="24" w:space="0" w:color="auto"/>
              <w:left w:val="nil"/>
              <w:bottom w:val="thinThickSmallGap" w:sz="24" w:space="0" w:color="auto"/>
              <w:right w:val="double" w:sz="4" w:space="0" w:color="auto"/>
            </w:tcBorders>
            <w:shd w:val="clear" w:color="auto" w:fill="5B9BD5"/>
            <w:vAlign w:val="center"/>
          </w:tcPr>
          <w:p w14:paraId="27933BF3" w14:textId="77777777" w:rsidR="00BF5639" w:rsidRPr="005A68E6" w:rsidRDefault="00BF5639" w:rsidP="00BF5639">
            <w:pPr>
              <w:spacing w:line="240" w:lineRule="auto"/>
              <w:ind w:firstLine="20"/>
              <w:jc w:val="center"/>
            </w:pPr>
            <w:r w:rsidRPr="005A68E6">
              <w:t xml:space="preserve">2023 </w:t>
            </w:r>
          </w:p>
          <w:p w14:paraId="039424FD" w14:textId="24C08695" w:rsidR="00BF5639" w:rsidRPr="005A68E6" w:rsidRDefault="00D06B6C" w:rsidP="00BF5639">
            <w:pPr>
              <w:spacing w:line="240" w:lineRule="auto"/>
              <w:ind w:hanging="5"/>
              <w:jc w:val="center"/>
            </w:pPr>
            <w:r w:rsidRPr="005A68E6">
              <w:rPr>
                <w:color w:val="000000"/>
                <w:lang w:val="en-US"/>
              </w:rPr>
              <w:t xml:space="preserve">State </w:t>
            </w:r>
            <w:r w:rsidR="00BF5639" w:rsidRPr="005A68E6">
              <w:rPr>
                <w:color w:val="000000"/>
              </w:rPr>
              <w:t>budget program</w:t>
            </w:r>
          </w:p>
        </w:tc>
        <w:tc>
          <w:tcPr>
            <w:tcW w:w="1071" w:type="dxa"/>
            <w:tcBorders>
              <w:top w:val="thinThickThinSmallGap" w:sz="24" w:space="0" w:color="auto"/>
              <w:left w:val="double" w:sz="4" w:space="0" w:color="auto"/>
              <w:bottom w:val="thinThickSmallGap" w:sz="24" w:space="0" w:color="auto"/>
              <w:right w:val="nil"/>
            </w:tcBorders>
            <w:shd w:val="clear" w:color="auto" w:fill="5B9BD5"/>
            <w:vAlign w:val="center"/>
          </w:tcPr>
          <w:p w14:paraId="655BB56E" w14:textId="1B5A18EE" w:rsidR="00BF5639" w:rsidRPr="005A68E6" w:rsidRDefault="00BF5639" w:rsidP="00BF5639">
            <w:pPr>
              <w:spacing w:line="240" w:lineRule="auto"/>
              <w:ind w:hanging="5"/>
              <w:jc w:val="center"/>
            </w:pPr>
            <w:r w:rsidRPr="005A68E6">
              <w:t xml:space="preserve">2023 </w:t>
            </w:r>
            <w:r w:rsidRPr="005A68E6">
              <w:rPr>
                <w:lang w:val="en-US"/>
              </w:rPr>
              <w:t>forecast</w:t>
            </w:r>
          </w:p>
        </w:tc>
        <w:tc>
          <w:tcPr>
            <w:tcW w:w="1093" w:type="dxa"/>
            <w:tcBorders>
              <w:top w:val="thinThickThinSmallGap" w:sz="24" w:space="0" w:color="auto"/>
              <w:left w:val="nil"/>
              <w:bottom w:val="thinThickSmallGap" w:sz="24" w:space="0" w:color="auto"/>
              <w:right w:val="nil"/>
            </w:tcBorders>
            <w:shd w:val="clear" w:color="auto" w:fill="5B9BD5"/>
            <w:vAlign w:val="center"/>
          </w:tcPr>
          <w:p w14:paraId="0A4C2DA8" w14:textId="113BB063" w:rsidR="00BF5639" w:rsidRPr="005A68E6" w:rsidRDefault="00BF5639" w:rsidP="00BF5639">
            <w:pPr>
              <w:spacing w:line="240" w:lineRule="auto"/>
              <w:ind w:hanging="5"/>
              <w:jc w:val="center"/>
            </w:pPr>
            <w:r w:rsidRPr="005A68E6">
              <w:t xml:space="preserve">2024 </w:t>
            </w:r>
            <w:r w:rsidRPr="005A68E6">
              <w:rPr>
                <w:lang w:val="en-US"/>
              </w:rPr>
              <w:t>forecast</w:t>
            </w:r>
          </w:p>
        </w:tc>
        <w:tc>
          <w:tcPr>
            <w:tcW w:w="1014" w:type="dxa"/>
            <w:tcBorders>
              <w:top w:val="thinThickThinSmallGap" w:sz="24" w:space="0" w:color="auto"/>
              <w:left w:val="nil"/>
              <w:bottom w:val="thinThickSmallGap" w:sz="24" w:space="0" w:color="auto"/>
              <w:right w:val="nil"/>
            </w:tcBorders>
            <w:shd w:val="clear" w:color="auto" w:fill="5B9BD5"/>
            <w:vAlign w:val="center"/>
          </w:tcPr>
          <w:p w14:paraId="278040B4" w14:textId="7241E13B" w:rsidR="00BF5639" w:rsidRPr="005A68E6" w:rsidRDefault="00BF5639" w:rsidP="00BF5639">
            <w:pPr>
              <w:spacing w:line="240" w:lineRule="auto"/>
              <w:ind w:hanging="5"/>
              <w:jc w:val="center"/>
            </w:pPr>
            <w:r w:rsidRPr="005A68E6">
              <w:t xml:space="preserve">2025 </w:t>
            </w:r>
            <w:r w:rsidRPr="005A68E6">
              <w:rPr>
                <w:lang w:val="en-US"/>
              </w:rPr>
              <w:t>forecast</w:t>
            </w:r>
          </w:p>
        </w:tc>
        <w:tc>
          <w:tcPr>
            <w:tcW w:w="1019" w:type="dxa"/>
            <w:tcBorders>
              <w:top w:val="thinThickThinSmallGap" w:sz="24" w:space="0" w:color="auto"/>
              <w:left w:val="nil"/>
              <w:bottom w:val="thinThickSmallGap" w:sz="24" w:space="0" w:color="auto"/>
              <w:right w:val="nil"/>
            </w:tcBorders>
            <w:shd w:val="clear" w:color="auto" w:fill="5B9BD5"/>
            <w:vAlign w:val="center"/>
          </w:tcPr>
          <w:p w14:paraId="7E3EF57B" w14:textId="653D00C2" w:rsidR="00BF5639" w:rsidRPr="005A68E6" w:rsidRDefault="00BF5639" w:rsidP="00BF5639">
            <w:pPr>
              <w:spacing w:line="240" w:lineRule="auto"/>
              <w:ind w:hanging="5"/>
              <w:jc w:val="center"/>
            </w:pPr>
            <w:r w:rsidRPr="005A68E6">
              <w:t xml:space="preserve">2026 </w:t>
            </w:r>
            <w:r w:rsidRPr="005A68E6">
              <w:rPr>
                <w:lang w:val="en-US"/>
              </w:rPr>
              <w:t>forecast</w:t>
            </w:r>
          </w:p>
        </w:tc>
      </w:tr>
      <w:tr w:rsidR="00813F61" w:rsidRPr="005A68E6" w14:paraId="69870D65" w14:textId="77777777" w:rsidTr="0070296A">
        <w:trPr>
          <w:trHeight w:val="256"/>
          <w:jc w:val="center"/>
        </w:trPr>
        <w:tc>
          <w:tcPr>
            <w:tcW w:w="2880" w:type="dxa"/>
            <w:tcBorders>
              <w:left w:val="nil"/>
              <w:bottom w:val="single" w:sz="4" w:space="0" w:color="auto"/>
              <w:right w:val="nil"/>
            </w:tcBorders>
            <w:vAlign w:val="center"/>
          </w:tcPr>
          <w:p w14:paraId="035FFEAF" w14:textId="36BDB3DF" w:rsidR="00813F61" w:rsidRPr="005A68E6" w:rsidRDefault="00813F61" w:rsidP="00813F61">
            <w:pPr>
              <w:spacing w:line="240" w:lineRule="auto"/>
              <w:ind w:hanging="5"/>
              <w:jc w:val="left"/>
            </w:pPr>
            <w:r w:rsidRPr="005A68E6">
              <w:rPr>
                <w:lang w:val="en-US"/>
              </w:rPr>
              <w:t>Government Debt</w:t>
            </w:r>
          </w:p>
        </w:tc>
        <w:tc>
          <w:tcPr>
            <w:tcW w:w="1095" w:type="dxa"/>
            <w:tcBorders>
              <w:left w:val="nil"/>
              <w:bottom w:val="single" w:sz="4" w:space="0" w:color="auto"/>
              <w:right w:val="nil"/>
            </w:tcBorders>
            <w:vAlign w:val="center"/>
          </w:tcPr>
          <w:p w14:paraId="14BA3321" w14:textId="77777777" w:rsidR="00813F61" w:rsidRPr="005A68E6" w:rsidRDefault="00813F61" w:rsidP="00813F61">
            <w:pPr>
              <w:spacing w:line="240" w:lineRule="auto"/>
              <w:ind w:hanging="5"/>
              <w:jc w:val="center"/>
              <w:rPr>
                <w:sz w:val="20"/>
                <w:szCs w:val="20"/>
              </w:rPr>
            </w:pPr>
            <w:r w:rsidRPr="005A68E6">
              <w:t xml:space="preserve"> 4,209.8 </w:t>
            </w:r>
          </w:p>
        </w:tc>
        <w:tc>
          <w:tcPr>
            <w:tcW w:w="1071" w:type="dxa"/>
            <w:tcBorders>
              <w:left w:val="nil"/>
              <w:bottom w:val="single" w:sz="4" w:space="0" w:color="auto"/>
              <w:right w:val="nil"/>
            </w:tcBorders>
            <w:vAlign w:val="center"/>
          </w:tcPr>
          <w:p w14:paraId="46482B44" w14:textId="77777777" w:rsidR="00813F61" w:rsidRPr="005A68E6" w:rsidRDefault="00813F61" w:rsidP="00813F61">
            <w:pPr>
              <w:spacing w:line="240" w:lineRule="auto"/>
              <w:ind w:hanging="5"/>
              <w:jc w:val="center"/>
            </w:pPr>
            <w:r w:rsidRPr="005A68E6">
              <w:t xml:space="preserve"> 3,969.7 </w:t>
            </w:r>
          </w:p>
        </w:tc>
        <w:tc>
          <w:tcPr>
            <w:tcW w:w="1493" w:type="dxa"/>
            <w:tcBorders>
              <w:left w:val="nil"/>
              <w:bottom w:val="single" w:sz="4" w:space="0" w:color="auto"/>
              <w:right w:val="double" w:sz="4" w:space="0" w:color="auto"/>
            </w:tcBorders>
            <w:vAlign w:val="center"/>
          </w:tcPr>
          <w:p w14:paraId="59B0A4F8" w14:textId="77777777" w:rsidR="00813F61" w:rsidRPr="005A68E6" w:rsidRDefault="00813F61" w:rsidP="00813F61">
            <w:pPr>
              <w:spacing w:line="240" w:lineRule="auto"/>
              <w:ind w:hanging="5"/>
              <w:jc w:val="center"/>
            </w:pPr>
            <w:r w:rsidRPr="005A68E6">
              <w:t xml:space="preserve"> 4,645.0 </w:t>
            </w:r>
          </w:p>
        </w:tc>
        <w:tc>
          <w:tcPr>
            <w:tcW w:w="1071" w:type="dxa"/>
            <w:tcBorders>
              <w:left w:val="double" w:sz="4" w:space="0" w:color="auto"/>
              <w:bottom w:val="single" w:sz="4" w:space="0" w:color="auto"/>
              <w:right w:val="nil"/>
            </w:tcBorders>
            <w:vAlign w:val="center"/>
          </w:tcPr>
          <w:p w14:paraId="68B5B30E" w14:textId="77777777" w:rsidR="00813F61" w:rsidRPr="005A68E6" w:rsidRDefault="00813F61" w:rsidP="00813F61">
            <w:pPr>
              <w:spacing w:line="240" w:lineRule="auto"/>
              <w:ind w:hanging="5"/>
              <w:jc w:val="center"/>
            </w:pPr>
            <w:r w:rsidRPr="005A68E6">
              <w:t xml:space="preserve"> 4,756.3 </w:t>
            </w:r>
          </w:p>
        </w:tc>
        <w:tc>
          <w:tcPr>
            <w:tcW w:w="1093" w:type="dxa"/>
            <w:tcBorders>
              <w:left w:val="nil"/>
              <w:bottom w:val="single" w:sz="4" w:space="0" w:color="auto"/>
              <w:right w:val="nil"/>
            </w:tcBorders>
            <w:vAlign w:val="center"/>
          </w:tcPr>
          <w:p w14:paraId="1DA30EAF" w14:textId="77777777" w:rsidR="00813F61" w:rsidRPr="005A68E6" w:rsidRDefault="00813F61" w:rsidP="00813F61">
            <w:pPr>
              <w:spacing w:line="240" w:lineRule="auto"/>
              <w:ind w:hanging="5"/>
              <w:jc w:val="center"/>
            </w:pPr>
            <w:r w:rsidRPr="005A68E6">
              <w:t xml:space="preserve"> 5,293.0 </w:t>
            </w:r>
          </w:p>
        </w:tc>
        <w:tc>
          <w:tcPr>
            <w:tcW w:w="1014" w:type="dxa"/>
            <w:tcBorders>
              <w:left w:val="nil"/>
              <w:bottom w:val="single" w:sz="4" w:space="0" w:color="auto"/>
              <w:right w:val="nil"/>
            </w:tcBorders>
            <w:vAlign w:val="center"/>
          </w:tcPr>
          <w:p w14:paraId="137706F3" w14:textId="77777777" w:rsidR="00813F61" w:rsidRPr="005A68E6" w:rsidRDefault="00813F61" w:rsidP="00813F61">
            <w:pPr>
              <w:spacing w:line="240" w:lineRule="auto"/>
              <w:ind w:hanging="5"/>
              <w:jc w:val="center"/>
            </w:pPr>
            <w:r w:rsidRPr="005A68E6">
              <w:t xml:space="preserve">5,880.7 </w:t>
            </w:r>
          </w:p>
        </w:tc>
        <w:tc>
          <w:tcPr>
            <w:tcW w:w="1019" w:type="dxa"/>
            <w:tcBorders>
              <w:left w:val="nil"/>
              <w:bottom w:val="single" w:sz="4" w:space="0" w:color="auto"/>
              <w:right w:val="nil"/>
            </w:tcBorders>
            <w:vAlign w:val="center"/>
          </w:tcPr>
          <w:p w14:paraId="585254AB" w14:textId="77777777" w:rsidR="00813F61" w:rsidRPr="005A68E6" w:rsidRDefault="00813F61" w:rsidP="00813F61">
            <w:pPr>
              <w:spacing w:line="240" w:lineRule="auto"/>
              <w:ind w:hanging="5"/>
              <w:jc w:val="center"/>
            </w:pPr>
            <w:r w:rsidRPr="005A68E6">
              <w:t xml:space="preserve">6,476.8 </w:t>
            </w:r>
          </w:p>
        </w:tc>
      </w:tr>
      <w:tr w:rsidR="00813F61" w:rsidRPr="005A68E6" w14:paraId="59D7B008" w14:textId="77777777" w:rsidTr="0070296A">
        <w:trPr>
          <w:trHeight w:val="328"/>
          <w:jc w:val="center"/>
        </w:trPr>
        <w:tc>
          <w:tcPr>
            <w:tcW w:w="2880" w:type="dxa"/>
            <w:tcBorders>
              <w:left w:val="nil"/>
              <w:bottom w:val="single" w:sz="12" w:space="0" w:color="auto"/>
              <w:right w:val="nil"/>
            </w:tcBorders>
            <w:vAlign w:val="center"/>
          </w:tcPr>
          <w:p w14:paraId="7D19BD65" w14:textId="6DFBDE10" w:rsidR="00813F61" w:rsidRPr="005A68E6" w:rsidRDefault="00813F61" w:rsidP="00813F61">
            <w:pPr>
              <w:spacing w:line="240" w:lineRule="auto"/>
              <w:ind w:hanging="5"/>
              <w:jc w:val="left"/>
            </w:pPr>
            <w:r w:rsidRPr="005A68E6">
              <w:t xml:space="preserve">% </w:t>
            </w:r>
            <w:r w:rsidRPr="005A68E6">
              <w:rPr>
                <w:lang w:val="en-US"/>
              </w:rPr>
              <w:t>of GDP</w:t>
            </w:r>
          </w:p>
        </w:tc>
        <w:tc>
          <w:tcPr>
            <w:tcW w:w="1095" w:type="dxa"/>
            <w:tcBorders>
              <w:left w:val="nil"/>
              <w:bottom w:val="single" w:sz="12" w:space="0" w:color="auto"/>
              <w:right w:val="nil"/>
            </w:tcBorders>
            <w:vAlign w:val="center"/>
          </w:tcPr>
          <w:p w14:paraId="5F83C67F" w14:textId="77777777" w:rsidR="00813F61" w:rsidRPr="005A68E6" w:rsidRDefault="00813F61" w:rsidP="00813F61">
            <w:pPr>
              <w:spacing w:line="240" w:lineRule="auto"/>
              <w:ind w:hanging="5"/>
              <w:jc w:val="center"/>
              <w:rPr>
                <w:sz w:val="20"/>
                <w:szCs w:val="20"/>
              </w:rPr>
            </w:pPr>
            <w:r w:rsidRPr="005A68E6">
              <w:t xml:space="preserve"> 60.2 </w:t>
            </w:r>
          </w:p>
        </w:tc>
        <w:tc>
          <w:tcPr>
            <w:tcW w:w="1071" w:type="dxa"/>
            <w:tcBorders>
              <w:left w:val="nil"/>
              <w:bottom w:val="single" w:sz="12" w:space="0" w:color="auto"/>
              <w:right w:val="nil"/>
            </w:tcBorders>
            <w:vAlign w:val="center"/>
          </w:tcPr>
          <w:p w14:paraId="5D62EB40" w14:textId="77777777" w:rsidR="00813F61" w:rsidRPr="005A68E6" w:rsidRDefault="00813F61" w:rsidP="00813F61">
            <w:pPr>
              <w:spacing w:line="240" w:lineRule="auto"/>
              <w:ind w:hanging="5"/>
              <w:jc w:val="center"/>
            </w:pPr>
            <w:r w:rsidRPr="005A68E6">
              <w:t xml:space="preserve"> 46.7 </w:t>
            </w:r>
          </w:p>
        </w:tc>
        <w:tc>
          <w:tcPr>
            <w:tcW w:w="1493" w:type="dxa"/>
            <w:tcBorders>
              <w:left w:val="nil"/>
              <w:bottom w:val="single" w:sz="12" w:space="0" w:color="auto"/>
              <w:right w:val="double" w:sz="4" w:space="0" w:color="auto"/>
            </w:tcBorders>
            <w:vAlign w:val="center"/>
          </w:tcPr>
          <w:p w14:paraId="36E7CC6B" w14:textId="77777777" w:rsidR="00813F61" w:rsidRPr="005A68E6" w:rsidRDefault="00813F61" w:rsidP="00813F61">
            <w:pPr>
              <w:spacing w:line="240" w:lineRule="auto"/>
              <w:ind w:hanging="5"/>
              <w:jc w:val="center"/>
            </w:pPr>
            <w:r w:rsidRPr="005A68E6">
              <w:t xml:space="preserve"> 49.9 </w:t>
            </w:r>
          </w:p>
        </w:tc>
        <w:tc>
          <w:tcPr>
            <w:tcW w:w="1071" w:type="dxa"/>
            <w:tcBorders>
              <w:left w:val="double" w:sz="4" w:space="0" w:color="auto"/>
              <w:bottom w:val="single" w:sz="12" w:space="0" w:color="auto"/>
              <w:right w:val="nil"/>
            </w:tcBorders>
            <w:vAlign w:val="center"/>
          </w:tcPr>
          <w:p w14:paraId="7599FA5D" w14:textId="77777777" w:rsidR="00813F61" w:rsidRPr="005A68E6" w:rsidRDefault="00813F61" w:rsidP="00813F61">
            <w:pPr>
              <w:spacing w:line="240" w:lineRule="auto"/>
              <w:ind w:hanging="5"/>
              <w:jc w:val="center"/>
            </w:pPr>
            <w:r w:rsidRPr="005A68E6">
              <w:t xml:space="preserve"> 49.9 </w:t>
            </w:r>
          </w:p>
        </w:tc>
        <w:tc>
          <w:tcPr>
            <w:tcW w:w="1093" w:type="dxa"/>
            <w:tcBorders>
              <w:left w:val="nil"/>
              <w:bottom w:val="single" w:sz="12" w:space="0" w:color="auto"/>
              <w:right w:val="nil"/>
            </w:tcBorders>
            <w:vAlign w:val="center"/>
          </w:tcPr>
          <w:p w14:paraId="2F26A54B" w14:textId="77777777" w:rsidR="00813F61" w:rsidRPr="005A68E6" w:rsidRDefault="00813F61" w:rsidP="00813F61">
            <w:pPr>
              <w:spacing w:line="240" w:lineRule="auto"/>
              <w:ind w:hanging="5"/>
              <w:jc w:val="center"/>
            </w:pPr>
            <w:r w:rsidRPr="005A68E6">
              <w:t xml:space="preserve"> 49.9 </w:t>
            </w:r>
          </w:p>
        </w:tc>
        <w:tc>
          <w:tcPr>
            <w:tcW w:w="1014" w:type="dxa"/>
            <w:tcBorders>
              <w:left w:val="nil"/>
              <w:bottom w:val="single" w:sz="12" w:space="0" w:color="auto"/>
              <w:right w:val="nil"/>
            </w:tcBorders>
            <w:vAlign w:val="center"/>
          </w:tcPr>
          <w:p w14:paraId="789FEA1C" w14:textId="77777777" w:rsidR="00813F61" w:rsidRPr="005A68E6" w:rsidRDefault="00813F61" w:rsidP="00813F61">
            <w:pPr>
              <w:spacing w:line="240" w:lineRule="auto"/>
              <w:ind w:hanging="5"/>
              <w:jc w:val="center"/>
            </w:pPr>
            <w:r w:rsidRPr="005A68E6">
              <w:t xml:space="preserve"> 49.8 </w:t>
            </w:r>
          </w:p>
        </w:tc>
        <w:tc>
          <w:tcPr>
            <w:tcW w:w="1019" w:type="dxa"/>
            <w:tcBorders>
              <w:left w:val="nil"/>
              <w:bottom w:val="single" w:sz="12" w:space="0" w:color="auto"/>
              <w:right w:val="nil"/>
            </w:tcBorders>
            <w:vAlign w:val="center"/>
          </w:tcPr>
          <w:p w14:paraId="29E53965" w14:textId="77777777" w:rsidR="00813F61" w:rsidRPr="005A68E6" w:rsidRDefault="00813F61" w:rsidP="00813F61">
            <w:pPr>
              <w:spacing w:line="240" w:lineRule="auto"/>
              <w:ind w:hanging="5"/>
              <w:jc w:val="center"/>
              <w:rPr>
                <w:lang w:val="en-US"/>
              </w:rPr>
            </w:pPr>
            <w:r w:rsidRPr="005A68E6">
              <w:t xml:space="preserve"> 49.3 </w:t>
            </w:r>
          </w:p>
        </w:tc>
      </w:tr>
      <w:tr w:rsidR="00813F61" w:rsidRPr="005A68E6" w14:paraId="5463D505" w14:textId="77777777" w:rsidTr="0070296A">
        <w:trPr>
          <w:trHeight w:val="249"/>
          <w:jc w:val="center"/>
        </w:trPr>
        <w:tc>
          <w:tcPr>
            <w:tcW w:w="2880" w:type="dxa"/>
            <w:tcBorders>
              <w:top w:val="single" w:sz="12" w:space="0" w:color="auto"/>
              <w:left w:val="nil"/>
              <w:right w:val="nil"/>
            </w:tcBorders>
            <w:vAlign w:val="center"/>
          </w:tcPr>
          <w:p w14:paraId="428902AA" w14:textId="42D4ECB9" w:rsidR="00813F61" w:rsidRPr="005A68E6" w:rsidRDefault="00813F61" w:rsidP="00813F61">
            <w:pPr>
              <w:spacing w:line="240" w:lineRule="auto"/>
              <w:ind w:hanging="5"/>
              <w:jc w:val="left"/>
            </w:pPr>
            <w:r w:rsidRPr="005A68E6">
              <w:rPr>
                <w:lang w:val="en-US"/>
              </w:rPr>
              <w:t>By instruments</w:t>
            </w:r>
          </w:p>
        </w:tc>
        <w:tc>
          <w:tcPr>
            <w:tcW w:w="1095" w:type="dxa"/>
            <w:tcBorders>
              <w:top w:val="single" w:sz="12" w:space="0" w:color="auto"/>
              <w:left w:val="nil"/>
              <w:right w:val="nil"/>
            </w:tcBorders>
            <w:vAlign w:val="center"/>
          </w:tcPr>
          <w:p w14:paraId="1D3812D8" w14:textId="77777777" w:rsidR="00813F61" w:rsidRPr="005A68E6" w:rsidRDefault="00813F61" w:rsidP="00813F61">
            <w:pPr>
              <w:spacing w:line="240" w:lineRule="auto"/>
              <w:ind w:hanging="5"/>
              <w:jc w:val="center"/>
            </w:pPr>
          </w:p>
        </w:tc>
        <w:tc>
          <w:tcPr>
            <w:tcW w:w="1071" w:type="dxa"/>
            <w:tcBorders>
              <w:top w:val="single" w:sz="12" w:space="0" w:color="auto"/>
              <w:left w:val="nil"/>
              <w:right w:val="nil"/>
            </w:tcBorders>
            <w:vAlign w:val="center"/>
          </w:tcPr>
          <w:p w14:paraId="0B37AF34" w14:textId="77777777" w:rsidR="00813F61" w:rsidRPr="005A68E6" w:rsidRDefault="00813F61" w:rsidP="00813F61">
            <w:pPr>
              <w:spacing w:line="240" w:lineRule="auto"/>
              <w:ind w:hanging="5"/>
              <w:jc w:val="center"/>
            </w:pPr>
          </w:p>
        </w:tc>
        <w:tc>
          <w:tcPr>
            <w:tcW w:w="1493" w:type="dxa"/>
            <w:tcBorders>
              <w:top w:val="single" w:sz="12" w:space="0" w:color="auto"/>
              <w:left w:val="nil"/>
              <w:right w:val="double" w:sz="4" w:space="0" w:color="auto"/>
            </w:tcBorders>
            <w:vAlign w:val="center"/>
          </w:tcPr>
          <w:p w14:paraId="72492359" w14:textId="77777777" w:rsidR="00813F61" w:rsidRPr="005A68E6" w:rsidRDefault="00813F61" w:rsidP="00813F61">
            <w:pPr>
              <w:spacing w:line="240" w:lineRule="auto"/>
              <w:ind w:hanging="5"/>
              <w:jc w:val="center"/>
            </w:pPr>
          </w:p>
        </w:tc>
        <w:tc>
          <w:tcPr>
            <w:tcW w:w="1071" w:type="dxa"/>
            <w:tcBorders>
              <w:top w:val="single" w:sz="12" w:space="0" w:color="auto"/>
              <w:left w:val="double" w:sz="4" w:space="0" w:color="auto"/>
              <w:right w:val="nil"/>
            </w:tcBorders>
            <w:vAlign w:val="center"/>
          </w:tcPr>
          <w:p w14:paraId="7ADDF5C7" w14:textId="77777777" w:rsidR="00813F61" w:rsidRPr="005A68E6" w:rsidRDefault="00813F61" w:rsidP="00813F61">
            <w:pPr>
              <w:spacing w:line="240" w:lineRule="auto"/>
              <w:ind w:hanging="5"/>
              <w:jc w:val="center"/>
            </w:pPr>
          </w:p>
        </w:tc>
        <w:tc>
          <w:tcPr>
            <w:tcW w:w="1093" w:type="dxa"/>
            <w:tcBorders>
              <w:top w:val="single" w:sz="12" w:space="0" w:color="auto"/>
              <w:left w:val="nil"/>
              <w:right w:val="nil"/>
            </w:tcBorders>
            <w:vAlign w:val="center"/>
          </w:tcPr>
          <w:p w14:paraId="302ADB97" w14:textId="77777777" w:rsidR="00813F61" w:rsidRPr="005A68E6" w:rsidRDefault="00813F61" w:rsidP="00813F61">
            <w:pPr>
              <w:spacing w:line="240" w:lineRule="auto"/>
              <w:ind w:hanging="5"/>
              <w:jc w:val="center"/>
            </w:pPr>
          </w:p>
        </w:tc>
        <w:tc>
          <w:tcPr>
            <w:tcW w:w="1014" w:type="dxa"/>
            <w:tcBorders>
              <w:top w:val="single" w:sz="12" w:space="0" w:color="auto"/>
              <w:left w:val="nil"/>
              <w:right w:val="nil"/>
            </w:tcBorders>
            <w:vAlign w:val="center"/>
          </w:tcPr>
          <w:p w14:paraId="7736F2EA" w14:textId="77777777" w:rsidR="00813F61" w:rsidRPr="005A68E6" w:rsidRDefault="00813F61" w:rsidP="00813F61">
            <w:pPr>
              <w:spacing w:line="240" w:lineRule="auto"/>
              <w:ind w:hanging="5"/>
              <w:jc w:val="center"/>
            </w:pPr>
          </w:p>
        </w:tc>
        <w:tc>
          <w:tcPr>
            <w:tcW w:w="1019" w:type="dxa"/>
            <w:tcBorders>
              <w:top w:val="single" w:sz="12" w:space="0" w:color="auto"/>
              <w:left w:val="nil"/>
              <w:right w:val="nil"/>
            </w:tcBorders>
            <w:vAlign w:val="center"/>
          </w:tcPr>
          <w:p w14:paraId="1211EAA7" w14:textId="77777777" w:rsidR="00813F61" w:rsidRPr="005A68E6" w:rsidRDefault="00813F61" w:rsidP="00813F61">
            <w:pPr>
              <w:spacing w:line="240" w:lineRule="auto"/>
              <w:ind w:hanging="5"/>
              <w:jc w:val="center"/>
            </w:pPr>
          </w:p>
        </w:tc>
      </w:tr>
      <w:tr w:rsidR="00813F61" w:rsidRPr="005A68E6" w14:paraId="108C2FF3" w14:textId="77777777" w:rsidTr="0070296A">
        <w:trPr>
          <w:trHeight w:val="511"/>
          <w:jc w:val="center"/>
        </w:trPr>
        <w:tc>
          <w:tcPr>
            <w:tcW w:w="2880" w:type="dxa"/>
            <w:tcBorders>
              <w:left w:val="nil"/>
              <w:right w:val="nil"/>
            </w:tcBorders>
            <w:vAlign w:val="center"/>
          </w:tcPr>
          <w:p w14:paraId="14EFFE2E" w14:textId="3F859FD5" w:rsidR="00813F61" w:rsidRPr="005A68E6" w:rsidRDefault="00813F61" w:rsidP="00813F61">
            <w:pPr>
              <w:spacing w:line="240" w:lineRule="auto"/>
              <w:ind w:left="187" w:hanging="5"/>
              <w:jc w:val="left"/>
            </w:pPr>
            <w:r w:rsidRPr="005A68E6">
              <w:rPr>
                <w:lang w:val="en-US"/>
              </w:rPr>
              <w:t>External Loans and Borrowings</w:t>
            </w:r>
          </w:p>
        </w:tc>
        <w:tc>
          <w:tcPr>
            <w:tcW w:w="1095" w:type="dxa"/>
            <w:tcBorders>
              <w:left w:val="nil"/>
              <w:right w:val="nil"/>
            </w:tcBorders>
            <w:vAlign w:val="center"/>
          </w:tcPr>
          <w:p w14:paraId="55F6EAA0" w14:textId="77777777" w:rsidR="00813F61" w:rsidRPr="005A68E6" w:rsidRDefault="00813F61" w:rsidP="00813F61">
            <w:pPr>
              <w:spacing w:line="240" w:lineRule="auto"/>
              <w:ind w:hanging="5"/>
              <w:jc w:val="center"/>
              <w:rPr>
                <w:sz w:val="20"/>
                <w:szCs w:val="20"/>
              </w:rPr>
            </w:pPr>
            <w:r w:rsidRPr="005A68E6">
              <w:t xml:space="preserve"> 2,151.6 </w:t>
            </w:r>
          </w:p>
        </w:tc>
        <w:tc>
          <w:tcPr>
            <w:tcW w:w="1071" w:type="dxa"/>
            <w:tcBorders>
              <w:left w:val="nil"/>
              <w:right w:val="nil"/>
            </w:tcBorders>
            <w:vAlign w:val="center"/>
          </w:tcPr>
          <w:p w14:paraId="7C93D3A3" w14:textId="77777777" w:rsidR="00813F61" w:rsidRPr="005A68E6" w:rsidRDefault="00813F61" w:rsidP="00813F61">
            <w:pPr>
              <w:spacing w:line="240" w:lineRule="auto"/>
              <w:ind w:hanging="5"/>
              <w:jc w:val="center"/>
            </w:pPr>
            <w:r w:rsidRPr="005A68E6">
              <w:t xml:space="preserve"> 1,772.6 </w:t>
            </w:r>
          </w:p>
        </w:tc>
        <w:tc>
          <w:tcPr>
            <w:tcW w:w="1493" w:type="dxa"/>
            <w:tcBorders>
              <w:left w:val="nil"/>
              <w:right w:val="double" w:sz="4" w:space="0" w:color="auto"/>
            </w:tcBorders>
            <w:vAlign w:val="center"/>
          </w:tcPr>
          <w:p w14:paraId="4E2B1A69" w14:textId="77777777" w:rsidR="00813F61" w:rsidRPr="005A68E6" w:rsidRDefault="00813F61" w:rsidP="00813F61">
            <w:pPr>
              <w:spacing w:line="240" w:lineRule="auto"/>
              <w:ind w:hanging="5"/>
              <w:jc w:val="center"/>
            </w:pPr>
            <w:r w:rsidRPr="005A68E6">
              <w:t xml:space="preserve"> 2,051.0 </w:t>
            </w:r>
          </w:p>
        </w:tc>
        <w:tc>
          <w:tcPr>
            <w:tcW w:w="1071" w:type="dxa"/>
            <w:tcBorders>
              <w:left w:val="double" w:sz="4" w:space="0" w:color="auto"/>
              <w:right w:val="nil"/>
            </w:tcBorders>
            <w:vAlign w:val="center"/>
          </w:tcPr>
          <w:p w14:paraId="66A11445" w14:textId="77777777" w:rsidR="00813F61" w:rsidRPr="005A68E6" w:rsidRDefault="00813F61" w:rsidP="00813F61">
            <w:pPr>
              <w:spacing w:line="240" w:lineRule="auto"/>
              <w:ind w:hanging="5"/>
              <w:jc w:val="center"/>
            </w:pPr>
            <w:r w:rsidRPr="005A68E6">
              <w:t xml:space="preserve"> 2,087.2 </w:t>
            </w:r>
          </w:p>
        </w:tc>
        <w:tc>
          <w:tcPr>
            <w:tcW w:w="1093" w:type="dxa"/>
            <w:tcBorders>
              <w:left w:val="nil"/>
              <w:right w:val="nil"/>
            </w:tcBorders>
            <w:vAlign w:val="center"/>
          </w:tcPr>
          <w:p w14:paraId="4C938B02" w14:textId="77777777" w:rsidR="00813F61" w:rsidRPr="005A68E6" w:rsidRDefault="00813F61" w:rsidP="00813F61">
            <w:pPr>
              <w:spacing w:line="240" w:lineRule="auto"/>
              <w:ind w:hanging="5"/>
              <w:jc w:val="center"/>
            </w:pPr>
            <w:r w:rsidRPr="005A68E6">
              <w:t xml:space="preserve"> 2,271.0 </w:t>
            </w:r>
          </w:p>
        </w:tc>
        <w:tc>
          <w:tcPr>
            <w:tcW w:w="1014" w:type="dxa"/>
            <w:tcBorders>
              <w:left w:val="nil"/>
              <w:right w:val="nil"/>
            </w:tcBorders>
            <w:vAlign w:val="center"/>
          </w:tcPr>
          <w:p w14:paraId="5348B3CD" w14:textId="77777777" w:rsidR="00813F61" w:rsidRPr="005A68E6" w:rsidRDefault="00813F61" w:rsidP="00813F61">
            <w:pPr>
              <w:spacing w:line="240" w:lineRule="auto"/>
              <w:ind w:hanging="5"/>
              <w:jc w:val="center"/>
            </w:pPr>
            <w:r w:rsidRPr="005A68E6">
              <w:t xml:space="preserve"> 2,516.0 </w:t>
            </w:r>
          </w:p>
        </w:tc>
        <w:tc>
          <w:tcPr>
            <w:tcW w:w="1019" w:type="dxa"/>
            <w:tcBorders>
              <w:left w:val="nil"/>
              <w:right w:val="nil"/>
            </w:tcBorders>
            <w:vAlign w:val="center"/>
          </w:tcPr>
          <w:p w14:paraId="2726A4C7" w14:textId="77777777" w:rsidR="00813F61" w:rsidRPr="005A68E6" w:rsidRDefault="00813F61" w:rsidP="00813F61">
            <w:pPr>
              <w:spacing w:line="240" w:lineRule="auto"/>
              <w:ind w:hanging="5"/>
              <w:jc w:val="center"/>
            </w:pPr>
            <w:r w:rsidRPr="005A68E6">
              <w:t xml:space="preserve">2,780.4 </w:t>
            </w:r>
          </w:p>
        </w:tc>
      </w:tr>
      <w:tr w:rsidR="00813F61" w:rsidRPr="005A68E6" w14:paraId="2F440EBF" w14:textId="77777777" w:rsidTr="0070296A">
        <w:trPr>
          <w:trHeight w:val="511"/>
          <w:jc w:val="center"/>
        </w:trPr>
        <w:tc>
          <w:tcPr>
            <w:tcW w:w="2880" w:type="dxa"/>
            <w:tcBorders>
              <w:left w:val="nil"/>
              <w:right w:val="nil"/>
            </w:tcBorders>
            <w:vAlign w:val="center"/>
          </w:tcPr>
          <w:p w14:paraId="6D1845F5" w14:textId="452EB1AC" w:rsidR="00813F61" w:rsidRPr="005A68E6" w:rsidRDefault="00813F61" w:rsidP="00813F61">
            <w:pPr>
              <w:spacing w:line="240" w:lineRule="auto"/>
              <w:ind w:left="187" w:hanging="5"/>
              <w:jc w:val="left"/>
            </w:pPr>
            <w:r w:rsidRPr="005A68E6">
              <w:rPr>
                <w:lang w:val="en-US"/>
              </w:rPr>
              <w:t>Government Treasury Bonds</w:t>
            </w:r>
          </w:p>
        </w:tc>
        <w:tc>
          <w:tcPr>
            <w:tcW w:w="1095" w:type="dxa"/>
            <w:tcBorders>
              <w:left w:val="nil"/>
              <w:right w:val="nil"/>
            </w:tcBorders>
            <w:vAlign w:val="center"/>
          </w:tcPr>
          <w:p w14:paraId="5740A92F" w14:textId="77777777" w:rsidR="00813F61" w:rsidRPr="005A68E6" w:rsidRDefault="00813F61" w:rsidP="00813F61">
            <w:pPr>
              <w:spacing w:line="240" w:lineRule="auto"/>
              <w:ind w:hanging="5"/>
              <w:jc w:val="center"/>
            </w:pPr>
            <w:r w:rsidRPr="005A68E6">
              <w:t xml:space="preserve"> 1,208.9 </w:t>
            </w:r>
          </w:p>
        </w:tc>
        <w:tc>
          <w:tcPr>
            <w:tcW w:w="1071" w:type="dxa"/>
            <w:tcBorders>
              <w:left w:val="nil"/>
              <w:right w:val="nil"/>
            </w:tcBorders>
            <w:vAlign w:val="center"/>
          </w:tcPr>
          <w:p w14:paraId="66A7608A" w14:textId="77777777" w:rsidR="00813F61" w:rsidRPr="005A68E6" w:rsidRDefault="00813F61" w:rsidP="00813F61">
            <w:pPr>
              <w:spacing w:line="240" w:lineRule="auto"/>
              <w:ind w:hanging="5"/>
              <w:jc w:val="center"/>
            </w:pPr>
            <w:r w:rsidRPr="005A68E6">
              <w:t xml:space="preserve"> 1,496.3 </w:t>
            </w:r>
          </w:p>
        </w:tc>
        <w:tc>
          <w:tcPr>
            <w:tcW w:w="1493" w:type="dxa"/>
            <w:tcBorders>
              <w:left w:val="nil"/>
              <w:right w:val="double" w:sz="4" w:space="0" w:color="auto"/>
            </w:tcBorders>
            <w:vAlign w:val="center"/>
          </w:tcPr>
          <w:p w14:paraId="3E2F80A0" w14:textId="77777777" w:rsidR="00813F61" w:rsidRPr="005A68E6" w:rsidRDefault="00813F61" w:rsidP="00813F61">
            <w:pPr>
              <w:spacing w:line="240" w:lineRule="auto"/>
              <w:ind w:hanging="5"/>
              <w:jc w:val="center"/>
            </w:pPr>
            <w:r w:rsidRPr="005A68E6">
              <w:t xml:space="preserve"> 1,824.4 </w:t>
            </w:r>
          </w:p>
        </w:tc>
        <w:tc>
          <w:tcPr>
            <w:tcW w:w="1071" w:type="dxa"/>
            <w:tcBorders>
              <w:left w:val="double" w:sz="4" w:space="0" w:color="auto"/>
              <w:right w:val="nil"/>
            </w:tcBorders>
            <w:vAlign w:val="center"/>
          </w:tcPr>
          <w:p w14:paraId="3F664295" w14:textId="77777777" w:rsidR="00813F61" w:rsidRPr="005A68E6" w:rsidRDefault="00813F61" w:rsidP="00813F61">
            <w:pPr>
              <w:spacing w:line="240" w:lineRule="auto"/>
              <w:ind w:hanging="5"/>
              <w:jc w:val="center"/>
            </w:pPr>
            <w:r w:rsidRPr="005A68E6">
              <w:t xml:space="preserve"> 1,894.6 </w:t>
            </w:r>
          </w:p>
        </w:tc>
        <w:tc>
          <w:tcPr>
            <w:tcW w:w="1093" w:type="dxa"/>
            <w:tcBorders>
              <w:left w:val="nil"/>
              <w:right w:val="nil"/>
            </w:tcBorders>
            <w:vAlign w:val="center"/>
          </w:tcPr>
          <w:p w14:paraId="51151A68" w14:textId="77777777" w:rsidR="00813F61" w:rsidRPr="005A68E6" w:rsidRDefault="00813F61" w:rsidP="00813F61">
            <w:pPr>
              <w:spacing w:line="240" w:lineRule="auto"/>
              <w:ind w:hanging="5"/>
              <w:jc w:val="center"/>
            </w:pPr>
            <w:r w:rsidRPr="005A68E6">
              <w:t xml:space="preserve"> 2,223.6 </w:t>
            </w:r>
          </w:p>
        </w:tc>
        <w:tc>
          <w:tcPr>
            <w:tcW w:w="1014" w:type="dxa"/>
            <w:tcBorders>
              <w:left w:val="nil"/>
              <w:right w:val="nil"/>
            </w:tcBorders>
            <w:vAlign w:val="center"/>
          </w:tcPr>
          <w:p w14:paraId="31A2DE2D" w14:textId="77777777" w:rsidR="00813F61" w:rsidRPr="005A68E6" w:rsidRDefault="00813F61" w:rsidP="00813F61">
            <w:pPr>
              <w:spacing w:line="240" w:lineRule="auto"/>
              <w:ind w:hanging="5"/>
              <w:jc w:val="center"/>
            </w:pPr>
            <w:r w:rsidRPr="005A68E6">
              <w:t xml:space="preserve">2,543.7 </w:t>
            </w:r>
          </w:p>
        </w:tc>
        <w:tc>
          <w:tcPr>
            <w:tcW w:w="1019" w:type="dxa"/>
            <w:tcBorders>
              <w:left w:val="nil"/>
              <w:right w:val="nil"/>
            </w:tcBorders>
            <w:vAlign w:val="center"/>
          </w:tcPr>
          <w:p w14:paraId="50322862" w14:textId="77777777" w:rsidR="00813F61" w:rsidRPr="005A68E6" w:rsidRDefault="00813F61" w:rsidP="00813F61">
            <w:pPr>
              <w:spacing w:line="240" w:lineRule="auto"/>
              <w:ind w:hanging="5"/>
              <w:jc w:val="center"/>
            </w:pPr>
            <w:r w:rsidRPr="005A68E6">
              <w:t xml:space="preserve">2,863.7 </w:t>
            </w:r>
          </w:p>
        </w:tc>
      </w:tr>
      <w:tr w:rsidR="00813F61" w:rsidRPr="005A68E6" w14:paraId="0DAE99A2" w14:textId="77777777" w:rsidTr="0070296A">
        <w:trPr>
          <w:trHeight w:val="511"/>
          <w:jc w:val="center"/>
        </w:trPr>
        <w:tc>
          <w:tcPr>
            <w:tcW w:w="2880" w:type="dxa"/>
            <w:tcBorders>
              <w:left w:val="nil"/>
              <w:right w:val="nil"/>
            </w:tcBorders>
            <w:vAlign w:val="center"/>
          </w:tcPr>
          <w:p w14:paraId="60F67260" w14:textId="0F0905E0" w:rsidR="00813F61" w:rsidRPr="005A68E6" w:rsidRDefault="00813F61" w:rsidP="00813F61">
            <w:pPr>
              <w:spacing w:line="240" w:lineRule="auto"/>
              <w:ind w:left="187" w:hanging="5"/>
              <w:jc w:val="left"/>
            </w:pPr>
            <w:r w:rsidRPr="005A68E6">
              <w:rPr>
                <w:lang w:val="en-US"/>
              </w:rPr>
              <w:t>Foreign currency Denominated Government Bonds</w:t>
            </w:r>
          </w:p>
        </w:tc>
        <w:tc>
          <w:tcPr>
            <w:tcW w:w="1095" w:type="dxa"/>
            <w:tcBorders>
              <w:left w:val="nil"/>
              <w:right w:val="nil"/>
            </w:tcBorders>
          </w:tcPr>
          <w:p w14:paraId="698EC788" w14:textId="77777777" w:rsidR="00813F61" w:rsidRPr="005A68E6" w:rsidRDefault="00813F61" w:rsidP="00813F61">
            <w:pPr>
              <w:spacing w:line="240" w:lineRule="auto"/>
              <w:ind w:hanging="5"/>
              <w:jc w:val="center"/>
              <w:rPr>
                <w:sz w:val="20"/>
                <w:szCs w:val="20"/>
              </w:rPr>
            </w:pPr>
            <w:r w:rsidRPr="005A68E6">
              <w:t xml:space="preserve"> 840.2 </w:t>
            </w:r>
          </w:p>
        </w:tc>
        <w:tc>
          <w:tcPr>
            <w:tcW w:w="1071" w:type="dxa"/>
            <w:tcBorders>
              <w:left w:val="nil"/>
              <w:right w:val="nil"/>
            </w:tcBorders>
          </w:tcPr>
          <w:p w14:paraId="25899382" w14:textId="77777777" w:rsidR="00813F61" w:rsidRPr="005A68E6" w:rsidRDefault="00813F61" w:rsidP="00813F61">
            <w:pPr>
              <w:spacing w:line="240" w:lineRule="auto"/>
              <w:ind w:hanging="5"/>
              <w:jc w:val="center"/>
            </w:pPr>
            <w:r w:rsidRPr="005A68E6">
              <w:t xml:space="preserve"> 688.7 </w:t>
            </w:r>
          </w:p>
        </w:tc>
        <w:tc>
          <w:tcPr>
            <w:tcW w:w="1493" w:type="dxa"/>
            <w:tcBorders>
              <w:left w:val="nil"/>
              <w:right w:val="double" w:sz="4" w:space="0" w:color="auto"/>
            </w:tcBorders>
          </w:tcPr>
          <w:p w14:paraId="29ECB9AB" w14:textId="77777777" w:rsidR="00813F61" w:rsidRPr="005A68E6" w:rsidRDefault="00813F61" w:rsidP="00813F61">
            <w:pPr>
              <w:spacing w:line="240" w:lineRule="auto"/>
              <w:ind w:hanging="5"/>
              <w:jc w:val="center"/>
              <w:rPr>
                <w:lang w:val="en-US"/>
              </w:rPr>
            </w:pPr>
            <w:r w:rsidRPr="005A68E6">
              <w:t xml:space="preserve"> 763.9 </w:t>
            </w:r>
          </w:p>
        </w:tc>
        <w:tc>
          <w:tcPr>
            <w:tcW w:w="1071" w:type="dxa"/>
            <w:tcBorders>
              <w:left w:val="double" w:sz="4" w:space="0" w:color="auto"/>
              <w:right w:val="nil"/>
            </w:tcBorders>
          </w:tcPr>
          <w:p w14:paraId="799BADFC" w14:textId="77777777" w:rsidR="00813F61" w:rsidRPr="005A68E6" w:rsidRDefault="00813F61" w:rsidP="00813F61">
            <w:pPr>
              <w:spacing w:line="240" w:lineRule="auto"/>
              <w:ind w:hanging="5"/>
              <w:jc w:val="center"/>
            </w:pPr>
            <w:r w:rsidRPr="005A68E6">
              <w:t xml:space="preserve"> 763.5 </w:t>
            </w:r>
          </w:p>
        </w:tc>
        <w:tc>
          <w:tcPr>
            <w:tcW w:w="1093" w:type="dxa"/>
            <w:tcBorders>
              <w:left w:val="nil"/>
              <w:right w:val="nil"/>
            </w:tcBorders>
          </w:tcPr>
          <w:p w14:paraId="646E86B8" w14:textId="77777777" w:rsidR="00813F61" w:rsidRPr="005A68E6" w:rsidRDefault="00813F61" w:rsidP="00813F61">
            <w:pPr>
              <w:spacing w:line="240" w:lineRule="auto"/>
              <w:ind w:hanging="5"/>
              <w:jc w:val="center"/>
            </w:pPr>
            <w:r w:rsidRPr="005A68E6">
              <w:t xml:space="preserve"> 787.5 </w:t>
            </w:r>
          </w:p>
        </w:tc>
        <w:tc>
          <w:tcPr>
            <w:tcW w:w="1014" w:type="dxa"/>
            <w:tcBorders>
              <w:left w:val="nil"/>
              <w:right w:val="nil"/>
            </w:tcBorders>
          </w:tcPr>
          <w:p w14:paraId="7F332984" w14:textId="77777777" w:rsidR="00813F61" w:rsidRPr="005A68E6" w:rsidRDefault="00813F61" w:rsidP="00813F61">
            <w:pPr>
              <w:spacing w:line="240" w:lineRule="auto"/>
              <w:ind w:hanging="5"/>
              <w:jc w:val="center"/>
            </w:pPr>
            <w:r w:rsidRPr="005A68E6">
              <w:t xml:space="preserve"> 813.4 </w:t>
            </w:r>
          </w:p>
        </w:tc>
        <w:tc>
          <w:tcPr>
            <w:tcW w:w="1019" w:type="dxa"/>
            <w:tcBorders>
              <w:left w:val="nil"/>
              <w:right w:val="nil"/>
            </w:tcBorders>
          </w:tcPr>
          <w:p w14:paraId="68CCA3A3" w14:textId="77777777" w:rsidR="00813F61" w:rsidRPr="005A68E6" w:rsidRDefault="00813F61" w:rsidP="00813F61">
            <w:pPr>
              <w:spacing w:line="240" w:lineRule="auto"/>
              <w:ind w:hanging="5"/>
              <w:jc w:val="center"/>
            </w:pPr>
            <w:r w:rsidRPr="005A68E6">
              <w:t xml:space="preserve"> 826.4 </w:t>
            </w:r>
          </w:p>
        </w:tc>
      </w:tr>
      <w:tr w:rsidR="00813F61" w:rsidRPr="005A68E6" w14:paraId="114EE09F" w14:textId="77777777" w:rsidTr="0070296A">
        <w:trPr>
          <w:trHeight w:val="249"/>
          <w:jc w:val="center"/>
        </w:trPr>
        <w:tc>
          <w:tcPr>
            <w:tcW w:w="2880" w:type="dxa"/>
            <w:tcBorders>
              <w:left w:val="nil"/>
              <w:bottom w:val="single" w:sz="4" w:space="0" w:color="auto"/>
              <w:right w:val="nil"/>
            </w:tcBorders>
            <w:vAlign w:val="center"/>
          </w:tcPr>
          <w:p w14:paraId="7E48812A" w14:textId="037189D6" w:rsidR="00813F61" w:rsidRPr="005A68E6" w:rsidRDefault="00813F61" w:rsidP="00813F61">
            <w:pPr>
              <w:spacing w:line="240" w:lineRule="auto"/>
              <w:ind w:left="187" w:hanging="5"/>
              <w:jc w:val="left"/>
            </w:pPr>
            <w:r w:rsidRPr="005A68E6">
              <w:rPr>
                <w:lang w:val="en-US"/>
              </w:rPr>
              <w:t>External Guarantees</w:t>
            </w:r>
          </w:p>
        </w:tc>
        <w:tc>
          <w:tcPr>
            <w:tcW w:w="1095" w:type="dxa"/>
            <w:tcBorders>
              <w:left w:val="nil"/>
              <w:bottom w:val="single" w:sz="4" w:space="0" w:color="auto"/>
              <w:right w:val="nil"/>
            </w:tcBorders>
          </w:tcPr>
          <w:p w14:paraId="3E9013A1" w14:textId="77777777" w:rsidR="00813F61" w:rsidRPr="005A68E6" w:rsidRDefault="00813F61" w:rsidP="00813F61">
            <w:pPr>
              <w:spacing w:line="240" w:lineRule="auto"/>
              <w:ind w:firstLine="0"/>
              <w:jc w:val="center"/>
              <w:rPr>
                <w:sz w:val="20"/>
                <w:szCs w:val="20"/>
              </w:rPr>
            </w:pPr>
            <w:r w:rsidRPr="005A68E6">
              <w:t xml:space="preserve"> 3.8 </w:t>
            </w:r>
          </w:p>
        </w:tc>
        <w:tc>
          <w:tcPr>
            <w:tcW w:w="1071" w:type="dxa"/>
            <w:tcBorders>
              <w:left w:val="nil"/>
              <w:bottom w:val="single" w:sz="4" w:space="0" w:color="auto"/>
              <w:right w:val="nil"/>
            </w:tcBorders>
          </w:tcPr>
          <w:p w14:paraId="384DEC91" w14:textId="77777777" w:rsidR="00813F61" w:rsidRPr="005A68E6" w:rsidRDefault="00813F61" w:rsidP="00813F61">
            <w:pPr>
              <w:spacing w:line="240" w:lineRule="auto"/>
              <w:ind w:hanging="5"/>
              <w:jc w:val="center"/>
            </w:pPr>
            <w:r w:rsidRPr="005A68E6">
              <w:t xml:space="preserve"> 2.9 </w:t>
            </w:r>
          </w:p>
        </w:tc>
        <w:tc>
          <w:tcPr>
            <w:tcW w:w="1493" w:type="dxa"/>
            <w:tcBorders>
              <w:left w:val="nil"/>
              <w:bottom w:val="single" w:sz="4" w:space="0" w:color="auto"/>
              <w:right w:val="double" w:sz="4" w:space="0" w:color="auto"/>
            </w:tcBorders>
          </w:tcPr>
          <w:p w14:paraId="207951CA" w14:textId="77777777" w:rsidR="00813F61" w:rsidRPr="005A68E6" w:rsidRDefault="00813F61" w:rsidP="00813F61">
            <w:pPr>
              <w:spacing w:line="240" w:lineRule="auto"/>
              <w:ind w:hanging="5"/>
              <w:jc w:val="center"/>
            </w:pPr>
            <w:r w:rsidRPr="005A68E6">
              <w:t xml:space="preserve"> 2.9 </w:t>
            </w:r>
          </w:p>
        </w:tc>
        <w:tc>
          <w:tcPr>
            <w:tcW w:w="1071" w:type="dxa"/>
            <w:tcBorders>
              <w:left w:val="double" w:sz="4" w:space="0" w:color="auto"/>
              <w:bottom w:val="single" w:sz="4" w:space="0" w:color="auto"/>
              <w:right w:val="nil"/>
            </w:tcBorders>
          </w:tcPr>
          <w:p w14:paraId="6943876D" w14:textId="77777777" w:rsidR="00813F61" w:rsidRPr="005A68E6" w:rsidRDefault="00813F61" w:rsidP="00813F61">
            <w:pPr>
              <w:spacing w:line="240" w:lineRule="auto"/>
              <w:ind w:hanging="5"/>
              <w:jc w:val="center"/>
            </w:pPr>
            <w:r w:rsidRPr="005A68E6">
              <w:t xml:space="preserve"> 3.1 </w:t>
            </w:r>
          </w:p>
        </w:tc>
        <w:tc>
          <w:tcPr>
            <w:tcW w:w="1093" w:type="dxa"/>
            <w:tcBorders>
              <w:left w:val="nil"/>
              <w:bottom w:val="single" w:sz="4" w:space="0" w:color="auto"/>
              <w:right w:val="nil"/>
            </w:tcBorders>
          </w:tcPr>
          <w:p w14:paraId="5EAF40A7" w14:textId="77777777" w:rsidR="00813F61" w:rsidRPr="005A68E6" w:rsidRDefault="00813F61" w:rsidP="00813F61">
            <w:pPr>
              <w:spacing w:line="240" w:lineRule="auto"/>
              <w:ind w:hanging="5"/>
              <w:jc w:val="center"/>
            </w:pPr>
            <w:r w:rsidRPr="005A68E6">
              <w:t xml:space="preserve"> 3.0 </w:t>
            </w:r>
          </w:p>
        </w:tc>
        <w:tc>
          <w:tcPr>
            <w:tcW w:w="1014" w:type="dxa"/>
            <w:tcBorders>
              <w:left w:val="nil"/>
              <w:bottom w:val="single" w:sz="4" w:space="0" w:color="auto"/>
              <w:right w:val="nil"/>
            </w:tcBorders>
          </w:tcPr>
          <w:p w14:paraId="045041A1" w14:textId="77777777" w:rsidR="00813F61" w:rsidRPr="005A68E6" w:rsidRDefault="00813F61" w:rsidP="00813F61">
            <w:pPr>
              <w:spacing w:line="240" w:lineRule="auto"/>
              <w:ind w:hanging="5"/>
              <w:jc w:val="center"/>
            </w:pPr>
            <w:r w:rsidRPr="005A68E6">
              <w:t xml:space="preserve"> 2.7 </w:t>
            </w:r>
          </w:p>
        </w:tc>
        <w:tc>
          <w:tcPr>
            <w:tcW w:w="1019" w:type="dxa"/>
            <w:tcBorders>
              <w:left w:val="nil"/>
              <w:bottom w:val="single" w:sz="4" w:space="0" w:color="auto"/>
              <w:right w:val="nil"/>
            </w:tcBorders>
          </w:tcPr>
          <w:p w14:paraId="15F273BD" w14:textId="77777777" w:rsidR="00813F61" w:rsidRPr="005A68E6" w:rsidRDefault="00813F61" w:rsidP="00813F61">
            <w:pPr>
              <w:spacing w:line="240" w:lineRule="auto"/>
              <w:ind w:hanging="5"/>
              <w:jc w:val="center"/>
            </w:pPr>
            <w:r w:rsidRPr="005A68E6">
              <w:t xml:space="preserve"> 2.5 </w:t>
            </w:r>
          </w:p>
        </w:tc>
      </w:tr>
      <w:tr w:rsidR="00813F61" w:rsidRPr="005A68E6" w14:paraId="4C61F272" w14:textId="77777777" w:rsidTr="0070296A">
        <w:trPr>
          <w:trHeight w:val="256"/>
          <w:jc w:val="center"/>
        </w:trPr>
        <w:tc>
          <w:tcPr>
            <w:tcW w:w="2880" w:type="dxa"/>
            <w:tcBorders>
              <w:left w:val="nil"/>
              <w:bottom w:val="single" w:sz="12" w:space="0" w:color="auto"/>
              <w:right w:val="nil"/>
            </w:tcBorders>
            <w:vAlign w:val="center"/>
          </w:tcPr>
          <w:p w14:paraId="1A0BE7C4" w14:textId="5E224988" w:rsidR="00813F61" w:rsidRPr="005A68E6" w:rsidRDefault="00813F61" w:rsidP="00813F61">
            <w:pPr>
              <w:spacing w:line="240" w:lineRule="auto"/>
              <w:ind w:left="187" w:hanging="5"/>
              <w:jc w:val="left"/>
            </w:pPr>
            <w:r w:rsidRPr="005A68E6">
              <w:rPr>
                <w:lang w:val="en-US"/>
              </w:rPr>
              <w:t>Domestic Guarantees</w:t>
            </w:r>
          </w:p>
        </w:tc>
        <w:tc>
          <w:tcPr>
            <w:tcW w:w="1095" w:type="dxa"/>
            <w:tcBorders>
              <w:left w:val="nil"/>
              <w:bottom w:val="single" w:sz="12" w:space="0" w:color="auto"/>
              <w:right w:val="nil"/>
            </w:tcBorders>
          </w:tcPr>
          <w:p w14:paraId="55C6FFED" w14:textId="77777777" w:rsidR="00813F61" w:rsidRPr="005A68E6" w:rsidRDefault="00813F61" w:rsidP="00813F61">
            <w:pPr>
              <w:spacing w:line="240" w:lineRule="auto"/>
              <w:ind w:firstLine="0"/>
              <w:jc w:val="center"/>
              <w:rPr>
                <w:sz w:val="20"/>
                <w:szCs w:val="20"/>
              </w:rPr>
            </w:pPr>
            <w:r w:rsidRPr="005A68E6">
              <w:t xml:space="preserve"> 5.4 </w:t>
            </w:r>
          </w:p>
        </w:tc>
        <w:tc>
          <w:tcPr>
            <w:tcW w:w="1071" w:type="dxa"/>
            <w:tcBorders>
              <w:left w:val="nil"/>
              <w:bottom w:val="single" w:sz="12" w:space="0" w:color="auto"/>
              <w:right w:val="nil"/>
            </w:tcBorders>
          </w:tcPr>
          <w:p w14:paraId="4E550A01" w14:textId="77777777" w:rsidR="00813F61" w:rsidRPr="005A68E6" w:rsidRDefault="00813F61" w:rsidP="00813F61">
            <w:pPr>
              <w:spacing w:line="240" w:lineRule="auto"/>
              <w:ind w:hanging="5"/>
              <w:jc w:val="center"/>
            </w:pPr>
            <w:r w:rsidRPr="005A68E6">
              <w:t xml:space="preserve"> 9.2 </w:t>
            </w:r>
          </w:p>
        </w:tc>
        <w:tc>
          <w:tcPr>
            <w:tcW w:w="1493" w:type="dxa"/>
            <w:tcBorders>
              <w:left w:val="nil"/>
              <w:bottom w:val="single" w:sz="12" w:space="0" w:color="auto"/>
              <w:right w:val="double" w:sz="4" w:space="0" w:color="auto"/>
            </w:tcBorders>
          </w:tcPr>
          <w:p w14:paraId="2F6D9936" w14:textId="77777777" w:rsidR="00813F61" w:rsidRPr="005A68E6" w:rsidRDefault="00813F61" w:rsidP="00813F61">
            <w:pPr>
              <w:spacing w:line="240" w:lineRule="auto"/>
              <w:ind w:hanging="5"/>
              <w:jc w:val="center"/>
            </w:pPr>
            <w:r w:rsidRPr="005A68E6">
              <w:t xml:space="preserve"> 2.8 </w:t>
            </w:r>
          </w:p>
        </w:tc>
        <w:tc>
          <w:tcPr>
            <w:tcW w:w="1071" w:type="dxa"/>
            <w:tcBorders>
              <w:left w:val="double" w:sz="4" w:space="0" w:color="auto"/>
              <w:bottom w:val="single" w:sz="12" w:space="0" w:color="auto"/>
              <w:right w:val="nil"/>
            </w:tcBorders>
          </w:tcPr>
          <w:p w14:paraId="1A9B8616" w14:textId="77777777" w:rsidR="00813F61" w:rsidRPr="005A68E6" w:rsidRDefault="00813F61" w:rsidP="00813F61">
            <w:pPr>
              <w:spacing w:line="240" w:lineRule="auto"/>
              <w:ind w:hanging="5"/>
              <w:jc w:val="center"/>
            </w:pPr>
            <w:r w:rsidRPr="005A68E6">
              <w:t xml:space="preserve"> 7.9 </w:t>
            </w:r>
          </w:p>
        </w:tc>
        <w:tc>
          <w:tcPr>
            <w:tcW w:w="1093" w:type="dxa"/>
            <w:tcBorders>
              <w:left w:val="nil"/>
              <w:bottom w:val="single" w:sz="12" w:space="0" w:color="auto"/>
              <w:right w:val="nil"/>
            </w:tcBorders>
          </w:tcPr>
          <w:p w14:paraId="5B73A8D2" w14:textId="77777777" w:rsidR="00813F61" w:rsidRPr="005A68E6" w:rsidRDefault="00813F61" w:rsidP="00813F61">
            <w:pPr>
              <w:spacing w:line="240" w:lineRule="auto"/>
              <w:ind w:hanging="5"/>
              <w:jc w:val="center"/>
            </w:pPr>
            <w:r w:rsidRPr="005A68E6">
              <w:t xml:space="preserve"> 7.9 </w:t>
            </w:r>
          </w:p>
        </w:tc>
        <w:tc>
          <w:tcPr>
            <w:tcW w:w="1014" w:type="dxa"/>
            <w:tcBorders>
              <w:left w:val="nil"/>
              <w:bottom w:val="single" w:sz="12" w:space="0" w:color="auto"/>
              <w:right w:val="nil"/>
            </w:tcBorders>
          </w:tcPr>
          <w:p w14:paraId="7F206E48" w14:textId="77777777" w:rsidR="00813F61" w:rsidRPr="005A68E6" w:rsidRDefault="00813F61" w:rsidP="00813F61">
            <w:pPr>
              <w:spacing w:line="240" w:lineRule="auto"/>
              <w:ind w:hanging="5"/>
              <w:jc w:val="center"/>
            </w:pPr>
            <w:r w:rsidRPr="005A68E6">
              <w:t xml:space="preserve"> 4.9 </w:t>
            </w:r>
          </w:p>
        </w:tc>
        <w:tc>
          <w:tcPr>
            <w:tcW w:w="1019" w:type="dxa"/>
            <w:tcBorders>
              <w:left w:val="nil"/>
              <w:bottom w:val="single" w:sz="12" w:space="0" w:color="auto"/>
              <w:right w:val="nil"/>
            </w:tcBorders>
          </w:tcPr>
          <w:p w14:paraId="1A33B2E0" w14:textId="77777777" w:rsidR="00813F61" w:rsidRPr="005A68E6" w:rsidRDefault="00813F61" w:rsidP="00813F61">
            <w:pPr>
              <w:spacing w:line="240" w:lineRule="auto"/>
              <w:ind w:hanging="5"/>
              <w:jc w:val="center"/>
            </w:pPr>
            <w:r w:rsidRPr="005A68E6">
              <w:t xml:space="preserve"> 3.9 </w:t>
            </w:r>
          </w:p>
        </w:tc>
      </w:tr>
      <w:tr w:rsidR="00813F61" w:rsidRPr="005A68E6" w14:paraId="49D5BBF1" w14:textId="77777777" w:rsidTr="0070296A">
        <w:trPr>
          <w:trHeight w:val="511"/>
          <w:jc w:val="center"/>
        </w:trPr>
        <w:tc>
          <w:tcPr>
            <w:tcW w:w="2880" w:type="dxa"/>
            <w:tcBorders>
              <w:top w:val="single" w:sz="12" w:space="0" w:color="auto"/>
              <w:left w:val="nil"/>
              <w:right w:val="nil"/>
            </w:tcBorders>
            <w:vAlign w:val="center"/>
          </w:tcPr>
          <w:p w14:paraId="649EECA8" w14:textId="29A49221" w:rsidR="00813F61" w:rsidRPr="005A68E6" w:rsidRDefault="00813F61" w:rsidP="00813F61">
            <w:pPr>
              <w:spacing w:line="240" w:lineRule="auto"/>
              <w:ind w:hanging="5"/>
              <w:jc w:val="left"/>
            </w:pPr>
            <w:r w:rsidRPr="005A68E6">
              <w:t>Interest Payment for Government Debt</w:t>
            </w:r>
          </w:p>
        </w:tc>
        <w:tc>
          <w:tcPr>
            <w:tcW w:w="1095" w:type="dxa"/>
            <w:tcBorders>
              <w:top w:val="single" w:sz="12" w:space="0" w:color="auto"/>
              <w:left w:val="nil"/>
              <w:right w:val="nil"/>
            </w:tcBorders>
            <w:vAlign w:val="center"/>
          </w:tcPr>
          <w:p w14:paraId="3FE9E2CA" w14:textId="77777777" w:rsidR="00813F61" w:rsidRPr="005A68E6" w:rsidRDefault="00813F61" w:rsidP="00813F61">
            <w:pPr>
              <w:spacing w:line="240" w:lineRule="auto"/>
              <w:ind w:hanging="5"/>
              <w:jc w:val="center"/>
              <w:rPr>
                <w:sz w:val="20"/>
                <w:szCs w:val="20"/>
              </w:rPr>
            </w:pPr>
            <w:r w:rsidRPr="005A68E6">
              <w:t xml:space="preserve"> 180.8 </w:t>
            </w:r>
          </w:p>
        </w:tc>
        <w:tc>
          <w:tcPr>
            <w:tcW w:w="1071" w:type="dxa"/>
            <w:tcBorders>
              <w:top w:val="single" w:sz="12" w:space="0" w:color="auto"/>
              <w:left w:val="nil"/>
              <w:right w:val="nil"/>
            </w:tcBorders>
            <w:vAlign w:val="center"/>
          </w:tcPr>
          <w:p w14:paraId="0AAE3F98" w14:textId="77777777" w:rsidR="00813F61" w:rsidRPr="005A68E6" w:rsidRDefault="00813F61" w:rsidP="00813F61">
            <w:pPr>
              <w:spacing w:line="240" w:lineRule="auto"/>
              <w:ind w:hanging="5"/>
              <w:jc w:val="center"/>
            </w:pPr>
            <w:r w:rsidRPr="005A68E6">
              <w:t xml:space="preserve"> 198.3 </w:t>
            </w:r>
          </w:p>
        </w:tc>
        <w:tc>
          <w:tcPr>
            <w:tcW w:w="1493" w:type="dxa"/>
            <w:tcBorders>
              <w:top w:val="single" w:sz="12" w:space="0" w:color="auto"/>
              <w:left w:val="nil"/>
              <w:right w:val="double" w:sz="4" w:space="0" w:color="auto"/>
            </w:tcBorders>
            <w:vAlign w:val="center"/>
          </w:tcPr>
          <w:p w14:paraId="59CA6663" w14:textId="77777777" w:rsidR="00813F61" w:rsidRPr="005A68E6" w:rsidRDefault="00813F61" w:rsidP="00813F61">
            <w:pPr>
              <w:spacing w:line="240" w:lineRule="auto"/>
              <w:ind w:hanging="5"/>
              <w:jc w:val="center"/>
            </w:pPr>
            <w:r w:rsidRPr="005A68E6">
              <w:t xml:space="preserve"> 272.9 </w:t>
            </w:r>
          </w:p>
        </w:tc>
        <w:tc>
          <w:tcPr>
            <w:tcW w:w="1071" w:type="dxa"/>
            <w:tcBorders>
              <w:top w:val="single" w:sz="12" w:space="0" w:color="auto"/>
              <w:left w:val="double" w:sz="4" w:space="0" w:color="auto"/>
              <w:right w:val="nil"/>
            </w:tcBorders>
            <w:vAlign w:val="center"/>
          </w:tcPr>
          <w:p w14:paraId="44C6B856" w14:textId="77777777" w:rsidR="00813F61" w:rsidRPr="005A68E6" w:rsidRDefault="00813F61" w:rsidP="00813F61">
            <w:pPr>
              <w:spacing w:line="240" w:lineRule="auto"/>
              <w:ind w:firstLine="0"/>
              <w:jc w:val="center"/>
            </w:pPr>
            <w:r w:rsidRPr="005A68E6">
              <w:t xml:space="preserve"> 272.9 </w:t>
            </w:r>
          </w:p>
        </w:tc>
        <w:tc>
          <w:tcPr>
            <w:tcW w:w="1093" w:type="dxa"/>
            <w:tcBorders>
              <w:top w:val="single" w:sz="12" w:space="0" w:color="auto"/>
              <w:left w:val="nil"/>
              <w:right w:val="nil"/>
            </w:tcBorders>
            <w:vAlign w:val="center"/>
          </w:tcPr>
          <w:p w14:paraId="169A82F4" w14:textId="77777777" w:rsidR="00813F61" w:rsidRPr="005A68E6" w:rsidRDefault="00813F61" w:rsidP="00813F61">
            <w:pPr>
              <w:spacing w:line="240" w:lineRule="auto"/>
              <w:ind w:hanging="5"/>
              <w:jc w:val="center"/>
            </w:pPr>
            <w:r w:rsidRPr="005A68E6">
              <w:t xml:space="preserve"> 326.9 </w:t>
            </w:r>
          </w:p>
        </w:tc>
        <w:tc>
          <w:tcPr>
            <w:tcW w:w="1014" w:type="dxa"/>
            <w:tcBorders>
              <w:top w:val="single" w:sz="12" w:space="0" w:color="auto"/>
              <w:left w:val="nil"/>
              <w:right w:val="nil"/>
            </w:tcBorders>
            <w:vAlign w:val="center"/>
          </w:tcPr>
          <w:p w14:paraId="409E7799" w14:textId="77777777" w:rsidR="00813F61" w:rsidRPr="005A68E6" w:rsidRDefault="00813F61" w:rsidP="00813F61">
            <w:pPr>
              <w:spacing w:line="240" w:lineRule="auto"/>
              <w:ind w:firstLine="0"/>
              <w:jc w:val="center"/>
            </w:pPr>
            <w:r w:rsidRPr="005A68E6">
              <w:t xml:space="preserve"> 368.7 </w:t>
            </w:r>
          </w:p>
        </w:tc>
        <w:tc>
          <w:tcPr>
            <w:tcW w:w="1019" w:type="dxa"/>
            <w:tcBorders>
              <w:top w:val="single" w:sz="12" w:space="0" w:color="auto"/>
              <w:left w:val="nil"/>
              <w:right w:val="nil"/>
            </w:tcBorders>
            <w:vAlign w:val="center"/>
          </w:tcPr>
          <w:p w14:paraId="1A5F01D3" w14:textId="77777777" w:rsidR="00813F61" w:rsidRPr="005A68E6" w:rsidRDefault="00813F61" w:rsidP="00813F61">
            <w:pPr>
              <w:spacing w:line="240" w:lineRule="auto"/>
              <w:ind w:hanging="5"/>
              <w:jc w:val="center"/>
            </w:pPr>
            <w:r w:rsidRPr="005A68E6">
              <w:t xml:space="preserve"> 407.2 </w:t>
            </w:r>
          </w:p>
        </w:tc>
      </w:tr>
      <w:tr w:rsidR="00813F61" w:rsidRPr="005A68E6" w14:paraId="476FE4F4" w14:textId="77777777" w:rsidTr="0070296A">
        <w:trPr>
          <w:trHeight w:val="511"/>
          <w:jc w:val="center"/>
        </w:trPr>
        <w:tc>
          <w:tcPr>
            <w:tcW w:w="2880" w:type="dxa"/>
            <w:tcBorders>
              <w:left w:val="nil"/>
              <w:right w:val="nil"/>
            </w:tcBorders>
            <w:vAlign w:val="center"/>
          </w:tcPr>
          <w:p w14:paraId="2797E08C" w14:textId="3139A08E" w:rsidR="00813F61" w:rsidRPr="005A68E6" w:rsidRDefault="00813F61" w:rsidP="00813F61">
            <w:pPr>
              <w:spacing w:line="240" w:lineRule="auto"/>
              <w:ind w:hanging="5"/>
              <w:jc w:val="left"/>
            </w:pPr>
            <w:r w:rsidRPr="005A68E6">
              <w:rPr>
                <w:lang w:val="en-US"/>
              </w:rPr>
              <w:t>Interest Payment / State Budget Expenditures</w:t>
            </w:r>
            <w:r w:rsidRPr="005A68E6">
              <w:t xml:space="preserve"> (%)</w:t>
            </w:r>
          </w:p>
        </w:tc>
        <w:tc>
          <w:tcPr>
            <w:tcW w:w="1095" w:type="dxa"/>
            <w:tcBorders>
              <w:left w:val="nil"/>
              <w:right w:val="nil"/>
            </w:tcBorders>
            <w:vAlign w:val="center"/>
          </w:tcPr>
          <w:p w14:paraId="088E2617" w14:textId="77777777" w:rsidR="00813F61" w:rsidRPr="005A68E6" w:rsidRDefault="00813F61" w:rsidP="00813F61">
            <w:pPr>
              <w:spacing w:line="240" w:lineRule="auto"/>
              <w:ind w:hanging="5"/>
              <w:jc w:val="center"/>
              <w:rPr>
                <w:sz w:val="20"/>
                <w:szCs w:val="20"/>
              </w:rPr>
            </w:pPr>
            <w:r w:rsidRPr="005A68E6">
              <w:t xml:space="preserve"> 9.0 </w:t>
            </w:r>
          </w:p>
        </w:tc>
        <w:tc>
          <w:tcPr>
            <w:tcW w:w="1071" w:type="dxa"/>
            <w:tcBorders>
              <w:left w:val="nil"/>
              <w:right w:val="nil"/>
            </w:tcBorders>
            <w:vAlign w:val="center"/>
          </w:tcPr>
          <w:p w14:paraId="505801EB" w14:textId="77777777" w:rsidR="00813F61" w:rsidRPr="005A68E6" w:rsidRDefault="00813F61" w:rsidP="00813F61">
            <w:pPr>
              <w:spacing w:line="240" w:lineRule="auto"/>
              <w:ind w:hanging="5"/>
              <w:jc w:val="center"/>
            </w:pPr>
            <w:r w:rsidRPr="005A68E6">
              <w:t xml:space="preserve"> 8.8 </w:t>
            </w:r>
          </w:p>
        </w:tc>
        <w:tc>
          <w:tcPr>
            <w:tcW w:w="1493" w:type="dxa"/>
            <w:tcBorders>
              <w:left w:val="nil"/>
              <w:right w:val="double" w:sz="4" w:space="0" w:color="auto"/>
            </w:tcBorders>
            <w:vAlign w:val="center"/>
          </w:tcPr>
          <w:p w14:paraId="5B4E6BBC" w14:textId="77777777" w:rsidR="00813F61" w:rsidRPr="005A68E6" w:rsidRDefault="00813F61" w:rsidP="00813F61">
            <w:pPr>
              <w:spacing w:line="240" w:lineRule="auto"/>
              <w:ind w:hanging="5"/>
              <w:jc w:val="center"/>
            </w:pPr>
            <w:r w:rsidRPr="005A68E6">
              <w:t xml:space="preserve"> 10.5 </w:t>
            </w:r>
          </w:p>
        </w:tc>
        <w:tc>
          <w:tcPr>
            <w:tcW w:w="1071" w:type="dxa"/>
            <w:tcBorders>
              <w:left w:val="double" w:sz="4" w:space="0" w:color="auto"/>
              <w:right w:val="nil"/>
            </w:tcBorders>
            <w:vAlign w:val="center"/>
          </w:tcPr>
          <w:p w14:paraId="6A88038E" w14:textId="77777777" w:rsidR="00813F61" w:rsidRPr="005A68E6" w:rsidRDefault="00813F61" w:rsidP="00813F61">
            <w:pPr>
              <w:spacing w:line="240" w:lineRule="auto"/>
              <w:ind w:firstLine="0"/>
              <w:jc w:val="center"/>
            </w:pPr>
            <w:r w:rsidRPr="005A68E6">
              <w:t xml:space="preserve"> 10.5 </w:t>
            </w:r>
          </w:p>
        </w:tc>
        <w:tc>
          <w:tcPr>
            <w:tcW w:w="1093" w:type="dxa"/>
            <w:tcBorders>
              <w:left w:val="nil"/>
              <w:right w:val="nil"/>
            </w:tcBorders>
            <w:vAlign w:val="center"/>
          </w:tcPr>
          <w:p w14:paraId="7EFD4CE0" w14:textId="77777777" w:rsidR="00813F61" w:rsidRPr="005A68E6" w:rsidRDefault="00813F61" w:rsidP="00813F61">
            <w:pPr>
              <w:spacing w:line="240" w:lineRule="auto"/>
              <w:ind w:hanging="5"/>
              <w:jc w:val="center"/>
            </w:pPr>
            <w:r w:rsidRPr="005A68E6">
              <w:t xml:space="preserve"> 11.0 </w:t>
            </w:r>
          </w:p>
        </w:tc>
        <w:tc>
          <w:tcPr>
            <w:tcW w:w="1014" w:type="dxa"/>
            <w:tcBorders>
              <w:left w:val="nil"/>
              <w:right w:val="nil"/>
            </w:tcBorders>
            <w:vAlign w:val="center"/>
          </w:tcPr>
          <w:p w14:paraId="567B3BF6" w14:textId="77777777" w:rsidR="00813F61" w:rsidRPr="005A68E6" w:rsidRDefault="00813F61" w:rsidP="00813F61">
            <w:pPr>
              <w:spacing w:line="240" w:lineRule="auto"/>
              <w:ind w:hanging="5"/>
              <w:jc w:val="center"/>
            </w:pPr>
            <w:r w:rsidRPr="005A68E6">
              <w:t xml:space="preserve"> 11.0 </w:t>
            </w:r>
          </w:p>
        </w:tc>
        <w:tc>
          <w:tcPr>
            <w:tcW w:w="1019" w:type="dxa"/>
            <w:tcBorders>
              <w:left w:val="nil"/>
              <w:right w:val="nil"/>
            </w:tcBorders>
            <w:vAlign w:val="center"/>
          </w:tcPr>
          <w:p w14:paraId="50B83FAE" w14:textId="77777777" w:rsidR="00813F61" w:rsidRPr="005A68E6" w:rsidRDefault="00813F61" w:rsidP="00813F61">
            <w:pPr>
              <w:spacing w:line="240" w:lineRule="auto"/>
              <w:ind w:hanging="5"/>
              <w:jc w:val="center"/>
            </w:pPr>
            <w:r w:rsidRPr="005A68E6">
              <w:t xml:space="preserve"> 10.7 </w:t>
            </w:r>
          </w:p>
        </w:tc>
      </w:tr>
      <w:tr w:rsidR="00813F61" w:rsidRPr="005A68E6" w14:paraId="67197BA9" w14:textId="77777777" w:rsidTr="0070296A">
        <w:trPr>
          <w:trHeight w:val="766"/>
          <w:jc w:val="center"/>
        </w:trPr>
        <w:tc>
          <w:tcPr>
            <w:tcW w:w="2880" w:type="dxa"/>
            <w:tcBorders>
              <w:left w:val="nil"/>
              <w:right w:val="nil"/>
            </w:tcBorders>
            <w:vAlign w:val="center"/>
          </w:tcPr>
          <w:p w14:paraId="2AAF5050" w14:textId="186608AB" w:rsidR="00813F61" w:rsidRPr="005A68E6" w:rsidRDefault="00813F61" w:rsidP="00813F61">
            <w:pPr>
              <w:spacing w:line="240" w:lineRule="auto"/>
              <w:ind w:hanging="5"/>
              <w:jc w:val="left"/>
            </w:pPr>
            <w:r w:rsidRPr="005A68E6">
              <w:t xml:space="preserve">Interest </w:t>
            </w:r>
            <w:r w:rsidRPr="005A68E6">
              <w:rPr>
                <w:lang w:val="en-US"/>
              </w:rPr>
              <w:t>P</w:t>
            </w:r>
            <w:r w:rsidRPr="005A68E6">
              <w:t>ayment / State Budget Own Revenues (without grants) (%)</w:t>
            </w:r>
          </w:p>
        </w:tc>
        <w:tc>
          <w:tcPr>
            <w:tcW w:w="1095" w:type="dxa"/>
            <w:tcBorders>
              <w:left w:val="nil"/>
              <w:right w:val="nil"/>
            </w:tcBorders>
            <w:vAlign w:val="center"/>
          </w:tcPr>
          <w:p w14:paraId="22A8E794" w14:textId="77777777" w:rsidR="00813F61" w:rsidRPr="005A68E6" w:rsidRDefault="00813F61" w:rsidP="00813F61">
            <w:pPr>
              <w:spacing w:line="240" w:lineRule="auto"/>
              <w:ind w:hanging="5"/>
              <w:jc w:val="center"/>
              <w:rPr>
                <w:sz w:val="20"/>
                <w:szCs w:val="20"/>
              </w:rPr>
            </w:pPr>
            <w:r w:rsidRPr="005A68E6">
              <w:t xml:space="preserve"> 10.8 </w:t>
            </w:r>
          </w:p>
        </w:tc>
        <w:tc>
          <w:tcPr>
            <w:tcW w:w="1071" w:type="dxa"/>
            <w:tcBorders>
              <w:left w:val="nil"/>
              <w:right w:val="nil"/>
            </w:tcBorders>
            <w:vAlign w:val="center"/>
          </w:tcPr>
          <w:p w14:paraId="44C8DC6D" w14:textId="77777777" w:rsidR="00813F61" w:rsidRPr="005A68E6" w:rsidRDefault="00813F61" w:rsidP="00813F61">
            <w:pPr>
              <w:spacing w:line="240" w:lineRule="auto"/>
              <w:ind w:hanging="5"/>
              <w:jc w:val="center"/>
            </w:pPr>
            <w:r w:rsidRPr="005A68E6">
              <w:t xml:space="preserve"> 9.7 </w:t>
            </w:r>
          </w:p>
        </w:tc>
        <w:tc>
          <w:tcPr>
            <w:tcW w:w="1493" w:type="dxa"/>
            <w:tcBorders>
              <w:left w:val="nil"/>
              <w:right w:val="double" w:sz="4" w:space="0" w:color="auto"/>
            </w:tcBorders>
            <w:vAlign w:val="center"/>
          </w:tcPr>
          <w:p w14:paraId="68BD1C42" w14:textId="77777777" w:rsidR="00813F61" w:rsidRPr="005A68E6" w:rsidRDefault="00813F61" w:rsidP="00813F61">
            <w:pPr>
              <w:spacing w:line="240" w:lineRule="auto"/>
              <w:ind w:hanging="5"/>
              <w:jc w:val="center"/>
            </w:pPr>
            <w:r w:rsidRPr="005A68E6">
              <w:t xml:space="preserve"> 11.9 </w:t>
            </w:r>
          </w:p>
        </w:tc>
        <w:tc>
          <w:tcPr>
            <w:tcW w:w="1071" w:type="dxa"/>
            <w:tcBorders>
              <w:left w:val="double" w:sz="4" w:space="0" w:color="auto"/>
              <w:right w:val="nil"/>
            </w:tcBorders>
            <w:vAlign w:val="center"/>
          </w:tcPr>
          <w:p w14:paraId="39F207F0" w14:textId="77777777" w:rsidR="00813F61" w:rsidRPr="005A68E6" w:rsidRDefault="00813F61" w:rsidP="00813F61">
            <w:pPr>
              <w:spacing w:line="240" w:lineRule="auto"/>
              <w:ind w:hanging="5"/>
              <w:jc w:val="center"/>
            </w:pPr>
            <w:r w:rsidRPr="005A68E6">
              <w:t xml:space="preserve"> 11.8 </w:t>
            </w:r>
          </w:p>
        </w:tc>
        <w:tc>
          <w:tcPr>
            <w:tcW w:w="1093" w:type="dxa"/>
            <w:tcBorders>
              <w:left w:val="nil"/>
              <w:right w:val="nil"/>
            </w:tcBorders>
            <w:vAlign w:val="center"/>
          </w:tcPr>
          <w:p w14:paraId="1527549D" w14:textId="77777777" w:rsidR="00813F61" w:rsidRPr="005A68E6" w:rsidRDefault="00813F61" w:rsidP="00813F61">
            <w:pPr>
              <w:spacing w:line="240" w:lineRule="auto"/>
              <w:ind w:hanging="5"/>
              <w:jc w:val="center"/>
            </w:pPr>
            <w:r w:rsidRPr="005A68E6">
              <w:t xml:space="preserve"> 12.3 </w:t>
            </w:r>
          </w:p>
        </w:tc>
        <w:tc>
          <w:tcPr>
            <w:tcW w:w="1014" w:type="dxa"/>
            <w:tcBorders>
              <w:left w:val="nil"/>
              <w:right w:val="nil"/>
            </w:tcBorders>
            <w:vAlign w:val="center"/>
          </w:tcPr>
          <w:p w14:paraId="20E5B705" w14:textId="77777777" w:rsidR="00813F61" w:rsidRPr="005A68E6" w:rsidRDefault="00813F61" w:rsidP="00813F61">
            <w:pPr>
              <w:spacing w:line="240" w:lineRule="auto"/>
              <w:ind w:hanging="5"/>
              <w:jc w:val="center"/>
            </w:pPr>
            <w:r w:rsidRPr="005A68E6">
              <w:t xml:space="preserve"> 12.2 </w:t>
            </w:r>
          </w:p>
        </w:tc>
        <w:tc>
          <w:tcPr>
            <w:tcW w:w="1019" w:type="dxa"/>
            <w:tcBorders>
              <w:left w:val="nil"/>
              <w:right w:val="nil"/>
            </w:tcBorders>
            <w:vAlign w:val="center"/>
          </w:tcPr>
          <w:p w14:paraId="27AB0632" w14:textId="77777777" w:rsidR="00813F61" w:rsidRPr="005A68E6" w:rsidRDefault="00813F61" w:rsidP="00813F61">
            <w:pPr>
              <w:spacing w:line="240" w:lineRule="auto"/>
              <w:ind w:hanging="5"/>
              <w:jc w:val="center"/>
            </w:pPr>
            <w:r w:rsidRPr="005A68E6">
              <w:t xml:space="preserve"> 11.8 </w:t>
            </w:r>
          </w:p>
        </w:tc>
      </w:tr>
      <w:tr w:rsidR="00856716" w:rsidRPr="005A68E6" w14:paraId="48F84FCE" w14:textId="77777777" w:rsidTr="0070296A">
        <w:trPr>
          <w:trHeight w:val="261"/>
          <w:jc w:val="center"/>
        </w:trPr>
        <w:tc>
          <w:tcPr>
            <w:tcW w:w="2880" w:type="dxa"/>
            <w:tcBorders>
              <w:left w:val="nil"/>
              <w:bottom w:val="thickThinSmallGap" w:sz="24" w:space="0" w:color="auto"/>
              <w:right w:val="nil"/>
            </w:tcBorders>
            <w:vAlign w:val="center"/>
          </w:tcPr>
          <w:p w14:paraId="57A9F7E2" w14:textId="07EBE074" w:rsidR="00856716" w:rsidRPr="005A68E6" w:rsidRDefault="00813F61" w:rsidP="00856716">
            <w:pPr>
              <w:spacing w:line="240" w:lineRule="auto"/>
              <w:ind w:hanging="5"/>
              <w:jc w:val="left"/>
            </w:pPr>
            <w:r w:rsidRPr="005A68E6">
              <w:rPr>
                <w:lang w:val="en-US"/>
              </w:rPr>
              <w:t xml:space="preserve">Interest Payment </w:t>
            </w:r>
            <w:r w:rsidRPr="005A68E6">
              <w:t>/</w:t>
            </w:r>
            <w:r w:rsidRPr="005A68E6">
              <w:rPr>
                <w:lang w:val="en-US"/>
              </w:rPr>
              <w:t xml:space="preserve"> GDP</w:t>
            </w:r>
            <w:r w:rsidRPr="005A68E6">
              <w:t xml:space="preserve"> (%)</w:t>
            </w:r>
          </w:p>
        </w:tc>
        <w:tc>
          <w:tcPr>
            <w:tcW w:w="1095" w:type="dxa"/>
            <w:tcBorders>
              <w:left w:val="nil"/>
              <w:bottom w:val="thickThinSmallGap" w:sz="24" w:space="0" w:color="auto"/>
              <w:right w:val="nil"/>
            </w:tcBorders>
            <w:vAlign w:val="center"/>
          </w:tcPr>
          <w:p w14:paraId="2E976BC0" w14:textId="77777777" w:rsidR="00856716" w:rsidRPr="005A68E6" w:rsidRDefault="00856716" w:rsidP="00856716">
            <w:pPr>
              <w:spacing w:line="240" w:lineRule="auto"/>
              <w:ind w:hanging="5"/>
              <w:jc w:val="center"/>
              <w:rPr>
                <w:sz w:val="20"/>
                <w:szCs w:val="20"/>
              </w:rPr>
            </w:pPr>
            <w:r w:rsidRPr="005A68E6">
              <w:t xml:space="preserve"> 2.6 </w:t>
            </w:r>
          </w:p>
        </w:tc>
        <w:tc>
          <w:tcPr>
            <w:tcW w:w="1071" w:type="dxa"/>
            <w:tcBorders>
              <w:left w:val="nil"/>
              <w:bottom w:val="thickThinSmallGap" w:sz="24" w:space="0" w:color="auto"/>
              <w:right w:val="nil"/>
            </w:tcBorders>
            <w:vAlign w:val="center"/>
          </w:tcPr>
          <w:p w14:paraId="020D65A4" w14:textId="77777777" w:rsidR="00856716" w:rsidRPr="005A68E6" w:rsidRDefault="00856716" w:rsidP="00856716">
            <w:pPr>
              <w:spacing w:line="240" w:lineRule="auto"/>
              <w:ind w:hanging="5"/>
              <w:jc w:val="center"/>
            </w:pPr>
            <w:r w:rsidRPr="005A68E6">
              <w:t xml:space="preserve"> 2.3 </w:t>
            </w:r>
          </w:p>
        </w:tc>
        <w:tc>
          <w:tcPr>
            <w:tcW w:w="1493" w:type="dxa"/>
            <w:tcBorders>
              <w:left w:val="nil"/>
              <w:bottom w:val="thickThinSmallGap" w:sz="24" w:space="0" w:color="auto"/>
              <w:right w:val="double" w:sz="4" w:space="0" w:color="auto"/>
            </w:tcBorders>
            <w:vAlign w:val="center"/>
          </w:tcPr>
          <w:p w14:paraId="57010397" w14:textId="77777777" w:rsidR="00856716" w:rsidRPr="005A68E6" w:rsidRDefault="00856716" w:rsidP="00856716">
            <w:pPr>
              <w:spacing w:line="240" w:lineRule="auto"/>
              <w:ind w:hanging="5"/>
              <w:jc w:val="center"/>
            </w:pPr>
            <w:r w:rsidRPr="005A68E6">
              <w:t xml:space="preserve"> 2.9 </w:t>
            </w:r>
          </w:p>
        </w:tc>
        <w:tc>
          <w:tcPr>
            <w:tcW w:w="1071" w:type="dxa"/>
            <w:tcBorders>
              <w:left w:val="double" w:sz="4" w:space="0" w:color="auto"/>
              <w:bottom w:val="thickThinSmallGap" w:sz="24" w:space="0" w:color="auto"/>
              <w:right w:val="nil"/>
            </w:tcBorders>
            <w:vAlign w:val="center"/>
          </w:tcPr>
          <w:p w14:paraId="5CF3AED8" w14:textId="77777777" w:rsidR="00856716" w:rsidRPr="005A68E6" w:rsidRDefault="00856716" w:rsidP="00856716">
            <w:pPr>
              <w:spacing w:line="240" w:lineRule="auto"/>
              <w:ind w:hanging="5"/>
              <w:jc w:val="center"/>
            </w:pPr>
            <w:r w:rsidRPr="005A68E6">
              <w:t xml:space="preserve"> 2.9 </w:t>
            </w:r>
          </w:p>
        </w:tc>
        <w:tc>
          <w:tcPr>
            <w:tcW w:w="1093" w:type="dxa"/>
            <w:tcBorders>
              <w:left w:val="nil"/>
              <w:bottom w:val="thickThinSmallGap" w:sz="24" w:space="0" w:color="auto"/>
              <w:right w:val="nil"/>
            </w:tcBorders>
            <w:vAlign w:val="center"/>
          </w:tcPr>
          <w:p w14:paraId="0B877009" w14:textId="77777777" w:rsidR="00856716" w:rsidRPr="005A68E6" w:rsidRDefault="00856716" w:rsidP="00856716">
            <w:pPr>
              <w:spacing w:line="240" w:lineRule="auto"/>
              <w:ind w:hanging="5"/>
              <w:jc w:val="center"/>
            </w:pPr>
            <w:r w:rsidRPr="005A68E6">
              <w:t xml:space="preserve"> 3.1 </w:t>
            </w:r>
          </w:p>
        </w:tc>
        <w:tc>
          <w:tcPr>
            <w:tcW w:w="1014" w:type="dxa"/>
            <w:tcBorders>
              <w:left w:val="nil"/>
              <w:bottom w:val="thickThinSmallGap" w:sz="24" w:space="0" w:color="auto"/>
              <w:right w:val="nil"/>
            </w:tcBorders>
            <w:vAlign w:val="center"/>
          </w:tcPr>
          <w:p w14:paraId="65E1BB65" w14:textId="77777777" w:rsidR="00856716" w:rsidRPr="005A68E6" w:rsidRDefault="00856716" w:rsidP="00856716">
            <w:pPr>
              <w:spacing w:line="240" w:lineRule="auto"/>
              <w:ind w:hanging="5"/>
              <w:jc w:val="center"/>
            </w:pPr>
            <w:r w:rsidRPr="005A68E6">
              <w:t xml:space="preserve"> 3.1 </w:t>
            </w:r>
          </w:p>
        </w:tc>
        <w:tc>
          <w:tcPr>
            <w:tcW w:w="1019" w:type="dxa"/>
            <w:tcBorders>
              <w:left w:val="nil"/>
              <w:bottom w:val="thickThinSmallGap" w:sz="24" w:space="0" w:color="auto"/>
              <w:right w:val="nil"/>
            </w:tcBorders>
            <w:vAlign w:val="center"/>
          </w:tcPr>
          <w:p w14:paraId="1FDEFF64" w14:textId="77777777" w:rsidR="00856716" w:rsidRPr="005A68E6" w:rsidRDefault="00856716" w:rsidP="00856716">
            <w:pPr>
              <w:spacing w:line="240" w:lineRule="auto"/>
              <w:ind w:hanging="5"/>
              <w:jc w:val="center"/>
              <w:rPr>
                <w:lang w:val="en-US"/>
              </w:rPr>
            </w:pPr>
            <w:r w:rsidRPr="005A68E6">
              <w:t xml:space="preserve"> 3.1 </w:t>
            </w:r>
          </w:p>
        </w:tc>
      </w:tr>
    </w:tbl>
    <w:p w14:paraId="791A7FAD" w14:textId="42528EBA" w:rsidR="00141B38" w:rsidRPr="005A68E6" w:rsidRDefault="007E48F5" w:rsidP="0070296A">
      <w:pPr>
        <w:ind w:firstLine="0"/>
        <w:rPr>
          <w:sz w:val="18"/>
          <w:lang w:val="en-US"/>
        </w:rPr>
      </w:pPr>
      <w:r w:rsidRPr="005A68E6">
        <w:rPr>
          <w:sz w:val="18"/>
          <w:lang w:val="en-US"/>
        </w:rPr>
        <w:t xml:space="preserve"> Source: RA MoF calculations and forecasts</w:t>
      </w:r>
    </w:p>
    <w:p w14:paraId="7CF3B0A3" w14:textId="77777777" w:rsidR="00BF5639" w:rsidRPr="005A68E6" w:rsidRDefault="00BF5639" w:rsidP="0070296A">
      <w:pPr>
        <w:ind w:firstLine="0"/>
        <w:rPr>
          <w:color w:val="FF0000"/>
        </w:rPr>
      </w:pPr>
    </w:p>
    <w:p w14:paraId="00BF1D93" w14:textId="7CBC08A1" w:rsidR="00896D99" w:rsidRPr="005A68E6" w:rsidRDefault="004D6547" w:rsidP="005A68E6">
      <w:pPr>
        <w:pStyle w:val="af6"/>
        <w:numPr>
          <w:ilvl w:val="0"/>
          <w:numId w:val="35"/>
        </w:numPr>
        <w:spacing w:before="0" w:after="240"/>
        <w:ind w:left="1276" w:hanging="1276"/>
        <w:rPr>
          <w:rStyle w:val="Emphasis"/>
          <w:rFonts w:cs="Cambria"/>
          <w:i/>
          <w:lang w:val="en-US"/>
        </w:rPr>
      </w:pPr>
      <w:r w:rsidRPr="005A68E6">
        <w:rPr>
          <w:rStyle w:val="Emphasis"/>
          <w:rFonts w:cs="Cambria"/>
          <w:i/>
          <w:lang w:val="en-US"/>
        </w:rPr>
        <w:t xml:space="preserve">The </w:t>
      </w:r>
      <w:r w:rsidR="00896D99" w:rsidRPr="005A68E6">
        <w:rPr>
          <w:rStyle w:val="Emphasis"/>
          <w:rFonts w:cs="Cambria"/>
          <w:i/>
        </w:rPr>
        <w:t>Government bond indicators for 202</w:t>
      </w:r>
      <w:r w:rsidR="00896D99" w:rsidRPr="005A68E6">
        <w:rPr>
          <w:rStyle w:val="Emphasis"/>
          <w:rFonts w:cs="Cambria"/>
          <w:i/>
          <w:lang w:val="en-US"/>
        </w:rPr>
        <w:t>1</w:t>
      </w:r>
      <w:r w:rsidR="00896D99" w:rsidRPr="005A68E6">
        <w:rPr>
          <w:rStyle w:val="Emphasis"/>
          <w:rFonts w:cs="Cambria"/>
          <w:i/>
        </w:rPr>
        <w:t>-202</w:t>
      </w:r>
      <w:r w:rsidR="00896D99" w:rsidRPr="005A68E6">
        <w:rPr>
          <w:rStyle w:val="Emphasis"/>
          <w:rFonts w:cs="Cambria"/>
          <w:i/>
          <w:lang w:val="en-US"/>
        </w:rPr>
        <w:t>6</w:t>
      </w:r>
    </w:p>
    <w:tbl>
      <w:tblPr>
        <w:tblW w:w="10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2"/>
        <w:gridCol w:w="1132"/>
        <w:gridCol w:w="983"/>
        <w:gridCol w:w="1163"/>
        <w:gridCol w:w="1080"/>
        <w:gridCol w:w="1053"/>
        <w:gridCol w:w="1003"/>
        <w:gridCol w:w="1028"/>
      </w:tblGrid>
      <w:tr w:rsidR="00896D99" w:rsidRPr="005A68E6" w14:paraId="2B984C5B" w14:textId="77777777" w:rsidTr="00896D99">
        <w:trPr>
          <w:trHeight w:val="642"/>
          <w:tblHeader/>
          <w:jc w:val="center"/>
        </w:trPr>
        <w:tc>
          <w:tcPr>
            <w:tcW w:w="3022" w:type="dxa"/>
            <w:tcBorders>
              <w:top w:val="thinThickThinSmallGap" w:sz="24" w:space="0" w:color="auto"/>
              <w:left w:val="nil"/>
              <w:bottom w:val="thinThickSmallGap" w:sz="24" w:space="0" w:color="auto"/>
              <w:right w:val="nil"/>
            </w:tcBorders>
            <w:shd w:val="clear" w:color="auto" w:fill="5B9BD5"/>
            <w:vAlign w:val="center"/>
          </w:tcPr>
          <w:p w14:paraId="27954197" w14:textId="77777777" w:rsidR="00896D99" w:rsidRPr="005A68E6" w:rsidRDefault="00896D99" w:rsidP="00896D99">
            <w:pPr>
              <w:spacing w:line="240" w:lineRule="auto"/>
              <w:ind w:firstLine="0"/>
              <w:jc w:val="center"/>
            </w:pPr>
          </w:p>
        </w:tc>
        <w:tc>
          <w:tcPr>
            <w:tcW w:w="1132" w:type="dxa"/>
            <w:tcBorders>
              <w:top w:val="thinThickThinSmallGap" w:sz="24" w:space="0" w:color="auto"/>
              <w:left w:val="nil"/>
              <w:bottom w:val="thinThickSmallGap" w:sz="24" w:space="0" w:color="auto"/>
              <w:right w:val="nil"/>
            </w:tcBorders>
            <w:shd w:val="clear" w:color="auto" w:fill="5B9BD5"/>
            <w:vAlign w:val="center"/>
          </w:tcPr>
          <w:p w14:paraId="240203FE" w14:textId="1AAD06C9" w:rsidR="00896D99" w:rsidRPr="005A68E6" w:rsidRDefault="00896D99" w:rsidP="00896D99">
            <w:pPr>
              <w:spacing w:line="240" w:lineRule="auto"/>
              <w:ind w:firstLine="0"/>
              <w:jc w:val="center"/>
            </w:pPr>
            <w:r w:rsidRPr="005A68E6">
              <w:t>202</w:t>
            </w:r>
            <w:r w:rsidRPr="005A68E6">
              <w:rPr>
                <w:lang w:val="en-US"/>
              </w:rPr>
              <w:t>1</w:t>
            </w:r>
            <w:r w:rsidRPr="005A68E6">
              <w:t xml:space="preserve"> </w:t>
            </w:r>
            <w:r w:rsidRPr="005A68E6">
              <w:rPr>
                <w:lang w:val="en-US"/>
              </w:rPr>
              <w:t>actual</w:t>
            </w:r>
          </w:p>
        </w:tc>
        <w:tc>
          <w:tcPr>
            <w:tcW w:w="983" w:type="dxa"/>
            <w:tcBorders>
              <w:top w:val="thinThickThinSmallGap" w:sz="24" w:space="0" w:color="auto"/>
              <w:left w:val="nil"/>
              <w:bottom w:val="thinThickSmallGap" w:sz="24" w:space="0" w:color="auto"/>
              <w:right w:val="nil"/>
            </w:tcBorders>
            <w:shd w:val="clear" w:color="auto" w:fill="5B9BD5"/>
            <w:vAlign w:val="center"/>
          </w:tcPr>
          <w:p w14:paraId="7C5FDB58" w14:textId="7EB75315" w:rsidR="00896D99" w:rsidRPr="005A68E6" w:rsidRDefault="00896D99" w:rsidP="00896D99">
            <w:pPr>
              <w:spacing w:line="240" w:lineRule="auto"/>
              <w:ind w:firstLine="0"/>
              <w:jc w:val="center"/>
            </w:pPr>
            <w:r w:rsidRPr="005A68E6">
              <w:t xml:space="preserve">2022 </w:t>
            </w:r>
            <w:r w:rsidRPr="005A68E6">
              <w:rPr>
                <w:lang w:val="en-US"/>
              </w:rPr>
              <w:t>actual</w:t>
            </w:r>
          </w:p>
        </w:tc>
        <w:tc>
          <w:tcPr>
            <w:tcW w:w="1163" w:type="dxa"/>
            <w:tcBorders>
              <w:top w:val="thinThickThinSmallGap" w:sz="24" w:space="0" w:color="auto"/>
              <w:left w:val="nil"/>
              <w:bottom w:val="thinThickSmallGap" w:sz="24" w:space="0" w:color="auto"/>
              <w:right w:val="double" w:sz="4" w:space="0" w:color="auto"/>
            </w:tcBorders>
            <w:shd w:val="clear" w:color="auto" w:fill="5B9BD5"/>
            <w:vAlign w:val="center"/>
          </w:tcPr>
          <w:p w14:paraId="15558072" w14:textId="77777777" w:rsidR="00896D99" w:rsidRPr="005A68E6" w:rsidRDefault="00896D99" w:rsidP="00896D99">
            <w:pPr>
              <w:spacing w:line="240" w:lineRule="auto"/>
              <w:ind w:firstLine="20"/>
              <w:jc w:val="center"/>
            </w:pPr>
            <w:r w:rsidRPr="005A68E6">
              <w:t xml:space="preserve">2023 </w:t>
            </w:r>
          </w:p>
          <w:p w14:paraId="046EC864" w14:textId="64BAAC73" w:rsidR="00896D99" w:rsidRPr="005A68E6" w:rsidRDefault="00896D99" w:rsidP="00896D99">
            <w:pPr>
              <w:spacing w:line="240" w:lineRule="auto"/>
              <w:ind w:firstLine="0"/>
              <w:jc w:val="center"/>
            </w:pPr>
            <w:r w:rsidRPr="005A68E6">
              <w:rPr>
                <w:color w:val="000000"/>
              </w:rPr>
              <w:t>program</w:t>
            </w:r>
          </w:p>
        </w:tc>
        <w:tc>
          <w:tcPr>
            <w:tcW w:w="1080" w:type="dxa"/>
            <w:tcBorders>
              <w:top w:val="thinThickThinSmallGap" w:sz="24" w:space="0" w:color="auto"/>
              <w:left w:val="double" w:sz="4" w:space="0" w:color="auto"/>
              <w:bottom w:val="thinThickSmallGap" w:sz="24" w:space="0" w:color="auto"/>
              <w:right w:val="nil"/>
            </w:tcBorders>
            <w:shd w:val="clear" w:color="auto" w:fill="5B9BD5"/>
            <w:vAlign w:val="center"/>
          </w:tcPr>
          <w:p w14:paraId="290A5CE7" w14:textId="53D44B9F" w:rsidR="00896D99" w:rsidRPr="005A68E6" w:rsidRDefault="00896D99" w:rsidP="00896D99">
            <w:pPr>
              <w:spacing w:line="240" w:lineRule="auto"/>
              <w:ind w:firstLine="0"/>
              <w:jc w:val="center"/>
            </w:pPr>
            <w:r w:rsidRPr="005A68E6">
              <w:t xml:space="preserve">2023 </w:t>
            </w:r>
            <w:r w:rsidRPr="005A68E6">
              <w:rPr>
                <w:lang w:val="en-US"/>
              </w:rPr>
              <w:t>forecast</w:t>
            </w:r>
          </w:p>
        </w:tc>
        <w:tc>
          <w:tcPr>
            <w:tcW w:w="1053" w:type="dxa"/>
            <w:tcBorders>
              <w:top w:val="thinThickThinSmallGap" w:sz="24" w:space="0" w:color="auto"/>
              <w:left w:val="nil"/>
              <w:bottom w:val="thinThickSmallGap" w:sz="24" w:space="0" w:color="auto"/>
              <w:right w:val="nil"/>
            </w:tcBorders>
            <w:shd w:val="clear" w:color="auto" w:fill="5B9BD5"/>
            <w:vAlign w:val="center"/>
          </w:tcPr>
          <w:p w14:paraId="0D9AC2B8" w14:textId="6A35ACFF" w:rsidR="00896D99" w:rsidRPr="005A68E6" w:rsidRDefault="00896D99" w:rsidP="00896D99">
            <w:pPr>
              <w:spacing w:line="240" w:lineRule="auto"/>
              <w:ind w:firstLine="0"/>
              <w:jc w:val="center"/>
            </w:pPr>
            <w:r w:rsidRPr="005A68E6">
              <w:t xml:space="preserve">2024 </w:t>
            </w:r>
            <w:r w:rsidRPr="005A68E6">
              <w:rPr>
                <w:lang w:val="en-US"/>
              </w:rPr>
              <w:t>forecast</w:t>
            </w:r>
          </w:p>
        </w:tc>
        <w:tc>
          <w:tcPr>
            <w:tcW w:w="1003" w:type="dxa"/>
            <w:tcBorders>
              <w:top w:val="thinThickThinSmallGap" w:sz="24" w:space="0" w:color="auto"/>
              <w:left w:val="nil"/>
              <w:bottom w:val="thinThickSmallGap" w:sz="24" w:space="0" w:color="auto"/>
              <w:right w:val="nil"/>
            </w:tcBorders>
            <w:shd w:val="clear" w:color="auto" w:fill="5B9BD5"/>
            <w:vAlign w:val="center"/>
          </w:tcPr>
          <w:p w14:paraId="052CB42F" w14:textId="6BB598C3" w:rsidR="00896D99" w:rsidRPr="005A68E6" w:rsidRDefault="00896D99" w:rsidP="00896D99">
            <w:pPr>
              <w:spacing w:line="240" w:lineRule="auto"/>
              <w:ind w:firstLine="0"/>
              <w:jc w:val="center"/>
            </w:pPr>
            <w:r w:rsidRPr="005A68E6">
              <w:t xml:space="preserve">2025 </w:t>
            </w:r>
            <w:r w:rsidRPr="005A68E6">
              <w:rPr>
                <w:lang w:val="en-US"/>
              </w:rPr>
              <w:t>forecast</w:t>
            </w:r>
          </w:p>
        </w:tc>
        <w:tc>
          <w:tcPr>
            <w:tcW w:w="1028" w:type="dxa"/>
            <w:tcBorders>
              <w:top w:val="thinThickThinSmallGap" w:sz="24" w:space="0" w:color="auto"/>
              <w:left w:val="nil"/>
              <w:bottom w:val="thinThickSmallGap" w:sz="24" w:space="0" w:color="auto"/>
              <w:right w:val="nil"/>
            </w:tcBorders>
            <w:shd w:val="clear" w:color="auto" w:fill="5B9BD5"/>
            <w:vAlign w:val="center"/>
          </w:tcPr>
          <w:p w14:paraId="3E9314F8" w14:textId="46FE17E2" w:rsidR="00896D99" w:rsidRPr="005A68E6" w:rsidRDefault="00896D99" w:rsidP="00896D99">
            <w:pPr>
              <w:spacing w:line="240" w:lineRule="auto"/>
              <w:ind w:firstLine="0"/>
              <w:jc w:val="center"/>
            </w:pPr>
            <w:r w:rsidRPr="005A68E6">
              <w:t xml:space="preserve">2026 </w:t>
            </w:r>
            <w:r w:rsidRPr="005A68E6">
              <w:rPr>
                <w:lang w:val="en-US"/>
              </w:rPr>
              <w:t>forecast</w:t>
            </w:r>
          </w:p>
        </w:tc>
      </w:tr>
      <w:tr w:rsidR="00896D99" w:rsidRPr="005A68E6" w14:paraId="675C7C92" w14:textId="77777777" w:rsidTr="00896D99">
        <w:trPr>
          <w:trHeight w:val="524"/>
          <w:jc w:val="center"/>
        </w:trPr>
        <w:tc>
          <w:tcPr>
            <w:tcW w:w="3022" w:type="dxa"/>
            <w:tcBorders>
              <w:left w:val="nil"/>
              <w:bottom w:val="single" w:sz="4" w:space="0" w:color="auto"/>
              <w:right w:val="nil"/>
            </w:tcBorders>
            <w:vAlign w:val="center"/>
          </w:tcPr>
          <w:p w14:paraId="0CB605DF" w14:textId="0DFCA9ED" w:rsidR="00896D99" w:rsidRPr="005A68E6" w:rsidRDefault="00896D99" w:rsidP="00896D99">
            <w:pPr>
              <w:spacing w:line="240" w:lineRule="auto"/>
              <w:ind w:firstLine="0"/>
              <w:jc w:val="left"/>
            </w:pPr>
            <w:r w:rsidRPr="005A68E6">
              <w:t xml:space="preserve">Government Treasury Bonds, AMD billion </w:t>
            </w:r>
          </w:p>
        </w:tc>
        <w:tc>
          <w:tcPr>
            <w:tcW w:w="1132" w:type="dxa"/>
            <w:tcBorders>
              <w:left w:val="nil"/>
              <w:bottom w:val="single" w:sz="4" w:space="0" w:color="auto"/>
              <w:right w:val="nil"/>
            </w:tcBorders>
            <w:vAlign w:val="center"/>
          </w:tcPr>
          <w:p w14:paraId="3E0BE213" w14:textId="77777777" w:rsidR="00896D99" w:rsidRPr="005A68E6" w:rsidRDefault="00896D99" w:rsidP="00896D99">
            <w:pPr>
              <w:spacing w:line="240" w:lineRule="auto"/>
              <w:ind w:firstLine="0"/>
              <w:jc w:val="center"/>
            </w:pPr>
            <w:r w:rsidRPr="005A68E6">
              <w:t xml:space="preserve"> 1,208.9 </w:t>
            </w:r>
          </w:p>
        </w:tc>
        <w:tc>
          <w:tcPr>
            <w:tcW w:w="983" w:type="dxa"/>
            <w:tcBorders>
              <w:left w:val="nil"/>
              <w:bottom w:val="single" w:sz="4" w:space="0" w:color="auto"/>
              <w:right w:val="nil"/>
            </w:tcBorders>
            <w:vAlign w:val="center"/>
          </w:tcPr>
          <w:p w14:paraId="68ECD73B" w14:textId="77777777" w:rsidR="00896D99" w:rsidRPr="005A68E6" w:rsidRDefault="00896D99" w:rsidP="00896D99">
            <w:pPr>
              <w:spacing w:line="240" w:lineRule="auto"/>
              <w:ind w:firstLine="0"/>
              <w:jc w:val="center"/>
            </w:pPr>
            <w:r w:rsidRPr="005A68E6">
              <w:t xml:space="preserve">1,496.3 </w:t>
            </w:r>
          </w:p>
        </w:tc>
        <w:tc>
          <w:tcPr>
            <w:tcW w:w="1163" w:type="dxa"/>
            <w:tcBorders>
              <w:left w:val="nil"/>
              <w:bottom w:val="single" w:sz="4" w:space="0" w:color="auto"/>
              <w:right w:val="double" w:sz="4" w:space="0" w:color="auto"/>
            </w:tcBorders>
            <w:vAlign w:val="center"/>
          </w:tcPr>
          <w:p w14:paraId="6109D497" w14:textId="77777777" w:rsidR="00896D99" w:rsidRPr="005A68E6" w:rsidRDefault="00896D99" w:rsidP="00896D99">
            <w:pPr>
              <w:spacing w:line="240" w:lineRule="auto"/>
              <w:ind w:firstLine="0"/>
              <w:jc w:val="center"/>
            </w:pPr>
            <w:r w:rsidRPr="005A68E6">
              <w:t xml:space="preserve"> 1,824.4 </w:t>
            </w:r>
          </w:p>
        </w:tc>
        <w:tc>
          <w:tcPr>
            <w:tcW w:w="1080" w:type="dxa"/>
            <w:tcBorders>
              <w:left w:val="double" w:sz="4" w:space="0" w:color="auto"/>
              <w:bottom w:val="single" w:sz="4" w:space="0" w:color="auto"/>
              <w:right w:val="nil"/>
            </w:tcBorders>
            <w:vAlign w:val="center"/>
          </w:tcPr>
          <w:p w14:paraId="512D7CBF" w14:textId="77777777" w:rsidR="00896D99" w:rsidRPr="005A68E6" w:rsidRDefault="00896D99" w:rsidP="00896D99">
            <w:pPr>
              <w:spacing w:line="240" w:lineRule="auto"/>
              <w:ind w:firstLine="0"/>
              <w:jc w:val="center"/>
            </w:pPr>
            <w:r w:rsidRPr="005A68E6">
              <w:t xml:space="preserve"> 1,894.6 </w:t>
            </w:r>
          </w:p>
        </w:tc>
        <w:tc>
          <w:tcPr>
            <w:tcW w:w="1053" w:type="dxa"/>
            <w:tcBorders>
              <w:left w:val="nil"/>
              <w:bottom w:val="single" w:sz="4" w:space="0" w:color="auto"/>
              <w:right w:val="nil"/>
            </w:tcBorders>
            <w:vAlign w:val="center"/>
          </w:tcPr>
          <w:p w14:paraId="591787B2" w14:textId="77777777" w:rsidR="00896D99" w:rsidRPr="005A68E6" w:rsidRDefault="00896D99" w:rsidP="00896D99">
            <w:pPr>
              <w:spacing w:line="240" w:lineRule="auto"/>
              <w:ind w:firstLine="0"/>
              <w:jc w:val="center"/>
            </w:pPr>
            <w:r w:rsidRPr="005A68E6">
              <w:t xml:space="preserve">2,223.6 </w:t>
            </w:r>
          </w:p>
        </w:tc>
        <w:tc>
          <w:tcPr>
            <w:tcW w:w="1003" w:type="dxa"/>
            <w:tcBorders>
              <w:left w:val="nil"/>
              <w:bottom w:val="single" w:sz="4" w:space="0" w:color="auto"/>
              <w:right w:val="nil"/>
            </w:tcBorders>
            <w:vAlign w:val="center"/>
          </w:tcPr>
          <w:p w14:paraId="76BDAF79" w14:textId="77777777" w:rsidR="00896D99" w:rsidRPr="005A68E6" w:rsidRDefault="00896D99" w:rsidP="00896D99">
            <w:pPr>
              <w:spacing w:line="240" w:lineRule="auto"/>
              <w:ind w:firstLine="0"/>
              <w:jc w:val="center"/>
            </w:pPr>
            <w:r w:rsidRPr="005A68E6">
              <w:t xml:space="preserve">2,543.7 </w:t>
            </w:r>
          </w:p>
        </w:tc>
        <w:tc>
          <w:tcPr>
            <w:tcW w:w="1028" w:type="dxa"/>
            <w:tcBorders>
              <w:left w:val="nil"/>
              <w:bottom w:val="single" w:sz="4" w:space="0" w:color="auto"/>
              <w:right w:val="nil"/>
            </w:tcBorders>
            <w:vAlign w:val="center"/>
          </w:tcPr>
          <w:p w14:paraId="66019FCE" w14:textId="77777777" w:rsidR="00896D99" w:rsidRPr="005A68E6" w:rsidRDefault="00896D99" w:rsidP="00896D99">
            <w:pPr>
              <w:spacing w:line="240" w:lineRule="auto"/>
              <w:ind w:firstLine="0"/>
              <w:jc w:val="center"/>
            </w:pPr>
            <w:r w:rsidRPr="005A68E6">
              <w:t xml:space="preserve">2,863.7 </w:t>
            </w:r>
          </w:p>
        </w:tc>
      </w:tr>
      <w:tr w:rsidR="00896D99" w:rsidRPr="005A68E6" w14:paraId="553205ED" w14:textId="77777777" w:rsidTr="00896D99">
        <w:trPr>
          <w:trHeight w:val="263"/>
          <w:jc w:val="center"/>
        </w:trPr>
        <w:tc>
          <w:tcPr>
            <w:tcW w:w="3022" w:type="dxa"/>
            <w:tcBorders>
              <w:left w:val="nil"/>
              <w:bottom w:val="single" w:sz="12" w:space="0" w:color="auto"/>
              <w:right w:val="nil"/>
            </w:tcBorders>
            <w:vAlign w:val="center"/>
          </w:tcPr>
          <w:p w14:paraId="6223EBF7" w14:textId="3D52D7F5" w:rsidR="00896D99" w:rsidRPr="005A68E6" w:rsidRDefault="00896D99" w:rsidP="00896D99">
            <w:pPr>
              <w:spacing w:line="240" w:lineRule="auto"/>
              <w:ind w:firstLine="0"/>
              <w:jc w:val="left"/>
            </w:pPr>
            <w:r w:rsidRPr="005A68E6">
              <w:t xml:space="preserve">% </w:t>
            </w:r>
            <w:r w:rsidRPr="005A68E6">
              <w:rPr>
                <w:lang w:val="en-US"/>
              </w:rPr>
              <w:t>of GDP</w:t>
            </w:r>
          </w:p>
        </w:tc>
        <w:tc>
          <w:tcPr>
            <w:tcW w:w="1132" w:type="dxa"/>
            <w:tcBorders>
              <w:left w:val="nil"/>
              <w:bottom w:val="single" w:sz="12" w:space="0" w:color="auto"/>
              <w:right w:val="nil"/>
            </w:tcBorders>
            <w:vAlign w:val="center"/>
          </w:tcPr>
          <w:p w14:paraId="17205766" w14:textId="77777777" w:rsidR="00896D99" w:rsidRPr="005A68E6" w:rsidRDefault="00896D99" w:rsidP="00896D99">
            <w:pPr>
              <w:spacing w:line="240" w:lineRule="auto"/>
              <w:ind w:firstLine="0"/>
              <w:jc w:val="center"/>
            </w:pPr>
            <w:r w:rsidRPr="005A68E6">
              <w:t xml:space="preserve"> 17.3 </w:t>
            </w:r>
          </w:p>
        </w:tc>
        <w:tc>
          <w:tcPr>
            <w:tcW w:w="983" w:type="dxa"/>
            <w:tcBorders>
              <w:left w:val="nil"/>
              <w:bottom w:val="single" w:sz="12" w:space="0" w:color="auto"/>
              <w:right w:val="nil"/>
            </w:tcBorders>
            <w:vAlign w:val="center"/>
          </w:tcPr>
          <w:p w14:paraId="4EC59069" w14:textId="77777777" w:rsidR="00896D99" w:rsidRPr="005A68E6" w:rsidRDefault="00896D99" w:rsidP="00896D99">
            <w:pPr>
              <w:spacing w:line="240" w:lineRule="auto"/>
              <w:ind w:firstLine="0"/>
              <w:jc w:val="center"/>
            </w:pPr>
            <w:r w:rsidRPr="005A68E6">
              <w:t xml:space="preserve"> 17.6 </w:t>
            </w:r>
          </w:p>
        </w:tc>
        <w:tc>
          <w:tcPr>
            <w:tcW w:w="1163" w:type="dxa"/>
            <w:tcBorders>
              <w:left w:val="nil"/>
              <w:bottom w:val="single" w:sz="12" w:space="0" w:color="auto"/>
              <w:right w:val="double" w:sz="4" w:space="0" w:color="auto"/>
            </w:tcBorders>
            <w:vAlign w:val="center"/>
          </w:tcPr>
          <w:p w14:paraId="0C41FA5E" w14:textId="77777777" w:rsidR="00896D99" w:rsidRPr="005A68E6" w:rsidRDefault="00896D99" w:rsidP="00896D99">
            <w:pPr>
              <w:spacing w:line="240" w:lineRule="auto"/>
              <w:ind w:firstLine="0"/>
              <w:jc w:val="center"/>
            </w:pPr>
            <w:r w:rsidRPr="005A68E6">
              <w:t xml:space="preserve"> 19.6 </w:t>
            </w:r>
          </w:p>
        </w:tc>
        <w:tc>
          <w:tcPr>
            <w:tcW w:w="1080" w:type="dxa"/>
            <w:tcBorders>
              <w:left w:val="double" w:sz="4" w:space="0" w:color="auto"/>
              <w:bottom w:val="single" w:sz="12" w:space="0" w:color="auto"/>
              <w:right w:val="nil"/>
            </w:tcBorders>
            <w:vAlign w:val="center"/>
          </w:tcPr>
          <w:p w14:paraId="5A2EA30A" w14:textId="77777777" w:rsidR="00896D99" w:rsidRPr="005A68E6" w:rsidRDefault="00896D99" w:rsidP="00896D99">
            <w:pPr>
              <w:spacing w:line="240" w:lineRule="auto"/>
              <w:ind w:firstLine="0"/>
              <w:jc w:val="center"/>
            </w:pPr>
            <w:r w:rsidRPr="005A68E6">
              <w:t xml:space="preserve"> 19.9 </w:t>
            </w:r>
          </w:p>
        </w:tc>
        <w:tc>
          <w:tcPr>
            <w:tcW w:w="1053" w:type="dxa"/>
            <w:tcBorders>
              <w:left w:val="nil"/>
              <w:bottom w:val="single" w:sz="12" w:space="0" w:color="auto"/>
              <w:right w:val="nil"/>
            </w:tcBorders>
            <w:vAlign w:val="center"/>
          </w:tcPr>
          <w:p w14:paraId="4A31ADFE" w14:textId="77777777" w:rsidR="00896D99" w:rsidRPr="005A68E6" w:rsidRDefault="00896D99" w:rsidP="00896D99">
            <w:pPr>
              <w:spacing w:line="240" w:lineRule="auto"/>
              <w:ind w:firstLine="0"/>
              <w:jc w:val="center"/>
            </w:pPr>
            <w:r w:rsidRPr="005A68E6">
              <w:t xml:space="preserve"> 21.0 </w:t>
            </w:r>
          </w:p>
        </w:tc>
        <w:tc>
          <w:tcPr>
            <w:tcW w:w="1003" w:type="dxa"/>
            <w:tcBorders>
              <w:left w:val="nil"/>
              <w:bottom w:val="single" w:sz="12" w:space="0" w:color="auto"/>
              <w:right w:val="nil"/>
            </w:tcBorders>
            <w:vAlign w:val="center"/>
          </w:tcPr>
          <w:p w14:paraId="6EECD0AC" w14:textId="77777777" w:rsidR="00896D99" w:rsidRPr="005A68E6" w:rsidRDefault="00896D99" w:rsidP="00896D99">
            <w:pPr>
              <w:spacing w:line="240" w:lineRule="auto"/>
              <w:ind w:firstLine="0"/>
              <w:jc w:val="center"/>
            </w:pPr>
            <w:r w:rsidRPr="005A68E6">
              <w:t xml:space="preserve"> 21.6 </w:t>
            </w:r>
          </w:p>
        </w:tc>
        <w:tc>
          <w:tcPr>
            <w:tcW w:w="1028" w:type="dxa"/>
            <w:tcBorders>
              <w:left w:val="nil"/>
              <w:bottom w:val="single" w:sz="12" w:space="0" w:color="auto"/>
              <w:right w:val="nil"/>
            </w:tcBorders>
            <w:vAlign w:val="center"/>
          </w:tcPr>
          <w:p w14:paraId="0E0E49CD" w14:textId="77777777" w:rsidR="00896D99" w:rsidRPr="005A68E6" w:rsidRDefault="00896D99" w:rsidP="00896D99">
            <w:pPr>
              <w:spacing w:line="240" w:lineRule="auto"/>
              <w:ind w:firstLine="0"/>
              <w:jc w:val="center"/>
            </w:pPr>
            <w:r w:rsidRPr="005A68E6">
              <w:t xml:space="preserve"> 21.8 </w:t>
            </w:r>
          </w:p>
        </w:tc>
      </w:tr>
      <w:tr w:rsidR="00896D99" w:rsidRPr="005A68E6" w14:paraId="2A4B7C61" w14:textId="77777777" w:rsidTr="00896D99">
        <w:trPr>
          <w:trHeight w:val="524"/>
          <w:jc w:val="center"/>
        </w:trPr>
        <w:tc>
          <w:tcPr>
            <w:tcW w:w="3022" w:type="dxa"/>
            <w:tcBorders>
              <w:top w:val="single" w:sz="12" w:space="0" w:color="auto"/>
              <w:left w:val="nil"/>
              <w:right w:val="nil"/>
            </w:tcBorders>
            <w:vAlign w:val="center"/>
          </w:tcPr>
          <w:p w14:paraId="7B1A47BC" w14:textId="5C08FA82" w:rsidR="00896D99" w:rsidRPr="005A68E6" w:rsidRDefault="00896D99" w:rsidP="00896D99">
            <w:pPr>
              <w:spacing w:line="240" w:lineRule="auto"/>
              <w:ind w:firstLine="0"/>
              <w:jc w:val="left"/>
            </w:pPr>
            <w:r w:rsidRPr="005A68E6">
              <w:rPr>
                <w:lang w:val="en-US"/>
              </w:rPr>
              <w:t>By days to maturity, AMD billion</w:t>
            </w:r>
          </w:p>
        </w:tc>
        <w:tc>
          <w:tcPr>
            <w:tcW w:w="1132" w:type="dxa"/>
            <w:tcBorders>
              <w:top w:val="single" w:sz="12" w:space="0" w:color="auto"/>
              <w:left w:val="nil"/>
              <w:right w:val="nil"/>
            </w:tcBorders>
            <w:vAlign w:val="center"/>
          </w:tcPr>
          <w:p w14:paraId="3A3EF40E" w14:textId="77777777" w:rsidR="00896D99" w:rsidRPr="005A68E6" w:rsidRDefault="00896D99" w:rsidP="00896D99">
            <w:pPr>
              <w:spacing w:line="240" w:lineRule="auto"/>
              <w:ind w:firstLine="0"/>
              <w:jc w:val="center"/>
            </w:pPr>
          </w:p>
        </w:tc>
        <w:tc>
          <w:tcPr>
            <w:tcW w:w="983" w:type="dxa"/>
            <w:tcBorders>
              <w:top w:val="single" w:sz="12" w:space="0" w:color="auto"/>
              <w:left w:val="nil"/>
              <w:right w:val="nil"/>
            </w:tcBorders>
            <w:vAlign w:val="center"/>
          </w:tcPr>
          <w:p w14:paraId="1C258133" w14:textId="77777777" w:rsidR="00896D99" w:rsidRPr="005A68E6" w:rsidRDefault="00896D99" w:rsidP="00896D99">
            <w:pPr>
              <w:spacing w:line="240" w:lineRule="auto"/>
              <w:ind w:firstLine="0"/>
              <w:jc w:val="center"/>
            </w:pPr>
          </w:p>
        </w:tc>
        <w:tc>
          <w:tcPr>
            <w:tcW w:w="1163" w:type="dxa"/>
            <w:tcBorders>
              <w:top w:val="single" w:sz="12" w:space="0" w:color="auto"/>
              <w:left w:val="nil"/>
              <w:right w:val="double" w:sz="4" w:space="0" w:color="auto"/>
            </w:tcBorders>
            <w:vAlign w:val="center"/>
          </w:tcPr>
          <w:p w14:paraId="65DA3946" w14:textId="77777777" w:rsidR="00896D99" w:rsidRPr="005A68E6" w:rsidRDefault="00896D99" w:rsidP="00896D99">
            <w:pPr>
              <w:spacing w:line="240" w:lineRule="auto"/>
              <w:ind w:firstLine="0"/>
              <w:jc w:val="center"/>
            </w:pPr>
          </w:p>
        </w:tc>
        <w:tc>
          <w:tcPr>
            <w:tcW w:w="1080" w:type="dxa"/>
            <w:tcBorders>
              <w:top w:val="single" w:sz="12" w:space="0" w:color="auto"/>
              <w:left w:val="double" w:sz="4" w:space="0" w:color="auto"/>
              <w:right w:val="nil"/>
            </w:tcBorders>
            <w:vAlign w:val="center"/>
          </w:tcPr>
          <w:p w14:paraId="7FD411A9" w14:textId="77777777" w:rsidR="00896D99" w:rsidRPr="005A68E6" w:rsidRDefault="00896D99" w:rsidP="00896D99">
            <w:pPr>
              <w:spacing w:line="240" w:lineRule="auto"/>
              <w:ind w:firstLine="0"/>
              <w:jc w:val="center"/>
            </w:pPr>
          </w:p>
        </w:tc>
        <w:tc>
          <w:tcPr>
            <w:tcW w:w="1053" w:type="dxa"/>
            <w:tcBorders>
              <w:top w:val="single" w:sz="12" w:space="0" w:color="auto"/>
              <w:left w:val="nil"/>
              <w:right w:val="nil"/>
            </w:tcBorders>
            <w:vAlign w:val="center"/>
          </w:tcPr>
          <w:p w14:paraId="05B67B6E" w14:textId="77777777" w:rsidR="00896D99" w:rsidRPr="005A68E6" w:rsidRDefault="00896D99" w:rsidP="00896D99">
            <w:pPr>
              <w:spacing w:line="240" w:lineRule="auto"/>
              <w:ind w:firstLine="0"/>
              <w:jc w:val="center"/>
            </w:pPr>
          </w:p>
        </w:tc>
        <w:tc>
          <w:tcPr>
            <w:tcW w:w="1003" w:type="dxa"/>
            <w:tcBorders>
              <w:top w:val="single" w:sz="12" w:space="0" w:color="auto"/>
              <w:left w:val="nil"/>
              <w:right w:val="nil"/>
            </w:tcBorders>
            <w:vAlign w:val="center"/>
          </w:tcPr>
          <w:p w14:paraId="44A9E854" w14:textId="77777777" w:rsidR="00896D99" w:rsidRPr="005A68E6" w:rsidRDefault="00896D99" w:rsidP="00896D99">
            <w:pPr>
              <w:spacing w:line="240" w:lineRule="auto"/>
              <w:ind w:firstLine="0"/>
              <w:jc w:val="center"/>
            </w:pPr>
          </w:p>
        </w:tc>
        <w:tc>
          <w:tcPr>
            <w:tcW w:w="1028" w:type="dxa"/>
            <w:tcBorders>
              <w:top w:val="single" w:sz="12" w:space="0" w:color="auto"/>
              <w:left w:val="nil"/>
              <w:right w:val="nil"/>
            </w:tcBorders>
            <w:vAlign w:val="center"/>
          </w:tcPr>
          <w:p w14:paraId="4542AF4A" w14:textId="77777777" w:rsidR="00896D99" w:rsidRPr="005A68E6" w:rsidRDefault="00896D99" w:rsidP="00896D99">
            <w:pPr>
              <w:spacing w:line="240" w:lineRule="auto"/>
              <w:ind w:firstLine="0"/>
              <w:jc w:val="center"/>
            </w:pPr>
          </w:p>
        </w:tc>
      </w:tr>
      <w:tr w:rsidR="00896D99" w:rsidRPr="005A68E6" w14:paraId="268EBD3B" w14:textId="77777777" w:rsidTr="00896D99">
        <w:trPr>
          <w:trHeight w:val="263"/>
          <w:jc w:val="center"/>
        </w:trPr>
        <w:tc>
          <w:tcPr>
            <w:tcW w:w="3022" w:type="dxa"/>
            <w:tcBorders>
              <w:left w:val="nil"/>
              <w:right w:val="nil"/>
            </w:tcBorders>
            <w:vAlign w:val="center"/>
          </w:tcPr>
          <w:p w14:paraId="2CEF6E8E" w14:textId="30577751" w:rsidR="00896D99" w:rsidRPr="005A68E6" w:rsidRDefault="00896D99" w:rsidP="00896D99">
            <w:pPr>
              <w:spacing w:line="240" w:lineRule="auto"/>
              <w:ind w:left="157" w:firstLine="0"/>
              <w:jc w:val="left"/>
              <w:rPr>
                <w:bCs/>
              </w:rPr>
            </w:pPr>
            <w:r w:rsidRPr="005A68E6">
              <w:rPr>
                <w:lang w:val="en-US"/>
              </w:rPr>
              <w:t>Up to 1 year</w:t>
            </w:r>
          </w:p>
        </w:tc>
        <w:tc>
          <w:tcPr>
            <w:tcW w:w="1132" w:type="dxa"/>
            <w:tcBorders>
              <w:left w:val="nil"/>
              <w:right w:val="nil"/>
            </w:tcBorders>
            <w:vAlign w:val="center"/>
          </w:tcPr>
          <w:p w14:paraId="787104D7" w14:textId="77777777" w:rsidR="00896D99" w:rsidRPr="005A68E6" w:rsidRDefault="00896D99" w:rsidP="00896D99">
            <w:pPr>
              <w:spacing w:line="240" w:lineRule="auto"/>
              <w:ind w:firstLine="0"/>
              <w:jc w:val="center"/>
            </w:pPr>
            <w:r w:rsidRPr="005A68E6">
              <w:t xml:space="preserve"> 126.7 </w:t>
            </w:r>
          </w:p>
        </w:tc>
        <w:tc>
          <w:tcPr>
            <w:tcW w:w="983" w:type="dxa"/>
            <w:tcBorders>
              <w:left w:val="nil"/>
              <w:right w:val="nil"/>
            </w:tcBorders>
            <w:vAlign w:val="center"/>
          </w:tcPr>
          <w:p w14:paraId="22D3A258" w14:textId="77777777" w:rsidR="00896D99" w:rsidRPr="005A68E6" w:rsidRDefault="00896D99" w:rsidP="00896D99">
            <w:pPr>
              <w:spacing w:line="240" w:lineRule="auto"/>
              <w:ind w:firstLine="0"/>
              <w:jc w:val="center"/>
            </w:pPr>
            <w:r w:rsidRPr="005A68E6">
              <w:t xml:space="preserve"> 192.8 </w:t>
            </w:r>
          </w:p>
        </w:tc>
        <w:tc>
          <w:tcPr>
            <w:tcW w:w="1163" w:type="dxa"/>
            <w:tcBorders>
              <w:left w:val="nil"/>
              <w:right w:val="double" w:sz="4" w:space="0" w:color="auto"/>
            </w:tcBorders>
            <w:vAlign w:val="center"/>
          </w:tcPr>
          <w:p w14:paraId="2C07D5B9" w14:textId="77777777" w:rsidR="00896D99" w:rsidRPr="005A68E6" w:rsidRDefault="00896D99" w:rsidP="00896D99">
            <w:pPr>
              <w:spacing w:line="240" w:lineRule="auto"/>
              <w:ind w:firstLine="0"/>
              <w:jc w:val="center"/>
            </w:pPr>
            <w:r w:rsidRPr="005A68E6">
              <w:t xml:space="preserve"> 260.8 </w:t>
            </w:r>
          </w:p>
        </w:tc>
        <w:tc>
          <w:tcPr>
            <w:tcW w:w="1080" w:type="dxa"/>
            <w:tcBorders>
              <w:left w:val="double" w:sz="4" w:space="0" w:color="auto"/>
              <w:right w:val="nil"/>
            </w:tcBorders>
            <w:vAlign w:val="center"/>
          </w:tcPr>
          <w:p w14:paraId="439EE62F" w14:textId="77777777" w:rsidR="00896D99" w:rsidRPr="005A68E6" w:rsidRDefault="00896D99" w:rsidP="00896D99">
            <w:pPr>
              <w:spacing w:line="240" w:lineRule="auto"/>
              <w:ind w:firstLine="0"/>
              <w:jc w:val="center"/>
            </w:pPr>
            <w:r w:rsidRPr="005A68E6">
              <w:t xml:space="preserve"> 261.5 </w:t>
            </w:r>
          </w:p>
        </w:tc>
        <w:tc>
          <w:tcPr>
            <w:tcW w:w="1053" w:type="dxa"/>
            <w:tcBorders>
              <w:left w:val="nil"/>
              <w:right w:val="nil"/>
            </w:tcBorders>
            <w:vAlign w:val="center"/>
          </w:tcPr>
          <w:p w14:paraId="41F179F5" w14:textId="77777777" w:rsidR="00896D99" w:rsidRPr="005A68E6" w:rsidRDefault="00896D99" w:rsidP="00896D99">
            <w:pPr>
              <w:spacing w:line="240" w:lineRule="auto"/>
              <w:ind w:firstLine="0"/>
              <w:jc w:val="center"/>
            </w:pPr>
            <w:r w:rsidRPr="005A68E6">
              <w:t xml:space="preserve"> 340.1 </w:t>
            </w:r>
          </w:p>
        </w:tc>
        <w:tc>
          <w:tcPr>
            <w:tcW w:w="1003" w:type="dxa"/>
            <w:tcBorders>
              <w:left w:val="nil"/>
              <w:right w:val="nil"/>
            </w:tcBorders>
            <w:vAlign w:val="center"/>
          </w:tcPr>
          <w:p w14:paraId="67E08085" w14:textId="77777777" w:rsidR="00896D99" w:rsidRPr="005A68E6" w:rsidRDefault="00896D99" w:rsidP="00896D99">
            <w:pPr>
              <w:spacing w:line="240" w:lineRule="auto"/>
              <w:ind w:firstLine="0"/>
              <w:jc w:val="center"/>
            </w:pPr>
            <w:r w:rsidRPr="005A68E6">
              <w:t xml:space="preserve"> 366.9 </w:t>
            </w:r>
          </w:p>
        </w:tc>
        <w:tc>
          <w:tcPr>
            <w:tcW w:w="1028" w:type="dxa"/>
            <w:tcBorders>
              <w:left w:val="nil"/>
              <w:right w:val="nil"/>
            </w:tcBorders>
            <w:vAlign w:val="center"/>
          </w:tcPr>
          <w:p w14:paraId="2AAF6A53" w14:textId="77777777" w:rsidR="00896D99" w:rsidRPr="005A68E6" w:rsidRDefault="00896D99" w:rsidP="00896D99">
            <w:pPr>
              <w:spacing w:line="240" w:lineRule="auto"/>
              <w:ind w:firstLine="0"/>
              <w:jc w:val="center"/>
            </w:pPr>
            <w:r w:rsidRPr="005A68E6">
              <w:t xml:space="preserve"> 427.0 </w:t>
            </w:r>
          </w:p>
        </w:tc>
      </w:tr>
      <w:tr w:rsidR="00896D99" w:rsidRPr="005A68E6" w14:paraId="033C6633" w14:textId="77777777" w:rsidTr="00896D99">
        <w:trPr>
          <w:trHeight w:val="256"/>
          <w:jc w:val="center"/>
        </w:trPr>
        <w:tc>
          <w:tcPr>
            <w:tcW w:w="3022" w:type="dxa"/>
            <w:tcBorders>
              <w:left w:val="nil"/>
              <w:bottom w:val="single" w:sz="4" w:space="0" w:color="auto"/>
              <w:right w:val="nil"/>
            </w:tcBorders>
            <w:vAlign w:val="center"/>
          </w:tcPr>
          <w:p w14:paraId="4CFE5A6C" w14:textId="785D4497" w:rsidR="00896D99" w:rsidRPr="005A68E6" w:rsidRDefault="00896D99" w:rsidP="00896D99">
            <w:pPr>
              <w:spacing w:line="240" w:lineRule="auto"/>
              <w:ind w:left="157" w:firstLine="0"/>
              <w:jc w:val="left"/>
              <w:rPr>
                <w:bCs/>
              </w:rPr>
            </w:pPr>
            <w:r w:rsidRPr="005A68E6">
              <w:rPr>
                <w:lang w:val="en-US"/>
              </w:rPr>
              <w:t>1-5 years</w:t>
            </w:r>
          </w:p>
        </w:tc>
        <w:tc>
          <w:tcPr>
            <w:tcW w:w="1132" w:type="dxa"/>
            <w:tcBorders>
              <w:left w:val="nil"/>
              <w:bottom w:val="single" w:sz="4" w:space="0" w:color="auto"/>
              <w:right w:val="nil"/>
            </w:tcBorders>
            <w:vAlign w:val="center"/>
          </w:tcPr>
          <w:p w14:paraId="54DFC0D8" w14:textId="77777777" w:rsidR="00896D99" w:rsidRPr="005A68E6" w:rsidRDefault="00896D99" w:rsidP="00896D99">
            <w:pPr>
              <w:spacing w:line="240" w:lineRule="auto"/>
              <w:ind w:firstLine="0"/>
              <w:jc w:val="center"/>
            </w:pPr>
            <w:r w:rsidRPr="005A68E6">
              <w:t xml:space="preserve"> 353.8 </w:t>
            </w:r>
          </w:p>
        </w:tc>
        <w:tc>
          <w:tcPr>
            <w:tcW w:w="983" w:type="dxa"/>
            <w:tcBorders>
              <w:left w:val="nil"/>
              <w:bottom w:val="single" w:sz="4" w:space="0" w:color="auto"/>
              <w:right w:val="nil"/>
            </w:tcBorders>
            <w:vAlign w:val="center"/>
          </w:tcPr>
          <w:p w14:paraId="26F5EF9E" w14:textId="77777777" w:rsidR="00896D99" w:rsidRPr="005A68E6" w:rsidRDefault="00896D99" w:rsidP="00896D99">
            <w:pPr>
              <w:spacing w:line="240" w:lineRule="auto"/>
              <w:ind w:firstLine="0"/>
              <w:jc w:val="center"/>
            </w:pPr>
            <w:r w:rsidRPr="005A68E6">
              <w:t xml:space="preserve"> 517.5 </w:t>
            </w:r>
          </w:p>
        </w:tc>
        <w:tc>
          <w:tcPr>
            <w:tcW w:w="1163" w:type="dxa"/>
            <w:tcBorders>
              <w:left w:val="nil"/>
              <w:bottom w:val="single" w:sz="4" w:space="0" w:color="auto"/>
              <w:right w:val="double" w:sz="4" w:space="0" w:color="auto"/>
            </w:tcBorders>
            <w:vAlign w:val="center"/>
          </w:tcPr>
          <w:p w14:paraId="43F64F5F" w14:textId="77777777" w:rsidR="00896D99" w:rsidRPr="005A68E6" w:rsidRDefault="00896D99" w:rsidP="00896D99">
            <w:pPr>
              <w:spacing w:line="240" w:lineRule="auto"/>
              <w:ind w:firstLine="0"/>
              <w:jc w:val="center"/>
            </w:pPr>
            <w:r w:rsidRPr="005A68E6">
              <w:t xml:space="preserve"> 690.1 </w:t>
            </w:r>
          </w:p>
        </w:tc>
        <w:tc>
          <w:tcPr>
            <w:tcW w:w="1080" w:type="dxa"/>
            <w:tcBorders>
              <w:left w:val="double" w:sz="4" w:space="0" w:color="auto"/>
              <w:bottom w:val="single" w:sz="4" w:space="0" w:color="auto"/>
              <w:right w:val="nil"/>
            </w:tcBorders>
            <w:vAlign w:val="center"/>
          </w:tcPr>
          <w:p w14:paraId="5B4FDA95" w14:textId="77777777" w:rsidR="00896D99" w:rsidRPr="005A68E6" w:rsidRDefault="00896D99" w:rsidP="00896D99">
            <w:pPr>
              <w:spacing w:line="240" w:lineRule="auto"/>
              <w:ind w:firstLine="0"/>
              <w:jc w:val="center"/>
            </w:pPr>
            <w:r w:rsidRPr="005A68E6">
              <w:t xml:space="preserve"> 714.9 </w:t>
            </w:r>
          </w:p>
        </w:tc>
        <w:tc>
          <w:tcPr>
            <w:tcW w:w="1053" w:type="dxa"/>
            <w:tcBorders>
              <w:left w:val="nil"/>
              <w:bottom w:val="single" w:sz="4" w:space="0" w:color="auto"/>
              <w:right w:val="nil"/>
            </w:tcBorders>
            <w:vAlign w:val="center"/>
          </w:tcPr>
          <w:p w14:paraId="218175A0" w14:textId="77777777" w:rsidR="00896D99" w:rsidRPr="005A68E6" w:rsidRDefault="00896D99" w:rsidP="00896D99">
            <w:pPr>
              <w:spacing w:line="240" w:lineRule="auto"/>
              <w:ind w:firstLine="0"/>
              <w:jc w:val="center"/>
            </w:pPr>
            <w:r w:rsidRPr="005A68E6">
              <w:t xml:space="preserve"> 910.2 </w:t>
            </w:r>
          </w:p>
        </w:tc>
        <w:tc>
          <w:tcPr>
            <w:tcW w:w="1003" w:type="dxa"/>
            <w:tcBorders>
              <w:left w:val="nil"/>
              <w:bottom w:val="single" w:sz="4" w:space="0" w:color="auto"/>
              <w:right w:val="nil"/>
            </w:tcBorders>
            <w:vAlign w:val="center"/>
          </w:tcPr>
          <w:p w14:paraId="7E8A3963" w14:textId="77777777" w:rsidR="00896D99" w:rsidRPr="005A68E6" w:rsidRDefault="00896D99" w:rsidP="00896D99">
            <w:pPr>
              <w:spacing w:line="240" w:lineRule="auto"/>
              <w:ind w:firstLine="0"/>
              <w:jc w:val="center"/>
            </w:pPr>
            <w:r w:rsidRPr="005A68E6">
              <w:t xml:space="preserve"> 993.6 </w:t>
            </w:r>
          </w:p>
        </w:tc>
        <w:tc>
          <w:tcPr>
            <w:tcW w:w="1028" w:type="dxa"/>
            <w:tcBorders>
              <w:left w:val="nil"/>
              <w:bottom w:val="single" w:sz="4" w:space="0" w:color="auto"/>
              <w:right w:val="nil"/>
            </w:tcBorders>
            <w:vAlign w:val="center"/>
          </w:tcPr>
          <w:p w14:paraId="17C888FF" w14:textId="77777777" w:rsidR="00896D99" w:rsidRPr="005A68E6" w:rsidRDefault="00896D99" w:rsidP="00896D99">
            <w:pPr>
              <w:spacing w:line="240" w:lineRule="auto"/>
              <w:ind w:firstLine="0"/>
              <w:jc w:val="center"/>
            </w:pPr>
            <w:r w:rsidRPr="005A68E6">
              <w:t xml:space="preserve"> 1,198.7 </w:t>
            </w:r>
          </w:p>
        </w:tc>
      </w:tr>
      <w:tr w:rsidR="00896D99" w:rsidRPr="005A68E6" w14:paraId="494F23D0" w14:textId="77777777" w:rsidTr="00896D99">
        <w:trPr>
          <w:trHeight w:val="263"/>
          <w:jc w:val="center"/>
        </w:trPr>
        <w:tc>
          <w:tcPr>
            <w:tcW w:w="3022" w:type="dxa"/>
            <w:tcBorders>
              <w:left w:val="nil"/>
              <w:bottom w:val="single" w:sz="12" w:space="0" w:color="auto"/>
              <w:right w:val="nil"/>
            </w:tcBorders>
            <w:vAlign w:val="center"/>
          </w:tcPr>
          <w:p w14:paraId="3F29518C" w14:textId="564FB50F" w:rsidR="00896D99" w:rsidRPr="005A68E6" w:rsidRDefault="00896D99" w:rsidP="00896D99">
            <w:pPr>
              <w:spacing w:line="240" w:lineRule="auto"/>
              <w:ind w:left="157" w:firstLine="0"/>
              <w:jc w:val="left"/>
              <w:rPr>
                <w:bCs/>
              </w:rPr>
            </w:pPr>
            <w:r w:rsidRPr="005A68E6">
              <w:rPr>
                <w:lang w:val="en-US"/>
              </w:rPr>
              <w:t>More than 5 years</w:t>
            </w:r>
          </w:p>
        </w:tc>
        <w:tc>
          <w:tcPr>
            <w:tcW w:w="1132" w:type="dxa"/>
            <w:tcBorders>
              <w:left w:val="nil"/>
              <w:bottom w:val="single" w:sz="12" w:space="0" w:color="auto"/>
              <w:right w:val="nil"/>
            </w:tcBorders>
            <w:vAlign w:val="center"/>
          </w:tcPr>
          <w:p w14:paraId="2F2A4958" w14:textId="77777777" w:rsidR="00896D99" w:rsidRPr="005A68E6" w:rsidRDefault="00896D99" w:rsidP="00896D99">
            <w:pPr>
              <w:spacing w:line="240" w:lineRule="auto"/>
              <w:ind w:firstLine="0"/>
              <w:jc w:val="center"/>
            </w:pPr>
            <w:r w:rsidRPr="005A68E6">
              <w:t xml:space="preserve"> 728.4 </w:t>
            </w:r>
          </w:p>
        </w:tc>
        <w:tc>
          <w:tcPr>
            <w:tcW w:w="983" w:type="dxa"/>
            <w:tcBorders>
              <w:left w:val="nil"/>
              <w:bottom w:val="single" w:sz="12" w:space="0" w:color="auto"/>
              <w:right w:val="nil"/>
            </w:tcBorders>
            <w:vAlign w:val="center"/>
          </w:tcPr>
          <w:p w14:paraId="044C8B84" w14:textId="77777777" w:rsidR="00896D99" w:rsidRPr="005A68E6" w:rsidRDefault="00896D99" w:rsidP="00896D99">
            <w:pPr>
              <w:spacing w:line="240" w:lineRule="auto"/>
              <w:ind w:firstLine="0"/>
              <w:jc w:val="center"/>
            </w:pPr>
            <w:r w:rsidRPr="005A68E6">
              <w:t xml:space="preserve"> 785.9 </w:t>
            </w:r>
          </w:p>
        </w:tc>
        <w:tc>
          <w:tcPr>
            <w:tcW w:w="1163" w:type="dxa"/>
            <w:tcBorders>
              <w:left w:val="nil"/>
              <w:bottom w:val="single" w:sz="12" w:space="0" w:color="auto"/>
              <w:right w:val="double" w:sz="4" w:space="0" w:color="auto"/>
            </w:tcBorders>
            <w:vAlign w:val="center"/>
          </w:tcPr>
          <w:p w14:paraId="0790F291" w14:textId="77777777" w:rsidR="00896D99" w:rsidRPr="005A68E6" w:rsidRDefault="00896D99" w:rsidP="00896D99">
            <w:pPr>
              <w:spacing w:line="240" w:lineRule="auto"/>
              <w:ind w:firstLine="0"/>
              <w:jc w:val="center"/>
            </w:pPr>
            <w:r w:rsidRPr="005A68E6">
              <w:t xml:space="preserve"> 873.5 </w:t>
            </w:r>
          </w:p>
        </w:tc>
        <w:tc>
          <w:tcPr>
            <w:tcW w:w="1080" w:type="dxa"/>
            <w:tcBorders>
              <w:left w:val="double" w:sz="4" w:space="0" w:color="auto"/>
              <w:bottom w:val="single" w:sz="12" w:space="0" w:color="auto"/>
              <w:right w:val="nil"/>
            </w:tcBorders>
            <w:vAlign w:val="center"/>
          </w:tcPr>
          <w:p w14:paraId="5EB64D36" w14:textId="77777777" w:rsidR="00896D99" w:rsidRPr="005A68E6" w:rsidRDefault="00896D99" w:rsidP="00896D99">
            <w:pPr>
              <w:spacing w:line="240" w:lineRule="auto"/>
              <w:ind w:firstLine="0"/>
              <w:jc w:val="center"/>
            </w:pPr>
            <w:r w:rsidRPr="005A68E6">
              <w:t xml:space="preserve"> 918.2 </w:t>
            </w:r>
          </w:p>
        </w:tc>
        <w:tc>
          <w:tcPr>
            <w:tcW w:w="1053" w:type="dxa"/>
            <w:tcBorders>
              <w:left w:val="nil"/>
              <w:bottom w:val="single" w:sz="12" w:space="0" w:color="auto"/>
              <w:right w:val="nil"/>
            </w:tcBorders>
            <w:vAlign w:val="center"/>
          </w:tcPr>
          <w:p w14:paraId="12BCF4B9" w14:textId="77777777" w:rsidR="00896D99" w:rsidRPr="005A68E6" w:rsidRDefault="00896D99" w:rsidP="00896D99">
            <w:pPr>
              <w:spacing w:line="240" w:lineRule="auto"/>
              <w:ind w:firstLine="0"/>
              <w:jc w:val="center"/>
            </w:pPr>
            <w:r w:rsidRPr="005A68E6">
              <w:t xml:space="preserve"> 973.3 </w:t>
            </w:r>
          </w:p>
        </w:tc>
        <w:tc>
          <w:tcPr>
            <w:tcW w:w="1003" w:type="dxa"/>
            <w:tcBorders>
              <w:left w:val="nil"/>
              <w:bottom w:val="single" w:sz="12" w:space="0" w:color="auto"/>
              <w:right w:val="nil"/>
            </w:tcBorders>
            <w:vAlign w:val="center"/>
          </w:tcPr>
          <w:p w14:paraId="76052A75" w14:textId="77777777" w:rsidR="00896D99" w:rsidRPr="005A68E6" w:rsidRDefault="00896D99" w:rsidP="00896D99">
            <w:pPr>
              <w:spacing w:line="240" w:lineRule="auto"/>
              <w:ind w:firstLine="0"/>
              <w:jc w:val="center"/>
            </w:pPr>
            <w:r w:rsidRPr="005A68E6">
              <w:t xml:space="preserve"> 1,183.2 </w:t>
            </w:r>
          </w:p>
        </w:tc>
        <w:tc>
          <w:tcPr>
            <w:tcW w:w="1028" w:type="dxa"/>
            <w:tcBorders>
              <w:left w:val="nil"/>
              <w:bottom w:val="single" w:sz="12" w:space="0" w:color="auto"/>
              <w:right w:val="nil"/>
            </w:tcBorders>
            <w:vAlign w:val="center"/>
          </w:tcPr>
          <w:p w14:paraId="3F3AAEC2" w14:textId="77777777" w:rsidR="00896D99" w:rsidRPr="005A68E6" w:rsidRDefault="00896D99" w:rsidP="00896D99">
            <w:pPr>
              <w:spacing w:line="240" w:lineRule="auto"/>
              <w:ind w:firstLine="0"/>
              <w:jc w:val="center"/>
            </w:pPr>
            <w:r w:rsidRPr="005A68E6">
              <w:t xml:space="preserve"> 1,238.0 </w:t>
            </w:r>
          </w:p>
        </w:tc>
      </w:tr>
      <w:tr w:rsidR="00896D99" w:rsidRPr="005A68E6" w14:paraId="7D9DE7E3" w14:textId="77777777" w:rsidTr="00896D99">
        <w:trPr>
          <w:trHeight w:val="263"/>
          <w:jc w:val="center"/>
        </w:trPr>
        <w:tc>
          <w:tcPr>
            <w:tcW w:w="3022" w:type="dxa"/>
            <w:tcBorders>
              <w:top w:val="single" w:sz="12" w:space="0" w:color="auto"/>
              <w:left w:val="nil"/>
              <w:right w:val="nil"/>
            </w:tcBorders>
            <w:vAlign w:val="center"/>
          </w:tcPr>
          <w:p w14:paraId="7C1DCC82" w14:textId="6F89A75F" w:rsidR="00896D99" w:rsidRPr="005A68E6" w:rsidRDefault="00896D99" w:rsidP="00896D99">
            <w:pPr>
              <w:spacing w:line="240" w:lineRule="auto"/>
              <w:ind w:firstLine="0"/>
              <w:jc w:val="left"/>
              <w:rPr>
                <w:bCs/>
              </w:rPr>
            </w:pPr>
            <w:r w:rsidRPr="005A68E6">
              <w:rPr>
                <w:lang w:val="en-US"/>
              </w:rPr>
              <w:t xml:space="preserve">Share by days to maturity </w:t>
            </w:r>
            <w:r w:rsidRPr="005A68E6">
              <w:rPr>
                <w:bCs/>
              </w:rPr>
              <w:t>(%)</w:t>
            </w:r>
          </w:p>
        </w:tc>
        <w:tc>
          <w:tcPr>
            <w:tcW w:w="1132" w:type="dxa"/>
            <w:tcBorders>
              <w:top w:val="single" w:sz="12" w:space="0" w:color="auto"/>
              <w:left w:val="nil"/>
              <w:right w:val="nil"/>
            </w:tcBorders>
            <w:vAlign w:val="center"/>
          </w:tcPr>
          <w:p w14:paraId="1E3B914A" w14:textId="77777777" w:rsidR="00896D99" w:rsidRPr="005A68E6" w:rsidRDefault="00896D99" w:rsidP="00896D99">
            <w:pPr>
              <w:spacing w:line="240" w:lineRule="auto"/>
              <w:ind w:firstLine="0"/>
              <w:jc w:val="center"/>
            </w:pPr>
          </w:p>
        </w:tc>
        <w:tc>
          <w:tcPr>
            <w:tcW w:w="983" w:type="dxa"/>
            <w:tcBorders>
              <w:top w:val="single" w:sz="12" w:space="0" w:color="auto"/>
              <w:left w:val="nil"/>
              <w:right w:val="nil"/>
            </w:tcBorders>
            <w:vAlign w:val="center"/>
          </w:tcPr>
          <w:p w14:paraId="6E41734F" w14:textId="77777777" w:rsidR="00896D99" w:rsidRPr="005A68E6" w:rsidRDefault="00896D99" w:rsidP="00896D99">
            <w:pPr>
              <w:spacing w:line="240" w:lineRule="auto"/>
              <w:ind w:firstLine="0"/>
              <w:jc w:val="center"/>
            </w:pPr>
          </w:p>
        </w:tc>
        <w:tc>
          <w:tcPr>
            <w:tcW w:w="1163" w:type="dxa"/>
            <w:tcBorders>
              <w:top w:val="single" w:sz="12" w:space="0" w:color="auto"/>
              <w:left w:val="nil"/>
              <w:right w:val="double" w:sz="4" w:space="0" w:color="auto"/>
            </w:tcBorders>
            <w:vAlign w:val="center"/>
          </w:tcPr>
          <w:p w14:paraId="5FF19D13" w14:textId="77777777" w:rsidR="00896D99" w:rsidRPr="005A68E6" w:rsidRDefault="00896D99" w:rsidP="00896D99">
            <w:pPr>
              <w:spacing w:line="240" w:lineRule="auto"/>
              <w:ind w:firstLine="0"/>
              <w:jc w:val="center"/>
            </w:pPr>
          </w:p>
        </w:tc>
        <w:tc>
          <w:tcPr>
            <w:tcW w:w="1080" w:type="dxa"/>
            <w:tcBorders>
              <w:top w:val="single" w:sz="12" w:space="0" w:color="auto"/>
              <w:left w:val="double" w:sz="4" w:space="0" w:color="auto"/>
              <w:right w:val="nil"/>
            </w:tcBorders>
            <w:vAlign w:val="center"/>
          </w:tcPr>
          <w:p w14:paraId="5323DA03" w14:textId="77777777" w:rsidR="00896D99" w:rsidRPr="005A68E6" w:rsidRDefault="00896D99" w:rsidP="00896D99">
            <w:pPr>
              <w:spacing w:line="240" w:lineRule="auto"/>
              <w:ind w:firstLine="0"/>
              <w:jc w:val="center"/>
            </w:pPr>
          </w:p>
        </w:tc>
        <w:tc>
          <w:tcPr>
            <w:tcW w:w="1053" w:type="dxa"/>
            <w:tcBorders>
              <w:top w:val="single" w:sz="12" w:space="0" w:color="auto"/>
              <w:left w:val="nil"/>
              <w:right w:val="nil"/>
            </w:tcBorders>
            <w:vAlign w:val="center"/>
          </w:tcPr>
          <w:p w14:paraId="216F8573" w14:textId="77777777" w:rsidR="00896D99" w:rsidRPr="005A68E6" w:rsidRDefault="00896D99" w:rsidP="00896D99">
            <w:pPr>
              <w:spacing w:line="240" w:lineRule="auto"/>
              <w:ind w:firstLine="0"/>
              <w:jc w:val="center"/>
            </w:pPr>
          </w:p>
        </w:tc>
        <w:tc>
          <w:tcPr>
            <w:tcW w:w="1003" w:type="dxa"/>
            <w:tcBorders>
              <w:top w:val="single" w:sz="12" w:space="0" w:color="auto"/>
              <w:left w:val="nil"/>
              <w:right w:val="nil"/>
            </w:tcBorders>
            <w:vAlign w:val="center"/>
          </w:tcPr>
          <w:p w14:paraId="4E5F56E2" w14:textId="77777777" w:rsidR="00896D99" w:rsidRPr="005A68E6" w:rsidRDefault="00896D99" w:rsidP="00896D99">
            <w:pPr>
              <w:spacing w:line="240" w:lineRule="auto"/>
              <w:ind w:firstLine="0"/>
              <w:jc w:val="center"/>
            </w:pPr>
          </w:p>
        </w:tc>
        <w:tc>
          <w:tcPr>
            <w:tcW w:w="1028" w:type="dxa"/>
            <w:tcBorders>
              <w:top w:val="single" w:sz="12" w:space="0" w:color="auto"/>
              <w:left w:val="nil"/>
              <w:right w:val="nil"/>
            </w:tcBorders>
            <w:vAlign w:val="center"/>
          </w:tcPr>
          <w:p w14:paraId="3A94E83B" w14:textId="77777777" w:rsidR="00896D99" w:rsidRPr="005A68E6" w:rsidRDefault="00896D99" w:rsidP="00896D99">
            <w:pPr>
              <w:spacing w:line="240" w:lineRule="auto"/>
              <w:ind w:firstLine="0"/>
              <w:jc w:val="center"/>
            </w:pPr>
          </w:p>
        </w:tc>
      </w:tr>
      <w:tr w:rsidR="00896D99" w:rsidRPr="005A68E6" w14:paraId="2E615DCE" w14:textId="77777777" w:rsidTr="00896D99">
        <w:trPr>
          <w:trHeight w:val="263"/>
          <w:jc w:val="center"/>
        </w:trPr>
        <w:tc>
          <w:tcPr>
            <w:tcW w:w="3022" w:type="dxa"/>
            <w:tcBorders>
              <w:left w:val="nil"/>
              <w:right w:val="nil"/>
            </w:tcBorders>
            <w:vAlign w:val="center"/>
          </w:tcPr>
          <w:p w14:paraId="2DD5E21B" w14:textId="484C0C25" w:rsidR="00896D99" w:rsidRPr="005A68E6" w:rsidRDefault="00896D99" w:rsidP="00896D99">
            <w:pPr>
              <w:spacing w:line="240" w:lineRule="auto"/>
              <w:ind w:left="157" w:firstLine="0"/>
              <w:jc w:val="left"/>
              <w:rPr>
                <w:bCs/>
              </w:rPr>
            </w:pPr>
            <w:r w:rsidRPr="005A68E6">
              <w:rPr>
                <w:lang w:val="en-US"/>
              </w:rPr>
              <w:t>Up to 1 year</w:t>
            </w:r>
          </w:p>
        </w:tc>
        <w:tc>
          <w:tcPr>
            <w:tcW w:w="1132" w:type="dxa"/>
            <w:tcBorders>
              <w:left w:val="nil"/>
              <w:right w:val="nil"/>
            </w:tcBorders>
            <w:vAlign w:val="center"/>
          </w:tcPr>
          <w:p w14:paraId="014FFC5B" w14:textId="77777777" w:rsidR="00896D99" w:rsidRPr="005A68E6" w:rsidRDefault="00896D99" w:rsidP="00896D99">
            <w:pPr>
              <w:spacing w:line="240" w:lineRule="auto"/>
              <w:ind w:firstLine="0"/>
              <w:jc w:val="center"/>
            </w:pPr>
            <w:r w:rsidRPr="005A68E6">
              <w:t xml:space="preserve"> 10.5 </w:t>
            </w:r>
          </w:p>
        </w:tc>
        <w:tc>
          <w:tcPr>
            <w:tcW w:w="983" w:type="dxa"/>
            <w:tcBorders>
              <w:left w:val="nil"/>
              <w:right w:val="nil"/>
            </w:tcBorders>
            <w:vAlign w:val="center"/>
          </w:tcPr>
          <w:p w14:paraId="7490DAAA" w14:textId="77777777" w:rsidR="00896D99" w:rsidRPr="005A68E6" w:rsidRDefault="00896D99" w:rsidP="00896D99">
            <w:pPr>
              <w:spacing w:line="240" w:lineRule="auto"/>
              <w:ind w:firstLine="0"/>
              <w:jc w:val="center"/>
            </w:pPr>
            <w:r w:rsidRPr="005A68E6">
              <w:t xml:space="preserve"> 12.9 </w:t>
            </w:r>
          </w:p>
        </w:tc>
        <w:tc>
          <w:tcPr>
            <w:tcW w:w="1163" w:type="dxa"/>
            <w:tcBorders>
              <w:left w:val="nil"/>
              <w:right w:val="double" w:sz="4" w:space="0" w:color="auto"/>
            </w:tcBorders>
            <w:vAlign w:val="center"/>
          </w:tcPr>
          <w:p w14:paraId="7421A105" w14:textId="77777777" w:rsidR="00896D99" w:rsidRPr="005A68E6" w:rsidRDefault="00896D99" w:rsidP="00896D99">
            <w:pPr>
              <w:spacing w:line="240" w:lineRule="auto"/>
              <w:ind w:firstLine="0"/>
              <w:jc w:val="center"/>
            </w:pPr>
            <w:r w:rsidRPr="005A68E6">
              <w:t xml:space="preserve"> 14.3 </w:t>
            </w:r>
          </w:p>
        </w:tc>
        <w:tc>
          <w:tcPr>
            <w:tcW w:w="1080" w:type="dxa"/>
            <w:tcBorders>
              <w:left w:val="double" w:sz="4" w:space="0" w:color="auto"/>
              <w:right w:val="nil"/>
            </w:tcBorders>
            <w:vAlign w:val="center"/>
          </w:tcPr>
          <w:p w14:paraId="492B2C89" w14:textId="77777777" w:rsidR="00896D99" w:rsidRPr="005A68E6" w:rsidRDefault="00896D99" w:rsidP="00896D99">
            <w:pPr>
              <w:spacing w:line="240" w:lineRule="auto"/>
              <w:ind w:firstLine="0"/>
              <w:jc w:val="center"/>
            </w:pPr>
            <w:r w:rsidRPr="005A68E6">
              <w:t xml:space="preserve"> 13.8 </w:t>
            </w:r>
          </w:p>
        </w:tc>
        <w:tc>
          <w:tcPr>
            <w:tcW w:w="1053" w:type="dxa"/>
            <w:tcBorders>
              <w:left w:val="nil"/>
              <w:right w:val="nil"/>
            </w:tcBorders>
            <w:vAlign w:val="center"/>
          </w:tcPr>
          <w:p w14:paraId="18585705" w14:textId="77777777" w:rsidR="00896D99" w:rsidRPr="005A68E6" w:rsidRDefault="00896D99" w:rsidP="00896D99">
            <w:pPr>
              <w:spacing w:line="240" w:lineRule="auto"/>
              <w:ind w:firstLine="0"/>
              <w:jc w:val="center"/>
            </w:pPr>
            <w:r w:rsidRPr="005A68E6">
              <w:t xml:space="preserve"> 15.3 </w:t>
            </w:r>
          </w:p>
        </w:tc>
        <w:tc>
          <w:tcPr>
            <w:tcW w:w="1003" w:type="dxa"/>
            <w:tcBorders>
              <w:left w:val="nil"/>
              <w:right w:val="nil"/>
            </w:tcBorders>
            <w:vAlign w:val="center"/>
          </w:tcPr>
          <w:p w14:paraId="100F06BA" w14:textId="77777777" w:rsidR="00896D99" w:rsidRPr="005A68E6" w:rsidRDefault="00896D99" w:rsidP="00896D99">
            <w:pPr>
              <w:spacing w:line="240" w:lineRule="auto"/>
              <w:ind w:firstLine="0"/>
              <w:jc w:val="center"/>
            </w:pPr>
            <w:r w:rsidRPr="005A68E6">
              <w:t xml:space="preserve"> 14.4 </w:t>
            </w:r>
          </w:p>
        </w:tc>
        <w:tc>
          <w:tcPr>
            <w:tcW w:w="1028" w:type="dxa"/>
            <w:tcBorders>
              <w:left w:val="nil"/>
              <w:right w:val="nil"/>
            </w:tcBorders>
            <w:vAlign w:val="center"/>
          </w:tcPr>
          <w:p w14:paraId="2B81D1FB" w14:textId="77777777" w:rsidR="00896D99" w:rsidRPr="005A68E6" w:rsidRDefault="00896D99" w:rsidP="00896D99">
            <w:pPr>
              <w:spacing w:line="240" w:lineRule="auto"/>
              <w:ind w:firstLine="0"/>
              <w:jc w:val="center"/>
            </w:pPr>
            <w:r w:rsidRPr="005A68E6">
              <w:t xml:space="preserve"> 14.9 </w:t>
            </w:r>
          </w:p>
        </w:tc>
      </w:tr>
      <w:tr w:rsidR="00896D99" w:rsidRPr="005A68E6" w14:paraId="2D8E7026" w14:textId="77777777" w:rsidTr="00896D99">
        <w:trPr>
          <w:trHeight w:val="263"/>
          <w:jc w:val="center"/>
        </w:trPr>
        <w:tc>
          <w:tcPr>
            <w:tcW w:w="3022" w:type="dxa"/>
            <w:tcBorders>
              <w:left w:val="nil"/>
              <w:bottom w:val="single" w:sz="4" w:space="0" w:color="auto"/>
              <w:right w:val="nil"/>
            </w:tcBorders>
            <w:vAlign w:val="center"/>
          </w:tcPr>
          <w:p w14:paraId="68587695" w14:textId="09558D52" w:rsidR="00896D99" w:rsidRPr="005A68E6" w:rsidRDefault="00896D99" w:rsidP="00896D99">
            <w:pPr>
              <w:spacing w:line="240" w:lineRule="auto"/>
              <w:ind w:left="157" w:firstLine="0"/>
              <w:jc w:val="left"/>
              <w:rPr>
                <w:bCs/>
              </w:rPr>
            </w:pPr>
            <w:r w:rsidRPr="005A68E6">
              <w:rPr>
                <w:lang w:val="en-US"/>
              </w:rPr>
              <w:lastRenderedPageBreak/>
              <w:t>1-5 years</w:t>
            </w:r>
          </w:p>
        </w:tc>
        <w:tc>
          <w:tcPr>
            <w:tcW w:w="1132" w:type="dxa"/>
            <w:tcBorders>
              <w:left w:val="nil"/>
              <w:bottom w:val="single" w:sz="4" w:space="0" w:color="auto"/>
              <w:right w:val="nil"/>
            </w:tcBorders>
            <w:vAlign w:val="center"/>
          </w:tcPr>
          <w:p w14:paraId="24CA2EA9" w14:textId="77777777" w:rsidR="00896D99" w:rsidRPr="005A68E6" w:rsidRDefault="00896D99" w:rsidP="00896D99">
            <w:pPr>
              <w:spacing w:line="240" w:lineRule="auto"/>
              <w:ind w:firstLine="0"/>
              <w:jc w:val="center"/>
            </w:pPr>
            <w:r w:rsidRPr="005A68E6">
              <w:t xml:space="preserve"> 29.3 </w:t>
            </w:r>
          </w:p>
        </w:tc>
        <w:tc>
          <w:tcPr>
            <w:tcW w:w="983" w:type="dxa"/>
            <w:tcBorders>
              <w:left w:val="nil"/>
              <w:bottom w:val="single" w:sz="4" w:space="0" w:color="auto"/>
              <w:right w:val="nil"/>
            </w:tcBorders>
            <w:vAlign w:val="center"/>
          </w:tcPr>
          <w:p w14:paraId="7B6CDEE2" w14:textId="77777777" w:rsidR="00896D99" w:rsidRPr="005A68E6" w:rsidRDefault="00896D99" w:rsidP="00896D99">
            <w:pPr>
              <w:spacing w:line="240" w:lineRule="auto"/>
              <w:ind w:firstLine="0"/>
              <w:jc w:val="center"/>
            </w:pPr>
            <w:r w:rsidRPr="005A68E6">
              <w:t xml:space="preserve"> 34.6 </w:t>
            </w:r>
          </w:p>
        </w:tc>
        <w:tc>
          <w:tcPr>
            <w:tcW w:w="1163" w:type="dxa"/>
            <w:tcBorders>
              <w:left w:val="nil"/>
              <w:bottom w:val="single" w:sz="4" w:space="0" w:color="auto"/>
              <w:right w:val="double" w:sz="4" w:space="0" w:color="auto"/>
            </w:tcBorders>
            <w:vAlign w:val="center"/>
          </w:tcPr>
          <w:p w14:paraId="1AAF8DF9" w14:textId="77777777" w:rsidR="00896D99" w:rsidRPr="005A68E6" w:rsidRDefault="00896D99" w:rsidP="00896D99">
            <w:pPr>
              <w:spacing w:line="240" w:lineRule="auto"/>
              <w:ind w:firstLine="0"/>
              <w:jc w:val="center"/>
            </w:pPr>
            <w:r w:rsidRPr="005A68E6">
              <w:t xml:space="preserve"> 37.8 </w:t>
            </w:r>
          </w:p>
        </w:tc>
        <w:tc>
          <w:tcPr>
            <w:tcW w:w="1080" w:type="dxa"/>
            <w:tcBorders>
              <w:left w:val="double" w:sz="4" w:space="0" w:color="auto"/>
              <w:bottom w:val="single" w:sz="4" w:space="0" w:color="auto"/>
              <w:right w:val="nil"/>
            </w:tcBorders>
            <w:vAlign w:val="center"/>
          </w:tcPr>
          <w:p w14:paraId="5BE64553" w14:textId="77777777" w:rsidR="00896D99" w:rsidRPr="005A68E6" w:rsidRDefault="00896D99" w:rsidP="00896D99">
            <w:pPr>
              <w:spacing w:line="240" w:lineRule="auto"/>
              <w:ind w:firstLine="0"/>
              <w:jc w:val="center"/>
            </w:pPr>
            <w:r w:rsidRPr="005A68E6">
              <w:t xml:space="preserve"> 37.7 </w:t>
            </w:r>
          </w:p>
        </w:tc>
        <w:tc>
          <w:tcPr>
            <w:tcW w:w="1053" w:type="dxa"/>
            <w:tcBorders>
              <w:left w:val="nil"/>
              <w:bottom w:val="single" w:sz="4" w:space="0" w:color="auto"/>
              <w:right w:val="nil"/>
            </w:tcBorders>
            <w:vAlign w:val="center"/>
          </w:tcPr>
          <w:p w14:paraId="2BFE6003" w14:textId="77777777" w:rsidR="00896D99" w:rsidRPr="005A68E6" w:rsidRDefault="00896D99" w:rsidP="00896D99">
            <w:pPr>
              <w:spacing w:line="240" w:lineRule="auto"/>
              <w:ind w:firstLine="0"/>
              <w:jc w:val="center"/>
            </w:pPr>
            <w:r w:rsidRPr="005A68E6">
              <w:t xml:space="preserve"> 40.9 </w:t>
            </w:r>
          </w:p>
        </w:tc>
        <w:tc>
          <w:tcPr>
            <w:tcW w:w="1003" w:type="dxa"/>
            <w:tcBorders>
              <w:left w:val="nil"/>
              <w:bottom w:val="single" w:sz="4" w:space="0" w:color="auto"/>
              <w:right w:val="nil"/>
            </w:tcBorders>
            <w:vAlign w:val="center"/>
          </w:tcPr>
          <w:p w14:paraId="58B62B47" w14:textId="77777777" w:rsidR="00896D99" w:rsidRPr="005A68E6" w:rsidRDefault="00896D99" w:rsidP="00896D99">
            <w:pPr>
              <w:spacing w:line="240" w:lineRule="auto"/>
              <w:ind w:firstLine="0"/>
              <w:jc w:val="center"/>
            </w:pPr>
            <w:r w:rsidRPr="005A68E6">
              <w:t xml:space="preserve"> 39.1 </w:t>
            </w:r>
          </w:p>
        </w:tc>
        <w:tc>
          <w:tcPr>
            <w:tcW w:w="1028" w:type="dxa"/>
            <w:tcBorders>
              <w:left w:val="nil"/>
              <w:bottom w:val="single" w:sz="4" w:space="0" w:color="auto"/>
              <w:right w:val="nil"/>
            </w:tcBorders>
            <w:vAlign w:val="center"/>
          </w:tcPr>
          <w:p w14:paraId="5FA73AFA" w14:textId="77777777" w:rsidR="00896D99" w:rsidRPr="005A68E6" w:rsidRDefault="00896D99" w:rsidP="00896D99">
            <w:pPr>
              <w:spacing w:line="240" w:lineRule="auto"/>
              <w:ind w:firstLine="0"/>
              <w:jc w:val="center"/>
            </w:pPr>
            <w:r w:rsidRPr="005A68E6">
              <w:t xml:space="preserve"> 41.9 </w:t>
            </w:r>
          </w:p>
        </w:tc>
      </w:tr>
      <w:tr w:rsidR="00896D99" w:rsidRPr="005A68E6" w14:paraId="790E08A8" w14:textId="77777777" w:rsidTr="00896D99">
        <w:trPr>
          <w:trHeight w:val="256"/>
          <w:jc w:val="center"/>
        </w:trPr>
        <w:tc>
          <w:tcPr>
            <w:tcW w:w="3022" w:type="dxa"/>
            <w:tcBorders>
              <w:left w:val="nil"/>
              <w:bottom w:val="single" w:sz="12" w:space="0" w:color="auto"/>
              <w:right w:val="nil"/>
            </w:tcBorders>
            <w:vAlign w:val="center"/>
          </w:tcPr>
          <w:p w14:paraId="4C7127CA" w14:textId="5B73240D" w:rsidR="00896D99" w:rsidRPr="005A68E6" w:rsidRDefault="00896D99" w:rsidP="00896D99">
            <w:pPr>
              <w:spacing w:line="240" w:lineRule="auto"/>
              <w:ind w:left="157" w:firstLine="0"/>
              <w:jc w:val="left"/>
              <w:rPr>
                <w:bCs/>
              </w:rPr>
            </w:pPr>
            <w:r w:rsidRPr="005A68E6">
              <w:rPr>
                <w:lang w:val="en-US"/>
              </w:rPr>
              <w:t>More than 5 years</w:t>
            </w:r>
          </w:p>
        </w:tc>
        <w:tc>
          <w:tcPr>
            <w:tcW w:w="1132" w:type="dxa"/>
            <w:tcBorders>
              <w:left w:val="nil"/>
              <w:bottom w:val="single" w:sz="12" w:space="0" w:color="auto"/>
              <w:right w:val="nil"/>
            </w:tcBorders>
            <w:vAlign w:val="center"/>
          </w:tcPr>
          <w:p w14:paraId="2C103CE3" w14:textId="77777777" w:rsidR="00896D99" w:rsidRPr="005A68E6" w:rsidRDefault="00896D99" w:rsidP="00896D99">
            <w:pPr>
              <w:spacing w:line="240" w:lineRule="auto"/>
              <w:ind w:firstLine="0"/>
              <w:jc w:val="center"/>
            </w:pPr>
            <w:r w:rsidRPr="005A68E6">
              <w:t xml:space="preserve"> 60.3 </w:t>
            </w:r>
          </w:p>
        </w:tc>
        <w:tc>
          <w:tcPr>
            <w:tcW w:w="983" w:type="dxa"/>
            <w:tcBorders>
              <w:left w:val="nil"/>
              <w:bottom w:val="single" w:sz="12" w:space="0" w:color="auto"/>
              <w:right w:val="nil"/>
            </w:tcBorders>
            <w:vAlign w:val="center"/>
          </w:tcPr>
          <w:p w14:paraId="05FC9567" w14:textId="77777777" w:rsidR="00896D99" w:rsidRPr="005A68E6" w:rsidRDefault="00896D99" w:rsidP="00896D99">
            <w:pPr>
              <w:spacing w:line="240" w:lineRule="auto"/>
              <w:ind w:firstLine="0"/>
              <w:jc w:val="center"/>
            </w:pPr>
            <w:r w:rsidRPr="005A68E6">
              <w:t xml:space="preserve"> 52.5 </w:t>
            </w:r>
          </w:p>
        </w:tc>
        <w:tc>
          <w:tcPr>
            <w:tcW w:w="1163" w:type="dxa"/>
            <w:tcBorders>
              <w:left w:val="nil"/>
              <w:bottom w:val="single" w:sz="12" w:space="0" w:color="auto"/>
              <w:right w:val="double" w:sz="4" w:space="0" w:color="auto"/>
            </w:tcBorders>
            <w:vAlign w:val="center"/>
          </w:tcPr>
          <w:p w14:paraId="45FC4817" w14:textId="77777777" w:rsidR="00896D99" w:rsidRPr="005A68E6" w:rsidRDefault="00896D99" w:rsidP="00896D99">
            <w:pPr>
              <w:spacing w:line="240" w:lineRule="auto"/>
              <w:ind w:firstLine="0"/>
              <w:jc w:val="center"/>
            </w:pPr>
            <w:r w:rsidRPr="005A68E6">
              <w:t xml:space="preserve"> 47.9 </w:t>
            </w:r>
          </w:p>
        </w:tc>
        <w:tc>
          <w:tcPr>
            <w:tcW w:w="1080" w:type="dxa"/>
            <w:tcBorders>
              <w:left w:val="double" w:sz="4" w:space="0" w:color="auto"/>
              <w:bottom w:val="single" w:sz="12" w:space="0" w:color="auto"/>
              <w:right w:val="nil"/>
            </w:tcBorders>
            <w:vAlign w:val="center"/>
          </w:tcPr>
          <w:p w14:paraId="7A66729E" w14:textId="77777777" w:rsidR="00896D99" w:rsidRPr="005A68E6" w:rsidRDefault="00896D99" w:rsidP="00896D99">
            <w:pPr>
              <w:spacing w:line="240" w:lineRule="auto"/>
              <w:ind w:firstLine="0"/>
              <w:jc w:val="center"/>
            </w:pPr>
            <w:r w:rsidRPr="005A68E6">
              <w:t xml:space="preserve"> 48.5 </w:t>
            </w:r>
          </w:p>
        </w:tc>
        <w:tc>
          <w:tcPr>
            <w:tcW w:w="1053" w:type="dxa"/>
            <w:tcBorders>
              <w:left w:val="nil"/>
              <w:bottom w:val="single" w:sz="12" w:space="0" w:color="auto"/>
              <w:right w:val="nil"/>
            </w:tcBorders>
            <w:vAlign w:val="center"/>
          </w:tcPr>
          <w:p w14:paraId="4748168D" w14:textId="77777777" w:rsidR="00896D99" w:rsidRPr="005A68E6" w:rsidRDefault="00896D99" w:rsidP="00896D99">
            <w:pPr>
              <w:spacing w:line="240" w:lineRule="auto"/>
              <w:ind w:firstLine="0"/>
              <w:jc w:val="center"/>
            </w:pPr>
            <w:r w:rsidRPr="005A68E6">
              <w:t xml:space="preserve"> 43.8 </w:t>
            </w:r>
          </w:p>
        </w:tc>
        <w:tc>
          <w:tcPr>
            <w:tcW w:w="1003" w:type="dxa"/>
            <w:tcBorders>
              <w:left w:val="nil"/>
              <w:bottom w:val="single" w:sz="12" w:space="0" w:color="auto"/>
              <w:right w:val="nil"/>
            </w:tcBorders>
            <w:vAlign w:val="center"/>
          </w:tcPr>
          <w:p w14:paraId="33960281" w14:textId="77777777" w:rsidR="00896D99" w:rsidRPr="005A68E6" w:rsidRDefault="00896D99" w:rsidP="00896D99">
            <w:pPr>
              <w:spacing w:line="240" w:lineRule="auto"/>
              <w:ind w:firstLine="0"/>
              <w:jc w:val="center"/>
            </w:pPr>
            <w:r w:rsidRPr="005A68E6">
              <w:t xml:space="preserve"> 46.5 </w:t>
            </w:r>
          </w:p>
        </w:tc>
        <w:tc>
          <w:tcPr>
            <w:tcW w:w="1028" w:type="dxa"/>
            <w:tcBorders>
              <w:left w:val="nil"/>
              <w:bottom w:val="single" w:sz="12" w:space="0" w:color="auto"/>
              <w:right w:val="nil"/>
            </w:tcBorders>
            <w:vAlign w:val="center"/>
          </w:tcPr>
          <w:p w14:paraId="1CEADC31" w14:textId="77777777" w:rsidR="00896D99" w:rsidRPr="005A68E6" w:rsidRDefault="00896D99" w:rsidP="00896D99">
            <w:pPr>
              <w:spacing w:line="240" w:lineRule="auto"/>
              <w:ind w:firstLine="0"/>
              <w:jc w:val="center"/>
            </w:pPr>
            <w:r w:rsidRPr="005A68E6">
              <w:t xml:space="preserve"> 43.2 </w:t>
            </w:r>
          </w:p>
        </w:tc>
      </w:tr>
      <w:tr w:rsidR="00896D99" w:rsidRPr="005A68E6" w14:paraId="5DD1DC7E" w14:textId="77777777" w:rsidTr="00896D99">
        <w:trPr>
          <w:trHeight w:val="263"/>
          <w:jc w:val="center"/>
        </w:trPr>
        <w:tc>
          <w:tcPr>
            <w:tcW w:w="3022" w:type="dxa"/>
            <w:tcBorders>
              <w:top w:val="single" w:sz="12" w:space="0" w:color="auto"/>
              <w:left w:val="nil"/>
              <w:bottom w:val="single" w:sz="4" w:space="0" w:color="auto"/>
              <w:right w:val="nil"/>
            </w:tcBorders>
            <w:vAlign w:val="center"/>
          </w:tcPr>
          <w:p w14:paraId="2A6F1276" w14:textId="7D09C444" w:rsidR="00896D99" w:rsidRPr="005A68E6" w:rsidRDefault="00896D99" w:rsidP="00896D99">
            <w:pPr>
              <w:spacing w:line="240" w:lineRule="auto"/>
              <w:ind w:firstLine="0"/>
              <w:jc w:val="left"/>
            </w:pPr>
            <w:r w:rsidRPr="005A68E6">
              <w:rPr>
                <w:lang w:val="en-US"/>
              </w:rPr>
              <w:t>Average interest rate</w:t>
            </w:r>
            <w:r w:rsidRPr="005A68E6">
              <w:t xml:space="preserve"> (%)</w:t>
            </w:r>
          </w:p>
        </w:tc>
        <w:tc>
          <w:tcPr>
            <w:tcW w:w="1132" w:type="dxa"/>
            <w:tcBorders>
              <w:top w:val="single" w:sz="12" w:space="0" w:color="auto"/>
              <w:left w:val="nil"/>
              <w:bottom w:val="single" w:sz="4" w:space="0" w:color="auto"/>
              <w:right w:val="nil"/>
            </w:tcBorders>
            <w:vAlign w:val="center"/>
          </w:tcPr>
          <w:p w14:paraId="02241568" w14:textId="77777777" w:rsidR="00896D99" w:rsidRPr="005A68E6" w:rsidRDefault="00896D99" w:rsidP="00896D99">
            <w:pPr>
              <w:spacing w:line="240" w:lineRule="auto"/>
              <w:ind w:firstLine="0"/>
              <w:jc w:val="center"/>
            </w:pPr>
            <w:r w:rsidRPr="005A68E6">
              <w:t xml:space="preserve"> 10.1 </w:t>
            </w:r>
          </w:p>
        </w:tc>
        <w:tc>
          <w:tcPr>
            <w:tcW w:w="983" w:type="dxa"/>
            <w:tcBorders>
              <w:top w:val="single" w:sz="12" w:space="0" w:color="auto"/>
              <w:left w:val="nil"/>
              <w:bottom w:val="single" w:sz="4" w:space="0" w:color="auto"/>
              <w:right w:val="nil"/>
            </w:tcBorders>
            <w:vAlign w:val="center"/>
          </w:tcPr>
          <w:p w14:paraId="3D55F6C5" w14:textId="77777777" w:rsidR="00896D99" w:rsidRPr="005A68E6" w:rsidRDefault="00896D99" w:rsidP="00896D99">
            <w:pPr>
              <w:spacing w:line="240" w:lineRule="auto"/>
              <w:ind w:firstLine="0"/>
              <w:jc w:val="center"/>
            </w:pPr>
            <w:r w:rsidRPr="005A68E6">
              <w:t xml:space="preserve"> 10.5 </w:t>
            </w:r>
          </w:p>
        </w:tc>
        <w:tc>
          <w:tcPr>
            <w:tcW w:w="1163" w:type="dxa"/>
            <w:tcBorders>
              <w:top w:val="single" w:sz="12" w:space="0" w:color="auto"/>
              <w:left w:val="nil"/>
              <w:bottom w:val="single" w:sz="4" w:space="0" w:color="auto"/>
              <w:right w:val="double" w:sz="4" w:space="0" w:color="auto"/>
            </w:tcBorders>
            <w:vAlign w:val="center"/>
          </w:tcPr>
          <w:p w14:paraId="25E8C20E" w14:textId="77777777" w:rsidR="00896D99" w:rsidRPr="005A68E6" w:rsidRDefault="00896D99" w:rsidP="00896D99">
            <w:pPr>
              <w:spacing w:line="240" w:lineRule="auto"/>
              <w:ind w:firstLine="0"/>
              <w:jc w:val="center"/>
            </w:pPr>
            <w:r w:rsidRPr="005A68E6">
              <w:t xml:space="preserve"> 10.9 </w:t>
            </w:r>
          </w:p>
        </w:tc>
        <w:tc>
          <w:tcPr>
            <w:tcW w:w="1080" w:type="dxa"/>
            <w:tcBorders>
              <w:top w:val="single" w:sz="12" w:space="0" w:color="auto"/>
              <w:left w:val="double" w:sz="4" w:space="0" w:color="auto"/>
              <w:bottom w:val="single" w:sz="4" w:space="0" w:color="auto"/>
              <w:right w:val="nil"/>
            </w:tcBorders>
            <w:vAlign w:val="center"/>
          </w:tcPr>
          <w:p w14:paraId="6D695F6F" w14:textId="77777777" w:rsidR="00896D99" w:rsidRPr="005A68E6" w:rsidRDefault="00896D99" w:rsidP="00896D99">
            <w:pPr>
              <w:spacing w:line="240" w:lineRule="auto"/>
              <w:ind w:firstLine="0"/>
              <w:jc w:val="center"/>
            </w:pPr>
            <w:r w:rsidRPr="005A68E6">
              <w:t xml:space="preserve"> 10.9 </w:t>
            </w:r>
          </w:p>
        </w:tc>
        <w:tc>
          <w:tcPr>
            <w:tcW w:w="1053" w:type="dxa"/>
            <w:tcBorders>
              <w:top w:val="single" w:sz="12" w:space="0" w:color="auto"/>
              <w:left w:val="nil"/>
              <w:bottom w:val="single" w:sz="4" w:space="0" w:color="auto"/>
              <w:right w:val="nil"/>
            </w:tcBorders>
            <w:vAlign w:val="center"/>
          </w:tcPr>
          <w:p w14:paraId="7E7F290B" w14:textId="77777777" w:rsidR="00896D99" w:rsidRPr="005A68E6" w:rsidRDefault="00896D99" w:rsidP="00896D99">
            <w:pPr>
              <w:spacing w:line="240" w:lineRule="auto"/>
              <w:ind w:firstLine="0"/>
              <w:jc w:val="center"/>
            </w:pPr>
            <w:r w:rsidRPr="005A68E6">
              <w:t xml:space="preserve"> 10.7 </w:t>
            </w:r>
          </w:p>
        </w:tc>
        <w:tc>
          <w:tcPr>
            <w:tcW w:w="1003" w:type="dxa"/>
            <w:tcBorders>
              <w:top w:val="single" w:sz="12" w:space="0" w:color="auto"/>
              <w:left w:val="nil"/>
              <w:bottom w:val="single" w:sz="4" w:space="0" w:color="auto"/>
              <w:right w:val="nil"/>
            </w:tcBorders>
            <w:vAlign w:val="center"/>
          </w:tcPr>
          <w:p w14:paraId="6F5697C9" w14:textId="77777777" w:rsidR="00896D99" w:rsidRPr="005A68E6" w:rsidRDefault="00896D99" w:rsidP="00896D99">
            <w:pPr>
              <w:spacing w:line="240" w:lineRule="auto"/>
              <w:ind w:firstLine="0"/>
              <w:jc w:val="center"/>
            </w:pPr>
            <w:r w:rsidRPr="005A68E6">
              <w:t xml:space="preserve"> 10.5 </w:t>
            </w:r>
          </w:p>
        </w:tc>
        <w:tc>
          <w:tcPr>
            <w:tcW w:w="1028" w:type="dxa"/>
            <w:tcBorders>
              <w:top w:val="single" w:sz="12" w:space="0" w:color="auto"/>
              <w:left w:val="nil"/>
              <w:bottom w:val="single" w:sz="4" w:space="0" w:color="auto"/>
              <w:right w:val="nil"/>
            </w:tcBorders>
            <w:vAlign w:val="center"/>
          </w:tcPr>
          <w:p w14:paraId="6809DF8C" w14:textId="77777777" w:rsidR="00896D99" w:rsidRPr="005A68E6" w:rsidRDefault="00896D99" w:rsidP="00896D99">
            <w:pPr>
              <w:spacing w:line="240" w:lineRule="auto"/>
              <w:ind w:firstLine="0"/>
              <w:jc w:val="center"/>
            </w:pPr>
            <w:r w:rsidRPr="005A68E6">
              <w:t xml:space="preserve"> 10.5 </w:t>
            </w:r>
          </w:p>
        </w:tc>
      </w:tr>
      <w:tr w:rsidR="00896D99" w:rsidRPr="005A68E6" w14:paraId="60D17765" w14:textId="77777777" w:rsidTr="00896D99">
        <w:trPr>
          <w:trHeight w:val="263"/>
          <w:jc w:val="center"/>
        </w:trPr>
        <w:tc>
          <w:tcPr>
            <w:tcW w:w="3022" w:type="dxa"/>
            <w:tcBorders>
              <w:left w:val="nil"/>
              <w:bottom w:val="single" w:sz="36" w:space="0" w:color="auto"/>
              <w:right w:val="nil"/>
            </w:tcBorders>
            <w:vAlign w:val="center"/>
          </w:tcPr>
          <w:p w14:paraId="5704B76C" w14:textId="02AD8383" w:rsidR="00896D99" w:rsidRPr="005A68E6" w:rsidRDefault="00896D99" w:rsidP="00896D99">
            <w:pPr>
              <w:spacing w:line="240" w:lineRule="auto"/>
              <w:ind w:firstLine="0"/>
              <w:jc w:val="left"/>
            </w:pPr>
            <w:r w:rsidRPr="005A68E6">
              <w:rPr>
                <w:lang w:val="en-US"/>
              </w:rPr>
              <w:t>Average time to maturity</w:t>
            </w:r>
            <w:r w:rsidRPr="005A68E6">
              <w:t xml:space="preserve"> (</w:t>
            </w:r>
            <w:r w:rsidRPr="005A68E6">
              <w:rPr>
                <w:lang w:val="en-US"/>
              </w:rPr>
              <w:t>years</w:t>
            </w:r>
            <w:r w:rsidRPr="005A68E6">
              <w:t>)</w:t>
            </w:r>
          </w:p>
        </w:tc>
        <w:tc>
          <w:tcPr>
            <w:tcW w:w="1132" w:type="dxa"/>
            <w:tcBorders>
              <w:left w:val="nil"/>
              <w:bottom w:val="single" w:sz="36" w:space="0" w:color="auto"/>
              <w:right w:val="nil"/>
            </w:tcBorders>
            <w:vAlign w:val="center"/>
          </w:tcPr>
          <w:p w14:paraId="6AFD886B" w14:textId="77777777" w:rsidR="00896D99" w:rsidRPr="005A68E6" w:rsidRDefault="00896D99" w:rsidP="00896D99">
            <w:pPr>
              <w:spacing w:line="240" w:lineRule="auto"/>
              <w:ind w:firstLine="0"/>
              <w:jc w:val="center"/>
            </w:pPr>
            <w:r w:rsidRPr="005A68E6">
              <w:t xml:space="preserve"> 10.3 </w:t>
            </w:r>
          </w:p>
        </w:tc>
        <w:tc>
          <w:tcPr>
            <w:tcW w:w="983" w:type="dxa"/>
            <w:tcBorders>
              <w:left w:val="nil"/>
              <w:bottom w:val="single" w:sz="36" w:space="0" w:color="auto"/>
              <w:right w:val="nil"/>
            </w:tcBorders>
            <w:vAlign w:val="center"/>
          </w:tcPr>
          <w:p w14:paraId="1B675713" w14:textId="77777777" w:rsidR="00896D99" w:rsidRPr="005A68E6" w:rsidRDefault="00896D99" w:rsidP="00896D99">
            <w:pPr>
              <w:spacing w:line="240" w:lineRule="auto"/>
              <w:ind w:firstLine="0"/>
              <w:jc w:val="center"/>
            </w:pPr>
            <w:r w:rsidRPr="005A68E6">
              <w:t xml:space="preserve"> 8.8 </w:t>
            </w:r>
          </w:p>
        </w:tc>
        <w:tc>
          <w:tcPr>
            <w:tcW w:w="1163" w:type="dxa"/>
            <w:tcBorders>
              <w:left w:val="nil"/>
              <w:bottom w:val="single" w:sz="36" w:space="0" w:color="auto"/>
              <w:right w:val="double" w:sz="4" w:space="0" w:color="auto"/>
            </w:tcBorders>
            <w:vAlign w:val="center"/>
          </w:tcPr>
          <w:p w14:paraId="66844473" w14:textId="77777777" w:rsidR="00896D99" w:rsidRPr="005A68E6" w:rsidRDefault="00896D99" w:rsidP="00896D99">
            <w:pPr>
              <w:spacing w:line="240" w:lineRule="auto"/>
              <w:ind w:firstLine="0"/>
              <w:jc w:val="center"/>
            </w:pPr>
            <w:r w:rsidRPr="005A68E6">
              <w:t xml:space="preserve"> 8.6 </w:t>
            </w:r>
          </w:p>
        </w:tc>
        <w:tc>
          <w:tcPr>
            <w:tcW w:w="1080" w:type="dxa"/>
            <w:tcBorders>
              <w:left w:val="double" w:sz="4" w:space="0" w:color="auto"/>
              <w:bottom w:val="single" w:sz="36" w:space="0" w:color="auto"/>
              <w:right w:val="nil"/>
            </w:tcBorders>
            <w:vAlign w:val="center"/>
          </w:tcPr>
          <w:p w14:paraId="7B42D3BA" w14:textId="77777777" w:rsidR="00896D99" w:rsidRPr="005A68E6" w:rsidRDefault="00896D99" w:rsidP="00896D99">
            <w:pPr>
              <w:spacing w:line="240" w:lineRule="auto"/>
              <w:ind w:firstLine="0"/>
              <w:jc w:val="center"/>
            </w:pPr>
            <w:r w:rsidRPr="005A68E6">
              <w:t xml:space="preserve"> 7.9 </w:t>
            </w:r>
          </w:p>
        </w:tc>
        <w:tc>
          <w:tcPr>
            <w:tcW w:w="1053" w:type="dxa"/>
            <w:tcBorders>
              <w:left w:val="nil"/>
              <w:bottom w:val="single" w:sz="36" w:space="0" w:color="auto"/>
              <w:right w:val="nil"/>
            </w:tcBorders>
            <w:vAlign w:val="center"/>
          </w:tcPr>
          <w:p w14:paraId="4DC1929C" w14:textId="77777777" w:rsidR="00896D99" w:rsidRPr="005A68E6" w:rsidRDefault="00896D99" w:rsidP="00896D99">
            <w:pPr>
              <w:spacing w:line="240" w:lineRule="auto"/>
              <w:ind w:firstLine="0"/>
              <w:jc w:val="center"/>
            </w:pPr>
            <w:r w:rsidRPr="005A68E6">
              <w:t xml:space="preserve"> 7.7 </w:t>
            </w:r>
          </w:p>
        </w:tc>
        <w:tc>
          <w:tcPr>
            <w:tcW w:w="1003" w:type="dxa"/>
            <w:tcBorders>
              <w:left w:val="nil"/>
              <w:bottom w:val="single" w:sz="36" w:space="0" w:color="auto"/>
              <w:right w:val="nil"/>
            </w:tcBorders>
            <w:vAlign w:val="center"/>
          </w:tcPr>
          <w:p w14:paraId="1622573F" w14:textId="77777777" w:rsidR="00896D99" w:rsidRPr="005A68E6" w:rsidRDefault="00896D99" w:rsidP="00896D99">
            <w:pPr>
              <w:spacing w:line="240" w:lineRule="auto"/>
              <w:ind w:firstLine="0"/>
              <w:jc w:val="center"/>
            </w:pPr>
            <w:r w:rsidRPr="005A68E6">
              <w:t xml:space="preserve"> 7.8 </w:t>
            </w:r>
          </w:p>
        </w:tc>
        <w:tc>
          <w:tcPr>
            <w:tcW w:w="1028" w:type="dxa"/>
            <w:tcBorders>
              <w:left w:val="nil"/>
              <w:bottom w:val="single" w:sz="36" w:space="0" w:color="auto"/>
              <w:right w:val="nil"/>
            </w:tcBorders>
            <w:vAlign w:val="center"/>
          </w:tcPr>
          <w:p w14:paraId="3E79C6EE" w14:textId="77777777" w:rsidR="00896D99" w:rsidRPr="005A68E6" w:rsidRDefault="00896D99" w:rsidP="00896D99">
            <w:pPr>
              <w:spacing w:line="240" w:lineRule="auto"/>
              <w:ind w:firstLine="0"/>
              <w:jc w:val="center"/>
            </w:pPr>
            <w:r w:rsidRPr="005A68E6">
              <w:t xml:space="preserve"> 7.7 </w:t>
            </w:r>
          </w:p>
        </w:tc>
      </w:tr>
      <w:tr w:rsidR="00896D99" w:rsidRPr="005A68E6" w14:paraId="1EB22C9B" w14:textId="77777777" w:rsidTr="00896D99">
        <w:trPr>
          <w:trHeight w:val="268"/>
          <w:jc w:val="center"/>
        </w:trPr>
        <w:tc>
          <w:tcPr>
            <w:tcW w:w="3022" w:type="dxa"/>
            <w:tcBorders>
              <w:top w:val="single" w:sz="36" w:space="0" w:color="auto"/>
              <w:left w:val="nil"/>
              <w:bottom w:val="single" w:sz="4" w:space="0" w:color="auto"/>
              <w:right w:val="nil"/>
            </w:tcBorders>
            <w:vAlign w:val="center"/>
          </w:tcPr>
          <w:p w14:paraId="5EDE3CD9" w14:textId="3D353E10" w:rsidR="00896D99" w:rsidRPr="005A68E6" w:rsidRDefault="00896D99" w:rsidP="00896D99">
            <w:pPr>
              <w:spacing w:line="240" w:lineRule="auto"/>
              <w:ind w:firstLine="0"/>
              <w:jc w:val="left"/>
            </w:pPr>
            <w:r w:rsidRPr="005A68E6">
              <w:rPr>
                <w:lang w:val="en-US"/>
              </w:rPr>
              <w:t>Foreign Currency Denominated Government Bonds</w:t>
            </w:r>
            <w:r w:rsidRPr="005A68E6">
              <w:t xml:space="preserve">, </w:t>
            </w:r>
            <w:r w:rsidRPr="005A68E6">
              <w:rPr>
                <w:lang w:val="en-US"/>
              </w:rPr>
              <w:t>USD million</w:t>
            </w:r>
          </w:p>
        </w:tc>
        <w:tc>
          <w:tcPr>
            <w:tcW w:w="1132" w:type="dxa"/>
            <w:tcBorders>
              <w:top w:val="single" w:sz="36" w:space="0" w:color="auto"/>
              <w:left w:val="nil"/>
              <w:bottom w:val="single" w:sz="4" w:space="0" w:color="auto"/>
              <w:right w:val="nil"/>
            </w:tcBorders>
            <w:vAlign w:val="center"/>
          </w:tcPr>
          <w:p w14:paraId="0ED144E6" w14:textId="77777777" w:rsidR="00896D99" w:rsidRPr="005A68E6" w:rsidRDefault="00896D99" w:rsidP="00896D99">
            <w:pPr>
              <w:spacing w:line="240" w:lineRule="auto"/>
              <w:ind w:firstLine="0"/>
              <w:jc w:val="center"/>
            </w:pPr>
            <w:r w:rsidRPr="005A68E6">
              <w:t xml:space="preserve"> 1,750.0 </w:t>
            </w:r>
          </w:p>
        </w:tc>
        <w:tc>
          <w:tcPr>
            <w:tcW w:w="983" w:type="dxa"/>
            <w:tcBorders>
              <w:top w:val="single" w:sz="36" w:space="0" w:color="auto"/>
              <w:left w:val="nil"/>
              <w:bottom w:val="single" w:sz="4" w:space="0" w:color="auto"/>
              <w:right w:val="nil"/>
            </w:tcBorders>
            <w:vAlign w:val="center"/>
          </w:tcPr>
          <w:p w14:paraId="0D4CECE5" w14:textId="77777777" w:rsidR="00896D99" w:rsidRPr="005A68E6" w:rsidRDefault="00896D99" w:rsidP="00896D99">
            <w:pPr>
              <w:spacing w:line="240" w:lineRule="auto"/>
              <w:ind w:firstLine="0"/>
              <w:jc w:val="center"/>
            </w:pPr>
            <w:r w:rsidRPr="005A68E6">
              <w:t xml:space="preserve">1,750.0 </w:t>
            </w:r>
          </w:p>
        </w:tc>
        <w:tc>
          <w:tcPr>
            <w:tcW w:w="1163" w:type="dxa"/>
            <w:tcBorders>
              <w:top w:val="single" w:sz="36" w:space="0" w:color="auto"/>
              <w:left w:val="nil"/>
              <w:bottom w:val="single" w:sz="4" w:space="0" w:color="auto"/>
              <w:right w:val="double" w:sz="4" w:space="0" w:color="auto"/>
            </w:tcBorders>
            <w:vAlign w:val="center"/>
          </w:tcPr>
          <w:p w14:paraId="5B28CFA7" w14:textId="77777777" w:rsidR="00896D99" w:rsidRPr="005A68E6" w:rsidRDefault="00896D99" w:rsidP="00896D99">
            <w:pPr>
              <w:spacing w:line="240" w:lineRule="auto"/>
              <w:ind w:firstLine="0"/>
              <w:jc w:val="center"/>
            </w:pPr>
            <w:r w:rsidRPr="005A68E6">
              <w:t xml:space="preserve"> 1,750.0 </w:t>
            </w:r>
          </w:p>
        </w:tc>
        <w:tc>
          <w:tcPr>
            <w:tcW w:w="1080" w:type="dxa"/>
            <w:tcBorders>
              <w:top w:val="single" w:sz="36" w:space="0" w:color="auto"/>
              <w:left w:val="double" w:sz="4" w:space="0" w:color="auto"/>
              <w:bottom w:val="single" w:sz="4" w:space="0" w:color="auto"/>
              <w:right w:val="nil"/>
            </w:tcBorders>
            <w:vAlign w:val="center"/>
          </w:tcPr>
          <w:p w14:paraId="47B317ED" w14:textId="77777777" w:rsidR="00896D99" w:rsidRPr="005A68E6" w:rsidRDefault="00896D99" w:rsidP="00896D99">
            <w:pPr>
              <w:spacing w:line="240" w:lineRule="auto"/>
              <w:ind w:firstLine="0"/>
              <w:jc w:val="center"/>
            </w:pPr>
            <w:r w:rsidRPr="005A68E6">
              <w:t xml:space="preserve"> 1,750.0 </w:t>
            </w:r>
          </w:p>
        </w:tc>
        <w:tc>
          <w:tcPr>
            <w:tcW w:w="1053" w:type="dxa"/>
            <w:tcBorders>
              <w:top w:val="single" w:sz="36" w:space="0" w:color="auto"/>
              <w:left w:val="nil"/>
              <w:bottom w:val="single" w:sz="4" w:space="0" w:color="auto"/>
              <w:right w:val="nil"/>
            </w:tcBorders>
            <w:vAlign w:val="center"/>
          </w:tcPr>
          <w:p w14:paraId="3CA9CC45" w14:textId="77777777" w:rsidR="00896D99" w:rsidRPr="005A68E6" w:rsidRDefault="00896D99" w:rsidP="00896D99">
            <w:pPr>
              <w:spacing w:line="240" w:lineRule="auto"/>
              <w:ind w:firstLine="0"/>
              <w:jc w:val="center"/>
            </w:pPr>
            <w:r w:rsidRPr="005A68E6">
              <w:t xml:space="preserve">1,750.0 </w:t>
            </w:r>
          </w:p>
        </w:tc>
        <w:tc>
          <w:tcPr>
            <w:tcW w:w="1003" w:type="dxa"/>
            <w:tcBorders>
              <w:top w:val="single" w:sz="36" w:space="0" w:color="auto"/>
              <w:left w:val="nil"/>
              <w:bottom w:val="single" w:sz="4" w:space="0" w:color="auto"/>
              <w:right w:val="nil"/>
            </w:tcBorders>
            <w:vAlign w:val="center"/>
          </w:tcPr>
          <w:p w14:paraId="590E3F7E" w14:textId="77777777" w:rsidR="00896D99" w:rsidRPr="005A68E6" w:rsidRDefault="00896D99" w:rsidP="00896D99">
            <w:pPr>
              <w:spacing w:line="240" w:lineRule="auto"/>
              <w:ind w:firstLine="0"/>
              <w:jc w:val="center"/>
            </w:pPr>
            <w:r w:rsidRPr="005A68E6">
              <w:t xml:space="preserve">1,750.0 </w:t>
            </w:r>
          </w:p>
        </w:tc>
        <w:tc>
          <w:tcPr>
            <w:tcW w:w="1028" w:type="dxa"/>
            <w:tcBorders>
              <w:top w:val="single" w:sz="36" w:space="0" w:color="auto"/>
              <w:left w:val="nil"/>
              <w:bottom w:val="single" w:sz="4" w:space="0" w:color="auto"/>
              <w:right w:val="nil"/>
            </w:tcBorders>
            <w:vAlign w:val="center"/>
          </w:tcPr>
          <w:p w14:paraId="12A6A91B" w14:textId="77777777" w:rsidR="00896D99" w:rsidRPr="005A68E6" w:rsidRDefault="00896D99" w:rsidP="00896D99">
            <w:pPr>
              <w:spacing w:line="240" w:lineRule="auto"/>
              <w:ind w:firstLine="0"/>
              <w:jc w:val="center"/>
            </w:pPr>
            <w:r w:rsidRPr="005A68E6">
              <w:t xml:space="preserve"> 1,750.0 </w:t>
            </w:r>
          </w:p>
        </w:tc>
      </w:tr>
      <w:tr w:rsidR="00896D99" w:rsidRPr="005A68E6" w14:paraId="03D60D18" w14:textId="77777777" w:rsidTr="00896D99">
        <w:trPr>
          <w:trHeight w:val="142"/>
          <w:jc w:val="center"/>
        </w:trPr>
        <w:tc>
          <w:tcPr>
            <w:tcW w:w="3022" w:type="dxa"/>
            <w:tcBorders>
              <w:left w:val="nil"/>
              <w:bottom w:val="single" w:sz="12" w:space="0" w:color="auto"/>
              <w:right w:val="nil"/>
            </w:tcBorders>
            <w:vAlign w:val="center"/>
          </w:tcPr>
          <w:p w14:paraId="3465E7D6" w14:textId="5269ABAB" w:rsidR="00896D99" w:rsidRPr="005A68E6" w:rsidRDefault="00896D99" w:rsidP="00896D99">
            <w:pPr>
              <w:spacing w:line="240" w:lineRule="auto"/>
              <w:ind w:firstLine="0"/>
              <w:jc w:val="left"/>
            </w:pPr>
            <w:r w:rsidRPr="005A68E6">
              <w:t xml:space="preserve">% </w:t>
            </w:r>
            <w:r w:rsidRPr="005A68E6">
              <w:rPr>
                <w:lang w:val="en-US"/>
              </w:rPr>
              <w:t>of GDP</w:t>
            </w:r>
          </w:p>
        </w:tc>
        <w:tc>
          <w:tcPr>
            <w:tcW w:w="1132" w:type="dxa"/>
            <w:tcBorders>
              <w:left w:val="nil"/>
              <w:bottom w:val="single" w:sz="12" w:space="0" w:color="auto"/>
              <w:right w:val="nil"/>
            </w:tcBorders>
            <w:vAlign w:val="center"/>
          </w:tcPr>
          <w:p w14:paraId="447BD90E" w14:textId="77777777" w:rsidR="00896D99" w:rsidRPr="005A68E6" w:rsidRDefault="00896D99" w:rsidP="00896D99">
            <w:pPr>
              <w:spacing w:line="240" w:lineRule="auto"/>
              <w:ind w:firstLine="0"/>
              <w:jc w:val="center"/>
            </w:pPr>
            <w:r w:rsidRPr="005A68E6">
              <w:t xml:space="preserve"> 12.0 </w:t>
            </w:r>
          </w:p>
        </w:tc>
        <w:tc>
          <w:tcPr>
            <w:tcW w:w="983" w:type="dxa"/>
            <w:tcBorders>
              <w:left w:val="nil"/>
              <w:bottom w:val="single" w:sz="12" w:space="0" w:color="auto"/>
              <w:right w:val="nil"/>
            </w:tcBorders>
            <w:vAlign w:val="center"/>
          </w:tcPr>
          <w:p w14:paraId="5E42BF88" w14:textId="77777777" w:rsidR="00896D99" w:rsidRPr="005A68E6" w:rsidRDefault="00896D99" w:rsidP="00896D99">
            <w:pPr>
              <w:spacing w:line="240" w:lineRule="auto"/>
              <w:ind w:firstLine="0"/>
              <w:jc w:val="center"/>
            </w:pPr>
            <w:r w:rsidRPr="005A68E6">
              <w:t xml:space="preserve"> 8.1 </w:t>
            </w:r>
          </w:p>
        </w:tc>
        <w:tc>
          <w:tcPr>
            <w:tcW w:w="1163" w:type="dxa"/>
            <w:tcBorders>
              <w:left w:val="nil"/>
              <w:bottom w:val="single" w:sz="12" w:space="0" w:color="auto"/>
              <w:right w:val="double" w:sz="4" w:space="0" w:color="auto"/>
            </w:tcBorders>
            <w:vAlign w:val="center"/>
          </w:tcPr>
          <w:p w14:paraId="41BAAF41" w14:textId="77777777" w:rsidR="00896D99" w:rsidRPr="005A68E6" w:rsidRDefault="00896D99" w:rsidP="00896D99">
            <w:pPr>
              <w:spacing w:line="240" w:lineRule="auto"/>
              <w:ind w:firstLine="0"/>
              <w:jc w:val="center"/>
            </w:pPr>
            <w:r w:rsidRPr="005A68E6">
              <w:t xml:space="preserve"> 8.2 </w:t>
            </w:r>
          </w:p>
        </w:tc>
        <w:tc>
          <w:tcPr>
            <w:tcW w:w="1080" w:type="dxa"/>
            <w:tcBorders>
              <w:left w:val="double" w:sz="4" w:space="0" w:color="auto"/>
              <w:bottom w:val="single" w:sz="12" w:space="0" w:color="auto"/>
              <w:right w:val="nil"/>
            </w:tcBorders>
            <w:vAlign w:val="center"/>
          </w:tcPr>
          <w:p w14:paraId="31E22B34" w14:textId="77777777" w:rsidR="00896D99" w:rsidRPr="005A68E6" w:rsidRDefault="00896D99" w:rsidP="00896D99">
            <w:pPr>
              <w:spacing w:line="240" w:lineRule="auto"/>
              <w:ind w:firstLine="0"/>
              <w:jc w:val="center"/>
            </w:pPr>
            <w:r w:rsidRPr="005A68E6">
              <w:t xml:space="preserve"> 8.0 </w:t>
            </w:r>
          </w:p>
        </w:tc>
        <w:tc>
          <w:tcPr>
            <w:tcW w:w="1053" w:type="dxa"/>
            <w:tcBorders>
              <w:left w:val="nil"/>
              <w:bottom w:val="single" w:sz="12" w:space="0" w:color="auto"/>
              <w:right w:val="nil"/>
            </w:tcBorders>
            <w:vAlign w:val="center"/>
          </w:tcPr>
          <w:p w14:paraId="4CA03485" w14:textId="77777777" w:rsidR="00896D99" w:rsidRPr="005A68E6" w:rsidRDefault="00896D99" w:rsidP="00896D99">
            <w:pPr>
              <w:spacing w:line="240" w:lineRule="auto"/>
              <w:ind w:firstLine="0"/>
              <w:jc w:val="center"/>
            </w:pPr>
            <w:r w:rsidRPr="005A68E6">
              <w:t xml:space="preserve"> 7.4 </w:t>
            </w:r>
          </w:p>
        </w:tc>
        <w:tc>
          <w:tcPr>
            <w:tcW w:w="1003" w:type="dxa"/>
            <w:tcBorders>
              <w:left w:val="nil"/>
              <w:bottom w:val="single" w:sz="12" w:space="0" w:color="auto"/>
              <w:right w:val="nil"/>
            </w:tcBorders>
            <w:vAlign w:val="center"/>
          </w:tcPr>
          <w:p w14:paraId="390BA8DC" w14:textId="77777777" w:rsidR="00896D99" w:rsidRPr="005A68E6" w:rsidRDefault="00896D99" w:rsidP="00896D99">
            <w:pPr>
              <w:spacing w:line="240" w:lineRule="auto"/>
              <w:ind w:firstLine="0"/>
              <w:jc w:val="center"/>
            </w:pPr>
            <w:r w:rsidRPr="005A68E6">
              <w:t xml:space="preserve"> 6.9 </w:t>
            </w:r>
          </w:p>
        </w:tc>
        <w:tc>
          <w:tcPr>
            <w:tcW w:w="1028" w:type="dxa"/>
            <w:tcBorders>
              <w:left w:val="nil"/>
              <w:bottom w:val="single" w:sz="12" w:space="0" w:color="auto"/>
              <w:right w:val="nil"/>
            </w:tcBorders>
            <w:vAlign w:val="center"/>
          </w:tcPr>
          <w:p w14:paraId="0F59D1E6" w14:textId="77777777" w:rsidR="00896D99" w:rsidRPr="005A68E6" w:rsidRDefault="00896D99" w:rsidP="00896D99">
            <w:pPr>
              <w:spacing w:line="240" w:lineRule="auto"/>
              <w:ind w:firstLine="0"/>
              <w:jc w:val="center"/>
            </w:pPr>
            <w:r w:rsidRPr="005A68E6">
              <w:t xml:space="preserve"> 6.3 </w:t>
            </w:r>
          </w:p>
        </w:tc>
      </w:tr>
      <w:tr w:rsidR="00896D99" w:rsidRPr="005A68E6" w14:paraId="158B0A8B" w14:textId="77777777" w:rsidTr="00896D99">
        <w:trPr>
          <w:trHeight w:val="142"/>
          <w:jc w:val="center"/>
        </w:trPr>
        <w:tc>
          <w:tcPr>
            <w:tcW w:w="3022" w:type="dxa"/>
            <w:tcBorders>
              <w:top w:val="single" w:sz="12" w:space="0" w:color="auto"/>
              <w:left w:val="nil"/>
              <w:right w:val="nil"/>
            </w:tcBorders>
            <w:vAlign w:val="center"/>
          </w:tcPr>
          <w:p w14:paraId="45C10F76" w14:textId="7AE4EC35" w:rsidR="00896D99" w:rsidRPr="005A68E6" w:rsidRDefault="00896D99" w:rsidP="00896D99">
            <w:pPr>
              <w:spacing w:line="240" w:lineRule="auto"/>
              <w:ind w:firstLine="0"/>
              <w:jc w:val="left"/>
            </w:pPr>
            <w:r w:rsidRPr="005A68E6">
              <w:rPr>
                <w:lang w:val="en-US"/>
              </w:rPr>
              <w:t>Average interest rate</w:t>
            </w:r>
            <w:r w:rsidRPr="005A68E6">
              <w:t xml:space="preserve"> (%)</w:t>
            </w:r>
          </w:p>
        </w:tc>
        <w:tc>
          <w:tcPr>
            <w:tcW w:w="1132" w:type="dxa"/>
            <w:tcBorders>
              <w:top w:val="single" w:sz="12" w:space="0" w:color="auto"/>
              <w:left w:val="nil"/>
              <w:right w:val="nil"/>
            </w:tcBorders>
            <w:vAlign w:val="center"/>
          </w:tcPr>
          <w:p w14:paraId="1A7AEF1F" w14:textId="77777777" w:rsidR="00896D99" w:rsidRPr="005A68E6" w:rsidRDefault="00896D99" w:rsidP="00896D99">
            <w:pPr>
              <w:spacing w:line="240" w:lineRule="auto"/>
              <w:ind w:firstLine="0"/>
              <w:jc w:val="center"/>
            </w:pPr>
            <w:r w:rsidRPr="005A68E6">
              <w:t xml:space="preserve"> 5.0 </w:t>
            </w:r>
          </w:p>
        </w:tc>
        <w:tc>
          <w:tcPr>
            <w:tcW w:w="983" w:type="dxa"/>
            <w:tcBorders>
              <w:top w:val="single" w:sz="12" w:space="0" w:color="auto"/>
              <w:left w:val="nil"/>
              <w:right w:val="nil"/>
            </w:tcBorders>
            <w:vAlign w:val="center"/>
          </w:tcPr>
          <w:p w14:paraId="79343626" w14:textId="77777777" w:rsidR="00896D99" w:rsidRPr="005A68E6" w:rsidRDefault="00896D99" w:rsidP="00896D99">
            <w:pPr>
              <w:spacing w:line="240" w:lineRule="auto"/>
              <w:ind w:firstLine="0"/>
              <w:jc w:val="center"/>
            </w:pPr>
            <w:r w:rsidRPr="005A68E6">
              <w:t xml:space="preserve"> 5.0 </w:t>
            </w:r>
          </w:p>
        </w:tc>
        <w:tc>
          <w:tcPr>
            <w:tcW w:w="1163" w:type="dxa"/>
            <w:tcBorders>
              <w:top w:val="single" w:sz="12" w:space="0" w:color="auto"/>
              <w:left w:val="nil"/>
              <w:right w:val="double" w:sz="4" w:space="0" w:color="auto"/>
            </w:tcBorders>
            <w:vAlign w:val="center"/>
          </w:tcPr>
          <w:p w14:paraId="630E515B" w14:textId="77777777" w:rsidR="00896D99" w:rsidRPr="005A68E6" w:rsidRDefault="00896D99" w:rsidP="00896D99">
            <w:pPr>
              <w:spacing w:line="240" w:lineRule="auto"/>
              <w:ind w:firstLine="0"/>
              <w:jc w:val="center"/>
            </w:pPr>
            <w:r w:rsidRPr="005A68E6">
              <w:t xml:space="preserve"> 5.0 </w:t>
            </w:r>
          </w:p>
        </w:tc>
        <w:tc>
          <w:tcPr>
            <w:tcW w:w="1080" w:type="dxa"/>
            <w:tcBorders>
              <w:top w:val="single" w:sz="12" w:space="0" w:color="auto"/>
              <w:left w:val="double" w:sz="4" w:space="0" w:color="auto"/>
              <w:right w:val="nil"/>
            </w:tcBorders>
            <w:vAlign w:val="center"/>
          </w:tcPr>
          <w:p w14:paraId="3753EC25" w14:textId="77777777" w:rsidR="00896D99" w:rsidRPr="005A68E6" w:rsidRDefault="00896D99" w:rsidP="00896D99">
            <w:pPr>
              <w:spacing w:line="240" w:lineRule="auto"/>
              <w:ind w:firstLine="0"/>
              <w:jc w:val="center"/>
            </w:pPr>
            <w:r w:rsidRPr="005A68E6">
              <w:t xml:space="preserve"> 5.0 </w:t>
            </w:r>
          </w:p>
        </w:tc>
        <w:tc>
          <w:tcPr>
            <w:tcW w:w="1053" w:type="dxa"/>
            <w:tcBorders>
              <w:top w:val="single" w:sz="12" w:space="0" w:color="auto"/>
              <w:left w:val="nil"/>
              <w:right w:val="nil"/>
            </w:tcBorders>
            <w:vAlign w:val="center"/>
          </w:tcPr>
          <w:p w14:paraId="29972A59" w14:textId="77777777" w:rsidR="00896D99" w:rsidRPr="005A68E6" w:rsidRDefault="00896D99" w:rsidP="00896D99">
            <w:pPr>
              <w:spacing w:line="240" w:lineRule="auto"/>
              <w:ind w:firstLine="0"/>
              <w:jc w:val="center"/>
            </w:pPr>
            <w:r w:rsidRPr="005A68E6">
              <w:t xml:space="preserve"> 5.0 </w:t>
            </w:r>
          </w:p>
        </w:tc>
        <w:tc>
          <w:tcPr>
            <w:tcW w:w="1003" w:type="dxa"/>
            <w:tcBorders>
              <w:top w:val="single" w:sz="12" w:space="0" w:color="auto"/>
              <w:left w:val="nil"/>
              <w:right w:val="nil"/>
            </w:tcBorders>
            <w:vAlign w:val="center"/>
          </w:tcPr>
          <w:p w14:paraId="2740692E" w14:textId="77777777" w:rsidR="00896D99" w:rsidRPr="005A68E6" w:rsidRDefault="00896D99" w:rsidP="00896D99">
            <w:pPr>
              <w:spacing w:line="240" w:lineRule="auto"/>
              <w:ind w:firstLine="0"/>
              <w:jc w:val="center"/>
            </w:pPr>
            <w:r w:rsidRPr="005A68E6">
              <w:t xml:space="preserve"> 5.1 </w:t>
            </w:r>
          </w:p>
        </w:tc>
        <w:tc>
          <w:tcPr>
            <w:tcW w:w="1028" w:type="dxa"/>
            <w:tcBorders>
              <w:top w:val="single" w:sz="12" w:space="0" w:color="auto"/>
              <w:left w:val="nil"/>
              <w:right w:val="nil"/>
            </w:tcBorders>
            <w:vAlign w:val="center"/>
          </w:tcPr>
          <w:p w14:paraId="6D0FE32C" w14:textId="77777777" w:rsidR="00896D99" w:rsidRPr="005A68E6" w:rsidRDefault="00896D99" w:rsidP="00896D99">
            <w:pPr>
              <w:spacing w:line="240" w:lineRule="auto"/>
              <w:ind w:firstLine="0"/>
              <w:jc w:val="center"/>
            </w:pPr>
            <w:r w:rsidRPr="005A68E6">
              <w:t xml:space="preserve"> 5.1 </w:t>
            </w:r>
          </w:p>
        </w:tc>
      </w:tr>
      <w:tr w:rsidR="00896D99" w:rsidRPr="005A68E6" w14:paraId="1EE74C3C" w14:textId="77777777" w:rsidTr="00896D99">
        <w:trPr>
          <w:trHeight w:val="36"/>
          <w:jc w:val="center"/>
        </w:trPr>
        <w:tc>
          <w:tcPr>
            <w:tcW w:w="3022" w:type="dxa"/>
            <w:tcBorders>
              <w:left w:val="nil"/>
              <w:bottom w:val="thickThinSmallGap" w:sz="24" w:space="0" w:color="auto"/>
              <w:right w:val="nil"/>
            </w:tcBorders>
            <w:vAlign w:val="center"/>
          </w:tcPr>
          <w:p w14:paraId="12203E35" w14:textId="231CE05F" w:rsidR="00896D99" w:rsidRPr="005A68E6" w:rsidRDefault="00896D99" w:rsidP="00896D99">
            <w:pPr>
              <w:spacing w:line="240" w:lineRule="auto"/>
              <w:ind w:firstLine="0"/>
              <w:jc w:val="left"/>
            </w:pPr>
            <w:r w:rsidRPr="005A68E6">
              <w:rPr>
                <w:lang w:val="en-US"/>
              </w:rPr>
              <w:t>Average time to maturity</w:t>
            </w:r>
            <w:r w:rsidRPr="005A68E6">
              <w:t xml:space="preserve"> (</w:t>
            </w:r>
            <w:r w:rsidRPr="005A68E6">
              <w:rPr>
                <w:lang w:val="en-US"/>
              </w:rPr>
              <w:t>years</w:t>
            </w:r>
            <w:r w:rsidRPr="005A68E6">
              <w:t>)</w:t>
            </w:r>
          </w:p>
        </w:tc>
        <w:tc>
          <w:tcPr>
            <w:tcW w:w="1132" w:type="dxa"/>
            <w:tcBorders>
              <w:left w:val="nil"/>
              <w:bottom w:val="thickThinSmallGap" w:sz="24" w:space="0" w:color="auto"/>
              <w:right w:val="nil"/>
            </w:tcBorders>
            <w:vAlign w:val="center"/>
          </w:tcPr>
          <w:p w14:paraId="79FF2435" w14:textId="77777777" w:rsidR="00896D99" w:rsidRPr="005A68E6" w:rsidRDefault="00896D99" w:rsidP="00896D99">
            <w:pPr>
              <w:spacing w:line="240" w:lineRule="auto"/>
              <w:ind w:firstLine="0"/>
              <w:jc w:val="center"/>
            </w:pPr>
            <w:r w:rsidRPr="005A68E6">
              <w:t xml:space="preserve"> 7.0 </w:t>
            </w:r>
          </w:p>
        </w:tc>
        <w:tc>
          <w:tcPr>
            <w:tcW w:w="983" w:type="dxa"/>
            <w:tcBorders>
              <w:left w:val="nil"/>
              <w:bottom w:val="thickThinSmallGap" w:sz="24" w:space="0" w:color="auto"/>
              <w:right w:val="nil"/>
            </w:tcBorders>
            <w:vAlign w:val="center"/>
          </w:tcPr>
          <w:p w14:paraId="4C1D04DB" w14:textId="77777777" w:rsidR="00896D99" w:rsidRPr="005A68E6" w:rsidRDefault="00896D99" w:rsidP="00896D99">
            <w:pPr>
              <w:spacing w:line="240" w:lineRule="auto"/>
              <w:ind w:firstLine="0"/>
              <w:jc w:val="center"/>
            </w:pPr>
            <w:r w:rsidRPr="005A68E6">
              <w:t xml:space="preserve"> 6.0 </w:t>
            </w:r>
          </w:p>
        </w:tc>
        <w:tc>
          <w:tcPr>
            <w:tcW w:w="1163" w:type="dxa"/>
            <w:tcBorders>
              <w:left w:val="nil"/>
              <w:bottom w:val="thickThinSmallGap" w:sz="24" w:space="0" w:color="auto"/>
              <w:right w:val="double" w:sz="4" w:space="0" w:color="auto"/>
            </w:tcBorders>
            <w:vAlign w:val="center"/>
          </w:tcPr>
          <w:p w14:paraId="10502C4A" w14:textId="77777777" w:rsidR="00896D99" w:rsidRPr="005A68E6" w:rsidRDefault="00896D99" w:rsidP="00896D99">
            <w:pPr>
              <w:spacing w:line="240" w:lineRule="auto"/>
              <w:ind w:firstLine="0"/>
              <w:jc w:val="center"/>
            </w:pPr>
            <w:r w:rsidRPr="005A68E6">
              <w:t xml:space="preserve"> 5.0 </w:t>
            </w:r>
          </w:p>
        </w:tc>
        <w:tc>
          <w:tcPr>
            <w:tcW w:w="1080" w:type="dxa"/>
            <w:tcBorders>
              <w:left w:val="double" w:sz="4" w:space="0" w:color="auto"/>
              <w:bottom w:val="thickThinSmallGap" w:sz="24" w:space="0" w:color="auto"/>
              <w:right w:val="nil"/>
            </w:tcBorders>
            <w:vAlign w:val="center"/>
          </w:tcPr>
          <w:p w14:paraId="6EBFC77B" w14:textId="77777777" w:rsidR="00896D99" w:rsidRPr="005A68E6" w:rsidRDefault="00896D99" w:rsidP="00896D99">
            <w:pPr>
              <w:spacing w:line="240" w:lineRule="auto"/>
              <w:ind w:firstLine="0"/>
              <w:jc w:val="center"/>
            </w:pPr>
            <w:r w:rsidRPr="005A68E6">
              <w:t xml:space="preserve"> 5.0 </w:t>
            </w:r>
          </w:p>
        </w:tc>
        <w:tc>
          <w:tcPr>
            <w:tcW w:w="1053" w:type="dxa"/>
            <w:tcBorders>
              <w:left w:val="nil"/>
              <w:bottom w:val="thickThinSmallGap" w:sz="24" w:space="0" w:color="auto"/>
              <w:right w:val="nil"/>
            </w:tcBorders>
            <w:vAlign w:val="center"/>
          </w:tcPr>
          <w:p w14:paraId="4E54A727" w14:textId="77777777" w:rsidR="00896D99" w:rsidRPr="005A68E6" w:rsidRDefault="00896D99" w:rsidP="00896D99">
            <w:pPr>
              <w:spacing w:line="240" w:lineRule="auto"/>
              <w:ind w:firstLine="0"/>
              <w:jc w:val="center"/>
            </w:pPr>
            <w:r w:rsidRPr="005A68E6">
              <w:t xml:space="preserve"> 4.0 </w:t>
            </w:r>
          </w:p>
        </w:tc>
        <w:tc>
          <w:tcPr>
            <w:tcW w:w="1003" w:type="dxa"/>
            <w:tcBorders>
              <w:left w:val="nil"/>
              <w:bottom w:val="thickThinSmallGap" w:sz="24" w:space="0" w:color="auto"/>
              <w:right w:val="nil"/>
            </w:tcBorders>
            <w:vAlign w:val="center"/>
          </w:tcPr>
          <w:p w14:paraId="209D6B8C" w14:textId="77777777" w:rsidR="00896D99" w:rsidRPr="005A68E6" w:rsidRDefault="00896D99" w:rsidP="00896D99">
            <w:pPr>
              <w:spacing w:line="240" w:lineRule="auto"/>
              <w:ind w:firstLine="0"/>
              <w:jc w:val="center"/>
            </w:pPr>
            <w:r w:rsidRPr="005A68E6">
              <w:t xml:space="preserve"> 5.9 </w:t>
            </w:r>
          </w:p>
        </w:tc>
        <w:tc>
          <w:tcPr>
            <w:tcW w:w="1028" w:type="dxa"/>
            <w:tcBorders>
              <w:left w:val="nil"/>
              <w:bottom w:val="thickThinSmallGap" w:sz="24" w:space="0" w:color="auto"/>
              <w:right w:val="nil"/>
            </w:tcBorders>
            <w:vAlign w:val="center"/>
          </w:tcPr>
          <w:p w14:paraId="52338E4F" w14:textId="77777777" w:rsidR="00896D99" w:rsidRPr="005A68E6" w:rsidRDefault="00896D99" w:rsidP="00896D99">
            <w:pPr>
              <w:spacing w:line="240" w:lineRule="auto"/>
              <w:ind w:firstLine="0"/>
              <w:jc w:val="center"/>
            </w:pPr>
            <w:r w:rsidRPr="005A68E6">
              <w:t xml:space="preserve"> 4.9 </w:t>
            </w:r>
          </w:p>
        </w:tc>
      </w:tr>
    </w:tbl>
    <w:p w14:paraId="22982E38" w14:textId="0E6A4BE2" w:rsidR="00896D99" w:rsidRDefault="007E48F5" w:rsidP="00581010">
      <w:pPr>
        <w:pStyle w:val="af6"/>
        <w:spacing w:before="120" w:after="0"/>
        <w:rPr>
          <w:sz w:val="18"/>
        </w:rPr>
      </w:pPr>
      <w:r w:rsidRPr="005A68E6">
        <w:rPr>
          <w:sz w:val="18"/>
          <w:lang w:val="en-US"/>
        </w:rPr>
        <w:t>Source: RA MoF calculations and forecasts</w:t>
      </w:r>
      <w:r w:rsidRPr="005A68E6" w:rsidDel="007E48F5">
        <w:rPr>
          <w:sz w:val="18"/>
        </w:rPr>
        <w:t xml:space="preserve"> </w:t>
      </w:r>
    </w:p>
    <w:p w14:paraId="1EEDDB38" w14:textId="77777777" w:rsidR="005A68E6" w:rsidRPr="005A68E6" w:rsidRDefault="005A68E6" w:rsidP="00581010">
      <w:pPr>
        <w:pStyle w:val="af6"/>
        <w:spacing w:before="120" w:after="0"/>
        <w:rPr>
          <w:sz w:val="18"/>
        </w:rPr>
      </w:pPr>
    </w:p>
    <w:p w14:paraId="0776171C" w14:textId="7A001335" w:rsidR="009B1EFD" w:rsidRPr="005A68E6" w:rsidRDefault="009B1EFD" w:rsidP="005A68E6">
      <w:pPr>
        <w:pStyle w:val="af6"/>
        <w:numPr>
          <w:ilvl w:val="0"/>
          <w:numId w:val="35"/>
        </w:numPr>
        <w:spacing w:before="360" w:after="240"/>
        <w:ind w:left="1276" w:hanging="1276"/>
        <w:rPr>
          <w:rStyle w:val="Emphasis"/>
          <w:rFonts w:cs="Cambria"/>
          <w:i/>
        </w:rPr>
      </w:pPr>
      <w:r w:rsidRPr="005A68E6">
        <w:rPr>
          <w:rStyle w:val="Emphasis"/>
          <w:rFonts w:cs="Cambria"/>
          <w:i/>
        </w:rPr>
        <w:t xml:space="preserve">Indicators for </w:t>
      </w:r>
      <w:r w:rsidR="004D6547" w:rsidRPr="005A68E6">
        <w:rPr>
          <w:rStyle w:val="Emphasis"/>
          <w:rFonts w:cs="Cambria"/>
          <w:i/>
          <w:lang w:val="en-US"/>
        </w:rPr>
        <w:t xml:space="preserve">the </w:t>
      </w:r>
      <w:r w:rsidRPr="005A68E6">
        <w:rPr>
          <w:rStyle w:val="Emphasis"/>
          <w:rFonts w:cs="Cambria"/>
          <w:i/>
        </w:rPr>
        <w:t>RA Government loans and credits for 202</w:t>
      </w:r>
      <w:r w:rsidRPr="005A68E6">
        <w:rPr>
          <w:rStyle w:val="Emphasis"/>
          <w:rFonts w:cs="Cambria"/>
          <w:i/>
          <w:lang w:val="en-US"/>
        </w:rPr>
        <w:t>1</w:t>
      </w:r>
      <w:r w:rsidRPr="005A68E6">
        <w:rPr>
          <w:rStyle w:val="Emphasis"/>
          <w:rFonts w:cs="Cambria"/>
          <w:i/>
        </w:rPr>
        <w:t>-202</w:t>
      </w:r>
      <w:r w:rsidRPr="005A68E6">
        <w:rPr>
          <w:rStyle w:val="Emphasis"/>
          <w:rFonts w:cs="Cambria"/>
          <w:i/>
          <w:lang w:val="en-US"/>
        </w:rPr>
        <w:t>6</w:t>
      </w:r>
      <w:r w:rsidRPr="005A68E6">
        <w:rPr>
          <w:rStyle w:val="Emphasis"/>
          <w:rFonts w:cs="Cambria"/>
          <w:i/>
        </w:rPr>
        <w:t xml:space="preserve"> (USD million)</w:t>
      </w: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7"/>
        <w:gridCol w:w="1196"/>
        <w:gridCol w:w="1071"/>
        <w:gridCol w:w="1193"/>
        <w:gridCol w:w="1127"/>
        <w:gridCol w:w="1016"/>
        <w:gridCol w:w="1055"/>
        <w:gridCol w:w="1018"/>
      </w:tblGrid>
      <w:tr w:rsidR="009B1EFD" w:rsidRPr="005A68E6" w14:paraId="3259A362" w14:textId="77777777" w:rsidTr="00D76EC5">
        <w:trPr>
          <w:trHeight w:val="708"/>
          <w:tblHeader/>
          <w:jc w:val="center"/>
        </w:trPr>
        <w:tc>
          <w:tcPr>
            <w:tcW w:w="2877" w:type="dxa"/>
            <w:tcBorders>
              <w:top w:val="thinThickThinSmallGap" w:sz="24" w:space="0" w:color="auto"/>
              <w:left w:val="nil"/>
              <w:bottom w:val="thinThickSmallGap" w:sz="24" w:space="0" w:color="auto"/>
              <w:right w:val="nil"/>
            </w:tcBorders>
            <w:shd w:val="clear" w:color="auto" w:fill="5B9BD5"/>
            <w:vAlign w:val="center"/>
          </w:tcPr>
          <w:p w14:paraId="66865B67" w14:textId="77777777" w:rsidR="009B1EFD" w:rsidRPr="005A68E6" w:rsidRDefault="009B1EFD" w:rsidP="009B1EFD">
            <w:pPr>
              <w:spacing w:line="240" w:lineRule="auto"/>
              <w:ind w:firstLine="0"/>
              <w:jc w:val="center"/>
            </w:pPr>
          </w:p>
        </w:tc>
        <w:tc>
          <w:tcPr>
            <w:tcW w:w="1196" w:type="dxa"/>
            <w:tcBorders>
              <w:top w:val="thinThickThinSmallGap" w:sz="24" w:space="0" w:color="auto"/>
              <w:left w:val="nil"/>
              <w:bottom w:val="thinThickSmallGap" w:sz="24" w:space="0" w:color="auto"/>
              <w:right w:val="nil"/>
            </w:tcBorders>
            <w:shd w:val="clear" w:color="auto" w:fill="5B9BD5"/>
            <w:vAlign w:val="center"/>
          </w:tcPr>
          <w:p w14:paraId="4B6D77A7" w14:textId="5C3A8CA8" w:rsidR="009B1EFD" w:rsidRPr="005A68E6" w:rsidRDefault="009B1EFD" w:rsidP="009B1EFD">
            <w:pPr>
              <w:spacing w:line="240" w:lineRule="auto"/>
              <w:ind w:firstLine="0"/>
              <w:jc w:val="center"/>
            </w:pPr>
            <w:r w:rsidRPr="005A68E6">
              <w:t>202</w:t>
            </w:r>
            <w:r w:rsidRPr="005A68E6">
              <w:rPr>
                <w:lang w:val="en-US"/>
              </w:rPr>
              <w:t>1</w:t>
            </w:r>
            <w:r w:rsidRPr="005A68E6">
              <w:t xml:space="preserve"> </w:t>
            </w:r>
            <w:r w:rsidRPr="005A68E6">
              <w:rPr>
                <w:lang w:val="en-US"/>
              </w:rPr>
              <w:t>actual</w:t>
            </w:r>
          </w:p>
        </w:tc>
        <w:tc>
          <w:tcPr>
            <w:tcW w:w="1071" w:type="dxa"/>
            <w:tcBorders>
              <w:top w:val="thinThickThinSmallGap" w:sz="24" w:space="0" w:color="auto"/>
              <w:left w:val="nil"/>
              <w:bottom w:val="thinThickSmallGap" w:sz="24" w:space="0" w:color="auto"/>
              <w:right w:val="nil"/>
            </w:tcBorders>
            <w:shd w:val="clear" w:color="auto" w:fill="5B9BD5"/>
            <w:vAlign w:val="center"/>
          </w:tcPr>
          <w:p w14:paraId="41941776" w14:textId="352AABB1" w:rsidR="009B1EFD" w:rsidRPr="005A68E6" w:rsidRDefault="009B1EFD" w:rsidP="009B1EFD">
            <w:pPr>
              <w:spacing w:line="240" w:lineRule="auto"/>
              <w:ind w:firstLine="0"/>
              <w:jc w:val="center"/>
            </w:pPr>
            <w:r w:rsidRPr="005A68E6">
              <w:t xml:space="preserve">2022 </w:t>
            </w:r>
            <w:r w:rsidRPr="005A68E6">
              <w:rPr>
                <w:lang w:val="en-US"/>
              </w:rPr>
              <w:t>actual</w:t>
            </w:r>
          </w:p>
        </w:tc>
        <w:tc>
          <w:tcPr>
            <w:tcW w:w="1193" w:type="dxa"/>
            <w:tcBorders>
              <w:top w:val="thinThickThinSmallGap" w:sz="24" w:space="0" w:color="auto"/>
              <w:left w:val="nil"/>
              <w:bottom w:val="thinThickSmallGap" w:sz="24" w:space="0" w:color="auto"/>
              <w:right w:val="double" w:sz="4" w:space="0" w:color="auto"/>
            </w:tcBorders>
            <w:shd w:val="clear" w:color="auto" w:fill="5B9BD5"/>
            <w:vAlign w:val="center"/>
          </w:tcPr>
          <w:p w14:paraId="238D8331" w14:textId="77777777" w:rsidR="009B1EFD" w:rsidRPr="005A68E6" w:rsidRDefault="009B1EFD" w:rsidP="009B1EFD">
            <w:pPr>
              <w:spacing w:line="240" w:lineRule="auto"/>
              <w:ind w:firstLine="20"/>
              <w:jc w:val="center"/>
            </w:pPr>
            <w:r w:rsidRPr="005A68E6">
              <w:t xml:space="preserve">2023 </w:t>
            </w:r>
          </w:p>
          <w:p w14:paraId="6954E2E1" w14:textId="06EEC220" w:rsidR="009B1EFD" w:rsidRPr="005A68E6" w:rsidRDefault="009B1EFD" w:rsidP="009B1EFD">
            <w:pPr>
              <w:spacing w:line="240" w:lineRule="auto"/>
              <w:ind w:firstLine="0"/>
              <w:jc w:val="center"/>
            </w:pPr>
            <w:r w:rsidRPr="005A68E6">
              <w:rPr>
                <w:color w:val="000000"/>
              </w:rPr>
              <w:t>program</w:t>
            </w:r>
          </w:p>
        </w:tc>
        <w:tc>
          <w:tcPr>
            <w:tcW w:w="1127" w:type="dxa"/>
            <w:tcBorders>
              <w:top w:val="thinThickThinSmallGap" w:sz="24" w:space="0" w:color="auto"/>
              <w:left w:val="double" w:sz="4" w:space="0" w:color="auto"/>
              <w:bottom w:val="thinThickSmallGap" w:sz="24" w:space="0" w:color="auto"/>
              <w:right w:val="nil"/>
            </w:tcBorders>
            <w:shd w:val="clear" w:color="auto" w:fill="5B9BD5"/>
            <w:vAlign w:val="center"/>
          </w:tcPr>
          <w:p w14:paraId="7890C9D8" w14:textId="7DDF2D26" w:rsidR="009B1EFD" w:rsidRPr="005A68E6" w:rsidRDefault="009B1EFD" w:rsidP="009B1EFD">
            <w:pPr>
              <w:spacing w:line="240" w:lineRule="auto"/>
              <w:ind w:firstLine="0"/>
              <w:jc w:val="center"/>
            </w:pPr>
            <w:r w:rsidRPr="005A68E6">
              <w:t xml:space="preserve">2023 </w:t>
            </w:r>
            <w:r w:rsidRPr="005A68E6">
              <w:rPr>
                <w:lang w:val="en-US"/>
              </w:rPr>
              <w:t>forecast</w:t>
            </w:r>
          </w:p>
        </w:tc>
        <w:tc>
          <w:tcPr>
            <w:tcW w:w="1016" w:type="dxa"/>
            <w:tcBorders>
              <w:top w:val="thinThickThinSmallGap" w:sz="24" w:space="0" w:color="auto"/>
              <w:left w:val="nil"/>
              <w:bottom w:val="thinThickSmallGap" w:sz="24" w:space="0" w:color="auto"/>
              <w:right w:val="nil"/>
            </w:tcBorders>
            <w:shd w:val="clear" w:color="auto" w:fill="5B9BD5"/>
            <w:vAlign w:val="center"/>
          </w:tcPr>
          <w:p w14:paraId="659C6A30" w14:textId="61D6E78F" w:rsidR="009B1EFD" w:rsidRPr="005A68E6" w:rsidRDefault="009B1EFD" w:rsidP="009B1EFD">
            <w:pPr>
              <w:spacing w:line="240" w:lineRule="auto"/>
              <w:ind w:firstLine="0"/>
              <w:jc w:val="center"/>
            </w:pPr>
            <w:r w:rsidRPr="005A68E6">
              <w:t xml:space="preserve">2024 </w:t>
            </w:r>
            <w:r w:rsidRPr="005A68E6">
              <w:rPr>
                <w:lang w:val="en-US"/>
              </w:rPr>
              <w:t>forecast</w:t>
            </w:r>
          </w:p>
        </w:tc>
        <w:tc>
          <w:tcPr>
            <w:tcW w:w="1055" w:type="dxa"/>
            <w:tcBorders>
              <w:top w:val="thinThickThinSmallGap" w:sz="24" w:space="0" w:color="auto"/>
              <w:left w:val="nil"/>
              <w:bottom w:val="thinThickSmallGap" w:sz="24" w:space="0" w:color="auto"/>
              <w:right w:val="nil"/>
            </w:tcBorders>
            <w:shd w:val="clear" w:color="auto" w:fill="5B9BD5"/>
            <w:vAlign w:val="center"/>
          </w:tcPr>
          <w:p w14:paraId="3CA2A40E" w14:textId="6399DC95" w:rsidR="009B1EFD" w:rsidRPr="005A68E6" w:rsidRDefault="009B1EFD" w:rsidP="009B1EFD">
            <w:pPr>
              <w:spacing w:line="240" w:lineRule="auto"/>
              <w:ind w:firstLine="0"/>
              <w:jc w:val="center"/>
            </w:pPr>
            <w:r w:rsidRPr="005A68E6">
              <w:t xml:space="preserve">2025 </w:t>
            </w:r>
            <w:r w:rsidRPr="005A68E6">
              <w:rPr>
                <w:lang w:val="en-US"/>
              </w:rPr>
              <w:t>forecast</w:t>
            </w:r>
          </w:p>
        </w:tc>
        <w:tc>
          <w:tcPr>
            <w:tcW w:w="1018" w:type="dxa"/>
            <w:tcBorders>
              <w:top w:val="thinThickThinSmallGap" w:sz="24" w:space="0" w:color="auto"/>
              <w:left w:val="nil"/>
              <w:bottom w:val="thinThickSmallGap" w:sz="24" w:space="0" w:color="auto"/>
              <w:right w:val="nil"/>
            </w:tcBorders>
            <w:shd w:val="clear" w:color="auto" w:fill="5B9BD5"/>
            <w:vAlign w:val="center"/>
          </w:tcPr>
          <w:p w14:paraId="467C8726" w14:textId="22E062BA" w:rsidR="009B1EFD" w:rsidRPr="005A68E6" w:rsidRDefault="009B1EFD" w:rsidP="009B1EFD">
            <w:pPr>
              <w:spacing w:line="240" w:lineRule="auto"/>
              <w:ind w:firstLine="0"/>
              <w:jc w:val="center"/>
            </w:pPr>
            <w:r w:rsidRPr="005A68E6">
              <w:t xml:space="preserve">2026 </w:t>
            </w:r>
            <w:r w:rsidRPr="005A68E6">
              <w:rPr>
                <w:lang w:val="en-US"/>
              </w:rPr>
              <w:t>forecast</w:t>
            </w:r>
          </w:p>
        </w:tc>
      </w:tr>
      <w:tr w:rsidR="009B1EFD" w:rsidRPr="005A68E6" w14:paraId="771BA40F" w14:textId="77777777" w:rsidTr="0070296A">
        <w:trPr>
          <w:trHeight w:val="510"/>
          <w:jc w:val="center"/>
        </w:trPr>
        <w:tc>
          <w:tcPr>
            <w:tcW w:w="2877" w:type="dxa"/>
            <w:tcBorders>
              <w:left w:val="nil"/>
              <w:bottom w:val="single" w:sz="4" w:space="0" w:color="auto"/>
              <w:right w:val="nil"/>
            </w:tcBorders>
            <w:vAlign w:val="center"/>
          </w:tcPr>
          <w:p w14:paraId="33DDB3A1" w14:textId="655004CA" w:rsidR="009B1EFD" w:rsidRPr="005A68E6" w:rsidRDefault="009B1EFD" w:rsidP="009B1EFD">
            <w:pPr>
              <w:spacing w:line="240" w:lineRule="auto"/>
              <w:ind w:firstLine="0"/>
              <w:jc w:val="left"/>
            </w:pPr>
            <w:r w:rsidRPr="005A68E6">
              <w:rPr>
                <w:lang w:val="en-US"/>
              </w:rPr>
              <w:t xml:space="preserve">Government Loans and Credits </w:t>
            </w:r>
          </w:p>
        </w:tc>
        <w:tc>
          <w:tcPr>
            <w:tcW w:w="1196" w:type="dxa"/>
            <w:tcBorders>
              <w:left w:val="nil"/>
              <w:bottom w:val="single" w:sz="4" w:space="0" w:color="auto"/>
              <w:right w:val="nil"/>
            </w:tcBorders>
            <w:vAlign w:val="center"/>
          </w:tcPr>
          <w:p w14:paraId="5B40F6D6" w14:textId="77777777" w:rsidR="009B1EFD" w:rsidRPr="005A68E6" w:rsidRDefault="009B1EFD" w:rsidP="009B1EFD">
            <w:pPr>
              <w:spacing w:line="240" w:lineRule="auto"/>
              <w:ind w:firstLine="0"/>
              <w:jc w:val="center"/>
            </w:pPr>
            <w:r w:rsidRPr="005A68E6">
              <w:t xml:space="preserve"> 4,481.1 </w:t>
            </w:r>
          </w:p>
        </w:tc>
        <w:tc>
          <w:tcPr>
            <w:tcW w:w="1071" w:type="dxa"/>
            <w:tcBorders>
              <w:left w:val="nil"/>
              <w:bottom w:val="single" w:sz="4" w:space="0" w:color="auto"/>
              <w:right w:val="nil"/>
            </w:tcBorders>
            <w:vAlign w:val="center"/>
          </w:tcPr>
          <w:p w14:paraId="664A574B" w14:textId="77777777" w:rsidR="009B1EFD" w:rsidRPr="005A68E6" w:rsidRDefault="009B1EFD" w:rsidP="009B1EFD">
            <w:pPr>
              <w:spacing w:line="240" w:lineRule="auto"/>
              <w:ind w:firstLine="0"/>
              <w:jc w:val="center"/>
            </w:pPr>
            <w:r w:rsidRPr="005A68E6">
              <w:t xml:space="preserve"> 4,503.9 </w:t>
            </w:r>
          </w:p>
        </w:tc>
        <w:tc>
          <w:tcPr>
            <w:tcW w:w="1193" w:type="dxa"/>
            <w:tcBorders>
              <w:left w:val="nil"/>
              <w:bottom w:val="single" w:sz="4" w:space="0" w:color="auto"/>
              <w:right w:val="double" w:sz="4" w:space="0" w:color="auto"/>
            </w:tcBorders>
            <w:vAlign w:val="center"/>
          </w:tcPr>
          <w:p w14:paraId="4D03B322" w14:textId="77777777" w:rsidR="009B1EFD" w:rsidRPr="005A68E6" w:rsidRDefault="009B1EFD" w:rsidP="009B1EFD">
            <w:pPr>
              <w:spacing w:line="240" w:lineRule="auto"/>
              <w:ind w:firstLine="0"/>
              <w:jc w:val="center"/>
            </w:pPr>
            <w:r w:rsidRPr="005A68E6">
              <w:t xml:space="preserve"> 4,698.8 </w:t>
            </w:r>
          </w:p>
        </w:tc>
        <w:tc>
          <w:tcPr>
            <w:tcW w:w="1127" w:type="dxa"/>
            <w:tcBorders>
              <w:left w:val="double" w:sz="4" w:space="0" w:color="auto"/>
              <w:bottom w:val="single" w:sz="4" w:space="0" w:color="auto"/>
              <w:right w:val="nil"/>
            </w:tcBorders>
            <w:vAlign w:val="center"/>
          </w:tcPr>
          <w:p w14:paraId="21FC05DB" w14:textId="77777777" w:rsidR="009B1EFD" w:rsidRPr="005A68E6" w:rsidRDefault="009B1EFD" w:rsidP="009B1EFD">
            <w:pPr>
              <w:spacing w:line="240" w:lineRule="auto"/>
              <w:ind w:firstLine="0"/>
              <w:jc w:val="center"/>
            </w:pPr>
            <w:r w:rsidRPr="005A68E6">
              <w:t xml:space="preserve"> 4,783.8 </w:t>
            </w:r>
          </w:p>
        </w:tc>
        <w:tc>
          <w:tcPr>
            <w:tcW w:w="1016" w:type="dxa"/>
            <w:tcBorders>
              <w:left w:val="nil"/>
              <w:bottom w:val="single" w:sz="4" w:space="0" w:color="auto"/>
              <w:right w:val="nil"/>
            </w:tcBorders>
            <w:vAlign w:val="center"/>
          </w:tcPr>
          <w:p w14:paraId="5C79689D" w14:textId="77777777" w:rsidR="009B1EFD" w:rsidRPr="005A68E6" w:rsidRDefault="009B1EFD" w:rsidP="009B1EFD">
            <w:pPr>
              <w:spacing w:line="240" w:lineRule="auto"/>
              <w:ind w:firstLine="0"/>
              <w:jc w:val="center"/>
            </w:pPr>
            <w:r w:rsidRPr="005A68E6">
              <w:t xml:space="preserve">5,046.8 </w:t>
            </w:r>
          </w:p>
        </w:tc>
        <w:tc>
          <w:tcPr>
            <w:tcW w:w="1055" w:type="dxa"/>
            <w:tcBorders>
              <w:left w:val="nil"/>
              <w:bottom w:val="single" w:sz="4" w:space="0" w:color="auto"/>
              <w:right w:val="nil"/>
            </w:tcBorders>
            <w:vAlign w:val="center"/>
          </w:tcPr>
          <w:p w14:paraId="38AF48DF" w14:textId="77777777" w:rsidR="009B1EFD" w:rsidRPr="005A68E6" w:rsidRDefault="009B1EFD" w:rsidP="009B1EFD">
            <w:pPr>
              <w:spacing w:line="240" w:lineRule="auto"/>
              <w:ind w:firstLine="0"/>
              <w:jc w:val="center"/>
            </w:pPr>
            <w:r w:rsidRPr="005A68E6">
              <w:t xml:space="preserve"> 5,413.0 </w:t>
            </w:r>
          </w:p>
        </w:tc>
        <w:tc>
          <w:tcPr>
            <w:tcW w:w="1018" w:type="dxa"/>
            <w:tcBorders>
              <w:left w:val="nil"/>
              <w:bottom w:val="single" w:sz="4" w:space="0" w:color="auto"/>
              <w:right w:val="nil"/>
            </w:tcBorders>
            <w:vAlign w:val="center"/>
          </w:tcPr>
          <w:p w14:paraId="378B53D3" w14:textId="77777777" w:rsidR="009B1EFD" w:rsidRPr="005A68E6" w:rsidRDefault="009B1EFD" w:rsidP="009B1EFD">
            <w:pPr>
              <w:spacing w:line="240" w:lineRule="auto"/>
              <w:ind w:firstLine="0"/>
              <w:jc w:val="center"/>
              <w:rPr>
                <w:lang w:val="en-US"/>
              </w:rPr>
            </w:pPr>
            <w:r w:rsidRPr="005A68E6">
              <w:t xml:space="preserve">5,888.3 </w:t>
            </w:r>
          </w:p>
        </w:tc>
      </w:tr>
      <w:tr w:rsidR="009B1EFD" w:rsidRPr="005A68E6" w14:paraId="682D86E2" w14:textId="77777777" w:rsidTr="0070296A">
        <w:trPr>
          <w:trHeight w:val="255"/>
          <w:jc w:val="center"/>
        </w:trPr>
        <w:tc>
          <w:tcPr>
            <w:tcW w:w="2877" w:type="dxa"/>
            <w:tcBorders>
              <w:left w:val="nil"/>
              <w:bottom w:val="single" w:sz="12" w:space="0" w:color="auto"/>
              <w:right w:val="nil"/>
            </w:tcBorders>
            <w:vAlign w:val="center"/>
          </w:tcPr>
          <w:p w14:paraId="7A71CE8E" w14:textId="7FD52D30" w:rsidR="009B1EFD" w:rsidRPr="005A68E6" w:rsidRDefault="009B1EFD" w:rsidP="009B1EFD">
            <w:pPr>
              <w:spacing w:line="240" w:lineRule="auto"/>
              <w:ind w:firstLine="0"/>
              <w:jc w:val="left"/>
            </w:pPr>
            <w:r w:rsidRPr="005A68E6">
              <w:t xml:space="preserve">% </w:t>
            </w:r>
            <w:r w:rsidRPr="005A68E6">
              <w:rPr>
                <w:lang w:val="en-US"/>
              </w:rPr>
              <w:t>of GDP</w:t>
            </w:r>
          </w:p>
        </w:tc>
        <w:tc>
          <w:tcPr>
            <w:tcW w:w="1196" w:type="dxa"/>
            <w:tcBorders>
              <w:left w:val="nil"/>
              <w:bottom w:val="single" w:sz="12" w:space="0" w:color="auto"/>
              <w:right w:val="nil"/>
            </w:tcBorders>
            <w:vAlign w:val="center"/>
          </w:tcPr>
          <w:p w14:paraId="7B0E0835" w14:textId="77777777" w:rsidR="009B1EFD" w:rsidRPr="005A68E6" w:rsidRDefault="009B1EFD" w:rsidP="009B1EFD">
            <w:pPr>
              <w:spacing w:line="240" w:lineRule="auto"/>
              <w:ind w:firstLine="0"/>
              <w:jc w:val="center"/>
            </w:pPr>
            <w:r w:rsidRPr="005A68E6">
              <w:t xml:space="preserve"> 30.8 </w:t>
            </w:r>
          </w:p>
        </w:tc>
        <w:tc>
          <w:tcPr>
            <w:tcW w:w="1071" w:type="dxa"/>
            <w:tcBorders>
              <w:left w:val="nil"/>
              <w:bottom w:val="single" w:sz="12" w:space="0" w:color="auto"/>
              <w:right w:val="nil"/>
            </w:tcBorders>
            <w:vAlign w:val="center"/>
          </w:tcPr>
          <w:p w14:paraId="645DC560" w14:textId="77777777" w:rsidR="009B1EFD" w:rsidRPr="005A68E6" w:rsidRDefault="009B1EFD" w:rsidP="009B1EFD">
            <w:pPr>
              <w:spacing w:line="240" w:lineRule="auto"/>
              <w:ind w:firstLine="0"/>
              <w:jc w:val="center"/>
            </w:pPr>
            <w:r w:rsidRPr="005A68E6">
              <w:t xml:space="preserve"> 20.9 </w:t>
            </w:r>
          </w:p>
        </w:tc>
        <w:tc>
          <w:tcPr>
            <w:tcW w:w="1193" w:type="dxa"/>
            <w:tcBorders>
              <w:left w:val="nil"/>
              <w:bottom w:val="single" w:sz="12" w:space="0" w:color="auto"/>
              <w:right w:val="double" w:sz="4" w:space="0" w:color="auto"/>
            </w:tcBorders>
            <w:vAlign w:val="center"/>
          </w:tcPr>
          <w:p w14:paraId="7C69D1E8" w14:textId="77777777" w:rsidR="009B1EFD" w:rsidRPr="005A68E6" w:rsidRDefault="009B1EFD" w:rsidP="009B1EFD">
            <w:pPr>
              <w:spacing w:line="240" w:lineRule="auto"/>
              <w:ind w:firstLine="0"/>
              <w:jc w:val="center"/>
            </w:pPr>
            <w:r w:rsidRPr="005A68E6">
              <w:t xml:space="preserve"> 22.0 </w:t>
            </w:r>
          </w:p>
        </w:tc>
        <w:tc>
          <w:tcPr>
            <w:tcW w:w="1127" w:type="dxa"/>
            <w:tcBorders>
              <w:left w:val="double" w:sz="4" w:space="0" w:color="auto"/>
              <w:bottom w:val="single" w:sz="12" w:space="0" w:color="auto"/>
              <w:right w:val="nil"/>
            </w:tcBorders>
            <w:vAlign w:val="center"/>
          </w:tcPr>
          <w:p w14:paraId="02A6AFEA" w14:textId="77777777" w:rsidR="009B1EFD" w:rsidRPr="005A68E6" w:rsidRDefault="009B1EFD" w:rsidP="009B1EFD">
            <w:pPr>
              <w:spacing w:line="240" w:lineRule="auto"/>
              <w:ind w:firstLine="0"/>
              <w:jc w:val="center"/>
            </w:pPr>
            <w:r w:rsidRPr="005A68E6">
              <w:t xml:space="preserve"> 21.9 </w:t>
            </w:r>
          </w:p>
        </w:tc>
        <w:tc>
          <w:tcPr>
            <w:tcW w:w="1016" w:type="dxa"/>
            <w:tcBorders>
              <w:left w:val="nil"/>
              <w:bottom w:val="single" w:sz="12" w:space="0" w:color="auto"/>
              <w:right w:val="nil"/>
            </w:tcBorders>
            <w:vAlign w:val="center"/>
          </w:tcPr>
          <w:p w14:paraId="4FB75695" w14:textId="77777777" w:rsidR="009B1EFD" w:rsidRPr="005A68E6" w:rsidRDefault="009B1EFD" w:rsidP="009B1EFD">
            <w:pPr>
              <w:spacing w:line="240" w:lineRule="auto"/>
              <w:ind w:firstLine="0"/>
              <w:jc w:val="center"/>
            </w:pPr>
            <w:r w:rsidRPr="005A68E6">
              <w:t xml:space="preserve"> 21.4 </w:t>
            </w:r>
          </w:p>
        </w:tc>
        <w:tc>
          <w:tcPr>
            <w:tcW w:w="1055" w:type="dxa"/>
            <w:tcBorders>
              <w:left w:val="nil"/>
              <w:bottom w:val="single" w:sz="12" w:space="0" w:color="auto"/>
              <w:right w:val="nil"/>
            </w:tcBorders>
            <w:vAlign w:val="center"/>
          </w:tcPr>
          <w:p w14:paraId="47818346" w14:textId="77777777" w:rsidR="009B1EFD" w:rsidRPr="005A68E6" w:rsidRDefault="009B1EFD" w:rsidP="009B1EFD">
            <w:pPr>
              <w:spacing w:line="240" w:lineRule="auto"/>
              <w:ind w:firstLine="0"/>
              <w:jc w:val="center"/>
            </w:pPr>
            <w:r w:rsidRPr="005A68E6">
              <w:t xml:space="preserve"> 21.3 </w:t>
            </w:r>
          </w:p>
        </w:tc>
        <w:tc>
          <w:tcPr>
            <w:tcW w:w="1018" w:type="dxa"/>
            <w:tcBorders>
              <w:left w:val="nil"/>
              <w:bottom w:val="single" w:sz="12" w:space="0" w:color="auto"/>
              <w:right w:val="nil"/>
            </w:tcBorders>
            <w:vAlign w:val="center"/>
          </w:tcPr>
          <w:p w14:paraId="4E95E98C" w14:textId="77777777" w:rsidR="009B1EFD" w:rsidRPr="005A68E6" w:rsidRDefault="009B1EFD" w:rsidP="009B1EFD">
            <w:pPr>
              <w:spacing w:line="240" w:lineRule="auto"/>
              <w:ind w:firstLine="0"/>
              <w:jc w:val="center"/>
              <w:rPr>
                <w:lang w:val="en-US"/>
              </w:rPr>
            </w:pPr>
            <w:r w:rsidRPr="005A68E6">
              <w:t xml:space="preserve"> 21.2 </w:t>
            </w:r>
          </w:p>
        </w:tc>
      </w:tr>
      <w:tr w:rsidR="009B1EFD" w:rsidRPr="005A68E6" w14:paraId="0FA29CC1" w14:textId="77777777" w:rsidTr="0070296A">
        <w:trPr>
          <w:trHeight w:val="255"/>
          <w:jc w:val="center"/>
        </w:trPr>
        <w:tc>
          <w:tcPr>
            <w:tcW w:w="2877" w:type="dxa"/>
            <w:tcBorders>
              <w:top w:val="single" w:sz="12" w:space="0" w:color="auto"/>
              <w:left w:val="nil"/>
              <w:right w:val="nil"/>
            </w:tcBorders>
            <w:vAlign w:val="center"/>
          </w:tcPr>
          <w:p w14:paraId="359C82F0" w14:textId="7A82FC19" w:rsidR="009B1EFD" w:rsidRPr="005A68E6" w:rsidRDefault="009B1EFD" w:rsidP="009B1EFD">
            <w:pPr>
              <w:spacing w:line="240" w:lineRule="auto"/>
              <w:ind w:firstLine="0"/>
              <w:jc w:val="left"/>
            </w:pPr>
            <w:r w:rsidRPr="005A68E6">
              <w:rPr>
                <w:lang w:val="en-US"/>
              </w:rPr>
              <w:t>By lender</w:t>
            </w:r>
          </w:p>
        </w:tc>
        <w:tc>
          <w:tcPr>
            <w:tcW w:w="1196" w:type="dxa"/>
            <w:tcBorders>
              <w:top w:val="single" w:sz="12" w:space="0" w:color="auto"/>
              <w:left w:val="nil"/>
              <w:right w:val="nil"/>
            </w:tcBorders>
            <w:vAlign w:val="center"/>
          </w:tcPr>
          <w:p w14:paraId="50580E2C" w14:textId="77777777" w:rsidR="009B1EFD" w:rsidRPr="005A68E6" w:rsidRDefault="009B1EFD" w:rsidP="009B1EFD">
            <w:pPr>
              <w:spacing w:line="240" w:lineRule="auto"/>
              <w:ind w:firstLine="0"/>
              <w:jc w:val="center"/>
            </w:pPr>
          </w:p>
        </w:tc>
        <w:tc>
          <w:tcPr>
            <w:tcW w:w="1071" w:type="dxa"/>
            <w:tcBorders>
              <w:top w:val="single" w:sz="12" w:space="0" w:color="auto"/>
              <w:left w:val="nil"/>
              <w:right w:val="nil"/>
            </w:tcBorders>
            <w:vAlign w:val="center"/>
          </w:tcPr>
          <w:p w14:paraId="5D2497C8" w14:textId="77777777" w:rsidR="009B1EFD" w:rsidRPr="005A68E6" w:rsidRDefault="009B1EFD" w:rsidP="009B1EFD">
            <w:pPr>
              <w:spacing w:line="240" w:lineRule="auto"/>
              <w:ind w:firstLine="0"/>
              <w:jc w:val="center"/>
            </w:pPr>
          </w:p>
        </w:tc>
        <w:tc>
          <w:tcPr>
            <w:tcW w:w="1193" w:type="dxa"/>
            <w:tcBorders>
              <w:top w:val="single" w:sz="12" w:space="0" w:color="auto"/>
              <w:left w:val="nil"/>
              <w:right w:val="double" w:sz="4" w:space="0" w:color="auto"/>
            </w:tcBorders>
            <w:vAlign w:val="center"/>
          </w:tcPr>
          <w:p w14:paraId="5FDFBFC7" w14:textId="77777777" w:rsidR="009B1EFD" w:rsidRPr="005A68E6" w:rsidRDefault="009B1EFD" w:rsidP="009B1EFD">
            <w:pPr>
              <w:spacing w:line="240" w:lineRule="auto"/>
              <w:ind w:firstLine="0"/>
              <w:jc w:val="center"/>
            </w:pPr>
          </w:p>
        </w:tc>
        <w:tc>
          <w:tcPr>
            <w:tcW w:w="1127" w:type="dxa"/>
            <w:tcBorders>
              <w:top w:val="single" w:sz="12" w:space="0" w:color="auto"/>
              <w:left w:val="double" w:sz="4" w:space="0" w:color="auto"/>
              <w:right w:val="nil"/>
            </w:tcBorders>
            <w:vAlign w:val="center"/>
          </w:tcPr>
          <w:p w14:paraId="25CD1341" w14:textId="77777777" w:rsidR="009B1EFD" w:rsidRPr="005A68E6" w:rsidRDefault="009B1EFD" w:rsidP="009B1EFD">
            <w:pPr>
              <w:spacing w:line="240" w:lineRule="auto"/>
              <w:ind w:firstLine="0"/>
              <w:jc w:val="center"/>
            </w:pPr>
          </w:p>
        </w:tc>
        <w:tc>
          <w:tcPr>
            <w:tcW w:w="1016" w:type="dxa"/>
            <w:tcBorders>
              <w:top w:val="single" w:sz="12" w:space="0" w:color="auto"/>
              <w:left w:val="nil"/>
              <w:right w:val="nil"/>
            </w:tcBorders>
            <w:vAlign w:val="center"/>
          </w:tcPr>
          <w:p w14:paraId="476875E9" w14:textId="77777777" w:rsidR="009B1EFD" w:rsidRPr="005A68E6" w:rsidRDefault="009B1EFD" w:rsidP="009B1EFD">
            <w:pPr>
              <w:spacing w:line="240" w:lineRule="auto"/>
              <w:ind w:firstLine="0"/>
              <w:jc w:val="center"/>
            </w:pPr>
          </w:p>
        </w:tc>
        <w:tc>
          <w:tcPr>
            <w:tcW w:w="1055" w:type="dxa"/>
            <w:tcBorders>
              <w:top w:val="single" w:sz="12" w:space="0" w:color="auto"/>
              <w:left w:val="nil"/>
              <w:right w:val="nil"/>
            </w:tcBorders>
            <w:vAlign w:val="center"/>
          </w:tcPr>
          <w:p w14:paraId="0D80488F" w14:textId="77777777" w:rsidR="009B1EFD" w:rsidRPr="005A68E6" w:rsidRDefault="009B1EFD" w:rsidP="009B1EFD">
            <w:pPr>
              <w:spacing w:line="240" w:lineRule="auto"/>
              <w:ind w:firstLine="0"/>
              <w:jc w:val="center"/>
            </w:pPr>
          </w:p>
        </w:tc>
        <w:tc>
          <w:tcPr>
            <w:tcW w:w="1018" w:type="dxa"/>
            <w:tcBorders>
              <w:top w:val="single" w:sz="12" w:space="0" w:color="auto"/>
              <w:left w:val="nil"/>
              <w:right w:val="nil"/>
            </w:tcBorders>
            <w:vAlign w:val="center"/>
          </w:tcPr>
          <w:p w14:paraId="0D6C526B" w14:textId="77777777" w:rsidR="009B1EFD" w:rsidRPr="005A68E6" w:rsidRDefault="009B1EFD" w:rsidP="009B1EFD">
            <w:pPr>
              <w:spacing w:line="240" w:lineRule="auto"/>
              <w:ind w:firstLine="0"/>
              <w:jc w:val="center"/>
            </w:pPr>
          </w:p>
        </w:tc>
      </w:tr>
      <w:tr w:rsidR="009B1EFD" w:rsidRPr="005A68E6" w14:paraId="0B899849" w14:textId="77777777" w:rsidTr="0070296A">
        <w:trPr>
          <w:trHeight w:val="510"/>
          <w:jc w:val="center"/>
        </w:trPr>
        <w:tc>
          <w:tcPr>
            <w:tcW w:w="2877" w:type="dxa"/>
            <w:tcBorders>
              <w:left w:val="nil"/>
              <w:right w:val="nil"/>
            </w:tcBorders>
            <w:vAlign w:val="center"/>
          </w:tcPr>
          <w:p w14:paraId="6C644F55" w14:textId="51DBCA56" w:rsidR="009B1EFD" w:rsidRPr="005A68E6" w:rsidRDefault="009B1EFD" w:rsidP="009B1EFD">
            <w:pPr>
              <w:spacing w:line="240" w:lineRule="auto"/>
              <w:ind w:left="202" w:firstLine="0"/>
              <w:jc w:val="left"/>
            </w:pPr>
            <w:r w:rsidRPr="005A68E6">
              <w:rPr>
                <w:lang w:val="en-US"/>
              </w:rPr>
              <w:t>From International Financial Organizations</w:t>
            </w:r>
          </w:p>
        </w:tc>
        <w:tc>
          <w:tcPr>
            <w:tcW w:w="1196" w:type="dxa"/>
            <w:tcBorders>
              <w:left w:val="nil"/>
              <w:right w:val="nil"/>
            </w:tcBorders>
            <w:vAlign w:val="center"/>
          </w:tcPr>
          <w:p w14:paraId="5F446B0F" w14:textId="77777777" w:rsidR="009B1EFD" w:rsidRPr="005A68E6" w:rsidRDefault="009B1EFD" w:rsidP="009B1EFD">
            <w:pPr>
              <w:spacing w:line="240" w:lineRule="auto"/>
              <w:ind w:firstLine="0"/>
              <w:jc w:val="center"/>
            </w:pPr>
            <w:r w:rsidRPr="005A68E6">
              <w:t xml:space="preserve"> 3,467.6 </w:t>
            </w:r>
          </w:p>
        </w:tc>
        <w:tc>
          <w:tcPr>
            <w:tcW w:w="1071" w:type="dxa"/>
            <w:tcBorders>
              <w:left w:val="nil"/>
              <w:right w:val="nil"/>
            </w:tcBorders>
            <w:vAlign w:val="center"/>
          </w:tcPr>
          <w:p w14:paraId="5ECC0FF7" w14:textId="77777777" w:rsidR="009B1EFD" w:rsidRPr="005A68E6" w:rsidRDefault="009B1EFD" w:rsidP="009B1EFD">
            <w:pPr>
              <w:spacing w:line="240" w:lineRule="auto"/>
              <w:ind w:firstLine="0"/>
              <w:jc w:val="center"/>
            </w:pPr>
            <w:r w:rsidRPr="005A68E6">
              <w:t xml:space="preserve"> 3,495.9 </w:t>
            </w:r>
          </w:p>
        </w:tc>
        <w:tc>
          <w:tcPr>
            <w:tcW w:w="1193" w:type="dxa"/>
            <w:tcBorders>
              <w:left w:val="nil"/>
              <w:right w:val="double" w:sz="4" w:space="0" w:color="auto"/>
            </w:tcBorders>
            <w:vAlign w:val="center"/>
          </w:tcPr>
          <w:p w14:paraId="558D57B0" w14:textId="77777777" w:rsidR="009B1EFD" w:rsidRPr="005A68E6" w:rsidRDefault="009B1EFD" w:rsidP="009B1EFD">
            <w:pPr>
              <w:spacing w:line="240" w:lineRule="auto"/>
              <w:ind w:firstLine="0"/>
              <w:jc w:val="center"/>
            </w:pPr>
            <w:r w:rsidRPr="005A68E6">
              <w:t xml:space="preserve"> 3,707.5 </w:t>
            </w:r>
          </w:p>
        </w:tc>
        <w:tc>
          <w:tcPr>
            <w:tcW w:w="1127" w:type="dxa"/>
            <w:tcBorders>
              <w:left w:val="double" w:sz="4" w:space="0" w:color="auto"/>
              <w:right w:val="nil"/>
            </w:tcBorders>
            <w:vAlign w:val="center"/>
          </w:tcPr>
          <w:p w14:paraId="2A69D66D" w14:textId="77777777" w:rsidR="009B1EFD" w:rsidRPr="005A68E6" w:rsidRDefault="009B1EFD" w:rsidP="009B1EFD">
            <w:pPr>
              <w:spacing w:line="240" w:lineRule="auto"/>
              <w:ind w:firstLine="0"/>
              <w:jc w:val="center"/>
            </w:pPr>
            <w:r w:rsidRPr="005A68E6">
              <w:t xml:space="preserve"> 3,725.1 </w:t>
            </w:r>
          </w:p>
        </w:tc>
        <w:tc>
          <w:tcPr>
            <w:tcW w:w="1016" w:type="dxa"/>
            <w:tcBorders>
              <w:left w:val="nil"/>
              <w:right w:val="nil"/>
            </w:tcBorders>
            <w:vAlign w:val="center"/>
          </w:tcPr>
          <w:p w14:paraId="3953E51F" w14:textId="77777777" w:rsidR="009B1EFD" w:rsidRPr="005A68E6" w:rsidRDefault="009B1EFD" w:rsidP="009B1EFD">
            <w:pPr>
              <w:spacing w:line="240" w:lineRule="auto"/>
              <w:ind w:firstLine="0"/>
              <w:jc w:val="center"/>
            </w:pPr>
            <w:r w:rsidRPr="005A68E6">
              <w:t xml:space="preserve">4,008.6 </w:t>
            </w:r>
          </w:p>
        </w:tc>
        <w:tc>
          <w:tcPr>
            <w:tcW w:w="1055" w:type="dxa"/>
            <w:tcBorders>
              <w:left w:val="nil"/>
              <w:right w:val="nil"/>
            </w:tcBorders>
            <w:vAlign w:val="center"/>
          </w:tcPr>
          <w:p w14:paraId="6289A1B6" w14:textId="77777777" w:rsidR="009B1EFD" w:rsidRPr="005A68E6" w:rsidRDefault="009B1EFD" w:rsidP="009B1EFD">
            <w:pPr>
              <w:spacing w:line="240" w:lineRule="auto"/>
              <w:ind w:firstLine="0"/>
              <w:jc w:val="center"/>
            </w:pPr>
            <w:r w:rsidRPr="005A68E6">
              <w:t xml:space="preserve">4,400.3 </w:t>
            </w:r>
          </w:p>
        </w:tc>
        <w:tc>
          <w:tcPr>
            <w:tcW w:w="1018" w:type="dxa"/>
            <w:tcBorders>
              <w:left w:val="nil"/>
              <w:right w:val="nil"/>
            </w:tcBorders>
            <w:vAlign w:val="center"/>
          </w:tcPr>
          <w:p w14:paraId="550DBFF2" w14:textId="77777777" w:rsidR="009B1EFD" w:rsidRPr="005A68E6" w:rsidRDefault="009B1EFD" w:rsidP="009B1EFD">
            <w:pPr>
              <w:spacing w:line="240" w:lineRule="auto"/>
              <w:ind w:firstLine="0"/>
              <w:jc w:val="center"/>
            </w:pPr>
            <w:r w:rsidRPr="005A68E6">
              <w:t xml:space="preserve">4,932.4 </w:t>
            </w:r>
          </w:p>
        </w:tc>
      </w:tr>
      <w:tr w:rsidR="009B1EFD" w:rsidRPr="005A68E6" w14:paraId="7AFA1F09" w14:textId="77777777" w:rsidTr="0070296A">
        <w:trPr>
          <w:trHeight w:val="248"/>
          <w:jc w:val="center"/>
        </w:trPr>
        <w:tc>
          <w:tcPr>
            <w:tcW w:w="2877" w:type="dxa"/>
            <w:tcBorders>
              <w:left w:val="nil"/>
              <w:bottom w:val="single" w:sz="4" w:space="0" w:color="auto"/>
              <w:right w:val="nil"/>
            </w:tcBorders>
            <w:vAlign w:val="center"/>
          </w:tcPr>
          <w:p w14:paraId="38A3D52D" w14:textId="077E3F89" w:rsidR="009B1EFD" w:rsidRPr="005A68E6" w:rsidRDefault="009B1EFD" w:rsidP="009B1EFD">
            <w:pPr>
              <w:spacing w:line="240" w:lineRule="auto"/>
              <w:ind w:left="202" w:firstLine="0"/>
              <w:jc w:val="left"/>
            </w:pPr>
            <w:r w:rsidRPr="005A68E6">
              <w:rPr>
                <w:lang w:val="en-US"/>
              </w:rPr>
              <w:t>From Foreign States</w:t>
            </w:r>
          </w:p>
        </w:tc>
        <w:tc>
          <w:tcPr>
            <w:tcW w:w="1196" w:type="dxa"/>
            <w:tcBorders>
              <w:left w:val="nil"/>
              <w:bottom w:val="single" w:sz="4" w:space="0" w:color="auto"/>
              <w:right w:val="nil"/>
            </w:tcBorders>
            <w:vAlign w:val="center"/>
          </w:tcPr>
          <w:p w14:paraId="00360315" w14:textId="77777777" w:rsidR="009B1EFD" w:rsidRPr="005A68E6" w:rsidRDefault="009B1EFD" w:rsidP="009B1EFD">
            <w:pPr>
              <w:spacing w:line="240" w:lineRule="auto"/>
              <w:ind w:firstLine="0"/>
              <w:jc w:val="center"/>
            </w:pPr>
            <w:r w:rsidRPr="005A68E6">
              <w:t xml:space="preserve"> 996.8 </w:t>
            </w:r>
          </w:p>
        </w:tc>
        <w:tc>
          <w:tcPr>
            <w:tcW w:w="1071" w:type="dxa"/>
            <w:tcBorders>
              <w:left w:val="nil"/>
              <w:bottom w:val="single" w:sz="4" w:space="0" w:color="auto"/>
              <w:right w:val="nil"/>
            </w:tcBorders>
            <w:vAlign w:val="center"/>
          </w:tcPr>
          <w:p w14:paraId="3320E70A" w14:textId="77777777" w:rsidR="009B1EFD" w:rsidRPr="005A68E6" w:rsidRDefault="009B1EFD" w:rsidP="009B1EFD">
            <w:pPr>
              <w:spacing w:line="240" w:lineRule="auto"/>
              <w:ind w:firstLine="0"/>
              <w:jc w:val="center"/>
            </w:pPr>
            <w:r w:rsidRPr="005A68E6">
              <w:t xml:space="preserve"> 994.2 </w:t>
            </w:r>
          </w:p>
        </w:tc>
        <w:tc>
          <w:tcPr>
            <w:tcW w:w="1193" w:type="dxa"/>
            <w:tcBorders>
              <w:left w:val="nil"/>
              <w:bottom w:val="single" w:sz="4" w:space="0" w:color="auto"/>
              <w:right w:val="double" w:sz="4" w:space="0" w:color="auto"/>
            </w:tcBorders>
            <w:vAlign w:val="center"/>
          </w:tcPr>
          <w:p w14:paraId="104C3D22" w14:textId="77777777" w:rsidR="009B1EFD" w:rsidRPr="005A68E6" w:rsidRDefault="009B1EFD" w:rsidP="009B1EFD">
            <w:pPr>
              <w:spacing w:line="240" w:lineRule="auto"/>
              <w:ind w:firstLine="0"/>
              <w:jc w:val="center"/>
            </w:pPr>
            <w:r w:rsidRPr="005A68E6">
              <w:t xml:space="preserve"> 978.2 </w:t>
            </w:r>
          </w:p>
        </w:tc>
        <w:tc>
          <w:tcPr>
            <w:tcW w:w="1127" w:type="dxa"/>
            <w:tcBorders>
              <w:left w:val="double" w:sz="4" w:space="0" w:color="auto"/>
              <w:bottom w:val="single" w:sz="4" w:space="0" w:color="auto"/>
              <w:right w:val="nil"/>
            </w:tcBorders>
            <w:vAlign w:val="center"/>
          </w:tcPr>
          <w:p w14:paraId="57D202B0" w14:textId="77777777" w:rsidR="009B1EFD" w:rsidRPr="005A68E6" w:rsidRDefault="009B1EFD" w:rsidP="009B1EFD">
            <w:pPr>
              <w:spacing w:line="240" w:lineRule="auto"/>
              <w:ind w:firstLine="0"/>
              <w:jc w:val="center"/>
            </w:pPr>
            <w:r w:rsidRPr="005A68E6">
              <w:t xml:space="preserve"> 1,046.5 </w:t>
            </w:r>
          </w:p>
        </w:tc>
        <w:tc>
          <w:tcPr>
            <w:tcW w:w="1016" w:type="dxa"/>
            <w:tcBorders>
              <w:left w:val="nil"/>
              <w:bottom w:val="single" w:sz="4" w:space="0" w:color="auto"/>
              <w:right w:val="nil"/>
            </w:tcBorders>
            <w:vAlign w:val="center"/>
          </w:tcPr>
          <w:p w14:paraId="2EBE02C3" w14:textId="77777777" w:rsidR="009B1EFD" w:rsidRPr="005A68E6" w:rsidRDefault="009B1EFD" w:rsidP="009B1EFD">
            <w:pPr>
              <w:spacing w:line="240" w:lineRule="auto"/>
              <w:ind w:firstLine="0"/>
              <w:jc w:val="center"/>
            </w:pPr>
            <w:r w:rsidRPr="005A68E6">
              <w:t xml:space="preserve">1,028.0 </w:t>
            </w:r>
          </w:p>
        </w:tc>
        <w:tc>
          <w:tcPr>
            <w:tcW w:w="1055" w:type="dxa"/>
            <w:tcBorders>
              <w:left w:val="nil"/>
              <w:bottom w:val="single" w:sz="4" w:space="0" w:color="auto"/>
              <w:right w:val="nil"/>
            </w:tcBorders>
            <w:vAlign w:val="center"/>
          </w:tcPr>
          <w:p w14:paraId="4A7CD119" w14:textId="77777777" w:rsidR="009B1EFD" w:rsidRPr="005A68E6" w:rsidRDefault="009B1EFD" w:rsidP="009B1EFD">
            <w:pPr>
              <w:spacing w:line="240" w:lineRule="auto"/>
              <w:ind w:firstLine="0"/>
              <w:jc w:val="center"/>
            </w:pPr>
            <w:r w:rsidRPr="005A68E6">
              <w:t xml:space="preserve"> 1,004.8 </w:t>
            </w:r>
          </w:p>
        </w:tc>
        <w:tc>
          <w:tcPr>
            <w:tcW w:w="1018" w:type="dxa"/>
            <w:tcBorders>
              <w:left w:val="nil"/>
              <w:bottom w:val="single" w:sz="4" w:space="0" w:color="auto"/>
              <w:right w:val="nil"/>
            </w:tcBorders>
            <w:vAlign w:val="center"/>
          </w:tcPr>
          <w:p w14:paraId="316E9941" w14:textId="77777777" w:rsidR="009B1EFD" w:rsidRPr="005A68E6" w:rsidRDefault="009B1EFD" w:rsidP="009B1EFD">
            <w:pPr>
              <w:spacing w:line="240" w:lineRule="auto"/>
              <w:ind w:firstLine="0"/>
              <w:jc w:val="center"/>
            </w:pPr>
            <w:r w:rsidRPr="005A68E6">
              <w:t xml:space="preserve"> 949.3 </w:t>
            </w:r>
          </w:p>
        </w:tc>
      </w:tr>
      <w:tr w:rsidR="009B1EFD" w:rsidRPr="005A68E6" w14:paraId="17AA5462" w14:textId="77777777" w:rsidTr="0070296A">
        <w:trPr>
          <w:trHeight w:val="255"/>
          <w:jc w:val="center"/>
        </w:trPr>
        <w:tc>
          <w:tcPr>
            <w:tcW w:w="2877" w:type="dxa"/>
            <w:tcBorders>
              <w:left w:val="nil"/>
              <w:bottom w:val="single" w:sz="12" w:space="0" w:color="auto"/>
              <w:right w:val="nil"/>
            </w:tcBorders>
            <w:vAlign w:val="center"/>
          </w:tcPr>
          <w:p w14:paraId="6885A6F6" w14:textId="7B22F8DA" w:rsidR="009B1EFD" w:rsidRPr="005A68E6" w:rsidRDefault="009B1EFD" w:rsidP="009B1EFD">
            <w:pPr>
              <w:spacing w:line="240" w:lineRule="auto"/>
              <w:ind w:left="202" w:firstLine="0"/>
              <w:jc w:val="left"/>
            </w:pPr>
            <w:r w:rsidRPr="005A68E6">
              <w:rPr>
                <w:lang w:val="en-US"/>
              </w:rPr>
              <w:t>From Commercial Banks</w:t>
            </w:r>
          </w:p>
        </w:tc>
        <w:tc>
          <w:tcPr>
            <w:tcW w:w="1196" w:type="dxa"/>
            <w:tcBorders>
              <w:left w:val="nil"/>
              <w:bottom w:val="single" w:sz="12" w:space="0" w:color="auto"/>
              <w:right w:val="nil"/>
            </w:tcBorders>
            <w:vAlign w:val="center"/>
          </w:tcPr>
          <w:p w14:paraId="6A630D99" w14:textId="77777777" w:rsidR="009B1EFD" w:rsidRPr="005A68E6" w:rsidRDefault="009B1EFD" w:rsidP="009B1EFD">
            <w:pPr>
              <w:spacing w:line="240" w:lineRule="auto"/>
              <w:ind w:firstLine="0"/>
              <w:jc w:val="center"/>
            </w:pPr>
            <w:r w:rsidRPr="005A68E6">
              <w:t xml:space="preserve"> 16.7 </w:t>
            </w:r>
          </w:p>
        </w:tc>
        <w:tc>
          <w:tcPr>
            <w:tcW w:w="1071" w:type="dxa"/>
            <w:tcBorders>
              <w:left w:val="nil"/>
              <w:bottom w:val="single" w:sz="12" w:space="0" w:color="auto"/>
              <w:right w:val="nil"/>
            </w:tcBorders>
            <w:vAlign w:val="center"/>
          </w:tcPr>
          <w:p w14:paraId="750D8570" w14:textId="77777777" w:rsidR="009B1EFD" w:rsidRPr="005A68E6" w:rsidRDefault="009B1EFD" w:rsidP="009B1EFD">
            <w:pPr>
              <w:spacing w:line="240" w:lineRule="auto"/>
              <w:ind w:firstLine="0"/>
              <w:jc w:val="center"/>
            </w:pPr>
            <w:r w:rsidRPr="005A68E6">
              <w:t xml:space="preserve"> 13.7 </w:t>
            </w:r>
          </w:p>
        </w:tc>
        <w:tc>
          <w:tcPr>
            <w:tcW w:w="1193" w:type="dxa"/>
            <w:tcBorders>
              <w:left w:val="nil"/>
              <w:bottom w:val="single" w:sz="12" w:space="0" w:color="auto"/>
              <w:right w:val="double" w:sz="4" w:space="0" w:color="auto"/>
            </w:tcBorders>
            <w:vAlign w:val="center"/>
          </w:tcPr>
          <w:p w14:paraId="22C5183E" w14:textId="77777777" w:rsidR="009B1EFD" w:rsidRPr="005A68E6" w:rsidRDefault="009B1EFD" w:rsidP="009B1EFD">
            <w:pPr>
              <w:spacing w:line="240" w:lineRule="auto"/>
              <w:ind w:firstLine="0"/>
              <w:jc w:val="center"/>
            </w:pPr>
            <w:r w:rsidRPr="005A68E6">
              <w:t xml:space="preserve"> 13.0 </w:t>
            </w:r>
          </w:p>
        </w:tc>
        <w:tc>
          <w:tcPr>
            <w:tcW w:w="1127" w:type="dxa"/>
            <w:tcBorders>
              <w:left w:val="double" w:sz="4" w:space="0" w:color="auto"/>
              <w:bottom w:val="single" w:sz="12" w:space="0" w:color="auto"/>
              <w:right w:val="nil"/>
            </w:tcBorders>
            <w:vAlign w:val="center"/>
          </w:tcPr>
          <w:p w14:paraId="7E3FD46B" w14:textId="77777777" w:rsidR="009B1EFD" w:rsidRPr="005A68E6" w:rsidRDefault="009B1EFD" w:rsidP="009B1EFD">
            <w:pPr>
              <w:spacing w:line="240" w:lineRule="auto"/>
              <w:ind w:firstLine="0"/>
              <w:jc w:val="center"/>
            </w:pPr>
            <w:r w:rsidRPr="005A68E6">
              <w:t xml:space="preserve"> 12.2 </w:t>
            </w:r>
          </w:p>
        </w:tc>
        <w:tc>
          <w:tcPr>
            <w:tcW w:w="1016" w:type="dxa"/>
            <w:tcBorders>
              <w:left w:val="nil"/>
              <w:bottom w:val="single" w:sz="12" w:space="0" w:color="auto"/>
              <w:right w:val="nil"/>
            </w:tcBorders>
            <w:vAlign w:val="center"/>
          </w:tcPr>
          <w:p w14:paraId="71C4FB2A" w14:textId="77777777" w:rsidR="009B1EFD" w:rsidRPr="005A68E6" w:rsidRDefault="009B1EFD" w:rsidP="009B1EFD">
            <w:pPr>
              <w:spacing w:line="240" w:lineRule="auto"/>
              <w:ind w:firstLine="0"/>
              <w:jc w:val="center"/>
            </w:pPr>
            <w:r w:rsidRPr="005A68E6">
              <w:t xml:space="preserve"> 10.1 </w:t>
            </w:r>
          </w:p>
        </w:tc>
        <w:tc>
          <w:tcPr>
            <w:tcW w:w="1055" w:type="dxa"/>
            <w:tcBorders>
              <w:left w:val="nil"/>
              <w:bottom w:val="single" w:sz="12" w:space="0" w:color="auto"/>
              <w:right w:val="nil"/>
            </w:tcBorders>
            <w:vAlign w:val="center"/>
          </w:tcPr>
          <w:p w14:paraId="2CE4627C" w14:textId="77777777" w:rsidR="009B1EFD" w:rsidRPr="005A68E6" w:rsidRDefault="009B1EFD" w:rsidP="009B1EFD">
            <w:pPr>
              <w:spacing w:line="240" w:lineRule="auto"/>
              <w:ind w:firstLine="0"/>
              <w:jc w:val="center"/>
            </w:pPr>
            <w:r w:rsidRPr="005A68E6">
              <w:t xml:space="preserve"> 7.9 </w:t>
            </w:r>
          </w:p>
        </w:tc>
        <w:tc>
          <w:tcPr>
            <w:tcW w:w="1018" w:type="dxa"/>
            <w:tcBorders>
              <w:left w:val="nil"/>
              <w:bottom w:val="single" w:sz="12" w:space="0" w:color="auto"/>
              <w:right w:val="nil"/>
            </w:tcBorders>
            <w:vAlign w:val="center"/>
          </w:tcPr>
          <w:p w14:paraId="50A2FBFF" w14:textId="77777777" w:rsidR="009B1EFD" w:rsidRPr="005A68E6" w:rsidRDefault="009B1EFD" w:rsidP="009B1EFD">
            <w:pPr>
              <w:spacing w:line="240" w:lineRule="auto"/>
              <w:ind w:firstLine="0"/>
              <w:jc w:val="center"/>
            </w:pPr>
            <w:r w:rsidRPr="005A68E6">
              <w:t xml:space="preserve"> 6.5 </w:t>
            </w:r>
          </w:p>
        </w:tc>
      </w:tr>
      <w:tr w:rsidR="009B1EFD" w:rsidRPr="005A68E6" w14:paraId="737B4A9F" w14:textId="77777777" w:rsidTr="0070296A">
        <w:trPr>
          <w:trHeight w:val="255"/>
          <w:jc w:val="center"/>
        </w:trPr>
        <w:tc>
          <w:tcPr>
            <w:tcW w:w="2877" w:type="dxa"/>
            <w:tcBorders>
              <w:top w:val="single" w:sz="12" w:space="0" w:color="auto"/>
              <w:left w:val="nil"/>
              <w:right w:val="nil"/>
            </w:tcBorders>
            <w:vAlign w:val="center"/>
          </w:tcPr>
          <w:p w14:paraId="7C73F8E8" w14:textId="46E4915B" w:rsidR="009B1EFD" w:rsidRPr="005A68E6" w:rsidRDefault="009B1EFD" w:rsidP="009B1EFD">
            <w:pPr>
              <w:spacing w:line="240" w:lineRule="auto"/>
              <w:ind w:firstLine="0"/>
              <w:jc w:val="left"/>
            </w:pPr>
            <w:r w:rsidRPr="005A68E6">
              <w:rPr>
                <w:lang w:val="en-US"/>
              </w:rPr>
              <w:t>Average interest rate</w:t>
            </w:r>
            <w:r w:rsidRPr="005A68E6">
              <w:t xml:space="preserve"> (%)</w:t>
            </w:r>
          </w:p>
        </w:tc>
        <w:tc>
          <w:tcPr>
            <w:tcW w:w="1196" w:type="dxa"/>
            <w:tcBorders>
              <w:top w:val="single" w:sz="12" w:space="0" w:color="auto"/>
              <w:left w:val="nil"/>
              <w:right w:val="nil"/>
            </w:tcBorders>
            <w:vAlign w:val="center"/>
          </w:tcPr>
          <w:p w14:paraId="0820DD29" w14:textId="77777777" w:rsidR="009B1EFD" w:rsidRPr="005A68E6" w:rsidRDefault="009B1EFD" w:rsidP="009B1EFD">
            <w:pPr>
              <w:spacing w:line="240" w:lineRule="auto"/>
              <w:ind w:firstLine="0"/>
              <w:jc w:val="center"/>
            </w:pPr>
            <w:r w:rsidRPr="005A68E6">
              <w:t xml:space="preserve"> 1.5 </w:t>
            </w:r>
          </w:p>
        </w:tc>
        <w:tc>
          <w:tcPr>
            <w:tcW w:w="1071" w:type="dxa"/>
            <w:tcBorders>
              <w:top w:val="single" w:sz="12" w:space="0" w:color="auto"/>
              <w:left w:val="nil"/>
              <w:right w:val="nil"/>
            </w:tcBorders>
            <w:vAlign w:val="center"/>
          </w:tcPr>
          <w:p w14:paraId="6FD1318D" w14:textId="77777777" w:rsidR="009B1EFD" w:rsidRPr="005A68E6" w:rsidRDefault="009B1EFD" w:rsidP="009B1EFD">
            <w:pPr>
              <w:spacing w:line="240" w:lineRule="auto"/>
              <w:ind w:firstLine="0"/>
              <w:jc w:val="center"/>
            </w:pPr>
            <w:r w:rsidRPr="005A68E6">
              <w:t xml:space="preserve"> 3.2 </w:t>
            </w:r>
          </w:p>
        </w:tc>
        <w:tc>
          <w:tcPr>
            <w:tcW w:w="1193" w:type="dxa"/>
            <w:tcBorders>
              <w:top w:val="single" w:sz="12" w:space="0" w:color="auto"/>
              <w:left w:val="nil"/>
              <w:right w:val="double" w:sz="4" w:space="0" w:color="auto"/>
            </w:tcBorders>
            <w:vAlign w:val="center"/>
          </w:tcPr>
          <w:p w14:paraId="4766EF40" w14:textId="77777777" w:rsidR="009B1EFD" w:rsidRPr="005A68E6" w:rsidRDefault="009B1EFD" w:rsidP="009B1EFD">
            <w:pPr>
              <w:spacing w:line="240" w:lineRule="auto"/>
              <w:ind w:firstLine="0"/>
              <w:jc w:val="center"/>
            </w:pPr>
            <w:r w:rsidRPr="005A68E6">
              <w:t>3.8</w:t>
            </w:r>
          </w:p>
        </w:tc>
        <w:tc>
          <w:tcPr>
            <w:tcW w:w="1127" w:type="dxa"/>
            <w:tcBorders>
              <w:top w:val="single" w:sz="12" w:space="0" w:color="auto"/>
              <w:left w:val="double" w:sz="4" w:space="0" w:color="auto"/>
              <w:right w:val="nil"/>
            </w:tcBorders>
            <w:vAlign w:val="center"/>
          </w:tcPr>
          <w:p w14:paraId="52F53BFF" w14:textId="77777777" w:rsidR="009B1EFD" w:rsidRPr="005A68E6" w:rsidRDefault="009B1EFD" w:rsidP="009B1EFD">
            <w:pPr>
              <w:spacing w:line="240" w:lineRule="auto"/>
              <w:ind w:firstLine="0"/>
              <w:jc w:val="center"/>
            </w:pPr>
            <w:r w:rsidRPr="005A68E6">
              <w:t>4.6</w:t>
            </w:r>
          </w:p>
        </w:tc>
        <w:tc>
          <w:tcPr>
            <w:tcW w:w="1016" w:type="dxa"/>
            <w:tcBorders>
              <w:top w:val="single" w:sz="12" w:space="0" w:color="auto"/>
              <w:left w:val="nil"/>
              <w:right w:val="nil"/>
            </w:tcBorders>
            <w:vAlign w:val="center"/>
          </w:tcPr>
          <w:p w14:paraId="250B85FF" w14:textId="77777777" w:rsidR="009B1EFD" w:rsidRPr="005A68E6" w:rsidRDefault="009B1EFD" w:rsidP="009B1EFD">
            <w:pPr>
              <w:spacing w:line="240" w:lineRule="auto"/>
              <w:ind w:firstLine="0"/>
              <w:jc w:val="center"/>
            </w:pPr>
            <w:r w:rsidRPr="005A68E6">
              <w:t>4.8</w:t>
            </w:r>
          </w:p>
        </w:tc>
        <w:tc>
          <w:tcPr>
            <w:tcW w:w="1055" w:type="dxa"/>
            <w:tcBorders>
              <w:top w:val="single" w:sz="12" w:space="0" w:color="auto"/>
              <w:left w:val="nil"/>
              <w:right w:val="nil"/>
            </w:tcBorders>
            <w:vAlign w:val="center"/>
          </w:tcPr>
          <w:p w14:paraId="462051BE" w14:textId="77777777" w:rsidR="009B1EFD" w:rsidRPr="005A68E6" w:rsidRDefault="009B1EFD" w:rsidP="009B1EFD">
            <w:pPr>
              <w:spacing w:line="240" w:lineRule="auto"/>
              <w:ind w:firstLine="0"/>
              <w:jc w:val="center"/>
            </w:pPr>
            <w:r w:rsidRPr="005A68E6">
              <w:t>5.9</w:t>
            </w:r>
          </w:p>
        </w:tc>
        <w:tc>
          <w:tcPr>
            <w:tcW w:w="1018" w:type="dxa"/>
            <w:tcBorders>
              <w:top w:val="single" w:sz="12" w:space="0" w:color="auto"/>
              <w:left w:val="nil"/>
              <w:right w:val="nil"/>
            </w:tcBorders>
            <w:vAlign w:val="center"/>
          </w:tcPr>
          <w:p w14:paraId="60ECB226" w14:textId="77777777" w:rsidR="009B1EFD" w:rsidRPr="005A68E6" w:rsidRDefault="009B1EFD" w:rsidP="009B1EFD">
            <w:pPr>
              <w:spacing w:line="240" w:lineRule="auto"/>
              <w:ind w:firstLine="0"/>
              <w:jc w:val="center"/>
            </w:pPr>
            <w:r w:rsidRPr="005A68E6">
              <w:t>7.0</w:t>
            </w:r>
          </w:p>
        </w:tc>
      </w:tr>
      <w:tr w:rsidR="009B1EFD" w:rsidRPr="005A68E6" w14:paraId="4E7F7D34" w14:textId="77777777" w:rsidTr="0070296A">
        <w:trPr>
          <w:trHeight w:val="255"/>
          <w:jc w:val="center"/>
        </w:trPr>
        <w:tc>
          <w:tcPr>
            <w:tcW w:w="2877" w:type="dxa"/>
            <w:tcBorders>
              <w:left w:val="nil"/>
              <w:bottom w:val="thickThinSmallGap" w:sz="24" w:space="0" w:color="auto"/>
              <w:right w:val="nil"/>
            </w:tcBorders>
            <w:vAlign w:val="center"/>
          </w:tcPr>
          <w:p w14:paraId="5BEAA867" w14:textId="7BE9B501" w:rsidR="009B1EFD" w:rsidRPr="005A68E6" w:rsidRDefault="009B1EFD" w:rsidP="009B1EFD">
            <w:pPr>
              <w:spacing w:line="240" w:lineRule="auto"/>
              <w:ind w:firstLine="0"/>
              <w:jc w:val="left"/>
            </w:pPr>
            <w:r w:rsidRPr="005A68E6">
              <w:rPr>
                <w:lang w:val="en-US"/>
              </w:rPr>
              <w:t>Average time to maturity</w:t>
            </w:r>
            <w:r w:rsidRPr="005A68E6">
              <w:t xml:space="preserve"> (</w:t>
            </w:r>
            <w:r w:rsidRPr="005A68E6">
              <w:rPr>
                <w:lang w:val="en-US"/>
              </w:rPr>
              <w:t>years</w:t>
            </w:r>
            <w:r w:rsidRPr="005A68E6">
              <w:t>)</w:t>
            </w:r>
          </w:p>
        </w:tc>
        <w:tc>
          <w:tcPr>
            <w:tcW w:w="1196" w:type="dxa"/>
            <w:tcBorders>
              <w:left w:val="nil"/>
              <w:bottom w:val="thickThinSmallGap" w:sz="24" w:space="0" w:color="auto"/>
              <w:right w:val="nil"/>
            </w:tcBorders>
            <w:vAlign w:val="center"/>
          </w:tcPr>
          <w:p w14:paraId="544B4DF6" w14:textId="77777777" w:rsidR="009B1EFD" w:rsidRPr="005A68E6" w:rsidRDefault="009B1EFD" w:rsidP="009B1EFD">
            <w:pPr>
              <w:spacing w:line="240" w:lineRule="auto"/>
              <w:ind w:firstLine="0"/>
              <w:jc w:val="center"/>
            </w:pPr>
            <w:r w:rsidRPr="005A68E6">
              <w:t xml:space="preserve"> 7.9 </w:t>
            </w:r>
          </w:p>
        </w:tc>
        <w:tc>
          <w:tcPr>
            <w:tcW w:w="1071" w:type="dxa"/>
            <w:tcBorders>
              <w:left w:val="nil"/>
              <w:bottom w:val="thickThinSmallGap" w:sz="24" w:space="0" w:color="auto"/>
              <w:right w:val="nil"/>
            </w:tcBorders>
            <w:vAlign w:val="center"/>
          </w:tcPr>
          <w:p w14:paraId="67FAA856" w14:textId="77777777" w:rsidR="009B1EFD" w:rsidRPr="005A68E6" w:rsidRDefault="009B1EFD" w:rsidP="009B1EFD">
            <w:pPr>
              <w:spacing w:line="240" w:lineRule="auto"/>
              <w:ind w:firstLine="0"/>
              <w:jc w:val="center"/>
            </w:pPr>
            <w:r w:rsidRPr="005A68E6">
              <w:t xml:space="preserve"> 7.5 </w:t>
            </w:r>
          </w:p>
        </w:tc>
        <w:tc>
          <w:tcPr>
            <w:tcW w:w="1193" w:type="dxa"/>
            <w:tcBorders>
              <w:left w:val="nil"/>
              <w:bottom w:val="thickThinSmallGap" w:sz="24" w:space="0" w:color="auto"/>
              <w:right w:val="double" w:sz="4" w:space="0" w:color="auto"/>
            </w:tcBorders>
            <w:vAlign w:val="center"/>
          </w:tcPr>
          <w:p w14:paraId="1618E082" w14:textId="77777777" w:rsidR="009B1EFD" w:rsidRPr="005A68E6" w:rsidRDefault="009B1EFD" w:rsidP="009B1EFD">
            <w:pPr>
              <w:spacing w:line="240" w:lineRule="auto"/>
              <w:ind w:firstLine="0"/>
              <w:jc w:val="center"/>
            </w:pPr>
            <w:r w:rsidRPr="005A68E6">
              <w:t xml:space="preserve"> 7.6 </w:t>
            </w:r>
          </w:p>
        </w:tc>
        <w:tc>
          <w:tcPr>
            <w:tcW w:w="1127" w:type="dxa"/>
            <w:tcBorders>
              <w:left w:val="double" w:sz="4" w:space="0" w:color="auto"/>
              <w:bottom w:val="thickThinSmallGap" w:sz="24" w:space="0" w:color="auto"/>
              <w:right w:val="nil"/>
            </w:tcBorders>
            <w:vAlign w:val="center"/>
          </w:tcPr>
          <w:p w14:paraId="536998F7" w14:textId="77777777" w:rsidR="009B1EFD" w:rsidRPr="005A68E6" w:rsidRDefault="009B1EFD" w:rsidP="009B1EFD">
            <w:pPr>
              <w:spacing w:line="240" w:lineRule="auto"/>
              <w:ind w:firstLine="0"/>
              <w:jc w:val="center"/>
            </w:pPr>
            <w:r w:rsidRPr="005A68E6">
              <w:t xml:space="preserve"> 7.3 </w:t>
            </w:r>
          </w:p>
        </w:tc>
        <w:tc>
          <w:tcPr>
            <w:tcW w:w="1016" w:type="dxa"/>
            <w:tcBorders>
              <w:left w:val="nil"/>
              <w:bottom w:val="thickThinSmallGap" w:sz="24" w:space="0" w:color="auto"/>
              <w:right w:val="nil"/>
            </w:tcBorders>
            <w:vAlign w:val="center"/>
          </w:tcPr>
          <w:p w14:paraId="151E2F59" w14:textId="77777777" w:rsidR="009B1EFD" w:rsidRPr="005A68E6" w:rsidRDefault="009B1EFD" w:rsidP="009B1EFD">
            <w:pPr>
              <w:spacing w:line="240" w:lineRule="auto"/>
              <w:ind w:firstLine="0"/>
              <w:jc w:val="center"/>
            </w:pPr>
            <w:r w:rsidRPr="005A68E6">
              <w:t xml:space="preserve"> 7.3 </w:t>
            </w:r>
          </w:p>
        </w:tc>
        <w:tc>
          <w:tcPr>
            <w:tcW w:w="1055" w:type="dxa"/>
            <w:tcBorders>
              <w:left w:val="nil"/>
              <w:bottom w:val="thickThinSmallGap" w:sz="24" w:space="0" w:color="auto"/>
              <w:right w:val="nil"/>
            </w:tcBorders>
            <w:vAlign w:val="center"/>
          </w:tcPr>
          <w:p w14:paraId="420B2739" w14:textId="77777777" w:rsidR="009B1EFD" w:rsidRPr="005A68E6" w:rsidRDefault="009B1EFD" w:rsidP="009B1EFD">
            <w:pPr>
              <w:spacing w:line="240" w:lineRule="auto"/>
              <w:ind w:firstLine="0"/>
              <w:jc w:val="center"/>
            </w:pPr>
            <w:r w:rsidRPr="005A68E6">
              <w:t xml:space="preserve"> 7.0 </w:t>
            </w:r>
          </w:p>
        </w:tc>
        <w:tc>
          <w:tcPr>
            <w:tcW w:w="1018" w:type="dxa"/>
            <w:tcBorders>
              <w:left w:val="nil"/>
              <w:bottom w:val="thickThinSmallGap" w:sz="24" w:space="0" w:color="auto"/>
              <w:right w:val="nil"/>
            </w:tcBorders>
            <w:vAlign w:val="center"/>
          </w:tcPr>
          <w:p w14:paraId="40EC90E5" w14:textId="77777777" w:rsidR="009B1EFD" w:rsidRPr="005A68E6" w:rsidRDefault="009B1EFD" w:rsidP="009B1EFD">
            <w:pPr>
              <w:spacing w:line="240" w:lineRule="auto"/>
              <w:ind w:firstLine="0"/>
              <w:jc w:val="center"/>
              <w:rPr>
                <w:lang w:val="en-US"/>
              </w:rPr>
            </w:pPr>
            <w:r w:rsidRPr="005A68E6">
              <w:t xml:space="preserve"> 6.9 </w:t>
            </w:r>
          </w:p>
        </w:tc>
      </w:tr>
    </w:tbl>
    <w:bookmarkEnd w:id="2"/>
    <w:p w14:paraId="0BF30FD5" w14:textId="05BCB566" w:rsidR="00FB7F60" w:rsidRPr="005A68E6" w:rsidRDefault="00B72E15" w:rsidP="002264FD">
      <w:pPr>
        <w:ind w:firstLine="0"/>
        <w:rPr>
          <w:sz w:val="18"/>
        </w:rPr>
      </w:pPr>
      <w:r w:rsidRPr="005A68E6">
        <w:t xml:space="preserve"> </w:t>
      </w:r>
      <w:r w:rsidR="007E48F5" w:rsidRPr="005A68E6">
        <w:rPr>
          <w:sz w:val="18"/>
          <w:lang w:val="en-US"/>
        </w:rPr>
        <w:t>Source: RA MoF calculations and forecasts</w:t>
      </w:r>
    </w:p>
    <w:p w14:paraId="74B18629" w14:textId="0A7DED81" w:rsidR="009B1EFD" w:rsidRPr="005A68E6" w:rsidRDefault="009B1EFD" w:rsidP="002264FD">
      <w:pPr>
        <w:ind w:firstLine="0"/>
      </w:pPr>
    </w:p>
    <w:sectPr w:rsidR="009B1EFD" w:rsidRPr="005A68E6" w:rsidSect="0070296A">
      <w:pgSz w:w="11909" w:h="16834" w:code="9"/>
      <w:pgMar w:top="1134" w:right="567" w:bottom="567" w:left="1134" w:header="720" w:footer="2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937F1" w14:textId="77777777" w:rsidR="00C45A7F" w:rsidRDefault="00C45A7F" w:rsidP="00A1274B">
      <w:r>
        <w:separator/>
      </w:r>
    </w:p>
  </w:endnote>
  <w:endnote w:type="continuationSeparator" w:id="0">
    <w:p w14:paraId="5F85A889" w14:textId="77777777" w:rsidR="00C45A7F" w:rsidRDefault="00C45A7F" w:rsidP="00A12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Times Unicode">
    <w:panose1 w:val="02020603050405020304"/>
    <w:charset w:val="00"/>
    <w:family w:val="roman"/>
    <w:pitch w:val="variable"/>
    <w:sig w:usb0="00000287" w:usb1="00000000"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Armenian">
    <w:panose1 w:val="020B0604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LatArm">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w:charset w:val="00"/>
    <w:family w:val="auto"/>
    <w:pitch w:val="variable"/>
    <w:sig w:usb0="80000267" w:usb1="00000000" w:usb2="00000000" w:usb3="00000000" w:csb0="000001F7"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AM">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ltica">
    <w:panose1 w:val="00000000000000000000"/>
    <w:charset w:val="00"/>
    <w:family w:val="auto"/>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Armenian">
    <w:altName w:val="Arial Armenian"/>
    <w:panose1 w:val="00000000000000000000"/>
    <w:charset w:val="00"/>
    <w:family w:val="swiss"/>
    <w:notTrueType/>
    <w:pitch w:val="default"/>
    <w:sig w:usb0="00000003" w:usb1="00000000" w:usb2="00000000" w:usb3="00000000" w:csb0="00000001" w:csb1="00000000"/>
  </w:font>
  <w:font w:name="Russian Baltica">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allak Helv">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w:panose1 w:val="020B0604020202020204"/>
    <w:charset w:val="00"/>
    <w:family w:val="swiss"/>
    <w:pitch w:val="variable"/>
    <w:sig w:usb0="00000287" w:usb1="00000000" w:usb2="00000000" w:usb3="00000000" w:csb0="0000009F"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charset w:val="01"/>
    <w:family w:val="roman"/>
    <w:pitch w:val="variable"/>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211F7" w14:textId="77777777" w:rsidR="00C45A7F" w:rsidRDefault="00C45A7F" w:rsidP="00A1274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65D82EC2" w14:textId="77777777" w:rsidR="00C45A7F" w:rsidRDefault="00C45A7F" w:rsidP="00A1274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02C71" w14:textId="0471EBE1" w:rsidR="00C45A7F" w:rsidRDefault="00C45A7F" w:rsidP="00A1274B">
    <w:pPr>
      <w:pStyle w:val="Footer"/>
      <w:pBdr>
        <w:top w:val="single" w:sz="4" w:space="1" w:color="002060"/>
      </w:pBdr>
      <w:jc w:val="right"/>
    </w:pPr>
    <w:r>
      <w:fldChar w:fldCharType="begin"/>
    </w:r>
    <w:r>
      <w:instrText xml:space="preserve"> PAGE   \* MERGEFORMAT </w:instrText>
    </w:r>
    <w:r>
      <w:fldChar w:fldCharType="separate"/>
    </w:r>
    <w:r w:rsidR="00574A43">
      <w:rPr>
        <w:noProof/>
      </w:rPr>
      <w:t>2</w:t>
    </w:r>
    <w:r>
      <w:rPr>
        <w:noProof/>
      </w:rPr>
      <w:fldChar w:fldCharType="end"/>
    </w:r>
  </w:p>
  <w:p w14:paraId="3F85A62B" w14:textId="77777777" w:rsidR="00C45A7F" w:rsidRPr="00B75D58" w:rsidRDefault="00C45A7F" w:rsidP="00A1274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ED667" w14:textId="77777777" w:rsidR="00C45A7F" w:rsidRDefault="00C45A7F" w:rsidP="00A1274B">
      <w:r>
        <w:separator/>
      </w:r>
    </w:p>
  </w:footnote>
  <w:footnote w:type="continuationSeparator" w:id="0">
    <w:p w14:paraId="7F50FA1F" w14:textId="77777777" w:rsidR="00C45A7F" w:rsidRDefault="00C45A7F" w:rsidP="00A1274B">
      <w:r>
        <w:continuationSeparator/>
      </w:r>
    </w:p>
  </w:footnote>
  <w:footnote w:id="1">
    <w:p w14:paraId="5F70AABF" w14:textId="4BF08CA8" w:rsidR="00C45A7F" w:rsidRPr="00B76A71" w:rsidRDefault="00C45A7F">
      <w:pPr>
        <w:pStyle w:val="FootnoteText"/>
        <w:rPr>
          <w:lang w:val="en-US"/>
        </w:rPr>
      </w:pPr>
      <w:r>
        <w:rPr>
          <w:rStyle w:val="FootnoteReference"/>
        </w:rPr>
        <w:footnoteRef/>
      </w:r>
      <w:r>
        <w:t xml:space="preserve"> </w:t>
      </w:r>
      <w:r>
        <w:rPr>
          <w:lang w:val="en-US"/>
        </w:rPr>
        <w:t>Source: 2024-2026</w:t>
      </w:r>
      <w:r w:rsidRPr="00781110">
        <w:rPr>
          <w:lang w:val="en-US"/>
        </w:rPr>
        <w:t xml:space="preserve"> </w:t>
      </w:r>
      <w:r>
        <w:rPr>
          <w:lang w:val="en-US"/>
        </w:rPr>
        <w:t>MTEF</w:t>
      </w:r>
    </w:p>
  </w:footnote>
  <w:footnote w:id="2">
    <w:p w14:paraId="501A22D5" w14:textId="3BEE8409" w:rsidR="00C45A7F" w:rsidRPr="00767413" w:rsidRDefault="00C45A7F">
      <w:pPr>
        <w:pStyle w:val="FootnoteText"/>
        <w:rPr>
          <w:lang w:val="en-US"/>
        </w:rPr>
      </w:pPr>
      <w:r>
        <w:rPr>
          <w:rStyle w:val="FootnoteReference"/>
        </w:rPr>
        <w:footnoteRef/>
      </w:r>
      <w:r>
        <w:t xml:space="preserve"> </w:t>
      </w:r>
      <w:r>
        <w:rPr>
          <w:lang w:val="en-US"/>
        </w:rPr>
        <w:t xml:space="preserve">It is noteworthy that the application of the 23.6% shock also brings the exchange rate back to the level that existed before the Russian-Ukrainian conflict.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9.75pt;height:9.75pt" o:bullet="t">
        <v:imagedata r:id="rId1" o:title="BD21301_"/>
      </v:shape>
    </w:pict>
  </w:numPicBullet>
  <w:abstractNum w:abstractNumId="0" w15:restartNumberingAfterBreak="0">
    <w:nsid w:val="FFFFFF83"/>
    <w:multiLevelType w:val="singleLevel"/>
    <w:tmpl w:val="9F865784"/>
    <w:lvl w:ilvl="0">
      <w:start w:val="1"/>
      <w:numFmt w:val="bullet"/>
      <w:pStyle w:val="2ndheading"/>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9AC5A72"/>
    <w:lvl w:ilvl="0">
      <w:start w:val="1"/>
      <w:numFmt w:val="decimal"/>
      <w:pStyle w:val="ListNumber"/>
      <w:lvlText w:val="%1."/>
      <w:lvlJc w:val="left"/>
      <w:pPr>
        <w:tabs>
          <w:tab w:val="num" w:pos="360"/>
        </w:tabs>
        <w:ind w:left="360" w:hanging="360"/>
      </w:pPr>
    </w:lvl>
  </w:abstractNum>
  <w:abstractNum w:abstractNumId="2" w15:restartNumberingAfterBreak="0">
    <w:nsid w:val="034817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F111F4"/>
    <w:multiLevelType w:val="hybridMultilevel"/>
    <w:tmpl w:val="EE14FD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6CD1E6F"/>
    <w:multiLevelType w:val="hybridMultilevel"/>
    <w:tmpl w:val="908CCCA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CED22CD"/>
    <w:multiLevelType w:val="multilevel"/>
    <w:tmpl w:val="C77EBEC8"/>
    <w:lvl w:ilvl="0">
      <w:start w:val="1"/>
      <w:numFmt w:val="decimal"/>
      <w:pStyle w:val="Style4"/>
      <w:lvlText w:val="´²ÄÆÜ %1."/>
      <w:lvlJc w:val="left"/>
      <w:pPr>
        <w:tabs>
          <w:tab w:val="num" w:pos="1531"/>
        </w:tabs>
        <w:ind w:left="1531" w:hanging="1531"/>
      </w:pPr>
      <w:rPr>
        <w:rFonts w:hint="default"/>
      </w:rPr>
    </w:lvl>
    <w:lvl w:ilvl="1">
      <w:start w:val="1"/>
      <w:numFmt w:val="decimal"/>
      <w:lvlRestart w:val="0"/>
      <w:pStyle w:val="annexedhead"/>
      <w:lvlText w:val="¶ÈàôÊ %2."/>
      <w:lvlJc w:val="left"/>
      <w:pPr>
        <w:tabs>
          <w:tab w:val="num" w:pos="1440"/>
        </w:tabs>
        <w:ind w:left="737" w:hanging="737"/>
      </w:pPr>
      <w:rPr>
        <w:rFonts w:hint="default"/>
      </w:rPr>
    </w:lvl>
    <w:lvl w:ilvl="2">
      <w:start w:val="1"/>
      <w:numFmt w:val="decimal"/>
      <w:pStyle w:val="StyleHeading3CenteredtextLinespacingsingle"/>
      <w:lvlText w:val="%2.%3."/>
      <w:lvlJc w:val="left"/>
      <w:pPr>
        <w:tabs>
          <w:tab w:val="num" w:pos="737"/>
        </w:tabs>
        <w:ind w:left="737" w:hanging="737"/>
      </w:pPr>
      <w:rPr>
        <w:rFonts w:hint="default"/>
      </w:rPr>
    </w:lvl>
    <w:lvl w:ilvl="3">
      <w:start w:val="1"/>
      <w:numFmt w:val="decimal"/>
      <w:lvlText w:val="%2.%3.%4."/>
      <w:lvlJc w:val="left"/>
      <w:pPr>
        <w:tabs>
          <w:tab w:val="num" w:pos="737"/>
        </w:tabs>
        <w:ind w:left="737" w:hanging="737"/>
      </w:pPr>
      <w:rPr>
        <w:rFonts w:hint="default"/>
      </w:rPr>
    </w:lvl>
    <w:lvl w:ilvl="4">
      <w:start w:val="1"/>
      <w:numFmt w:val="decimal"/>
      <w:lvlText w:val="%2.%3.%4.%5."/>
      <w:lvlJc w:val="left"/>
      <w:pPr>
        <w:tabs>
          <w:tab w:val="num" w:pos="907"/>
        </w:tabs>
        <w:ind w:left="907" w:hanging="907"/>
      </w:pPr>
      <w:rPr>
        <w:rFonts w:hint="default"/>
      </w:rPr>
    </w:lvl>
    <w:lvl w:ilvl="5">
      <w:start w:val="1"/>
      <w:numFmt w:val="decimal"/>
      <w:pStyle w:val="Heading6"/>
      <w:lvlText w:val="%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4EC521C"/>
    <w:multiLevelType w:val="hybridMultilevel"/>
    <w:tmpl w:val="10341154"/>
    <w:lvl w:ilvl="0" w:tplc="53B6E2B0">
      <w:start w:val="2021"/>
      <w:numFmt w:val="bullet"/>
      <w:lvlText w:val="-"/>
      <w:lvlJc w:val="left"/>
      <w:pPr>
        <w:ind w:left="927" w:hanging="360"/>
      </w:pPr>
      <w:rPr>
        <w:rFonts w:ascii="GHEA Grapalat" w:eastAsia="Times New Roman" w:hAnsi="GHEA Grapalat" w:cs="Times Unicode"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22A707DA"/>
    <w:multiLevelType w:val="hybridMultilevel"/>
    <w:tmpl w:val="74E04D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254D5A"/>
    <w:multiLevelType w:val="hybridMultilevel"/>
    <w:tmpl w:val="928A287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0" w15:restartNumberingAfterBreak="0">
    <w:nsid w:val="24C13DF6"/>
    <w:multiLevelType w:val="multilevel"/>
    <w:tmpl w:val="4F5A80D2"/>
    <w:lvl w:ilvl="0">
      <w:start w:val="1"/>
      <w:numFmt w:val="decimal"/>
      <w:lvlText w:val="Գլուխ %1."/>
      <w:lvlJc w:val="left"/>
      <w:pPr>
        <w:ind w:left="8866" w:hanging="360"/>
      </w:pPr>
      <w:rPr>
        <w:rFonts w:ascii="GHEA Grapalat" w:hAnsi="GHEA Grapalat" w:hint="default"/>
        <w:b/>
        <w:i w:val="0"/>
        <w:sz w:val="26"/>
        <w:szCs w:val="26"/>
      </w:rPr>
    </w:lvl>
    <w:lvl w:ilvl="1">
      <w:start w:val="1"/>
      <w:numFmt w:val="decimal"/>
      <w:pStyle w:val="Heading3"/>
      <w:lvlText w:val="%1.%2."/>
      <w:lvlJc w:val="left"/>
      <w:pPr>
        <w:ind w:left="9080" w:hanging="432"/>
      </w:pPr>
      <w:rPr>
        <w:b/>
        <w:bCs w:val="0"/>
      </w:rPr>
    </w:lvl>
    <w:lvl w:ilvl="2">
      <w:start w:val="1"/>
      <w:numFmt w:val="decimal"/>
      <w:pStyle w:val="Heading4"/>
      <w:lvlText w:val="%1.%2.%3."/>
      <w:lvlJc w:val="left"/>
      <w:pPr>
        <w:ind w:left="9162" w:hanging="504"/>
      </w:pPr>
    </w:lvl>
    <w:lvl w:ilvl="3">
      <w:start w:val="1"/>
      <w:numFmt w:val="decimal"/>
      <w:lvlText w:val="%1.%2.%3.%4."/>
      <w:lvlJc w:val="left"/>
      <w:pPr>
        <w:ind w:left="9666" w:hanging="648"/>
      </w:pPr>
    </w:lvl>
    <w:lvl w:ilvl="4">
      <w:start w:val="1"/>
      <w:numFmt w:val="decimal"/>
      <w:lvlText w:val="%1.%2.%3.%4.%5."/>
      <w:lvlJc w:val="left"/>
      <w:pPr>
        <w:ind w:left="10170" w:hanging="792"/>
      </w:pPr>
    </w:lvl>
    <w:lvl w:ilvl="5">
      <w:start w:val="1"/>
      <w:numFmt w:val="decimal"/>
      <w:lvlText w:val="%1.%2.%3.%4.%5.%6."/>
      <w:lvlJc w:val="left"/>
      <w:pPr>
        <w:ind w:left="10674" w:hanging="936"/>
      </w:pPr>
    </w:lvl>
    <w:lvl w:ilvl="6">
      <w:start w:val="1"/>
      <w:numFmt w:val="decimal"/>
      <w:lvlText w:val="%1.%2.%3.%4.%5.%6.%7."/>
      <w:lvlJc w:val="left"/>
      <w:pPr>
        <w:ind w:left="11178" w:hanging="1080"/>
      </w:pPr>
    </w:lvl>
    <w:lvl w:ilvl="7">
      <w:start w:val="1"/>
      <w:numFmt w:val="decimal"/>
      <w:lvlText w:val="%1.%2.%3.%4.%5.%6.%7.%8."/>
      <w:lvlJc w:val="left"/>
      <w:pPr>
        <w:ind w:left="11682" w:hanging="1224"/>
      </w:pPr>
    </w:lvl>
    <w:lvl w:ilvl="8">
      <w:start w:val="1"/>
      <w:numFmt w:val="decimal"/>
      <w:lvlText w:val="%1.%2.%3.%4.%5.%6.%7.%8.%9."/>
      <w:lvlJc w:val="left"/>
      <w:pPr>
        <w:ind w:left="12258" w:hanging="1440"/>
      </w:pPr>
    </w:lvl>
  </w:abstractNum>
  <w:abstractNum w:abstractNumId="11" w15:restartNumberingAfterBreak="0">
    <w:nsid w:val="2C0D17E8"/>
    <w:multiLevelType w:val="hybridMultilevel"/>
    <w:tmpl w:val="E8280606"/>
    <w:name w:val="WW8Num43"/>
    <w:lvl w:ilvl="0" w:tplc="FFFFFFFF">
      <w:start w:val="110"/>
      <w:numFmt w:val="bullet"/>
      <w:pStyle w:val="ListBullet2"/>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12" w15:restartNumberingAfterBreak="0">
    <w:nsid w:val="2EC57CAF"/>
    <w:multiLevelType w:val="multilevel"/>
    <w:tmpl w:val="0C4C120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6993892"/>
    <w:multiLevelType w:val="hybridMultilevel"/>
    <w:tmpl w:val="98882620"/>
    <w:lvl w:ilvl="0" w:tplc="114CD1F0">
      <w:start w:val="1"/>
      <w:numFmt w:val="decimal"/>
      <w:lvlText w:val="Table %1."/>
      <w:lvlJc w:val="left"/>
      <w:pPr>
        <w:ind w:left="4755"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C843D9"/>
    <w:multiLevelType w:val="hybridMultilevel"/>
    <w:tmpl w:val="16A0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9442555"/>
    <w:multiLevelType w:val="hybridMultilevel"/>
    <w:tmpl w:val="F9C8369C"/>
    <w:lvl w:ilvl="0" w:tplc="9040920E">
      <w:start w:val="1"/>
      <w:numFmt w:val="decimal"/>
      <w:lvlText w:val="Chart %1."/>
      <w:lvlJc w:val="left"/>
      <w:pPr>
        <w:ind w:left="1080" w:hanging="360"/>
      </w:pPr>
      <w:rPr>
        <w:rFonts w:hint="default"/>
        <w:b/>
        <w:bCs/>
        <w:i w:val="0"/>
        <w:iCs w:val="0"/>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8841CD"/>
    <w:multiLevelType w:val="hybridMultilevel"/>
    <w:tmpl w:val="27D202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0D40F5"/>
    <w:multiLevelType w:val="hybridMultilevel"/>
    <w:tmpl w:val="ADC03E80"/>
    <w:lvl w:ilvl="0" w:tplc="04090001">
      <w:start w:val="1"/>
      <w:numFmt w:val="bullet"/>
      <w:lvlText w:val=""/>
      <w:lvlJc w:val="left"/>
      <w:pPr>
        <w:tabs>
          <w:tab w:val="num" w:pos="480"/>
        </w:tabs>
        <w:ind w:left="480" w:hanging="360"/>
      </w:pPr>
      <w:rPr>
        <w:rFonts w:ascii="Symbol" w:hAnsi="Symbol" w:hint="default"/>
      </w:rPr>
    </w:lvl>
    <w:lvl w:ilvl="1" w:tplc="04090003" w:tentative="1">
      <w:start w:val="1"/>
      <w:numFmt w:val="bullet"/>
      <w:lvlText w:val="o"/>
      <w:lvlJc w:val="left"/>
      <w:pPr>
        <w:tabs>
          <w:tab w:val="num" w:pos="1440"/>
        </w:tabs>
        <w:ind w:left="1440" w:hanging="360"/>
      </w:pPr>
      <w:rPr>
        <w:rFonts w:ascii="Consolas" w:hAnsi="Consola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nsolas" w:hAnsi="Consola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nsolas" w:hAnsi="Consola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793821"/>
    <w:multiLevelType w:val="hybridMultilevel"/>
    <w:tmpl w:val="355C92D4"/>
    <w:lvl w:ilvl="0" w:tplc="BBBCD20C">
      <w:start w:val="1"/>
      <w:numFmt w:val="bullet"/>
      <w:lvlText w:val=""/>
      <w:lvlJc w:val="left"/>
      <w:pPr>
        <w:tabs>
          <w:tab w:val="num" w:pos="360"/>
        </w:tabs>
        <w:ind w:left="360" w:hanging="360"/>
      </w:pPr>
      <w:rPr>
        <w:rFonts w:ascii="Wingdings" w:hAnsi="Wingdings" w:hint="default"/>
      </w:rPr>
    </w:lvl>
    <w:lvl w:ilvl="1" w:tplc="A3DA5636" w:tentative="1">
      <w:start w:val="1"/>
      <w:numFmt w:val="bullet"/>
      <w:lvlText w:val="o"/>
      <w:lvlJc w:val="left"/>
      <w:pPr>
        <w:tabs>
          <w:tab w:val="num" w:pos="1080"/>
        </w:tabs>
        <w:ind w:left="1080" w:hanging="360"/>
      </w:pPr>
      <w:rPr>
        <w:rFonts w:ascii="Consolas" w:hAnsi="Consolas" w:hint="default"/>
      </w:rPr>
    </w:lvl>
    <w:lvl w:ilvl="2" w:tplc="B1080D20" w:tentative="1">
      <w:start w:val="1"/>
      <w:numFmt w:val="bullet"/>
      <w:lvlText w:val=""/>
      <w:lvlJc w:val="left"/>
      <w:pPr>
        <w:tabs>
          <w:tab w:val="num" w:pos="1800"/>
        </w:tabs>
        <w:ind w:left="1800" w:hanging="360"/>
      </w:pPr>
      <w:rPr>
        <w:rFonts w:ascii="Wingdings" w:hAnsi="Wingdings" w:hint="default"/>
      </w:rPr>
    </w:lvl>
    <w:lvl w:ilvl="3" w:tplc="D1B227C8" w:tentative="1">
      <w:start w:val="1"/>
      <w:numFmt w:val="bullet"/>
      <w:lvlText w:val=""/>
      <w:lvlJc w:val="left"/>
      <w:pPr>
        <w:tabs>
          <w:tab w:val="num" w:pos="2520"/>
        </w:tabs>
        <w:ind w:left="2520" w:hanging="360"/>
      </w:pPr>
      <w:rPr>
        <w:rFonts w:ascii="Symbol" w:hAnsi="Symbol" w:hint="default"/>
      </w:rPr>
    </w:lvl>
    <w:lvl w:ilvl="4" w:tplc="A32433E6" w:tentative="1">
      <w:start w:val="1"/>
      <w:numFmt w:val="bullet"/>
      <w:lvlText w:val="o"/>
      <w:lvlJc w:val="left"/>
      <w:pPr>
        <w:tabs>
          <w:tab w:val="num" w:pos="3240"/>
        </w:tabs>
        <w:ind w:left="3240" w:hanging="360"/>
      </w:pPr>
      <w:rPr>
        <w:rFonts w:ascii="Consolas" w:hAnsi="Consolas" w:hint="default"/>
      </w:rPr>
    </w:lvl>
    <w:lvl w:ilvl="5" w:tplc="65CCBCF2" w:tentative="1">
      <w:start w:val="1"/>
      <w:numFmt w:val="bullet"/>
      <w:lvlText w:val=""/>
      <w:lvlJc w:val="left"/>
      <w:pPr>
        <w:tabs>
          <w:tab w:val="num" w:pos="3960"/>
        </w:tabs>
        <w:ind w:left="3960" w:hanging="360"/>
      </w:pPr>
      <w:rPr>
        <w:rFonts w:ascii="Wingdings" w:hAnsi="Wingdings" w:hint="default"/>
      </w:rPr>
    </w:lvl>
    <w:lvl w:ilvl="6" w:tplc="059468EC" w:tentative="1">
      <w:start w:val="1"/>
      <w:numFmt w:val="bullet"/>
      <w:lvlText w:val=""/>
      <w:lvlJc w:val="left"/>
      <w:pPr>
        <w:tabs>
          <w:tab w:val="num" w:pos="4680"/>
        </w:tabs>
        <w:ind w:left="4680" w:hanging="360"/>
      </w:pPr>
      <w:rPr>
        <w:rFonts w:ascii="Symbol" w:hAnsi="Symbol" w:hint="default"/>
      </w:rPr>
    </w:lvl>
    <w:lvl w:ilvl="7" w:tplc="94E8F008" w:tentative="1">
      <w:start w:val="1"/>
      <w:numFmt w:val="bullet"/>
      <w:lvlText w:val="o"/>
      <w:lvlJc w:val="left"/>
      <w:pPr>
        <w:tabs>
          <w:tab w:val="num" w:pos="5400"/>
        </w:tabs>
        <w:ind w:left="5400" w:hanging="360"/>
      </w:pPr>
      <w:rPr>
        <w:rFonts w:ascii="Consolas" w:hAnsi="Consolas" w:hint="default"/>
      </w:rPr>
    </w:lvl>
    <w:lvl w:ilvl="8" w:tplc="E11ED4FE"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0B47C52"/>
    <w:multiLevelType w:val="hybridMultilevel"/>
    <w:tmpl w:val="5BCABEA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2" w15:restartNumberingAfterBreak="0">
    <w:nsid w:val="42ED516F"/>
    <w:multiLevelType w:val="multilevel"/>
    <w:tmpl w:val="9A52B954"/>
    <w:lvl w:ilvl="0">
      <w:start w:val="4"/>
      <w:numFmt w:val="decimal"/>
      <w:lvlText w:val="%1"/>
      <w:lvlJc w:val="left"/>
      <w:pPr>
        <w:ind w:left="375" w:hanging="37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44857514"/>
    <w:multiLevelType w:val="hybridMultilevel"/>
    <w:tmpl w:val="CDBC651C"/>
    <w:lvl w:ilvl="0" w:tplc="3998D056">
      <w:start w:val="1"/>
      <w:numFmt w:val="decimal"/>
      <w:lvlText w:val="Գծապատկեր %1."/>
      <w:lvlJc w:val="left"/>
      <w:pPr>
        <w:ind w:left="720" w:hanging="360"/>
      </w:pPr>
      <w:rPr>
        <w:rFonts w:hint="default"/>
        <w:color w:val="auto"/>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8094A"/>
    <w:multiLevelType w:val="hybridMultilevel"/>
    <w:tmpl w:val="2ADCA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992FB0"/>
    <w:multiLevelType w:val="hybridMultilevel"/>
    <w:tmpl w:val="6D2A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4D4523"/>
    <w:multiLevelType w:val="hybridMultilevel"/>
    <w:tmpl w:val="28DE2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53E65301"/>
    <w:multiLevelType w:val="hybridMultilevel"/>
    <w:tmpl w:val="4DF8768E"/>
    <w:lvl w:ilvl="0" w:tplc="8C6C9F6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6247228"/>
    <w:multiLevelType w:val="hybridMultilevel"/>
    <w:tmpl w:val="69C88C5A"/>
    <w:lvl w:ilvl="0" w:tplc="04190001">
      <w:numFmt w:val="bullet"/>
      <w:pStyle w:val="a"/>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354868"/>
    <w:multiLevelType w:val="hybridMultilevel"/>
    <w:tmpl w:val="1890C2C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33" w15:restartNumberingAfterBreak="0">
    <w:nsid w:val="5F7C6FDB"/>
    <w:multiLevelType w:val="hybridMultilevel"/>
    <w:tmpl w:val="39C6AF84"/>
    <w:lvl w:ilvl="0" w:tplc="04090001">
      <w:start w:val="1"/>
      <w:numFmt w:val="decimal"/>
      <w:pStyle w:val="BodyText1"/>
      <w:lvlText w:val="%1."/>
      <w:lvlJc w:val="left"/>
      <w:pPr>
        <w:tabs>
          <w:tab w:val="num" w:pos="0"/>
        </w:tabs>
        <w:ind w:left="0" w:firstLine="0"/>
      </w:pPr>
      <w:rPr>
        <w:rFonts w:hint="default"/>
      </w:rPr>
    </w:lvl>
    <w:lvl w:ilvl="1" w:tplc="04090003">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15:restartNumberingAfterBreak="0">
    <w:nsid w:val="68DF11F3"/>
    <w:multiLevelType w:val="hybridMultilevel"/>
    <w:tmpl w:val="9FE49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ABB4524"/>
    <w:multiLevelType w:val="hybridMultilevel"/>
    <w:tmpl w:val="831688D4"/>
    <w:lvl w:ilvl="0" w:tplc="04090001">
      <w:start w:val="1"/>
      <w:numFmt w:val="bullet"/>
      <w:pStyle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6" w15:restartNumberingAfterBreak="0">
    <w:nsid w:val="6D8964AC"/>
    <w:multiLevelType w:val="hybridMultilevel"/>
    <w:tmpl w:val="D4741B72"/>
    <w:lvl w:ilvl="0" w:tplc="114CD1F0">
      <w:start w:val="1"/>
      <w:numFmt w:val="decimal"/>
      <w:lvlText w:val="Table %1."/>
      <w:lvlJc w:val="left"/>
      <w:pPr>
        <w:ind w:left="900" w:hanging="360"/>
      </w:pPr>
      <w:rPr>
        <w:rFonts w:hint="default"/>
        <w:b/>
        <w:bCs/>
      </w:rPr>
    </w:lvl>
    <w:lvl w:ilvl="1" w:tplc="042B0019" w:tentative="1">
      <w:start w:val="1"/>
      <w:numFmt w:val="lowerLetter"/>
      <w:lvlText w:val="%2."/>
      <w:lvlJc w:val="left"/>
      <w:pPr>
        <w:ind w:left="1620" w:hanging="360"/>
      </w:pPr>
    </w:lvl>
    <w:lvl w:ilvl="2" w:tplc="042B001B" w:tentative="1">
      <w:start w:val="1"/>
      <w:numFmt w:val="lowerRoman"/>
      <w:lvlText w:val="%3."/>
      <w:lvlJc w:val="right"/>
      <w:pPr>
        <w:ind w:left="2340" w:hanging="180"/>
      </w:pPr>
    </w:lvl>
    <w:lvl w:ilvl="3" w:tplc="042B000F" w:tentative="1">
      <w:start w:val="1"/>
      <w:numFmt w:val="decimal"/>
      <w:lvlText w:val="%4."/>
      <w:lvlJc w:val="left"/>
      <w:pPr>
        <w:ind w:left="3060" w:hanging="360"/>
      </w:pPr>
    </w:lvl>
    <w:lvl w:ilvl="4" w:tplc="042B0019" w:tentative="1">
      <w:start w:val="1"/>
      <w:numFmt w:val="lowerLetter"/>
      <w:lvlText w:val="%5."/>
      <w:lvlJc w:val="left"/>
      <w:pPr>
        <w:ind w:left="3780" w:hanging="360"/>
      </w:pPr>
    </w:lvl>
    <w:lvl w:ilvl="5" w:tplc="042B001B" w:tentative="1">
      <w:start w:val="1"/>
      <w:numFmt w:val="lowerRoman"/>
      <w:lvlText w:val="%6."/>
      <w:lvlJc w:val="right"/>
      <w:pPr>
        <w:ind w:left="4500" w:hanging="180"/>
      </w:pPr>
    </w:lvl>
    <w:lvl w:ilvl="6" w:tplc="042B000F" w:tentative="1">
      <w:start w:val="1"/>
      <w:numFmt w:val="decimal"/>
      <w:lvlText w:val="%7."/>
      <w:lvlJc w:val="left"/>
      <w:pPr>
        <w:ind w:left="5220" w:hanging="360"/>
      </w:pPr>
    </w:lvl>
    <w:lvl w:ilvl="7" w:tplc="042B0019" w:tentative="1">
      <w:start w:val="1"/>
      <w:numFmt w:val="lowerLetter"/>
      <w:lvlText w:val="%8."/>
      <w:lvlJc w:val="left"/>
      <w:pPr>
        <w:ind w:left="5940" w:hanging="360"/>
      </w:pPr>
    </w:lvl>
    <w:lvl w:ilvl="8" w:tplc="042B001B" w:tentative="1">
      <w:start w:val="1"/>
      <w:numFmt w:val="lowerRoman"/>
      <w:lvlText w:val="%9."/>
      <w:lvlJc w:val="right"/>
      <w:pPr>
        <w:ind w:left="6660" w:hanging="180"/>
      </w:pPr>
    </w:lvl>
  </w:abstractNum>
  <w:abstractNum w:abstractNumId="37" w15:restartNumberingAfterBreak="0">
    <w:nsid w:val="7A47583E"/>
    <w:multiLevelType w:val="hybridMultilevel"/>
    <w:tmpl w:val="02B41A44"/>
    <w:lvl w:ilvl="0" w:tplc="04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abstractNumId w:val="35"/>
  </w:num>
  <w:num w:numId="2">
    <w:abstractNumId w:val="6"/>
  </w:num>
  <w:num w:numId="3">
    <w:abstractNumId w:val="33"/>
  </w:num>
  <w:num w:numId="4">
    <w:abstractNumId w:val="31"/>
  </w:num>
  <w:num w:numId="5">
    <w:abstractNumId w:val="30"/>
  </w:num>
  <w:num w:numId="6">
    <w:abstractNumId w:val="11"/>
  </w:num>
  <w:num w:numId="7">
    <w:abstractNumId w:val="28"/>
  </w:num>
  <w:num w:numId="8">
    <w:abstractNumId w:val="0"/>
  </w:num>
  <w:num w:numId="9">
    <w:abstractNumId w:val="3"/>
  </w:num>
  <w:num w:numId="10">
    <w:abstractNumId w:val="19"/>
  </w:num>
  <w:num w:numId="11">
    <w:abstractNumId w:val="18"/>
  </w:num>
  <w:num w:numId="12">
    <w:abstractNumId w:val="1"/>
  </w:num>
  <w:num w:numId="13">
    <w:abstractNumId w:val="32"/>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4"/>
  </w:num>
  <w:num w:numId="17">
    <w:abstractNumId w:val="37"/>
  </w:num>
  <w:num w:numId="18">
    <w:abstractNumId w:val="15"/>
  </w:num>
  <w:num w:numId="19">
    <w:abstractNumId w:val="23"/>
  </w:num>
  <w:num w:numId="20">
    <w:abstractNumId w:val="27"/>
  </w:num>
  <w:num w:numId="21">
    <w:abstractNumId w:val="10"/>
  </w:num>
  <w:num w:numId="22">
    <w:abstractNumId w:val="10"/>
  </w:num>
  <w:num w:numId="23">
    <w:abstractNumId w:val="2"/>
  </w:num>
  <w:num w:numId="24">
    <w:abstractNumId w:val="12"/>
  </w:num>
  <w:num w:numId="25">
    <w:abstractNumId w:val="12"/>
  </w:num>
  <w:num w:numId="26">
    <w:abstractNumId w:val="34"/>
  </w:num>
  <w:num w:numId="27">
    <w:abstractNumId w:val="5"/>
  </w:num>
  <w:num w:numId="28">
    <w:abstractNumId w:val="8"/>
  </w:num>
  <w:num w:numId="29">
    <w:abstractNumId w:val="17"/>
  </w:num>
  <w:num w:numId="30">
    <w:abstractNumId w:val="9"/>
  </w:num>
  <w:num w:numId="31">
    <w:abstractNumId w:val="25"/>
  </w:num>
  <w:num w:numId="32">
    <w:abstractNumId w:val="14"/>
  </w:num>
  <w:num w:numId="33">
    <w:abstractNumId w:val="29"/>
  </w:num>
  <w:num w:numId="34">
    <w:abstractNumId w:val="12"/>
  </w:num>
  <w:num w:numId="35">
    <w:abstractNumId w:val="13"/>
  </w:num>
  <w:num w:numId="36">
    <w:abstractNumId w:val="7"/>
  </w:num>
  <w:num w:numId="37">
    <w:abstractNumId w:val="12"/>
  </w:num>
  <w:num w:numId="38">
    <w:abstractNumId w:val="12"/>
  </w:num>
  <w:num w:numId="39">
    <w:abstractNumId w:val="12"/>
  </w:num>
  <w:num w:numId="40">
    <w:abstractNumId w:val="4"/>
  </w:num>
  <w:num w:numId="41">
    <w:abstractNumId w:val="20"/>
  </w:num>
  <w:num w:numId="42">
    <w:abstractNumId w:val="16"/>
  </w:num>
  <w:num w:numId="43">
    <w:abstractNumId w:val="36"/>
  </w:num>
  <w:num w:numId="44">
    <w:abstractNumId w:val="22"/>
  </w:num>
  <w:num w:numId="45">
    <w:abstractNumId w:val="26"/>
  </w:num>
  <w:num w:numId="46">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D88"/>
    <w:rsid w:val="000005FE"/>
    <w:rsid w:val="00000BD5"/>
    <w:rsid w:val="00001434"/>
    <w:rsid w:val="000024FA"/>
    <w:rsid w:val="0000313E"/>
    <w:rsid w:val="000035AB"/>
    <w:rsid w:val="000035F3"/>
    <w:rsid w:val="00003621"/>
    <w:rsid w:val="0000377E"/>
    <w:rsid w:val="00003865"/>
    <w:rsid w:val="00003F2B"/>
    <w:rsid w:val="000044C4"/>
    <w:rsid w:val="000045AA"/>
    <w:rsid w:val="0000473B"/>
    <w:rsid w:val="00004A96"/>
    <w:rsid w:val="0000514E"/>
    <w:rsid w:val="000052BD"/>
    <w:rsid w:val="00005497"/>
    <w:rsid w:val="000055DF"/>
    <w:rsid w:val="00005874"/>
    <w:rsid w:val="00005DEC"/>
    <w:rsid w:val="000063EC"/>
    <w:rsid w:val="00006489"/>
    <w:rsid w:val="000064D0"/>
    <w:rsid w:val="000069D5"/>
    <w:rsid w:val="00006A45"/>
    <w:rsid w:val="00006C3E"/>
    <w:rsid w:val="00006CBF"/>
    <w:rsid w:val="00006FCA"/>
    <w:rsid w:val="000072EB"/>
    <w:rsid w:val="00007732"/>
    <w:rsid w:val="00007867"/>
    <w:rsid w:val="00007B16"/>
    <w:rsid w:val="00007B72"/>
    <w:rsid w:val="00007C68"/>
    <w:rsid w:val="00007DB5"/>
    <w:rsid w:val="00007F82"/>
    <w:rsid w:val="0001003F"/>
    <w:rsid w:val="000106C8"/>
    <w:rsid w:val="00010F21"/>
    <w:rsid w:val="00011512"/>
    <w:rsid w:val="00011594"/>
    <w:rsid w:val="0001159F"/>
    <w:rsid w:val="000117CD"/>
    <w:rsid w:val="000117CE"/>
    <w:rsid w:val="00011929"/>
    <w:rsid w:val="00011E91"/>
    <w:rsid w:val="00011E94"/>
    <w:rsid w:val="000120C5"/>
    <w:rsid w:val="0001230D"/>
    <w:rsid w:val="000134EE"/>
    <w:rsid w:val="00013860"/>
    <w:rsid w:val="00013CB6"/>
    <w:rsid w:val="00013D78"/>
    <w:rsid w:val="00013EDB"/>
    <w:rsid w:val="0001465C"/>
    <w:rsid w:val="00014BC2"/>
    <w:rsid w:val="0001518B"/>
    <w:rsid w:val="00016106"/>
    <w:rsid w:val="00016C22"/>
    <w:rsid w:val="00016DF1"/>
    <w:rsid w:val="0001764B"/>
    <w:rsid w:val="000176F1"/>
    <w:rsid w:val="00017776"/>
    <w:rsid w:val="0001783C"/>
    <w:rsid w:val="0001789E"/>
    <w:rsid w:val="0001799D"/>
    <w:rsid w:val="00017C97"/>
    <w:rsid w:val="00020620"/>
    <w:rsid w:val="00020674"/>
    <w:rsid w:val="000207D8"/>
    <w:rsid w:val="000211FE"/>
    <w:rsid w:val="00021385"/>
    <w:rsid w:val="0002175F"/>
    <w:rsid w:val="00021890"/>
    <w:rsid w:val="000218DB"/>
    <w:rsid w:val="00021CE8"/>
    <w:rsid w:val="00021EDA"/>
    <w:rsid w:val="000220F0"/>
    <w:rsid w:val="00022681"/>
    <w:rsid w:val="000228FD"/>
    <w:rsid w:val="000233F2"/>
    <w:rsid w:val="00023502"/>
    <w:rsid w:val="0002352D"/>
    <w:rsid w:val="0002388E"/>
    <w:rsid w:val="00023CEE"/>
    <w:rsid w:val="00023D1F"/>
    <w:rsid w:val="000240E8"/>
    <w:rsid w:val="0002480D"/>
    <w:rsid w:val="0002485B"/>
    <w:rsid w:val="000257B5"/>
    <w:rsid w:val="000259FD"/>
    <w:rsid w:val="00025DCF"/>
    <w:rsid w:val="00025E2D"/>
    <w:rsid w:val="000265BB"/>
    <w:rsid w:val="00026778"/>
    <w:rsid w:val="0002687E"/>
    <w:rsid w:val="00026CAE"/>
    <w:rsid w:val="00027014"/>
    <w:rsid w:val="00027348"/>
    <w:rsid w:val="0002739E"/>
    <w:rsid w:val="00027405"/>
    <w:rsid w:val="00027410"/>
    <w:rsid w:val="00027621"/>
    <w:rsid w:val="00027752"/>
    <w:rsid w:val="000278B1"/>
    <w:rsid w:val="00027E37"/>
    <w:rsid w:val="00030004"/>
    <w:rsid w:val="000302F4"/>
    <w:rsid w:val="00030715"/>
    <w:rsid w:val="00030DD0"/>
    <w:rsid w:val="00031AED"/>
    <w:rsid w:val="00031E0D"/>
    <w:rsid w:val="00032117"/>
    <w:rsid w:val="000323A3"/>
    <w:rsid w:val="00032478"/>
    <w:rsid w:val="000326B7"/>
    <w:rsid w:val="000327B7"/>
    <w:rsid w:val="000327D5"/>
    <w:rsid w:val="00032D62"/>
    <w:rsid w:val="0003365B"/>
    <w:rsid w:val="000339FF"/>
    <w:rsid w:val="00033C41"/>
    <w:rsid w:val="00034659"/>
    <w:rsid w:val="000348C0"/>
    <w:rsid w:val="0003498C"/>
    <w:rsid w:val="000349F1"/>
    <w:rsid w:val="000351CF"/>
    <w:rsid w:val="0003569C"/>
    <w:rsid w:val="0003671D"/>
    <w:rsid w:val="00036D08"/>
    <w:rsid w:val="00036DEF"/>
    <w:rsid w:val="00036F5C"/>
    <w:rsid w:val="00037462"/>
    <w:rsid w:val="0003753C"/>
    <w:rsid w:val="00037649"/>
    <w:rsid w:val="00037B0E"/>
    <w:rsid w:val="000402B9"/>
    <w:rsid w:val="0004081B"/>
    <w:rsid w:val="000408C8"/>
    <w:rsid w:val="00040B73"/>
    <w:rsid w:val="00041070"/>
    <w:rsid w:val="000415EC"/>
    <w:rsid w:val="000418E3"/>
    <w:rsid w:val="00041C62"/>
    <w:rsid w:val="00041E53"/>
    <w:rsid w:val="000420B9"/>
    <w:rsid w:val="00042F8A"/>
    <w:rsid w:val="00043614"/>
    <w:rsid w:val="00043BEA"/>
    <w:rsid w:val="00043DB9"/>
    <w:rsid w:val="00044A87"/>
    <w:rsid w:val="00044B27"/>
    <w:rsid w:val="00044C4E"/>
    <w:rsid w:val="00044DDB"/>
    <w:rsid w:val="000453D7"/>
    <w:rsid w:val="00045882"/>
    <w:rsid w:val="00045B93"/>
    <w:rsid w:val="00045D88"/>
    <w:rsid w:val="00045F29"/>
    <w:rsid w:val="0004600A"/>
    <w:rsid w:val="000461CA"/>
    <w:rsid w:val="00046215"/>
    <w:rsid w:val="000462A1"/>
    <w:rsid w:val="000463A2"/>
    <w:rsid w:val="000463BB"/>
    <w:rsid w:val="00046F0D"/>
    <w:rsid w:val="00047138"/>
    <w:rsid w:val="00047172"/>
    <w:rsid w:val="0004719F"/>
    <w:rsid w:val="00047B1D"/>
    <w:rsid w:val="00050274"/>
    <w:rsid w:val="00050379"/>
    <w:rsid w:val="00050680"/>
    <w:rsid w:val="000508BA"/>
    <w:rsid w:val="00050ACB"/>
    <w:rsid w:val="00051149"/>
    <w:rsid w:val="00051580"/>
    <w:rsid w:val="00051D7F"/>
    <w:rsid w:val="00051FBD"/>
    <w:rsid w:val="00052321"/>
    <w:rsid w:val="000529D2"/>
    <w:rsid w:val="00052CA4"/>
    <w:rsid w:val="0005381A"/>
    <w:rsid w:val="0005386C"/>
    <w:rsid w:val="00053B43"/>
    <w:rsid w:val="00053C5A"/>
    <w:rsid w:val="0005403B"/>
    <w:rsid w:val="000546EA"/>
    <w:rsid w:val="00054B4E"/>
    <w:rsid w:val="000553FB"/>
    <w:rsid w:val="00055E86"/>
    <w:rsid w:val="00055FA1"/>
    <w:rsid w:val="000564D6"/>
    <w:rsid w:val="00056745"/>
    <w:rsid w:val="00056F9E"/>
    <w:rsid w:val="0005710D"/>
    <w:rsid w:val="000577AC"/>
    <w:rsid w:val="00057C3D"/>
    <w:rsid w:val="0006029F"/>
    <w:rsid w:val="00060808"/>
    <w:rsid w:val="00060A6E"/>
    <w:rsid w:val="00060F9E"/>
    <w:rsid w:val="00061181"/>
    <w:rsid w:val="00061930"/>
    <w:rsid w:val="00061B0E"/>
    <w:rsid w:val="00061D0B"/>
    <w:rsid w:val="00061DB0"/>
    <w:rsid w:val="00061F03"/>
    <w:rsid w:val="0006210F"/>
    <w:rsid w:val="00062286"/>
    <w:rsid w:val="00062642"/>
    <w:rsid w:val="0006297A"/>
    <w:rsid w:val="000631F3"/>
    <w:rsid w:val="00063238"/>
    <w:rsid w:val="00063B02"/>
    <w:rsid w:val="00063FAF"/>
    <w:rsid w:val="000643F9"/>
    <w:rsid w:val="000649E3"/>
    <w:rsid w:val="00064C59"/>
    <w:rsid w:val="00064ED0"/>
    <w:rsid w:val="0006508A"/>
    <w:rsid w:val="00065303"/>
    <w:rsid w:val="00065D19"/>
    <w:rsid w:val="00065F27"/>
    <w:rsid w:val="00066B3C"/>
    <w:rsid w:val="000674CF"/>
    <w:rsid w:val="00067807"/>
    <w:rsid w:val="000678BC"/>
    <w:rsid w:val="00067914"/>
    <w:rsid w:val="00067E28"/>
    <w:rsid w:val="00070496"/>
    <w:rsid w:val="00070A9D"/>
    <w:rsid w:val="00070EF0"/>
    <w:rsid w:val="00071184"/>
    <w:rsid w:val="0007141A"/>
    <w:rsid w:val="000714BE"/>
    <w:rsid w:val="00071818"/>
    <w:rsid w:val="00072207"/>
    <w:rsid w:val="000723A0"/>
    <w:rsid w:val="00072496"/>
    <w:rsid w:val="0007268E"/>
    <w:rsid w:val="00072EAD"/>
    <w:rsid w:val="00072FA7"/>
    <w:rsid w:val="00073298"/>
    <w:rsid w:val="00073861"/>
    <w:rsid w:val="00073D18"/>
    <w:rsid w:val="00073F66"/>
    <w:rsid w:val="00074649"/>
    <w:rsid w:val="00074D83"/>
    <w:rsid w:val="00074E12"/>
    <w:rsid w:val="00074FD2"/>
    <w:rsid w:val="00075B95"/>
    <w:rsid w:val="00076105"/>
    <w:rsid w:val="00076112"/>
    <w:rsid w:val="0007613A"/>
    <w:rsid w:val="00076497"/>
    <w:rsid w:val="00076562"/>
    <w:rsid w:val="0007671B"/>
    <w:rsid w:val="00077372"/>
    <w:rsid w:val="0007778E"/>
    <w:rsid w:val="00077B04"/>
    <w:rsid w:val="00077C42"/>
    <w:rsid w:val="0008002D"/>
    <w:rsid w:val="00080A63"/>
    <w:rsid w:val="00080D96"/>
    <w:rsid w:val="00080E7B"/>
    <w:rsid w:val="00080EF2"/>
    <w:rsid w:val="000812D1"/>
    <w:rsid w:val="00081403"/>
    <w:rsid w:val="00081AC8"/>
    <w:rsid w:val="00081C12"/>
    <w:rsid w:val="00082001"/>
    <w:rsid w:val="00082325"/>
    <w:rsid w:val="00082A34"/>
    <w:rsid w:val="00082B19"/>
    <w:rsid w:val="00082EDD"/>
    <w:rsid w:val="0008305A"/>
    <w:rsid w:val="0008337F"/>
    <w:rsid w:val="00083803"/>
    <w:rsid w:val="00083B66"/>
    <w:rsid w:val="000844AD"/>
    <w:rsid w:val="0008464C"/>
    <w:rsid w:val="00085064"/>
    <w:rsid w:val="0008572F"/>
    <w:rsid w:val="00085771"/>
    <w:rsid w:val="00085DF5"/>
    <w:rsid w:val="00086338"/>
    <w:rsid w:val="000873CF"/>
    <w:rsid w:val="00087427"/>
    <w:rsid w:val="000875F4"/>
    <w:rsid w:val="00087831"/>
    <w:rsid w:val="00087B91"/>
    <w:rsid w:val="000902A5"/>
    <w:rsid w:val="00090574"/>
    <w:rsid w:val="00090A40"/>
    <w:rsid w:val="00090A7A"/>
    <w:rsid w:val="00090B4A"/>
    <w:rsid w:val="00090F10"/>
    <w:rsid w:val="000914F1"/>
    <w:rsid w:val="0009159D"/>
    <w:rsid w:val="0009275C"/>
    <w:rsid w:val="0009278B"/>
    <w:rsid w:val="00092AD6"/>
    <w:rsid w:val="00092B01"/>
    <w:rsid w:val="00092E94"/>
    <w:rsid w:val="00093084"/>
    <w:rsid w:val="000930F2"/>
    <w:rsid w:val="0009351A"/>
    <w:rsid w:val="00093CAD"/>
    <w:rsid w:val="00093CE8"/>
    <w:rsid w:val="00094085"/>
    <w:rsid w:val="000941D6"/>
    <w:rsid w:val="00094365"/>
    <w:rsid w:val="0009439C"/>
    <w:rsid w:val="00094C48"/>
    <w:rsid w:val="00095099"/>
    <w:rsid w:val="000952AF"/>
    <w:rsid w:val="000954FC"/>
    <w:rsid w:val="00095ACA"/>
    <w:rsid w:val="000961E7"/>
    <w:rsid w:val="00096964"/>
    <w:rsid w:val="00096A0B"/>
    <w:rsid w:val="00096B18"/>
    <w:rsid w:val="00096BF2"/>
    <w:rsid w:val="00097247"/>
    <w:rsid w:val="0009746C"/>
    <w:rsid w:val="00097B73"/>
    <w:rsid w:val="000A00E3"/>
    <w:rsid w:val="000A036D"/>
    <w:rsid w:val="000A072B"/>
    <w:rsid w:val="000A0885"/>
    <w:rsid w:val="000A0A81"/>
    <w:rsid w:val="000A0FA0"/>
    <w:rsid w:val="000A13D1"/>
    <w:rsid w:val="000A1498"/>
    <w:rsid w:val="000A1D3C"/>
    <w:rsid w:val="000A28D7"/>
    <w:rsid w:val="000A2E66"/>
    <w:rsid w:val="000A33D5"/>
    <w:rsid w:val="000A382F"/>
    <w:rsid w:val="000A39A7"/>
    <w:rsid w:val="000A3FAA"/>
    <w:rsid w:val="000A43C8"/>
    <w:rsid w:val="000A482A"/>
    <w:rsid w:val="000A4D9F"/>
    <w:rsid w:val="000A50AC"/>
    <w:rsid w:val="000A50AD"/>
    <w:rsid w:val="000A58DF"/>
    <w:rsid w:val="000A5B81"/>
    <w:rsid w:val="000A5BAB"/>
    <w:rsid w:val="000A5D60"/>
    <w:rsid w:val="000A645E"/>
    <w:rsid w:val="000A64B6"/>
    <w:rsid w:val="000A6767"/>
    <w:rsid w:val="000A6CE4"/>
    <w:rsid w:val="000A72F7"/>
    <w:rsid w:val="000A7ABB"/>
    <w:rsid w:val="000A7C38"/>
    <w:rsid w:val="000B00C3"/>
    <w:rsid w:val="000B08D0"/>
    <w:rsid w:val="000B0A94"/>
    <w:rsid w:val="000B0B89"/>
    <w:rsid w:val="000B0D87"/>
    <w:rsid w:val="000B1087"/>
    <w:rsid w:val="000B18AF"/>
    <w:rsid w:val="000B1E12"/>
    <w:rsid w:val="000B2212"/>
    <w:rsid w:val="000B3017"/>
    <w:rsid w:val="000B3192"/>
    <w:rsid w:val="000B33AF"/>
    <w:rsid w:val="000B3914"/>
    <w:rsid w:val="000B4186"/>
    <w:rsid w:val="000B4BB4"/>
    <w:rsid w:val="000B4BCB"/>
    <w:rsid w:val="000B4C8C"/>
    <w:rsid w:val="000B5329"/>
    <w:rsid w:val="000B5416"/>
    <w:rsid w:val="000B575A"/>
    <w:rsid w:val="000B5824"/>
    <w:rsid w:val="000B70DE"/>
    <w:rsid w:val="000B71B3"/>
    <w:rsid w:val="000B7388"/>
    <w:rsid w:val="000B74AB"/>
    <w:rsid w:val="000B776A"/>
    <w:rsid w:val="000B796F"/>
    <w:rsid w:val="000B7AD5"/>
    <w:rsid w:val="000C0254"/>
    <w:rsid w:val="000C0652"/>
    <w:rsid w:val="000C0B83"/>
    <w:rsid w:val="000C0F88"/>
    <w:rsid w:val="000C167F"/>
    <w:rsid w:val="000C17F0"/>
    <w:rsid w:val="000C1A6D"/>
    <w:rsid w:val="000C1C7D"/>
    <w:rsid w:val="000C1CB3"/>
    <w:rsid w:val="000C2344"/>
    <w:rsid w:val="000C26A1"/>
    <w:rsid w:val="000C2840"/>
    <w:rsid w:val="000C2879"/>
    <w:rsid w:val="000C3354"/>
    <w:rsid w:val="000C4526"/>
    <w:rsid w:val="000C452C"/>
    <w:rsid w:val="000C458F"/>
    <w:rsid w:val="000C4710"/>
    <w:rsid w:val="000C48A1"/>
    <w:rsid w:val="000C4C7E"/>
    <w:rsid w:val="000C4CD2"/>
    <w:rsid w:val="000C50BA"/>
    <w:rsid w:val="000C514C"/>
    <w:rsid w:val="000C531F"/>
    <w:rsid w:val="000C5350"/>
    <w:rsid w:val="000C5407"/>
    <w:rsid w:val="000C551F"/>
    <w:rsid w:val="000C6173"/>
    <w:rsid w:val="000C61DF"/>
    <w:rsid w:val="000C669F"/>
    <w:rsid w:val="000C6B74"/>
    <w:rsid w:val="000C77CB"/>
    <w:rsid w:val="000C78A2"/>
    <w:rsid w:val="000D018C"/>
    <w:rsid w:val="000D02E1"/>
    <w:rsid w:val="000D0369"/>
    <w:rsid w:val="000D065E"/>
    <w:rsid w:val="000D0675"/>
    <w:rsid w:val="000D0C1A"/>
    <w:rsid w:val="000D0D77"/>
    <w:rsid w:val="000D179A"/>
    <w:rsid w:val="000D1A88"/>
    <w:rsid w:val="000D1E6C"/>
    <w:rsid w:val="000D2265"/>
    <w:rsid w:val="000D2A0F"/>
    <w:rsid w:val="000D2DBD"/>
    <w:rsid w:val="000D2FDE"/>
    <w:rsid w:val="000D3D8C"/>
    <w:rsid w:val="000D3E50"/>
    <w:rsid w:val="000D3EB7"/>
    <w:rsid w:val="000D3EE7"/>
    <w:rsid w:val="000D42B5"/>
    <w:rsid w:val="000D4BEC"/>
    <w:rsid w:val="000D5DC2"/>
    <w:rsid w:val="000D5E56"/>
    <w:rsid w:val="000D5EE1"/>
    <w:rsid w:val="000D6104"/>
    <w:rsid w:val="000D6179"/>
    <w:rsid w:val="000D68C6"/>
    <w:rsid w:val="000D6AF1"/>
    <w:rsid w:val="000D7621"/>
    <w:rsid w:val="000D7D1C"/>
    <w:rsid w:val="000E0968"/>
    <w:rsid w:val="000E0A40"/>
    <w:rsid w:val="000E1348"/>
    <w:rsid w:val="000E14AD"/>
    <w:rsid w:val="000E1E11"/>
    <w:rsid w:val="000E1FE9"/>
    <w:rsid w:val="000E20B8"/>
    <w:rsid w:val="000E2224"/>
    <w:rsid w:val="000E22C7"/>
    <w:rsid w:val="000E2807"/>
    <w:rsid w:val="000E2832"/>
    <w:rsid w:val="000E288D"/>
    <w:rsid w:val="000E2909"/>
    <w:rsid w:val="000E292F"/>
    <w:rsid w:val="000E2C30"/>
    <w:rsid w:val="000E387E"/>
    <w:rsid w:val="000E38DE"/>
    <w:rsid w:val="000E4D70"/>
    <w:rsid w:val="000E5381"/>
    <w:rsid w:val="000E5432"/>
    <w:rsid w:val="000E5707"/>
    <w:rsid w:val="000E5745"/>
    <w:rsid w:val="000E5DDC"/>
    <w:rsid w:val="000E60F9"/>
    <w:rsid w:val="000E6222"/>
    <w:rsid w:val="000E696B"/>
    <w:rsid w:val="000E715A"/>
    <w:rsid w:val="000E782E"/>
    <w:rsid w:val="000E7C95"/>
    <w:rsid w:val="000E7D66"/>
    <w:rsid w:val="000F0242"/>
    <w:rsid w:val="000F08E8"/>
    <w:rsid w:val="000F0B28"/>
    <w:rsid w:val="000F0D35"/>
    <w:rsid w:val="000F0EE0"/>
    <w:rsid w:val="000F165C"/>
    <w:rsid w:val="000F18CC"/>
    <w:rsid w:val="000F1B4F"/>
    <w:rsid w:val="000F20F7"/>
    <w:rsid w:val="000F2396"/>
    <w:rsid w:val="000F2663"/>
    <w:rsid w:val="000F28A2"/>
    <w:rsid w:val="000F2A73"/>
    <w:rsid w:val="000F2AC4"/>
    <w:rsid w:val="000F2D42"/>
    <w:rsid w:val="000F32F5"/>
    <w:rsid w:val="000F3318"/>
    <w:rsid w:val="000F37C6"/>
    <w:rsid w:val="000F39F6"/>
    <w:rsid w:val="000F4784"/>
    <w:rsid w:val="000F4C26"/>
    <w:rsid w:val="000F4CC2"/>
    <w:rsid w:val="000F52E5"/>
    <w:rsid w:val="000F5552"/>
    <w:rsid w:val="000F6011"/>
    <w:rsid w:val="000F622B"/>
    <w:rsid w:val="000F648D"/>
    <w:rsid w:val="000F71DF"/>
    <w:rsid w:val="000F724A"/>
    <w:rsid w:val="000F77B8"/>
    <w:rsid w:val="000F7E5D"/>
    <w:rsid w:val="000F7F12"/>
    <w:rsid w:val="00100A6E"/>
    <w:rsid w:val="001014AD"/>
    <w:rsid w:val="001015B9"/>
    <w:rsid w:val="0010162A"/>
    <w:rsid w:val="001017D4"/>
    <w:rsid w:val="00101F94"/>
    <w:rsid w:val="00102CF9"/>
    <w:rsid w:val="001031A7"/>
    <w:rsid w:val="001038CC"/>
    <w:rsid w:val="001039A1"/>
    <w:rsid w:val="00103A1E"/>
    <w:rsid w:val="00103A39"/>
    <w:rsid w:val="00103F16"/>
    <w:rsid w:val="0010428E"/>
    <w:rsid w:val="0010468C"/>
    <w:rsid w:val="001049EE"/>
    <w:rsid w:val="00104FD4"/>
    <w:rsid w:val="0010543C"/>
    <w:rsid w:val="00105849"/>
    <w:rsid w:val="00105C05"/>
    <w:rsid w:val="00105D83"/>
    <w:rsid w:val="0010624B"/>
    <w:rsid w:val="001069C9"/>
    <w:rsid w:val="00106BF7"/>
    <w:rsid w:val="00107064"/>
    <w:rsid w:val="00107322"/>
    <w:rsid w:val="00107425"/>
    <w:rsid w:val="0010765C"/>
    <w:rsid w:val="001076F3"/>
    <w:rsid w:val="001103D3"/>
    <w:rsid w:val="0011052A"/>
    <w:rsid w:val="00110ABA"/>
    <w:rsid w:val="00110ED4"/>
    <w:rsid w:val="0011136E"/>
    <w:rsid w:val="001113A0"/>
    <w:rsid w:val="00111755"/>
    <w:rsid w:val="0011181A"/>
    <w:rsid w:val="00111853"/>
    <w:rsid w:val="00111C4F"/>
    <w:rsid w:val="001121EE"/>
    <w:rsid w:val="00113025"/>
    <w:rsid w:val="001134DC"/>
    <w:rsid w:val="001135F1"/>
    <w:rsid w:val="00113656"/>
    <w:rsid w:val="001137FF"/>
    <w:rsid w:val="001139A7"/>
    <w:rsid w:val="00113E83"/>
    <w:rsid w:val="00113E91"/>
    <w:rsid w:val="00114446"/>
    <w:rsid w:val="00114744"/>
    <w:rsid w:val="001147F4"/>
    <w:rsid w:val="00114C47"/>
    <w:rsid w:val="001159A3"/>
    <w:rsid w:val="00115B50"/>
    <w:rsid w:val="00115E50"/>
    <w:rsid w:val="00115EAD"/>
    <w:rsid w:val="00117033"/>
    <w:rsid w:val="0011738A"/>
    <w:rsid w:val="001174E9"/>
    <w:rsid w:val="001179F9"/>
    <w:rsid w:val="00117A7F"/>
    <w:rsid w:val="0012003A"/>
    <w:rsid w:val="00120183"/>
    <w:rsid w:val="001201DA"/>
    <w:rsid w:val="0012048A"/>
    <w:rsid w:val="001209A9"/>
    <w:rsid w:val="00120BBF"/>
    <w:rsid w:val="00120E7C"/>
    <w:rsid w:val="00121153"/>
    <w:rsid w:val="0012137E"/>
    <w:rsid w:val="0012190B"/>
    <w:rsid w:val="00122AF7"/>
    <w:rsid w:val="00122D37"/>
    <w:rsid w:val="00123B92"/>
    <w:rsid w:val="00123F26"/>
    <w:rsid w:val="00124229"/>
    <w:rsid w:val="00124594"/>
    <w:rsid w:val="00124B37"/>
    <w:rsid w:val="00124D40"/>
    <w:rsid w:val="00124FCB"/>
    <w:rsid w:val="001257D1"/>
    <w:rsid w:val="001257F4"/>
    <w:rsid w:val="00126860"/>
    <w:rsid w:val="00126E02"/>
    <w:rsid w:val="0012744D"/>
    <w:rsid w:val="00127D54"/>
    <w:rsid w:val="00127D74"/>
    <w:rsid w:val="00127E94"/>
    <w:rsid w:val="00127F00"/>
    <w:rsid w:val="00127F86"/>
    <w:rsid w:val="00130A5F"/>
    <w:rsid w:val="001310CD"/>
    <w:rsid w:val="001310D3"/>
    <w:rsid w:val="0013157A"/>
    <w:rsid w:val="00131827"/>
    <w:rsid w:val="001322C2"/>
    <w:rsid w:val="00132426"/>
    <w:rsid w:val="0013252A"/>
    <w:rsid w:val="001326E3"/>
    <w:rsid w:val="001328FB"/>
    <w:rsid w:val="00132C3B"/>
    <w:rsid w:val="00132C80"/>
    <w:rsid w:val="00132E8F"/>
    <w:rsid w:val="001334AE"/>
    <w:rsid w:val="0013393C"/>
    <w:rsid w:val="0013405A"/>
    <w:rsid w:val="00134914"/>
    <w:rsid w:val="00134CAA"/>
    <w:rsid w:val="00134F7E"/>
    <w:rsid w:val="001353C8"/>
    <w:rsid w:val="00135530"/>
    <w:rsid w:val="00135A94"/>
    <w:rsid w:val="00135FA8"/>
    <w:rsid w:val="0013704B"/>
    <w:rsid w:val="00137338"/>
    <w:rsid w:val="001377A2"/>
    <w:rsid w:val="001379CC"/>
    <w:rsid w:val="0014003A"/>
    <w:rsid w:val="001402F9"/>
    <w:rsid w:val="001407E0"/>
    <w:rsid w:val="00140878"/>
    <w:rsid w:val="00140CFC"/>
    <w:rsid w:val="00140EDF"/>
    <w:rsid w:val="00141041"/>
    <w:rsid w:val="001411D2"/>
    <w:rsid w:val="00141283"/>
    <w:rsid w:val="00141835"/>
    <w:rsid w:val="001419DA"/>
    <w:rsid w:val="00141B38"/>
    <w:rsid w:val="00142702"/>
    <w:rsid w:val="00142969"/>
    <w:rsid w:val="00142C23"/>
    <w:rsid w:val="00142C3D"/>
    <w:rsid w:val="00142FCD"/>
    <w:rsid w:val="001430CB"/>
    <w:rsid w:val="00143552"/>
    <w:rsid w:val="0014364C"/>
    <w:rsid w:val="00143710"/>
    <w:rsid w:val="00143A45"/>
    <w:rsid w:val="00143A4B"/>
    <w:rsid w:val="00143A88"/>
    <w:rsid w:val="00143E0C"/>
    <w:rsid w:val="00143E2A"/>
    <w:rsid w:val="00143EAC"/>
    <w:rsid w:val="001440CA"/>
    <w:rsid w:val="001442F7"/>
    <w:rsid w:val="00144330"/>
    <w:rsid w:val="001450AD"/>
    <w:rsid w:val="00145A62"/>
    <w:rsid w:val="00145B3E"/>
    <w:rsid w:val="00145CD2"/>
    <w:rsid w:val="00145D3C"/>
    <w:rsid w:val="00145E8F"/>
    <w:rsid w:val="0014617A"/>
    <w:rsid w:val="0014624E"/>
    <w:rsid w:val="00146AF1"/>
    <w:rsid w:val="0014795A"/>
    <w:rsid w:val="0014799E"/>
    <w:rsid w:val="00147A6F"/>
    <w:rsid w:val="00147D36"/>
    <w:rsid w:val="0015024D"/>
    <w:rsid w:val="001502AA"/>
    <w:rsid w:val="001505CB"/>
    <w:rsid w:val="00150CC6"/>
    <w:rsid w:val="00151153"/>
    <w:rsid w:val="001512AC"/>
    <w:rsid w:val="0015146A"/>
    <w:rsid w:val="001516BE"/>
    <w:rsid w:val="0015175D"/>
    <w:rsid w:val="00151DF4"/>
    <w:rsid w:val="001521E1"/>
    <w:rsid w:val="00152228"/>
    <w:rsid w:val="00152AB5"/>
    <w:rsid w:val="00152D14"/>
    <w:rsid w:val="00152FCA"/>
    <w:rsid w:val="0015329E"/>
    <w:rsid w:val="00153B37"/>
    <w:rsid w:val="00153DA6"/>
    <w:rsid w:val="001540E6"/>
    <w:rsid w:val="0015418E"/>
    <w:rsid w:val="001544DD"/>
    <w:rsid w:val="00155376"/>
    <w:rsid w:val="001554F4"/>
    <w:rsid w:val="00155D71"/>
    <w:rsid w:val="00155D97"/>
    <w:rsid w:val="001567B6"/>
    <w:rsid w:val="00156B22"/>
    <w:rsid w:val="00156E92"/>
    <w:rsid w:val="00157347"/>
    <w:rsid w:val="0015778E"/>
    <w:rsid w:val="00157B13"/>
    <w:rsid w:val="001602BE"/>
    <w:rsid w:val="001605EC"/>
    <w:rsid w:val="001606E5"/>
    <w:rsid w:val="00160749"/>
    <w:rsid w:val="001609FC"/>
    <w:rsid w:val="00160B2B"/>
    <w:rsid w:val="00160F48"/>
    <w:rsid w:val="001614E8"/>
    <w:rsid w:val="001616E4"/>
    <w:rsid w:val="00161801"/>
    <w:rsid w:val="00161C10"/>
    <w:rsid w:val="00161F0D"/>
    <w:rsid w:val="001620E4"/>
    <w:rsid w:val="001624AB"/>
    <w:rsid w:val="00162924"/>
    <w:rsid w:val="00162AD0"/>
    <w:rsid w:val="0016395D"/>
    <w:rsid w:val="00163A3C"/>
    <w:rsid w:val="0016408F"/>
    <w:rsid w:val="00164871"/>
    <w:rsid w:val="0016487B"/>
    <w:rsid w:val="001649D0"/>
    <w:rsid w:val="00164B77"/>
    <w:rsid w:val="00164E9D"/>
    <w:rsid w:val="00165307"/>
    <w:rsid w:val="00165310"/>
    <w:rsid w:val="00165881"/>
    <w:rsid w:val="00165FCB"/>
    <w:rsid w:val="001660D6"/>
    <w:rsid w:val="001665A5"/>
    <w:rsid w:val="00166712"/>
    <w:rsid w:val="0016680F"/>
    <w:rsid w:val="00166ACC"/>
    <w:rsid w:val="00167269"/>
    <w:rsid w:val="0016780F"/>
    <w:rsid w:val="00167830"/>
    <w:rsid w:val="0017063A"/>
    <w:rsid w:val="001706D4"/>
    <w:rsid w:val="0017082A"/>
    <w:rsid w:val="00170970"/>
    <w:rsid w:val="00170A7F"/>
    <w:rsid w:val="00170E4C"/>
    <w:rsid w:val="00170EA1"/>
    <w:rsid w:val="001716C4"/>
    <w:rsid w:val="00171828"/>
    <w:rsid w:val="00171B20"/>
    <w:rsid w:val="00171BF5"/>
    <w:rsid w:val="00172016"/>
    <w:rsid w:val="00172560"/>
    <w:rsid w:val="00172C94"/>
    <w:rsid w:val="00172CC5"/>
    <w:rsid w:val="00173296"/>
    <w:rsid w:val="00173586"/>
    <w:rsid w:val="00174A30"/>
    <w:rsid w:val="00174B20"/>
    <w:rsid w:val="00174DD9"/>
    <w:rsid w:val="0017547F"/>
    <w:rsid w:val="0017581E"/>
    <w:rsid w:val="00175CD1"/>
    <w:rsid w:val="00175EA8"/>
    <w:rsid w:val="001760AB"/>
    <w:rsid w:val="00176E93"/>
    <w:rsid w:val="00176EE6"/>
    <w:rsid w:val="001776A8"/>
    <w:rsid w:val="001779C0"/>
    <w:rsid w:val="00180135"/>
    <w:rsid w:val="00180A3A"/>
    <w:rsid w:val="00180BAF"/>
    <w:rsid w:val="00180BCA"/>
    <w:rsid w:val="00180DA0"/>
    <w:rsid w:val="001816E6"/>
    <w:rsid w:val="0018173E"/>
    <w:rsid w:val="00182452"/>
    <w:rsid w:val="00182999"/>
    <w:rsid w:val="00182A3E"/>
    <w:rsid w:val="00182E0D"/>
    <w:rsid w:val="001835ED"/>
    <w:rsid w:val="00183857"/>
    <w:rsid w:val="00183865"/>
    <w:rsid w:val="00183AEA"/>
    <w:rsid w:val="00183C8D"/>
    <w:rsid w:val="00184036"/>
    <w:rsid w:val="00184299"/>
    <w:rsid w:val="001846EF"/>
    <w:rsid w:val="0018470B"/>
    <w:rsid w:val="001848C0"/>
    <w:rsid w:val="001849C6"/>
    <w:rsid w:val="00184BC0"/>
    <w:rsid w:val="00184E89"/>
    <w:rsid w:val="00184F02"/>
    <w:rsid w:val="00185BE0"/>
    <w:rsid w:val="00185FE1"/>
    <w:rsid w:val="00185FFA"/>
    <w:rsid w:val="00186843"/>
    <w:rsid w:val="00186BB6"/>
    <w:rsid w:val="00186BCC"/>
    <w:rsid w:val="00187206"/>
    <w:rsid w:val="00187492"/>
    <w:rsid w:val="0018761B"/>
    <w:rsid w:val="001877FE"/>
    <w:rsid w:val="0018789D"/>
    <w:rsid w:val="00187AA6"/>
    <w:rsid w:val="00190000"/>
    <w:rsid w:val="00190246"/>
    <w:rsid w:val="00190B36"/>
    <w:rsid w:val="00190F64"/>
    <w:rsid w:val="00190FAC"/>
    <w:rsid w:val="001911DA"/>
    <w:rsid w:val="001918A2"/>
    <w:rsid w:val="00192647"/>
    <w:rsid w:val="001926FE"/>
    <w:rsid w:val="00192843"/>
    <w:rsid w:val="00192AF5"/>
    <w:rsid w:val="00192B0B"/>
    <w:rsid w:val="00192D3A"/>
    <w:rsid w:val="00192FFE"/>
    <w:rsid w:val="0019355D"/>
    <w:rsid w:val="001937BF"/>
    <w:rsid w:val="00193A77"/>
    <w:rsid w:val="00193B7F"/>
    <w:rsid w:val="0019437A"/>
    <w:rsid w:val="001947EF"/>
    <w:rsid w:val="00194D34"/>
    <w:rsid w:val="00195A69"/>
    <w:rsid w:val="00195ACC"/>
    <w:rsid w:val="00195D61"/>
    <w:rsid w:val="00196700"/>
    <w:rsid w:val="00196826"/>
    <w:rsid w:val="001968AF"/>
    <w:rsid w:val="001968E0"/>
    <w:rsid w:val="0019725A"/>
    <w:rsid w:val="001972A8"/>
    <w:rsid w:val="001974D9"/>
    <w:rsid w:val="001977DD"/>
    <w:rsid w:val="0019782E"/>
    <w:rsid w:val="0019788F"/>
    <w:rsid w:val="00197E64"/>
    <w:rsid w:val="001A0085"/>
    <w:rsid w:val="001A0093"/>
    <w:rsid w:val="001A1369"/>
    <w:rsid w:val="001A1697"/>
    <w:rsid w:val="001A1914"/>
    <w:rsid w:val="001A1B96"/>
    <w:rsid w:val="001A1FEC"/>
    <w:rsid w:val="001A27DD"/>
    <w:rsid w:val="001A2B7B"/>
    <w:rsid w:val="001A2C62"/>
    <w:rsid w:val="001A2D4A"/>
    <w:rsid w:val="001A2DB6"/>
    <w:rsid w:val="001A3444"/>
    <w:rsid w:val="001A37F1"/>
    <w:rsid w:val="001A3977"/>
    <w:rsid w:val="001A3AFF"/>
    <w:rsid w:val="001A3B7D"/>
    <w:rsid w:val="001A3C9E"/>
    <w:rsid w:val="001A3E52"/>
    <w:rsid w:val="001A3FF3"/>
    <w:rsid w:val="001A4197"/>
    <w:rsid w:val="001A41AA"/>
    <w:rsid w:val="001A459D"/>
    <w:rsid w:val="001A4C0C"/>
    <w:rsid w:val="001A4C14"/>
    <w:rsid w:val="001A51B6"/>
    <w:rsid w:val="001A56EC"/>
    <w:rsid w:val="001A5873"/>
    <w:rsid w:val="001A59B7"/>
    <w:rsid w:val="001A6C58"/>
    <w:rsid w:val="001A6CBD"/>
    <w:rsid w:val="001A73E8"/>
    <w:rsid w:val="001A744C"/>
    <w:rsid w:val="001A7525"/>
    <w:rsid w:val="001A77B6"/>
    <w:rsid w:val="001A7914"/>
    <w:rsid w:val="001B00E2"/>
    <w:rsid w:val="001B04BA"/>
    <w:rsid w:val="001B0518"/>
    <w:rsid w:val="001B0709"/>
    <w:rsid w:val="001B097C"/>
    <w:rsid w:val="001B0A43"/>
    <w:rsid w:val="001B10F0"/>
    <w:rsid w:val="001B1109"/>
    <w:rsid w:val="001B120F"/>
    <w:rsid w:val="001B1486"/>
    <w:rsid w:val="001B15B4"/>
    <w:rsid w:val="001B1A9B"/>
    <w:rsid w:val="001B1C29"/>
    <w:rsid w:val="001B21D0"/>
    <w:rsid w:val="001B2312"/>
    <w:rsid w:val="001B2343"/>
    <w:rsid w:val="001B2434"/>
    <w:rsid w:val="001B2491"/>
    <w:rsid w:val="001B24EB"/>
    <w:rsid w:val="001B2589"/>
    <w:rsid w:val="001B26BF"/>
    <w:rsid w:val="001B2AE8"/>
    <w:rsid w:val="001B2B31"/>
    <w:rsid w:val="001B2E8D"/>
    <w:rsid w:val="001B2ED8"/>
    <w:rsid w:val="001B3270"/>
    <w:rsid w:val="001B34FC"/>
    <w:rsid w:val="001B392A"/>
    <w:rsid w:val="001B3F56"/>
    <w:rsid w:val="001B4143"/>
    <w:rsid w:val="001B41C6"/>
    <w:rsid w:val="001B4704"/>
    <w:rsid w:val="001B4E79"/>
    <w:rsid w:val="001B5E85"/>
    <w:rsid w:val="001B628F"/>
    <w:rsid w:val="001B65FF"/>
    <w:rsid w:val="001B67C2"/>
    <w:rsid w:val="001B6A6C"/>
    <w:rsid w:val="001B6D9F"/>
    <w:rsid w:val="001B6E97"/>
    <w:rsid w:val="001B6EF3"/>
    <w:rsid w:val="001B7D39"/>
    <w:rsid w:val="001B7DC7"/>
    <w:rsid w:val="001C0435"/>
    <w:rsid w:val="001C0630"/>
    <w:rsid w:val="001C06C7"/>
    <w:rsid w:val="001C0804"/>
    <w:rsid w:val="001C08A3"/>
    <w:rsid w:val="001C0CFC"/>
    <w:rsid w:val="001C0E74"/>
    <w:rsid w:val="001C0EC8"/>
    <w:rsid w:val="001C0F12"/>
    <w:rsid w:val="001C12CF"/>
    <w:rsid w:val="001C1563"/>
    <w:rsid w:val="001C187B"/>
    <w:rsid w:val="001C1BB8"/>
    <w:rsid w:val="001C2204"/>
    <w:rsid w:val="001C25F6"/>
    <w:rsid w:val="001C2743"/>
    <w:rsid w:val="001C27F1"/>
    <w:rsid w:val="001C27FF"/>
    <w:rsid w:val="001C2FC1"/>
    <w:rsid w:val="001C3097"/>
    <w:rsid w:val="001C3206"/>
    <w:rsid w:val="001C3917"/>
    <w:rsid w:val="001C391F"/>
    <w:rsid w:val="001C3C86"/>
    <w:rsid w:val="001C40E5"/>
    <w:rsid w:val="001C4147"/>
    <w:rsid w:val="001C4223"/>
    <w:rsid w:val="001C43B7"/>
    <w:rsid w:val="001C491F"/>
    <w:rsid w:val="001C4ABD"/>
    <w:rsid w:val="001C52AD"/>
    <w:rsid w:val="001C584E"/>
    <w:rsid w:val="001C5A29"/>
    <w:rsid w:val="001C5CD1"/>
    <w:rsid w:val="001C602A"/>
    <w:rsid w:val="001C62F8"/>
    <w:rsid w:val="001C6DD4"/>
    <w:rsid w:val="001C6FA0"/>
    <w:rsid w:val="001C71E3"/>
    <w:rsid w:val="001C7D73"/>
    <w:rsid w:val="001C7DB1"/>
    <w:rsid w:val="001D09CC"/>
    <w:rsid w:val="001D0BAB"/>
    <w:rsid w:val="001D0FDD"/>
    <w:rsid w:val="001D14AB"/>
    <w:rsid w:val="001D15A7"/>
    <w:rsid w:val="001D1A1E"/>
    <w:rsid w:val="001D1D3A"/>
    <w:rsid w:val="001D1ED7"/>
    <w:rsid w:val="001D1EF3"/>
    <w:rsid w:val="001D2150"/>
    <w:rsid w:val="001D2E19"/>
    <w:rsid w:val="001D307D"/>
    <w:rsid w:val="001D317E"/>
    <w:rsid w:val="001D3687"/>
    <w:rsid w:val="001D388A"/>
    <w:rsid w:val="001D38BE"/>
    <w:rsid w:val="001D3B5C"/>
    <w:rsid w:val="001D437C"/>
    <w:rsid w:val="001D454C"/>
    <w:rsid w:val="001D46FF"/>
    <w:rsid w:val="001D4C83"/>
    <w:rsid w:val="001D4CEA"/>
    <w:rsid w:val="001D5966"/>
    <w:rsid w:val="001D5988"/>
    <w:rsid w:val="001D5FBA"/>
    <w:rsid w:val="001D6296"/>
    <w:rsid w:val="001D652B"/>
    <w:rsid w:val="001D679E"/>
    <w:rsid w:val="001D6ACE"/>
    <w:rsid w:val="001D6AD0"/>
    <w:rsid w:val="001D6E18"/>
    <w:rsid w:val="001D7978"/>
    <w:rsid w:val="001D7B4D"/>
    <w:rsid w:val="001D7B9E"/>
    <w:rsid w:val="001D7DEF"/>
    <w:rsid w:val="001E0F39"/>
    <w:rsid w:val="001E1050"/>
    <w:rsid w:val="001E1B3E"/>
    <w:rsid w:val="001E1BBB"/>
    <w:rsid w:val="001E1D83"/>
    <w:rsid w:val="001E20AB"/>
    <w:rsid w:val="001E21C7"/>
    <w:rsid w:val="001E3096"/>
    <w:rsid w:val="001E322D"/>
    <w:rsid w:val="001E33BC"/>
    <w:rsid w:val="001E3D85"/>
    <w:rsid w:val="001E3DF5"/>
    <w:rsid w:val="001E44F0"/>
    <w:rsid w:val="001E4858"/>
    <w:rsid w:val="001E4DA1"/>
    <w:rsid w:val="001E512F"/>
    <w:rsid w:val="001E51C9"/>
    <w:rsid w:val="001E52AC"/>
    <w:rsid w:val="001E53A7"/>
    <w:rsid w:val="001E5D47"/>
    <w:rsid w:val="001E607A"/>
    <w:rsid w:val="001E61DC"/>
    <w:rsid w:val="001E6772"/>
    <w:rsid w:val="001E6ECF"/>
    <w:rsid w:val="001E7093"/>
    <w:rsid w:val="001E70AA"/>
    <w:rsid w:val="001E744B"/>
    <w:rsid w:val="001E79B8"/>
    <w:rsid w:val="001E7A72"/>
    <w:rsid w:val="001E7BC8"/>
    <w:rsid w:val="001E7C14"/>
    <w:rsid w:val="001F0627"/>
    <w:rsid w:val="001F0817"/>
    <w:rsid w:val="001F0B51"/>
    <w:rsid w:val="001F0DCF"/>
    <w:rsid w:val="001F100C"/>
    <w:rsid w:val="001F11DC"/>
    <w:rsid w:val="001F1992"/>
    <w:rsid w:val="001F19F6"/>
    <w:rsid w:val="001F24A7"/>
    <w:rsid w:val="001F2522"/>
    <w:rsid w:val="001F27AE"/>
    <w:rsid w:val="001F28C1"/>
    <w:rsid w:val="001F2AA6"/>
    <w:rsid w:val="001F2D46"/>
    <w:rsid w:val="001F2FF8"/>
    <w:rsid w:val="001F321B"/>
    <w:rsid w:val="001F39F7"/>
    <w:rsid w:val="001F3BA2"/>
    <w:rsid w:val="001F3D8F"/>
    <w:rsid w:val="001F4521"/>
    <w:rsid w:val="001F45D9"/>
    <w:rsid w:val="001F4B29"/>
    <w:rsid w:val="001F4D35"/>
    <w:rsid w:val="001F4E17"/>
    <w:rsid w:val="001F5412"/>
    <w:rsid w:val="001F5934"/>
    <w:rsid w:val="001F5CD8"/>
    <w:rsid w:val="001F65C5"/>
    <w:rsid w:val="001F6CF1"/>
    <w:rsid w:val="001F743C"/>
    <w:rsid w:val="001F74C7"/>
    <w:rsid w:val="001F7C07"/>
    <w:rsid w:val="00200056"/>
    <w:rsid w:val="002004F8"/>
    <w:rsid w:val="002005E3"/>
    <w:rsid w:val="00200648"/>
    <w:rsid w:val="00200FFB"/>
    <w:rsid w:val="00201348"/>
    <w:rsid w:val="00201823"/>
    <w:rsid w:val="00201868"/>
    <w:rsid w:val="002018D9"/>
    <w:rsid w:val="00201DEA"/>
    <w:rsid w:val="00201F23"/>
    <w:rsid w:val="00201F72"/>
    <w:rsid w:val="00201FBC"/>
    <w:rsid w:val="00202405"/>
    <w:rsid w:val="0020267B"/>
    <w:rsid w:val="00202838"/>
    <w:rsid w:val="00202CE6"/>
    <w:rsid w:val="00202ED6"/>
    <w:rsid w:val="00203081"/>
    <w:rsid w:val="002035B4"/>
    <w:rsid w:val="00203862"/>
    <w:rsid w:val="00203EBA"/>
    <w:rsid w:val="00204311"/>
    <w:rsid w:val="00204C41"/>
    <w:rsid w:val="00205590"/>
    <w:rsid w:val="00205F59"/>
    <w:rsid w:val="00206834"/>
    <w:rsid w:val="00206C71"/>
    <w:rsid w:val="00206D91"/>
    <w:rsid w:val="00207043"/>
    <w:rsid w:val="00207157"/>
    <w:rsid w:val="0020762E"/>
    <w:rsid w:val="00207E6B"/>
    <w:rsid w:val="00207E8C"/>
    <w:rsid w:val="00207F4A"/>
    <w:rsid w:val="00210347"/>
    <w:rsid w:val="002103B9"/>
    <w:rsid w:val="0021078E"/>
    <w:rsid w:val="00210CE3"/>
    <w:rsid w:val="002112B1"/>
    <w:rsid w:val="0021135B"/>
    <w:rsid w:val="0021156A"/>
    <w:rsid w:val="00211872"/>
    <w:rsid w:val="00211AFB"/>
    <w:rsid w:val="00211B12"/>
    <w:rsid w:val="002122CA"/>
    <w:rsid w:val="00212597"/>
    <w:rsid w:val="002128D4"/>
    <w:rsid w:val="00213300"/>
    <w:rsid w:val="002133E3"/>
    <w:rsid w:val="00213402"/>
    <w:rsid w:val="0021342D"/>
    <w:rsid w:val="00213A83"/>
    <w:rsid w:val="00213C8E"/>
    <w:rsid w:val="00213F53"/>
    <w:rsid w:val="00213FE6"/>
    <w:rsid w:val="002147E0"/>
    <w:rsid w:val="00214CCE"/>
    <w:rsid w:val="00215754"/>
    <w:rsid w:val="002159DB"/>
    <w:rsid w:val="00215B39"/>
    <w:rsid w:val="00215F5D"/>
    <w:rsid w:val="002165F9"/>
    <w:rsid w:val="002166B7"/>
    <w:rsid w:val="00216AD2"/>
    <w:rsid w:val="00216B10"/>
    <w:rsid w:val="00216EFC"/>
    <w:rsid w:val="00216FA8"/>
    <w:rsid w:val="0021756F"/>
    <w:rsid w:val="00217700"/>
    <w:rsid w:val="002179E8"/>
    <w:rsid w:val="0022015E"/>
    <w:rsid w:val="0022027D"/>
    <w:rsid w:val="00220358"/>
    <w:rsid w:val="0022060F"/>
    <w:rsid w:val="002208A9"/>
    <w:rsid w:val="00220CD5"/>
    <w:rsid w:val="00220D0D"/>
    <w:rsid w:val="0022134B"/>
    <w:rsid w:val="002219C5"/>
    <w:rsid w:val="00221AE4"/>
    <w:rsid w:val="00221D56"/>
    <w:rsid w:val="00221DB4"/>
    <w:rsid w:val="00222155"/>
    <w:rsid w:val="002221D8"/>
    <w:rsid w:val="0022260F"/>
    <w:rsid w:val="002230A4"/>
    <w:rsid w:val="00223DC9"/>
    <w:rsid w:val="00224117"/>
    <w:rsid w:val="00225357"/>
    <w:rsid w:val="0022581D"/>
    <w:rsid w:val="00225D51"/>
    <w:rsid w:val="00226082"/>
    <w:rsid w:val="002261D2"/>
    <w:rsid w:val="002264FD"/>
    <w:rsid w:val="00226605"/>
    <w:rsid w:val="0022687C"/>
    <w:rsid w:val="0022706B"/>
    <w:rsid w:val="00227258"/>
    <w:rsid w:val="00227588"/>
    <w:rsid w:val="002276CB"/>
    <w:rsid w:val="002278A3"/>
    <w:rsid w:val="00227A35"/>
    <w:rsid w:val="00230138"/>
    <w:rsid w:val="00230E20"/>
    <w:rsid w:val="00230FF8"/>
    <w:rsid w:val="00231188"/>
    <w:rsid w:val="00231539"/>
    <w:rsid w:val="00231696"/>
    <w:rsid w:val="002316B2"/>
    <w:rsid w:val="00231C8B"/>
    <w:rsid w:val="002320D1"/>
    <w:rsid w:val="0023226D"/>
    <w:rsid w:val="00232649"/>
    <w:rsid w:val="00232B0B"/>
    <w:rsid w:val="00232E67"/>
    <w:rsid w:val="00233BD9"/>
    <w:rsid w:val="00233DC5"/>
    <w:rsid w:val="00233F1B"/>
    <w:rsid w:val="00233FFB"/>
    <w:rsid w:val="00234078"/>
    <w:rsid w:val="00234514"/>
    <w:rsid w:val="00234D6A"/>
    <w:rsid w:val="00235158"/>
    <w:rsid w:val="002361C4"/>
    <w:rsid w:val="0023727D"/>
    <w:rsid w:val="00237364"/>
    <w:rsid w:val="00237367"/>
    <w:rsid w:val="00237EB0"/>
    <w:rsid w:val="00240447"/>
    <w:rsid w:val="0024111E"/>
    <w:rsid w:val="00241974"/>
    <w:rsid w:val="00241C32"/>
    <w:rsid w:val="002420C8"/>
    <w:rsid w:val="00242273"/>
    <w:rsid w:val="00242464"/>
    <w:rsid w:val="002425F3"/>
    <w:rsid w:val="00242607"/>
    <w:rsid w:val="0024298B"/>
    <w:rsid w:val="002431EA"/>
    <w:rsid w:val="002432D1"/>
    <w:rsid w:val="00243768"/>
    <w:rsid w:val="00243ABA"/>
    <w:rsid w:val="00243B34"/>
    <w:rsid w:val="002441F2"/>
    <w:rsid w:val="00244804"/>
    <w:rsid w:val="002448A5"/>
    <w:rsid w:val="00245125"/>
    <w:rsid w:val="002455E7"/>
    <w:rsid w:val="00245753"/>
    <w:rsid w:val="00245D43"/>
    <w:rsid w:val="00246188"/>
    <w:rsid w:val="00246196"/>
    <w:rsid w:val="002461C5"/>
    <w:rsid w:val="00246415"/>
    <w:rsid w:val="00246983"/>
    <w:rsid w:val="00246BB6"/>
    <w:rsid w:val="00247383"/>
    <w:rsid w:val="0024766C"/>
    <w:rsid w:val="00247952"/>
    <w:rsid w:val="002479B8"/>
    <w:rsid w:val="002479BF"/>
    <w:rsid w:val="00247B9E"/>
    <w:rsid w:val="00247D80"/>
    <w:rsid w:val="00247ED6"/>
    <w:rsid w:val="002514AD"/>
    <w:rsid w:val="00251668"/>
    <w:rsid w:val="00251C6E"/>
    <w:rsid w:val="00252588"/>
    <w:rsid w:val="002528D7"/>
    <w:rsid w:val="00252DE3"/>
    <w:rsid w:val="00253133"/>
    <w:rsid w:val="00253740"/>
    <w:rsid w:val="0025408A"/>
    <w:rsid w:val="00254150"/>
    <w:rsid w:val="00254712"/>
    <w:rsid w:val="00254B09"/>
    <w:rsid w:val="00254CBA"/>
    <w:rsid w:val="00254F1C"/>
    <w:rsid w:val="0025531B"/>
    <w:rsid w:val="00255464"/>
    <w:rsid w:val="00255E9A"/>
    <w:rsid w:val="002565D5"/>
    <w:rsid w:val="00256654"/>
    <w:rsid w:val="00256657"/>
    <w:rsid w:val="00256D0D"/>
    <w:rsid w:val="00256F6E"/>
    <w:rsid w:val="002570C1"/>
    <w:rsid w:val="00257372"/>
    <w:rsid w:val="00257655"/>
    <w:rsid w:val="00257ABE"/>
    <w:rsid w:val="00257BCE"/>
    <w:rsid w:val="00257E12"/>
    <w:rsid w:val="00257ED5"/>
    <w:rsid w:val="00260420"/>
    <w:rsid w:val="002606C7"/>
    <w:rsid w:val="002606F5"/>
    <w:rsid w:val="00260AFE"/>
    <w:rsid w:val="00260BB3"/>
    <w:rsid w:val="00260C76"/>
    <w:rsid w:val="00260E3E"/>
    <w:rsid w:val="00260F6C"/>
    <w:rsid w:val="002611A6"/>
    <w:rsid w:val="00261288"/>
    <w:rsid w:val="002619C3"/>
    <w:rsid w:val="00262169"/>
    <w:rsid w:val="002622DF"/>
    <w:rsid w:val="002624EC"/>
    <w:rsid w:val="0026292E"/>
    <w:rsid w:val="00262FF8"/>
    <w:rsid w:val="002630A4"/>
    <w:rsid w:val="0026353F"/>
    <w:rsid w:val="00263A16"/>
    <w:rsid w:val="002645D9"/>
    <w:rsid w:val="00264BF4"/>
    <w:rsid w:val="00264F2B"/>
    <w:rsid w:val="0026520C"/>
    <w:rsid w:val="0026557C"/>
    <w:rsid w:val="002655F0"/>
    <w:rsid w:val="002659D0"/>
    <w:rsid w:val="00265BAB"/>
    <w:rsid w:val="00265F9B"/>
    <w:rsid w:val="0026641C"/>
    <w:rsid w:val="00266691"/>
    <w:rsid w:val="002666E5"/>
    <w:rsid w:val="0026693E"/>
    <w:rsid w:val="00266B75"/>
    <w:rsid w:val="002670FA"/>
    <w:rsid w:val="00267363"/>
    <w:rsid w:val="002678A2"/>
    <w:rsid w:val="002678B8"/>
    <w:rsid w:val="00267FB9"/>
    <w:rsid w:val="002706AC"/>
    <w:rsid w:val="002712CE"/>
    <w:rsid w:val="00271549"/>
    <w:rsid w:val="00272290"/>
    <w:rsid w:val="0027242E"/>
    <w:rsid w:val="002728F4"/>
    <w:rsid w:val="00272FC3"/>
    <w:rsid w:val="00273238"/>
    <w:rsid w:val="00273C94"/>
    <w:rsid w:val="002742AA"/>
    <w:rsid w:val="00275036"/>
    <w:rsid w:val="002756F8"/>
    <w:rsid w:val="00276122"/>
    <w:rsid w:val="00276938"/>
    <w:rsid w:val="00276BBA"/>
    <w:rsid w:val="002778DE"/>
    <w:rsid w:val="002779CC"/>
    <w:rsid w:val="002800FC"/>
    <w:rsid w:val="00280A02"/>
    <w:rsid w:val="00280EE6"/>
    <w:rsid w:val="00281277"/>
    <w:rsid w:val="00281431"/>
    <w:rsid w:val="00281826"/>
    <w:rsid w:val="00281999"/>
    <w:rsid w:val="00281EB0"/>
    <w:rsid w:val="00282029"/>
    <w:rsid w:val="00282BD7"/>
    <w:rsid w:val="00282C56"/>
    <w:rsid w:val="00282C62"/>
    <w:rsid w:val="00282E8E"/>
    <w:rsid w:val="0028339D"/>
    <w:rsid w:val="00283414"/>
    <w:rsid w:val="0028372C"/>
    <w:rsid w:val="002843E3"/>
    <w:rsid w:val="0028470F"/>
    <w:rsid w:val="002847CB"/>
    <w:rsid w:val="00284996"/>
    <w:rsid w:val="00284C44"/>
    <w:rsid w:val="00285429"/>
    <w:rsid w:val="00286390"/>
    <w:rsid w:val="0028687E"/>
    <w:rsid w:val="00286AF0"/>
    <w:rsid w:val="0028728D"/>
    <w:rsid w:val="00287402"/>
    <w:rsid w:val="00287EE6"/>
    <w:rsid w:val="00290131"/>
    <w:rsid w:val="002902A0"/>
    <w:rsid w:val="002905E1"/>
    <w:rsid w:val="00290876"/>
    <w:rsid w:val="00290B1B"/>
    <w:rsid w:val="00290EAB"/>
    <w:rsid w:val="00291042"/>
    <w:rsid w:val="002910EF"/>
    <w:rsid w:val="002911BC"/>
    <w:rsid w:val="002916AA"/>
    <w:rsid w:val="002918EC"/>
    <w:rsid w:val="00291F2C"/>
    <w:rsid w:val="002920E8"/>
    <w:rsid w:val="0029219F"/>
    <w:rsid w:val="00292227"/>
    <w:rsid w:val="0029252F"/>
    <w:rsid w:val="0029274A"/>
    <w:rsid w:val="00292802"/>
    <w:rsid w:val="00292830"/>
    <w:rsid w:val="00292896"/>
    <w:rsid w:val="002929F9"/>
    <w:rsid w:val="00292CF1"/>
    <w:rsid w:val="00293769"/>
    <w:rsid w:val="0029382F"/>
    <w:rsid w:val="00293C61"/>
    <w:rsid w:val="00294798"/>
    <w:rsid w:val="00294BCA"/>
    <w:rsid w:val="00294D50"/>
    <w:rsid w:val="0029611A"/>
    <w:rsid w:val="00296581"/>
    <w:rsid w:val="0029690D"/>
    <w:rsid w:val="00296932"/>
    <w:rsid w:val="00297487"/>
    <w:rsid w:val="00297C90"/>
    <w:rsid w:val="00297F75"/>
    <w:rsid w:val="002A0244"/>
    <w:rsid w:val="002A0A8B"/>
    <w:rsid w:val="002A0D41"/>
    <w:rsid w:val="002A17CE"/>
    <w:rsid w:val="002A209C"/>
    <w:rsid w:val="002A28EA"/>
    <w:rsid w:val="002A2966"/>
    <w:rsid w:val="002A3210"/>
    <w:rsid w:val="002A3A3D"/>
    <w:rsid w:val="002A3A57"/>
    <w:rsid w:val="002A3EDA"/>
    <w:rsid w:val="002A3FFB"/>
    <w:rsid w:val="002A4075"/>
    <w:rsid w:val="002A445E"/>
    <w:rsid w:val="002A4886"/>
    <w:rsid w:val="002A4F6A"/>
    <w:rsid w:val="002A504D"/>
    <w:rsid w:val="002A5329"/>
    <w:rsid w:val="002A5D68"/>
    <w:rsid w:val="002A5DD5"/>
    <w:rsid w:val="002A5DFD"/>
    <w:rsid w:val="002A6092"/>
    <w:rsid w:val="002A6174"/>
    <w:rsid w:val="002A65A2"/>
    <w:rsid w:val="002A6746"/>
    <w:rsid w:val="002A693C"/>
    <w:rsid w:val="002A6B99"/>
    <w:rsid w:val="002A6EAA"/>
    <w:rsid w:val="002A6FD8"/>
    <w:rsid w:val="002A7072"/>
    <w:rsid w:val="002A766B"/>
    <w:rsid w:val="002A7B29"/>
    <w:rsid w:val="002A7CF1"/>
    <w:rsid w:val="002A7E8A"/>
    <w:rsid w:val="002A7FAE"/>
    <w:rsid w:val="002B005F"/>
    <w:rsid w:val="002B0B4A"/>
    <w:rsid w:val="002B0D77"/>
    <w:rsid w:val="002B0E16"/>
    <w:rsid w:val="002B1326"/>
    <w:rsid w:val="002B1566"/>
    <w:rsid w:val="002B17BA"/>
    <w:rsid w:val="002B19C5"/>
    <w:rsid w:val="002B1A16"/>
    <w:rsid w:val="002B1EBA"/>
    <w:rsid w:val="002B1ED1"/>
    <w:rsid w:val="002B1FE2"/>
    <w:rsid w:val="002B2211"/>
    <w:rsid w:val="002B2EA4"/>
    <w:rsid w:val="002B30CA"/>
    <w:rsid w:val="002B346E"/>
    <w:rsid w:val="002B38E2"/>
    <w:rsid w:val="002B463E"/>
    <w:rsid w:val="002B555E"/>
    <w:rsid w:val="002B5A4F"/>
    <w:rsid w:val="002B6197"/>
    <w:rsid w:val="002B63A3"/>
    <w:rsid w:val="002B6A33"/>
    <w:rsid w:val="002B7395"/>
    <w:rsid w:val="002B7F55"/>
    <w:rsid w:val="002C10D5"/>
    <w:rsid w:val="002C12E1"/>
    <w:rsid w:val="002C2546"/>
    <w:rsid w:val="002C2AE5"/>
    <w:rsid w:val="002C2BE4"/>
    <w:rsid w:val="002C2C65"/>
    <w:rsid w:val="002C2FF5"/>
    <w:rsid w:val="002C30A4"/>
    <w:rsid w:val="002C32A7"/>
    <w:rsid w:val="002C32CD"/>
    <w:rsid w:val="002C3C62"/>
    <w:rsid w:val="002C3C73"/>
    <w:rsid w:val="002C410A"/>
    <w:rsid w:val="002C435E"/>
    <w:rsid w:val="002C450F"/>
    <w:rsid w:val="002C4BFE"/>
    <w:rsid w:val="002C4CEB"/>
    <w:rsid w:val="002C4E70"/>
    <w:rsid w:val="002C527F"/>
    <w:rsid w:val="002C5387"/>
    <w:rsid w:val="002C54E4"/>
    <w:rsid w:val="002C5E92"/>
    <w:rsid w:val="002C5EE6"/>
    <w:rsid w:val="002C61DD"/>
    <w:rsid w:val="002C6318"/>
    <w:rsid w:val="002C6698"/>
    <w:rsid w:val="002C6900"/>
    <w:rsid w:val="002C734A"/>
    <w:rsid w:val="002C74DB"/>
    <w:rsid w:val="002C7D1C"/>
    <w:rsid w:val="002D0114"/>
    <w:rsid w:val="002D0386"/>
    <w:rsid w:val="002D03AA"/>
    <w:rsid w:val="002D058A"/>
    <w:rsid w:val="002D083D"/>
    <w:rsid w:val="002D101A"/>
    <w:rsid w:val="002D1E67"/>
    <w:rsid w:val="002D2C99"/>
    <w:rsid w:val="002D2ED7"/>
    <w:rsid w:val="002D33E5"/>
    <w:rsid w:val="002D38B6"/>
    <w:rsid w:val="002D433D"/>
    <w:rsid w:val="002D44D4"/>
    <w:rsid w:val="002D4609"/>
    <w:rsid w:val="002D478B"/>
    <w:rsid w:val="002D47CA"/>
    <w:rsid w:val="002D48E7"/>
    <w:rsid w:val="002D4979"/>
    <w:rsid w:val="002D58FE"/>
    <w:rsid w:val="002D5DC0"/>
    <w:rsid w:val="002D651B"/>
    <w:rsid w:val="002D6832"/>
    <w:rsid w:val="002D684D"/>
    <w:rsid w:val="002D6A0A"/>
    <w:rsid w:val="002D6C5B"/>
    <w:rsid w:val="002D70E4"/>
    <w:rsid w:val="002D70E7"/>
    <w:rsid w:val="002D7737"/>
    <w:rsid w:val="002E0135"/>
    <w:rsid w:val="002E06A4"/>
    <w:rsid w:val="002E07A2"/>
    <w:rsid w:val="002E096D"/>
    <w:rsid w:val="002E09E6"/>
    <w:rsid w:val="002E0ECD"/>
    <w:rsid w:val="002E1183"/>
    <w:rsid w:val="002E18E2"/>
    <w:rsid w:val="002E1E6A"/>
    <w:rsid w:val="002E1E83"/>
    <w:rsid w:val="002E291D"/>
    <w:rsid w:val="002E31F2"/>
    <w:rsid w:val="002E33FE"/>
    <w:rsid w:val="002E3493"/>
    <w:rsid w:val="002E357A"/>
    <w:rsid w:val="002E3937"/>
    <w:rsid w:val="002E3C89"/>
    <w:rsid w:val="002E3D05"/>
    <w:rsid w:val="002E41A0"/>
    <w:rsid w:val="002E4283"/>
    <w:rsid w:val="002E42BA"/>
    <w:rsid w:val="002E4468"/>
    <w:rsid w:val="002E4517"/>
    <w:rsid w:val="002E4681"/>
    <w:rsid w:val="002E4BED"/>
    <w:rsid w:val="002E51B2"/>
    <w:rsid w:val="002E544E"/>
    <w:rsid w:val="002E5923"/>
    <w:rsid w:val="002E62BD"/>
    <w:rsid w:val="002E6942"/>
    <w:rsid w:val="002E697D"/>
    <w:rsid w:val="002E6C5C"/>
    <w:rsid w:val="002E6FB8"/>
    <w:rsid w:val="002E7051"/>
    <w:rsid w:val="002E7C9C"/>
    <w:rsid w:val="002E7DDA"/>
    <w:rsid w:val="002F10EE"/>
    <w:rsid w:val="002F1722"/>
    <w:rsid w:val="002F198C"/>
    <w:rsid w:val="002F199B"/>
    <w:rsid w:val="002F1BDF"/>
    <w:rsid w:val="002F1D06"/>
    <w:rsid w:val="002F1DEF"/>
    <w:rsid w:val="002F2053"/>
    <w:rsid w:val="002F21F7"/>
    <w:rsid w:val="002F28FF"/>
    <w:rsid w:val="002F2980"/>
    <w:rsid w:val="002F3158"/>
    <w:rsid w:val="002F333E"/>
    <w:rsid w:val="002F3606"/>
    <w:rsid w:val="002F36B8"/>
    <w:rsid w:val="002F3FA0"/>
    <w:rsid w:val="002F4B7A"/>
    <w:rsid w:val="002F4CC8"/>
    <w:rsid w:val="002F507B"/>
    <w:rsid w:val="002F6CA3"/>
    <w:rsid w:val="002F6D8D"/>
    <w:rsid w:val="002F7980"/>
    <w:rsid w:val="0030001D"/>
    <w:rsid w:val="00300383"/>
    <w:rsid w:val="0030076F"/>
    <w:rsid w:val="00300B3A"/>
    <w:rsid w:val="00300D4B"/>
    <w:rsid w:val="00300E5A"/>
    <w:rsid w:val="00301443"/>
    <w:rsid w:val="003015D7"/>
    <w:rsid w:val="00301716"/>
    <w:rsid w:val="003017AA"/>
    <w:rsid w:val="00301E90"/>
    <w:rsid w:val="003022FF"/>
    <w:rsid w:val="003029EB"/>
    <w:rsid w:val="00302D0C"/>
    <w:rsid w:val="00302D0E"/>
    <w:rsid w:val="00302EB1"/>
    <w:rsid w:val="00302EBC"/>
    <w:rsid w:val="00303248"/>
    <w:rsid w:val="00303922"/>
    <w:rsid w:val="00303D28"/>
    <w:rsid w:val="00303D5B"/>
    <w:rsid w:val="003041BC"/>
    <w:rsid w:val="00305045"/>
    <w:rsid w:val="0030505D"/>
    <w:rsid w:val="00305148"/>
    <w:rsid w:val="00305AED"/>
    <w:rsid w:val="00305BB2"/>
    <w:rsid w:val="00306375"/>
    <w:rsid w:val="003063A6"/>
    <w:rsid w:val="00306617"/>
    <w:rsid w:val="003067AF"/>
    <w:rsid w:val="00306A1F"/>
    <w:rsid w:val="00306E99"/>
    <w:rsid w:val="00306EF2"/>
    <w:rsid w:val="00310063"/>
    <w:rsid w:val="003103E6"/>
    <w:rsid w:val="0031090F"/>
    <w:rsid w:val="00310DA0"/>
    <w:rsid w:val="003111B3"/>
    <w:rsid w:val="0031134F"/>
    <w:rsid w:val="00311A69"/>
    <w:rsid w:val="00312648"/>
    <w:rsid w:val="00312E50"/>
    <w:rsid w:val="0031385C"/>
    <w:rsid w:val="00313B6D"/>
    <w:rsid w:val="00313C48"/>
    <w:rsid w:val="003149BD"/>
    <w:rsid w:val="003149E0"/>
    <w:rsid w:val="0031508A"/>
    <w:rsid w:val="0031545E"/>
    <w:rsid w:val="00315D19"/>
    <w:rsid w:val="0031615B"/>
    <w:rsid w:val="00316498"/>
    <w:rsid w:val="00316801"/>
    <w:rsid w:val="00316B7D"/>
    <w:rsid w:val="003173B8"/>
    <w:rsid w:val="00317BE2"/>
    <w:rsid w:val="00317C5F"/>
    <w:rsid w:val="00317FC3"/>
    <w:rsid w:val="003202E6"/>
    <w:rsid w:val="00320628"/>
    <w:rsid w:val="0032117D"/>
    <w:rsid w:val="00321DD0"/>
    <w:rsid w:val="00321EE1"/>
    <w:rsid w:val="00322457"/>
    <w:rsid w:val="00322473"/>
    <w:rsid w:val="00322BF2"/>
    <w:rsid w:val="00322F58"/>
    <w:rsid w:val="00323193"/>
    <w:rsid w:val="003234F5"/>
    <w:rsid w:val="003236AB"/>
    <w:rsid w:val="00323912"/>
    <w:rsid w:val="00323979"/>
    <w:rsid w:val="00323A11"/>
    <w:rsid w:val="00323A3E"/>
    <w:rsid w:val="00324D72"/>
    <w:rsid w:val="00324DB6"/>
    <w:rsid w:val="00325362"/>
    <w:rsid w:val="00325AEF"/>
    <w:rsid w:val="00325B6F"/>
    <w:rsid w:val="00326263"/>
    <w:rsid w:val="00326ACB"/>
    <w:rsid w:val="00326B88"/>
    <w:rsid w:val="00326CB3"/>
    <w:rsid w:val="0032710C"/>
    <w:rsid w:val="003276A5"/>
    <w:rsid w:val="00327DA2"/>
    <w:rsid w:val="00330645"/>
    <w:rsid w:val="00330901"/>
    <w:rsid w:val="003313E9"/>
    <w:rsid w:val="0033173F"/>
    <w:rsid w:val="00331BC5"/>
    <w:rsid w:val="00331F6E"/>
    <w:rsid w:val="00332120"/>
    <w:rsid w:val="0033213B"/>
    <w:rsid w:val="003322CA"/>
    <w:rsid w:val="003325F6"/>
    <w:rsid w:val="00332689"/>
    <w:rsid w:val="00332DB9"/>
    <w:rsid w:val="00332F86"/>
    <w:rsid w:val="00333C04"/>
    <w:rsid w:val="003345D2"/>
    <w:rsid w:val="00334CF8"/>
    <w:rsid w:val="00334D20"/>
    <w:rsid w:val="00334EBD"/>
    <w:rsid w:val="00334EE1"/>
    <w:rsid w:val="00334EFE"/>
    <w:rsid w:val="00335159"/>
    <w:rsid w:val="00335719"/>
    <w:rsid w:val="00335C4A"/>
    <w:rsid w:val="0033652C"/>
    <w:rsid w:val="0033666B"/>
    <w:rsid w:val="00336A4D"/>
    <w:rsid w:val="00336CE1"/>
    <w:rsid w:val="00337865"/>
    <w:rsid w:val="00340306"/>
    <w:rsid w:val="00340471"/>
    <w:rsid w:val="003406A4"/>
    <w:rsid w:val="003408CF"/>
    <w:rsid w:val="00340CB9"/>
    <w:rsid w:val="00340F36"/>
    <w:rsid w:val="00341185"/>
    <w:rsid w:val="00341911"/>
    <w:rsid w:val="00341B57"/>
    <w:rsid w:val="0034243E"/>
    <w:rsid w:val="003425E3"/>
    <w:rsid w:val="003427CF"/>
    <w:rsid w:val="00342CBA"/>
    <w:rsid w:val="00343290"/>
    <w:rsid w:val="00343314"/>
    <w:rsid w:val="0034338E"/>
    <w:rsid w:val="003435E7"/>
    <w:rsid w:val="00343B2B"/>
    <w:rsid w:val="00343B6F"/>
    <w:rsid w:val="00344D75"/>
    <w:rsid w:val="00344F44"/>
    <w:rsid w:val="00345889"/>
    <w:rsid w:val="00345C9E"/>
    <w:rsid w:val="00345CA4"/>
    <w:rsid w:val="00346179"/>
    <w:rsid w:val="0034639C"/>
    <w:rsid w:val="00346651"/>
    <w:rsid w:val="00346E53"/>
    <w:rsid w:val="00346F95"/>
    <w:rsid w:val="0034709F"/>
    <w:rsid w:val="0034727F"/>
    <w:rsid w:val="00347C52"/>
    <w:rsid w:val="003505A5"/>
    <w:rsid w:val="003506B2"/>
    <w:rsid w:val="00350908"/>
    <w:rsid w:val="00350C59"/>
    <w:rsid w:val="00350C69"/>
    <w:rsid w:val="00350D3A"/>
    <w:rsid w:val="00350E3E"/>
    <w:rsid w:val="00351BD5"/>
    <w:rsid w:val="00351C08"/>
    <w:rsid w:val="00351CA4"/>
    <w:rsid w:val="00351CBD"/>
    <w:rsid w:val="00352123"/>
    <w:rsid w:val="003524A8"/>
    <w:rsid w:val="00352654"/>
    <w:rsid w:val="00352BDD"/>
    <w:rsid w:val="00352D67"/>
    <w:rsid w:val="00352DC3"/>
    <w:rsid w:val="00353205"/>
    <w:rsid w:val="0035397B"/>
    <w:rsid w:val="003540C2"/>
    <w:rsid w:val="00354711"/>
    <w:rsid w:val="0035491A"/>
    <w:rsid w:val="00354B35"/>
    <w:rsid w:val="00354BEC"/>
    <w:rsid w:val="00354D5B"/>
    <w:rsid w:val="003555F1"/>
    <w:rsid w:val="00355B18"/>
    <w:rsid w:val="00355F47"/>
    <w:rsid w:val="003561C9"/>
    <w:rsid w:val="00356214"/>
    <w:rsid w:val="00356237"/>
    <w:rsid w:val="00356611"/>
    <w:rsid w:val="00356EC5"/>
    <w:rsid w:val="00357088"/>
    <w:rsid w:val="00357784"/>
    <w:rsid w:val="0035792C"/>
    <w:rsid w:val="0035798D"/>
    <w:rsid w:val="00357E94"/>
    <w:rsid w:val="003606CE"/>
    <w:rsid w:val="0036132A"/>
    <w:rsid w:val="00361DFA"/>
    <w:rsid w:val="00362316"/>
    <w:rsid w:val="003626C1"/>
    <w:rsid w:val="00362D70"/>
    <w:rsid w:val="003638B2"/>
    <w:rsid w:val="00363E4C"/>
    <w:rsid w:val="00364088"/>
    <w:rsid w:val="003641B1"/>
    <w:rsid w:val="003642AD"/>
    <w:rsid w:val="003646A9"/>
    <w:rsid w:val="003648AF"/>
    <w:rsid w:val="00364CCB"/>
    <w:rsid w:val="0036517F"/>
    <w:rsid w:val="00365329"/>
    <w:rsid w:val="00365337"/>
    <w:rsid w:val="00365711"/>
    <w:rsid w:val="00365842"/>
    <w:rsid w:val="00365994"/>
    <w:rsid w:val="00365C51"/>
    <w:rsid w:val="00366049"/>
    <w:rsid w:val="003660C1"/>
    <w:rsid w:val="003662FB"/>
    <w:rsid w:val="003668B7"/>
    <w:rsid w:val="00366E98"/>
    <w:rsid w:val="00367179"/>
    <w:rsid w:val="00367AC5"/>
    <w:rsid w:val="00370941"/>
    <w:rsid w:val="00370D42"/>
    <w:rsid w:val="00370EBD"/>
    <w:rsid w:val="00370EFE"/>
    <w:rsid w:val="00371222"/>
    <w:rsid w:val="00371C18"/>
    <w:rsid w:val="00372CB0"/>
    <w:rsid w:val="00373AB4"/>
    <w:rsid w:val="00373C04"/>
    <w:rsid w:val="00373EED"/>
    <w:rsid w:val="0037449F"/>
    <w:rsid w:val="003746C6"/>
    <w:rsid w:val="0037481F"/>
    <w:rsid w:val="003752D1"/>
    <w:rsid w:val="00375639"/>
    <w:rsid w:val="003756CE"/>
    <w:rsid w:val="003757EC"/>
    <w:rsid w:val="003758BC"/>
    <w:rsid w:val="00375FF5"/>
    <w:rsid w:val="00376D1C"/>
    <w:rsid w:val="00380750"/>
    <w:rsid w:val="00380974"/>
    <w:rsid w:val="00380CE4"/>
    <w:rsid w:val="00380D41"/>
    <w:rsid w:val="00381518"/>
    <w:rsid w:val="00381770"/>
    <w:rsid w:val="00381918"/>
    <w:rsid w:val="00381A3E"/>
    <w:rsid w:val="00381C5E"/>
    <w:rsid w:val="00381E13"/>
    <w:rsid w:val="00381F72"/>
    <w:rsid w:val="0038218A"/>
    <w:rsid w:val="00382CF0"/>
    <w:rsid w:val="00383300"/>
    <w:rsid w:val="00383377"/>
    <w:rsid w:val="00383968"/>
    <w:rsid w:val="00384066"/>
    <w:rsid w:val="003842F0"/>
    <w:rsid w:val="00384867"/>
    <w:rsid w:val="003852C5"/>
    <w:rsid w:val="003853C0"/>
    <w:rsid w:val="00385AAA"/>
    <w:rsid w:val="00385BFD"/>
    <w:rsid w:val="00385DAC"/>
    <w:rsid w:val="00386473"/>
    <w:rsid w:val="003864CA"/>
    <w:rsid w:val="003866FA"/>
    <w:rsid w:val="00386C44"/>
    <w:rsid w:val="003870C4"/>
    <w:rsid w:val="00387529"/>
    <w:rsid w:val="003879BD"/>
    <w:rsid w:val="00387D17"/>
    <w:rsid w:val="00387FDE"/>
    <w:rsid w:val="0039013E"/>
    <w:rsid w:val="00390E25"/>
    <w:rsid w:val="00391229"/>
    <w:rsid w:val="003913BD"/>
    <w:rsid w:val="003915B9"/>
    <w:rsid w:val="00391BD7"/>
    <w:rsid w:val="00391CF5"/>
    <w:rsid w:val="00391D73"/>
    <w:rsid w:val="00392705"/>
    <w:rsid w:val="00392F81"/>
    <w:rsid w:val="00393964"/>
    <w:rsid w:val="00393A40"/>
    <w:rsid w:val="00393BFB"/>
    <w:rsid w:val="00394133"/>
    <w:rsid w:val="00394F50"/>
    <w:rsid w:val="00395271"/>
    <w:rsid w:val="00395492"/>
    <w:rsid w:val="003956FC"/>
    <w:rsid w:val="00395D43"/>
    <w:rsid w:val="00395DC8"/>
    <w:rsid w:val="00396A69"/>
    <w:rsid w:val="00396DEF"/>
    <w:rsid w:val="0039701E"/>
    <w:rsid w:val="00397469"/>
    <w:rsid w:val="003976E5"/>
    <w:rsid w:val="0039790D"/>
    <w:rsid w:val="00397A35"/>
    <w:rsid w:val="00397C1F"/>
    <w:rsid w:val="003A0137"/>
    <w:rsid w:val="003A01FB"/>
    <w:rsid w:val="003A0944"/>
    <w:rsid w:val="003A09F3"/>
    <w:rsid w:val="003A0BBB"/>
    <w:rsid w:val="003A10ED"/>
    <w:rsid w:val="003A10EF"/>
    <w:rsid w:val="003A1BE6"/>
    <w:rsid w:val="003A1D9F"/>
    <w:rsid w:val="003A22EE"/>
    <w:rsid w:val="003A2311"/>
    <w:rsid w:val="003A2392"/>
    <w:rsid w:val="003A2609"/>
    <w:rsid w:val="003A2849"/>
    <w:rsid w:val="003A287B"/>
    <w:rsid w:val="003A359C"/>
    <w:rsid w:val="003A3641"/>
    <w:rsid w:val="003A3970"/>
    <w:rsid w:val="003A3F1F"/>
    <w:rsid w:val="003A3FFF"/>
    <w:rsid w:val="003A40FF"/>
    <w:rsid w:val="003A425C"/>
    <w:rsid w:val="003A42B3"/>
    <w:rsid w:val="003A47C1"/>
    <w:rsid w:val="003A4C51"/>
    <w:rsid w:val="003A4D88"/>
    <w:rsid w:val="003A624D"/>
    <w:rsid w:val="003A6D6F"/>
    <w:rsid w:val="003A6E77"/>
    <w:rsid w:val="003A7086"/>
    <w:rsid w:val="003A7241"/>
    <w:rsid w:val="003A75E5"/>
    <w:rsid w:val="003B0474"/>
    <w:rsid w:val="003B0565"/>
    <w:rsid w:val="003B05BD"/>
    <w:rsid w:val="003B0900"/>
    <w:rsid w:val="003B09B0"/>
    <w:rsid w:val="003B0B2E"/>
    <w:rsid w:val="003B1266"/>
    <w:rsid w:val="003B1501"/>
    <w:rsid w:val="003B16E0"/>
    <w:rsid w:val="003B1819"/>
    <w:rsid w:val="003B35B6"/>
    <w:rsid w:val="003B3657"/>
    <w:rsid w:val="003B3F1B"/>
    <w:rsid w:val="003B409D"/>
    <w:rsid w:val="003B4113"/>
    <w:rsid w:val="003B441E"/>
    <w:rsid w:val="003B497A"/>
    <w:rsid w:val="003B4ADE"/>
    <w:rsid w:val="003B4CD4"/>
    <w:rsid w:val="003B5032"/>
    <w:rsid w:val="003B5523"/>
    <w:rsid w:val="003B57EA"/>
    <w:rsid w:val="003B5B28"/>
    <w:rsid w:val="003B5ECE"/>
    <w:rsid w:val="003B6254"/>
    <w:rsid w:val="003B6770"/>
    <w:rsid w:val="003B6E87"/>
    <w:rsid w:val="003B722F"/>
    <w:rsid w:val="003B743F"/>
    <w:rsid w:val="003B78FE"/>
    <w:rsid w:val="003B7FDE"/>
    <w:rsid w:val="003C053E"/>
    <w:rsid w:val="003C064B"/>
    <w:rsid w:val="003C119F"/>
    <w:rsid w:val="003C1552"/>
    <w:rsid w:val="003C1BB8"/>
    <w:rsid w:val="003C1E86"/>
    <w:rsid w:val="003C1EA9"/>
    <w:rsid w:val="003C241B"/>
    <w:rsid w:val="003C2B64"/>
    <w:rsid w:val="003C2D90"/>
    <w:rsid w:val="003C3B8F"/>
    <w:rsid w:val="003C4585"/>
    <w:rsid w:val="003C4692"/>
    <w:rsid w:val="003C4AE8"/>
    <w:rsid w:val="003C4D48"/>
    <w:rsid w:val="003C5E9C"/>
    <w:rsid w:val="003C664D"/>
    <w:rsid w:val="003C6E3B"/>
    <w:rsid w:val="003C7556"/>
    <w:rsid w:val="003C75D3"/>
    <w:rsid w:val="003C7A1A"/>
    <w:rsid w:val="003D00F8"/>
    <w:rsid w:val="003D0199"/>
    <w:rsid w:val="003D0352"/>
    <w:rsid w:val="003D03A1"/>
    <w:rsid w:val="003D1051"/>
    <w:rsid w:val="003D10D2"/>
    <w:rsid w:val="003D118C"/>
    <w:rsid w:val="003D178B"/>
    <w:rsid w:val="003D1BE1"/>
    <w:rsid w:val="003D2015"/>
    <w:rsid w:val="003D20C0"/>
    <w:rsid w:val="003D20CD"/>
    <w:rsid w:val="003D2109"/>
    <w:rsid w:val="003D232C"/>
    <w:rsid w:val="003D2433"/>
    <w:rsid w:val="003D28DA"/>
    <w:rsid w:val="003D2AC7"/>
    <w:rsid w:val="003D350E"/>
    <w:rsid w:val="003D35CC"/>
    <w:rsid w:val="003D3BC2"/>
    <w:rsid w:val="003D49C0"/>
    <w:rsid w:val="003D4BA6"/>
    <w:rsid w:val="003D4EB9"/>
    <w:rsid w:val="003D5AEB"/>
    <w:rsid w:val="003D5B92"/>
    <w:rsid w:val="003D60EF"/>
    <w:rsid w:val="003D6325"/>
    <w:rsid w:val="003D636C"/>
    <w:rsid w:val="003D6A1A"/>
    <w:rsid w:val="003D6B5F"/>
    <w:rsid w:val="003D70C7"/>
    <w:rsid w:val="003D70ED"/>
    <w:rsid w:val="003D790C"/>
    <w:rsid w:val="003D7C2B"/>
    <w:rsid w:val="003D7F61"/>
    <w:rsid w:val="003E067C"/>
    <w:rsid w:val="003E0BBB"/>
    <w:rsid w:val="003E0D73"/>
    <w:rsid w:val="003E1100"/>
    <w:rsid w:val="003E14E5"/>
    <w:rsid w:val="003E158C"/>
    <w:rsid w:val="003E199E"/>
    <w:rsid w:val="003E1A71"/>
    <w:rsid w:val="003E1ADF"/>
    <w:rsid w:val="003E1B35"/>
    <w:rsid w:val="003E1F18"/>
    <w:rsid w:val="003E24B7"/>
    <w:rsid w:val="003E266C"/>
    <w:rsid w:val="003E2B29"/>
    <w:rsid w:val="003E2EF0"/>
    <w:rsid w:val="003E31B1"/>
    <w:rsid w:val="003E3525"/>
    <w:rsid w:val="003E38E4"/>
    <w:rsid w:val="003E3C38"/>
    <w:rsid w:val="003E3CD3"/>
    <w:rsid w:val="003E3DD8"/>
    <w:rsid w:val="003E41B2"/>
    <w:rsid w:val="003E433E"/>
    <w:rsid w:val="003E46C4"/>
    <w:rsid w:val="003E4726"/>
    <w:rsid w:val="003E4B30"/>
    <w:rsid w:val="003E4EB4"/>
    <w:rsid w:val="003E516F"/>
    <w:rsid w:val="003E58EA"/>
    <w:rsid w:val="003E5BA9"/>
    <w:rsid w:val="003E5DC1"/>
    <w:rsid w:val="003E5F3D"/>
    <w:rsid w:val="003E6188"/>
    <w:rsid w:val="003E66EE"/>
    <w:rsid w:val="003E6C81"/>
    <w:rsid w:val="003E6EB9"/>
    <w:rsid w:val="003E7214"/>
    <w:rsid w:val="003E7391"/>
    <w:rsid w:val="003E7550"/>
    <w:rsid w:val="003E7647"/>
    <w:rsid w:val="003F09B1"/>
    <w:rsid w:val="003F0B5A"/>
    <w:rsid w:val="003F0E67"/>
    <w:rsid w:val="003F2080"/>
    <w:rsid w:val="003F2134"/>
    <w:rsid w:val="003F2298"/>
    <w:rsid w:val="003F2B04"/>
    <w:rsid w:val="003F2E3B"/>
    <w:rsid w:val="003F2F20"/>
    <w:rsid w:val="003F2F51"/>
    <w:rsid w:val="003F325C"/>
    <w:rsid w:val="003F3353"/>
    <w:rsid w:val="003F376C"/>
    <w:rsid w:val="003F39B5"/>
    <w:rsid w:val="003F46CD"/>
    <w:rsid w:val="003F4AB7"/>
    <w:rsid w:val="003F4E1D"/>
    <w:rsid w:val="003F50B2"/>
    <w:rsid w:val="003F529E"/>
    <w:rsid w:val="003F57CB"/>
    <w:rsid w:val="003F5886"/>
    <w:rsid w:val="003F5BDE"/>
    <w:rsid w:val="003F5C7C"/>
    <w:rsid w:val="003F6568"/>
    <w:rsid w:val="003F66CB"/>
    <w:rsid w:val="003F67BA"/>
    <w:rsid w:val="003F69E5"/>
    <w:rsid w:val="003F6A07"/>
    <w:rsid w:val="003F6C7E"/>
    <w:rsid w:val="003F6DDB"/>
    <w:rsid w:val="003F7235"/>
    <w:rsid w:val="003F7546"/>
    <w:rsid w:val="003F7608"/>
    <w:rsid w:val="003F76E8"/>
    <w:rsid w:val="003F76F0"/>
    <w:rsid w:val="003F7CC7"/>
    <w:rsid w:val="003F7EAB"/>
    <w:rsid w:val="004002C9"/>
    <w:rsid w:val="0040090F"/>
    <w:rsid w:val="00400BC0"/>
    <w:rsid w:val="0040254C"/>
    <w:rsid w:val="00402971"/>
    <w:rsid w:val="00402D4B"/>
    <w:rsid w:val="00402DA2"/>
    <w:rsid w:val="00402F32"/>
    <w:rsid w:val="00403424"/>
    <w:rsid w:val="004035EC"/>
    <w:rsid w:val="00403C9C"/>
    <w:rsid w:val="0040413B"/>
    <w:rsid w:val="00404331"/>
    <w:rsid w:val="00404DAD"/>
    <w:rsid w:val="00405232"/>
    <w:rsid w:val="0040540B"/>
    <w:rsid w:val="004056C4"/>
    <w:rsid w:val="004058B6"/>
    <w:rsid w:val="00405C24"/>
    <w:rsid w:val="00405FC7"/>
    <w:rsid w:val="004063D3"/>
    <w:rsid w:val="004065C5"/>
    <w:rsid w:val="00406FD9"/>
    <w:rsid w:val="00406FF3"/>
    <w:rsid w:val="00407087"/>
    <w:rsid w:val="00407298"/>
    <w:rsid w:val="004072BB"/>
    <w:rsid w:val="00407763"/>
    <w:rsid w:val="00407D02"/>
    <w:rsid w:val="00407E0B"/>
    <w:rsid w:val="00410120"/>
    <w:rsid w:val="00410BA8"/>
    <w:rsid w:val="00410E1C"/>
    <w:rsid w:val="00410FD0"/>
    <w:rsid w:val="00411220"/>
    <w:rsid w:val="00411509"/>
    <w:rsid w:val="0041166A"/>
    <w:rsid w:val="004118F7"/>
    <w:rsid w:val="0041190F"/>
    <w:rsid w:val="00411E14"/>
    <w:rsid w:val="004126B2"/>
    <w:rsid w:val="004127CB"/>
    <w:rsid w:val="004129F4"/>
    <w:rsid w:val="004139D0"/>
    <w:rsid w:val="0041471A"/>
    <w:rsid w:val="00414D6B"/>
    <w:rsid w:val="00414E4B"/>
    <w:rsid w:val="00414EDB"/>
    <w:rsid w:val="00415499"/>
    <w:rsid w:val="0041582B"/>
    <w:rsid w:val="00415986"/>
    <w:rsid w:val="00415B90"/>
    <w:rsid w:val="00415C9A"/>
    <w:rsid w:val="00416473"/>
    <w:rsid w:val="00416533"/>
    <w:rsid w:val="0041684D"/>
    <w:rsid w:val="00417280"/>
    <w:rsid w:val="00417329"/>
    <w:rsid w:val="00417525"/>
    <w:rsid w:val="00417DBE"/>
    <w:rsid w:val="00420801"/>
    <w:rsid w:val="0042084F"/>
    <w:rsid w:val="004213FE"/>
    <w:rsid w:val="0042149A"/>
    <w:rsid w:val="004217B1"/>
    <w:rsid w:val="00421AD4"/>
    <w:rsid w:val="00422443"/>
    <w:rsid w:val="00422987"/>
    <w:rsid w:val="00422E77"/>
    <w:rsid w:val="0042316F"/>
    <w:rsid w:val="00423389"/>
    <w:rsid w:val="00423AAB"/>
    <w:rsid w:val="00423F99"/>
    <w:rsid w:val="00423FC4"/>
    <w:rsid w:val="004240FE"/>
    <w:rsid w:val="004242AA"/>
    <w:rsid w:val="004244D9"/>
    <w:rsid w:val="004246ED"/>
    <w:rsid w:val="0042491B"/>
    <w:rsid w:val="00424DA3"/>
    <w:rsid w:val="00424E13"/>
    <w:rsid w:val="00424F33"/>
    <w:rsid w:val="004253B8"/>
    <w:rsid w:val="004254F5"/>
    <w:rsid w:val="004254F6"/>
    <w:rsid w:val="00425637"/>
    <w:rsid w:val="0042567B"/>
    <w:rsid w:val="004259C3"/>
    <w:rsid w:val="00425D1C"/>
    <w:rsid w:val="00425E56"/>
    <w:rsid w:val="00426028"/>
    <w:rsid w:val="00426DDD"/>
    <w:rsid w:val="00427122"/>
    <w:rsid w:val="00427575"/>
    <w:rsid w:val="0043002B"/>
    <w:rsid w:val="004300B3"/>
    <w:rsid w:val="004300D5"/>
    <w:rsid w:val="004307CC"/>
    <w:rsid w:val="00430B69"/>
    <w:rsid w:val="00431FE9"/>
    <w:rsid w:val="004321F6"/>
    <w:rsid w:val="00432508"/>
    <w:rsid w:val="004325CE"/>
    <w:rsid w:val="004325F2"/>
    <w:rsid w:val="0043299A"/>
    <w:rsid w:val="004333C0"/>
    <w:rsid w:val="0043362B"/>
    <w:rsid w:val="004336B6"/>
    <w:rsid w:val="00433F56"/>
    <w:rsid w:val="00434461"/>
    <w:rsid w:val="0043515A"/>
    <w:rsid w:val="004357C7"/>
    <w:rsid w:val="004358C3"/>
    <w:rsid w:val="00435AE6"/>
    <w:rsid w:val="00435D28"/>
    <w:rsid w:val="0043601A"/>
    <w:rsid w:val="00436664"/>
    <w:rsid w:val="0043688D"/>
    <w:rsid w:val="00436996"/>
    <w:rsid w:val="00437AAC"/>
    <w:rsid w:val="00437C12"/>
    <w:rsid w:val="0044051E"/>
    <w:rsid w:val="00440B7C"/>
    <w:rsid w:val="00440E57"/>
    <w:rsid w:val="00440F81"/>
    <w:rsid w:val="00441030"/>
    <w:rsid w:val="00441224"/>
    <w:rsid w:val="004413AA"/>
    <w:rsid w:val="00441809"/>
    <w:rsid w:val="00441D7B"/>
    <w:rsid w:val="004421B9"/>
    <w:rsid w:val="0044250F"/>
    <w:rsid w:val="004427EB"/>
    <w:rsid w:val="00442C86"/>
    <w:rsid w:val="00443136"/>
    <w:rsid w:val="0044360C"/>
    <w:rsid w:val="0044392F"/>
    <w:rsid w:val="00443BEF"/>
    <w:rsid w:val="00443E36"/>
    <w:rsid w:val="0044415D"/>
    <w:rsid w:val="00444B07"/>
    <w:rsid w:val="00444FFF"/>
    <w:rsid w:val="00445444"/>
    <w:rsid w:val="0044549C"/>
    <w:rsid w:val="00445C29"/>
    <w:rsid w:val="00445C8E"/>
    <w:rsid w:val="00445E28"/>
    <w:rsid w:val="00446138"/>
    <w:rsid w:val="004462F3"/>
    <w:rsid w:val="00446376"/>
    <w:rsid w:val="00446D4C"/>
    <w:rsid w:val="00446F75"/>
    <w:rsid w:val="00447419"/>
    <w:rsid w:val="004476C4"/>
    <w:rsid w:val="004478AD"/>
    <w:rsid w:val="0045017D"/>
    <w:rsid w:val="004506E3"/>
    <w:rsid w:val="00450B2A"/>
    <w:rsid w:val="00450F26"/>
    <w:rsid w:val="00450FE2"/>
    <w:rsid w:val="00451043"/>
    <w:rsid w:val="00451365"/>
    <w:rsid w:val="004515DC"/>
    <w:rsid w:val="00451A2F"/>
    <w:rsid w:val="00451A5F"/>
    <w:rsid w:val="00451B83"/>
    <w:rsid w:val="00451DF0"/>
    <w:rsid w:val="004529B3"/>
    <w:rsid w:val="004529F6"/>
    <w:rsid w:val="00452C00"/>
    <w:rsid w:val="00452F6B"/>
    <w:rsid w:val="0045375F"/>
    <w:rsid w:val="00453825"/>
    <w:rsid w:val="00453E63"/>
    <w:rsid w:val="0045410F"/>
    <w:rsid w:val="004545BF"/>
    <w:rsid w:val="00454767"/>
    <w:rsid w:val="00454CF9"/>
    <w:rsid w:val="00455B6D"/>
    <w:rsid w:val="00455C67"/>
    <w:rsid w:val="00455E62"/>
    <w:rsid w:val="0045615A"/>
    <w:rsid w:val="004561BC"/>
    <w:rsid w:val="0045690E"/>
    <w:rsid w:val="004577B5"/>
    <w:rsid w:val="00457C1A"/>
    <w:rsid w:val="00457CDE"/>
    <w:rsid w:val="00457D03"/>
    <w:rsid w:val="0046055C"/>
    <w:rsid w:val="004605E8"/>
    <w:rsid w:val="00460A54"/>
    <w:rsid w:val="00461675"/>
    <w:rsid w:val="00461F51"/>
    <w:rsid w:val="00462029"/>
    <w:rsid w:val="004631D3"/>
    <w:rsid w:val="0046387D"/>
    <w:rsid w:val="0046419B"/>
    <w:rsid w:val="004641B7"/>
    <w:rsid w:val="00464C22"/>
    <w:rsid w:val="00465232"/>
    <w:rsid w:val="0046539D"/>
    <w:rsid w:val="004659BC"/>
    <w:rsid w:val="00465EF7"/>
    <w:rsid w:val="00465F05"/>
    <w:rsid w:val="004664A3"/>
    <w:rsid w:val="004667BF"/>
    <w:rsid w:val="004669F3"/>
    <w:rsid w:val="00466A1E"/>
    <w:rsid w:val="00466D35"/>
    <w:rsid w:val="0046789F"/>
    <w:rsid w:val="00467902"/>
    <w:rsid w:val="00467954"/>
    <w:rsid w:val="00467EED"/>
    <w:rsid w:val="0047050C"/>
    <w:rsid w:val="00470612"/>
    <w:rsid w:val="00470A1F"/>
    <w:rsid w:val="0047109D"/>
    <w:rsid w:val="0047115F"/>
    <w:rsid w:val="00471310"/>
    <w:rsid w:val="00471777"/>
    <w:rsid w:val="00472365"/>
    <w:rsid w:val="0047239E"/>
    <w:rsid w:val="004723FF"/>
    <w:rsid w:val="00472498"/>
    <w:rsid w:val="00472B31"/>
    <w:rsid w:val="00472D78"/>
    <w:rsid w:val="00474A81"/>
    <w:rsid w:val="00474AB6"/>
    <w:rsid w:val="00474C95"/>
    <w:rsid w:val="00474F17"/>
    <w:rsid w:val="00475293"/>
    <w:rsid w:val="00475AC1"/>
    <w:rsid w:val="00475D3E"/>
    <w:rsid w:val="00476E8F"/>
    <w:rsid w:val="00477428"/>
    <w:rsid w:val="00477843"/>
    <w:rsid w:val="00477998"/>
    <w:rsid w:val="00477EB0"/>
    <w:rsid w:val="00480CA4"/>
    <w:rsid w:val="00480E9E"/>
    <w:rsid w:val="00481852"/>
    <w:rsid w:val="00481A77"/>
    <w:rsid w:val="00481CAA"/>
    <w:rsid w:val="00482208"/>
    <w:rsid w:val="0048248D"/>
    <w:rsid w:val="0048287F"/>
    <w:rsid w:val="00482B94"/>
    <w:rsid w:val="00482EF0"/>
    <w:rsid w:val="00483321"/>
    <w:rsid w:val="004836A0"/>
    <w:rsid w:val="00483B7C"/>
    <w:rsid w:val="00483FF0"/>
    <w:rsid w:val="00484183"/>
    <w:rsid w:val="004846AE"/>
    <w:rsid w:val="0048533F"/>
    <w:rsid w:val="00485351"/>
    <w:rsid w:val="004859B8"/>
    <w:rsid w:val="00485BB5"/>
    <w:rsid w:val="00485ECE"/>
    <w:rsid w:val="00485FD0"/>
    <w:rsid w:val="00485FFC"/>
    <w:rsid w:val="00486146"/>
    <w:rsid w:val="00486148"/>
    <w:rsid w:val="00486595"/>
    <w:rsid w:val="00486FEF"/>
    <w:rsid w:val="00487276"/>
    <w:rsid w:val="0048729A"/>
    <w:rsid w:val="004872AA"/>
    <w:rsid w:val="004872CA"/>
    <w:rsid w:val="004872D9"/>
    <w:rsid w:val="00487474"/>
    <w:rsid w:val="004876CD"/>
    <w:rsid w:val="004879B6"/>
    <w:rsid w:val="00487A92"/>
    <w:rsid w:val="00487B70"/>
    <w:rsid w:val="00487F1A"/>
    <w:rsid w:val="00490168"/>
    <w:rsid w:val="00490244"/>
    <w:rsid w:val="004902A8"/>
    <w:rsid w:val="0049066F"/>
    <w:rsid w:val="004907C8"/>
    <w:rsid w:val="00490876"/>
    <w:rsid w:val="00490A2C"/>
    <w:rsid w:val="00490BFB"/>
    <w:rsid w:val="00490CFE"/>
    <w:rsid w:val="00490D5F"/>
    <w:rsid w:val="00490E23"/>
    <w:rsid w:val="00491649"/>
    <w:rsid w:val="00491736"/>
    <w:rsid w:val="0049255A"/>
    <w:rsid w:val="00492D51"/>
    <w:rsid w:val="00493401"/>
    <w:rsid w:val="00493E5E"/>
    <w:rsid w:val="0049416D"/>
    <w:rsid w:val="00494311"/>
    <w:rsid w:val="00494654"/>
    <w:rsid w:val="00494703"/>
    <w:rsid w:val="004947DE"/>
    <w:rsid w:val="0049492E"/>
    <w:rsid w:val="00494932"/>
    <w:rsid w:val="00494E19"/>
    <w:rsid w:val="004950DA"/>
    <w:rsid w:val="00495263"/>
    <w:rsid w:val="00495D28"/>
    <w:rsid w:val="00495D77"/>
    <w:rsid w:val="00496339"/>
    <w:rsid w:val="00496AB8"/>
    <w:rsid w:val="00496C04"/>
    <w:rsid w:val="00496E5C"/>
    <w:rsid w:val="00496F8C"/>
    <w:rsid w:val="0049769F"/>
    <w:rsid w:val="0049778D"/>
    <w:rsid w:val="00497ACC"/>
    <w:rsid w:val="00497BD7"/>
    <w:rsid w:val="00497DA4"/>
    <w:rsid w:val="004A01E2"/>
    <w:rsid w:val="004A05B8"/>
    <w:rsid w:val="004A0F5C"/>
    <w:rsid w:val="004A126B"/>
    <w:rsid w:val="004A17DC"/>
    <w:rsid w:val="004A19C3"/>
    <w:rsid w:val="004A1F22"/>
    <w:rsid w:val="004A2051"/>
    <w:rsid w:val="004A290C"/>
    <w:rsid w:val="004A31E3"/>
    <w:rsid w:val="004A340E"/>
    <w:rsid w:val="004A3725"/>
    <w:rsid w:val="004A4108"/>
    <w:rsid w:val="004A4811"/>
    <w:rsid w:val="004A4C00"/>
    <w:rsid w:val="004A4D9D"/>
    <w:rsid w:val="004A4DDC"/>
    <w:rsid w:val="004A51BD"/>
    <w:rsid w:val="004A5795"/>
    <w:rsid w:val="004A6134"/>
    <w:rsid w:val="004A637E"/>
    <w:rsid w:val="004A63DA"/>
    <w:rsid w:val="004A664C"/>
    <w:rsid w:val="004A6874"/>
    <w:rsid w:val="004A687B"/>
    <w:rsid w:val="004A6ADB"/>
    <w:rsid w:val="004A6E4A"/>
    <w:rsid w:val="004A6F0B"/>
    <w:rsid w:val="004A6F39"/>
    <w:rsid w:val="004A6FA1"/>
    <w:rsid w:val="004A73AD"/>
    <w:rsid w:val="004A76A4"/>
    <w:rsid w:val="004A76FF"/>
    <w:rsid w:val="004A7A98"/>
    <w:rsid w:val="004A7B38"/>
    <w:rsid w:val="004A7EEE"/>
    <w:rsid w:val="004B0098"/>
    <w:rsid w:val="004B00B5"/>
    <w:rsid w:val="004B08BB"/>
    <w:rsid w:val="004B1AF4"/>
    <w:rsid w:val="004B2023"/>
    <w:rsid w:val="004B2080"/>
    <w:rsid w:val="004B26E8"/>
    <w:rsid w:val="004B29A9"/>
    <w:rsid w:val="004B2BD0"/>
    <w:rsid w:val="004B3086"/>
    <w:rsid w:val="004B3193"/>
    <w:rsid w:val="004B326C"/>
    <w:rsid w:val="004B332A"/>
    <w:rsid w:val="004B3764"/>
    <w:rsid w:val="004B3DC1"/>
    <w:rsid w:val="004B42F0"/>
    <w:rsid w:val="004B4DE3"/>
    <w:rsid w:val="004B5204"/>
    <w:rsid w:val="004B52CF"/>
    <w:rsid w:val="004B5718"/>
    <w:rsid w:val="004B5A91"/>
    <w:rsid w:val="004B5E94"/>
    <w:rsid w:val="004B61FB"/>
    <w:rsid w:val="004B725E"/>
    <w:rsid w:val="004B7414"/>
    <w:rsid w:val="004B7520"/>
    <w:rsid w:val="004B7B0A"/>
    <w:rsid w:val="004B7D2D"/>
    <w:rsid w:val="004C04CF"/>
    <w:rsid w:val="004C10CA"/>
    <w:rsid w:val="004C12B4"/>
    <w:rsid w:val="004C1A10"/>
    <w:rsid w:val="004C217F"/>
    <w:rsid w:val="004C2852"/>
    <w:rsid w:val="004C3212"/>
    <w:rsid w:val="004C35FB"/>
    <w:rsid w:val="004C38CD"/>
    <w:rsid w:val="004C392F"/>
    <w:rsid w:val="004C3CDB"/>
    <w:rsid w:val="004C43DF"/>
    <w:rsid w:val="004C4662"/>
    <w:rsid w:val="004C4890"/>
    <w:rsid w:val="004C4D8B"/>
    <w:rsid w:val="004C51F6"/>
    <w:rsid w:val="004C5D42"/>
    <w:rsid w:val="004C5E39"/>
    <w:rsid w:val="004C6583"/>
    <w:rsid w:val="004C667A"/>
    <w:rsid w:val="004C6E53"/>
    <w:rsid w:val="004C719C"/>
    <w:rsid w:val="004C7893"/>
    <w:rsid w:val="004D0308"/>
    <w:rsid w:val="004D0DCD"/>
    <w:rsid w:val="004D110F"/>
    <w:rsid w:val="004D11CA"/>
    <w:rsid w:val="004D1300"/>
    <w:rsid w:val="004D158C"/>
    <w:rsid w:val="004D1879"/>
    <w:rsid w:val="004D1B07"/>
    <w:rsid w:val="004D1BAE"/>
    <w:rsid w:val="004D2835"/>
    <w:rsid w:val="004D29FF"/>
    <w:rsid w:val="004D2AE9"/>
    <w:rsid w:val="004D2DA8"/>
    <w:rsid w:val="004D2E88"/>
    <w:rsid w:val="004D30A8"/>
    <w:rsid w:val="004D3777"/>
    <w:rsid w:val="004D3989"/>
    <w:rsid w:val="004D3BE6"/>
    <w:rsid w:val="004D43A1"/>
    <w:rsid w:val="004D4B25"/>
    <w:rsid w:val="004D50AB"/>
    <w:rsid w:val="004D52E6"/>
    <w:rsid w:val="004D53F6"/>
    <w:rsid w:val="004D55A0"/>
    <w:rsid w:val="004D58E3"/>
    <w:rsid w:val="004D5DCE"/>
    <w:rsid w:val="004D5EDF"/>
    <w:rsid w:val="004D61D0"/>
    <w:rsid w:val="004D62FE"/>
    <w:rsid w:val="004D6547"/>
    <w:rsid w:val="004D6551"/>
    <w:rsid w:val="004D6D5D"/>
    <w:rsid w:val="004D6E0E"/>
    <w:rsid w:val="004D7256"/>
    <w:rsid w:val="004D752E"/>
    <w:rsid w:val="004D78E6"/>
    <w:rsid w:val="004D7FC8"/>
    <w:rsid w:val="004E0042"/>
    <w:rsid w:val="004E0A71"/>
    <w:rsid w:val="004E0D45"/>
    <w:rsid w:val="004E151B"/>
    <w:rsid w:val="004E16C6"/>
    <w:rsid w:val="004E174F"/>
    <w:rsid w:val="004E1E1B"/>
    <w:rsid w:val="004E277D"/>
    <w:rsid w:val="004E2E10"/>
    <w:rsid w:val="004E2F88"/>
    <w:rsid w:val="004E3004"/>
    <w:rsid w:val="004E345E"/>
    <w:rsid w:val="004E3498"/>
    <w:rsid w:val="004E36B9"/>
    <w:rsid w:val="004E3AE6"/>
    <w:rsid w:val="004E3BED"/>
    <w:rsid w:val="004E3CFA"/>
    <w:rsid w:val="004E453B"/>
    <w:rsid w:val="004E4949"/>
    <w:rsid w:val="004E4C94"/>
    <w:rsid w:val="004E4ED5"/>
    <w:rsid w:val="004E4FCA"/>
    <w:rsid w:val="004E53FF"/>
    <w:rsid w:val="004E5544"/>
    <w:rsid w:val="004E5864"/>
    <w:rsid w:val="004E5A78"/>
    <w:rsid w:val="004E5E52"/>
    <w:rsid w:val="004E60AE"/>
    <w:rsid w:val="004E6686"/>
    <w:rsid w:val="004E6A5E"/>
    <w:rsid w:val="004E6B6D"/>
    <w:rsid w:val="004E6BEE"/>
    <w:rsid w:val="004E6DBB"/>
    <w:rsid w:val="004E79AE"/>
    <w:rsid w:val="004E7AB5"/>
    <w:rsid w:val="004E7D9A"/>
    <w:rsid w:val="004E7FC3"/>
    <w:rsid w:val="004F046F"/>
    <w:rsid w:val="004F061F"/>
    <w:rsid w:val="004F07D6"/>
    <w:rsid w:val="004F0A98"/>
    <w:rsid w:val="004F0C6E"/>
    <w:rsid w:val="004F0CBD"/>
    <w:rsid w:val="004F0F66"/>
    <w:rsid w:val="004F1282"/>
    <w:rsid w:val="004F1465"/>
    <w:rsid w:val="004F1E85"/>
    <w:rsid w:val="004F248E"/>
    <w:rsid w:val="004F2540"/>
    <w:rsid w:val="004F2677"/>
    <w:rsid w:val="004F2DC1"/>
    <w:rsid w:val="004F33F9"/>
    <w:rsid w:val="004F38B9"/>
    <w:rsid w:val="004F3914"/>
    <w:rsid w:val="004F3ACA"/>
    <w:rsid w:val="004F3CE7"/>
    <w:rsid w:val="004F43EC"/>
    <w:rsid w:val="004F46D9"/>
    <w:rsid w:val="004F4EA2"/>
    <w:rsid w:val="004F5017"/>
    <w:rsid w:val="004F6D7B"/>
    <w:rsid w:val="004F7042"/>
    <w:rsid w:val="004F765B"/>
    <w:rsid w:val="004F7B58"/>
    <w:rsid w:val="00500446"/>
    <w:rsid w:val="0050072F"/>
    <w:rsid w:val="005008F1"/>
    <w:rsid w:val="00500D2F"/>
    <w:rsid w:val="00500DE2"/>
    <w:rsid w:val="00500F16"/>
    <w:rsid w:val="0050146F"/>
    <w:rsid w:val="005014EC"/>
    <w:rsid w:val="00501D90"/>
    <w:rsid w:val="00501EFE"/>
    <w:rsid w:val="00502724"/>
    <w:rsid w:val="0050283B"/>
    <w:rsid w:val="00502D94"/>
    <w:rsid w:val="005030A0"/>
    <w:rsid w:val="00503429"/>
    <w:rsid w:val="00503693"/>
    <w:rsid w:val="00503895"/>
    <w:rsid w:val="00503D89"/>
    <w:rsid w:val="00503E85"/>
    <w:rsid w:val="00503FD1"/>
    <w:rsid w:val="00504159"/>
    <w:rsid w:val="00504278"/>
    <w:rsid w:val="00504866"/>
    <w:rsid w:val="00504974"/>
    <w:rsid w:val="00504AA6"/>
    <w:rsid w:val="00505490"/>
    <w:rsid w:val="00505665"/>
    <w:rsid w:val="005067B3"/>
    <w:rsid w:val="005068B4"/>
    <w:rsid w:val="005069B1"/>
    <w:rsid w:val="00506E26"/>
    <w:rsid w:val="00507003"/>
    <w:rsid w:val="00507072"/>
    <w:rsid w:val="005073FE"/>
    <w:rsid w:val="005078D7"/>
    <w:rsid w:val="00507F68"/>
    <w:rsid w:val="005100D7"/>
    <w:rsid w:val="00510288"/>
    <w:rsid w:val="00510609"/>
    <w:rsid w:val="00510629"/>
    <w:rsid w:val="00511052"/>
    <w:rsid w:val="005112FF"/>
    <w:rsid w:val="00511567"/>
    <w:rsid w:val="00511A7E"/>
    <w:rsid w:val="00511C56"/>
    <w:rsid w:val="00511E51"/>
    <w:rsid w:val="00511FD1"/>
    <w:rsid w:val="0051218C"/>
    <w:rsid w:val="005121FB"/>
    <w:rsid w:val="00512431"/>
    <w:rsid w:val="005126BD"/>
    <w:rsid w:val="00512EB7"/>
    <w:rsid w:val="005131BB"/>
    <w:rsid w:val="0051340C"/>
    <w:rsid w:val="00513C0D"/>
    <w:rsid w:val="00513C20"/>
    <w:rsid w:val="00513EAE"/>
    <w:rsid w:val="00514867"/>
    <w:rsid w:val="00514DEC"/>
    <w:rsid w:val="0051503D"/>
    <w:rsid w:val="00515CBF"/>
    <w:rsid w:val="00516179"/>
    <w:rsid w:val="005161D3"/>
    <w:rsid w:val="0051653E"/>
    <w:rsid w:val="00516A61"/>
    <w:rsid w:val="00516AF8"/>
    <w:rsid w:val="00516B9F"/>
    <w:rsid w:val="005175E0"/>
    <w:rsid w:val="005179F1"/>
    <w:rsid w:val="00517B2E"/>
    <w:rsid w:val="00517BAD"/>
    <w:rsid w:val="00520401"/>
    <w:rsid w:val="00520656"/>
    <w:rsid w:val="005208D2"/>
    <w:rsid w:val="00520F12"/>
    <w:rsid w:val="00521343"/>
    <w:rsid w:val="00521B37"/>
    <w:rsid w:val="0052209E"/>
    <w:rsid w:val="00522B9A"/>
    <w:rsid w:val="005234EC"/>
    <w:rsid w:val="00523972"/>
    <w:rsid w:val="005239D8"/>
    <w:rsid w:val="00523A55"/>
    <w:rsid w:val="00523D04"/>
    <w:rsid w:val="00523D50"/>
    <w:rsid w:val="00523DC6"/>
    <w:rsid w:val="00523F29"/>
    <w:rsid w:val="00524127"/>
    <w:rsid w:val="005249DC"/>
    <w:rsid w:val="00524FAB"/>
    <w:rsid w:val="0052503A"/>
    <w:rsid w:val="00525516"/>
    <w:rsid w:val="00525CC6"/>
    <w:rsid w:val="00525E42"/>
    <w:rsid w:val="0052629F"/>
    <w:rsid w:val="00526538"/>
    <w:rsid w:val="0052654A"/>
    <w:rsid w:val="00526551"/>
    <w:rsid w:val="005270AE"/>
    <w:rsid w:val="00527216"/>
    <w:rsid w:val="005276B9"/>
    <w:rsid w:val="00527B23"/>
    <w:rsid w:val="00530347"/>
    <w:rsid w:val="00530768"/>
    <w:rsid w:val="00530B95"/>
    <w:rsid w:val="00530F4E"/>
    <w:rsid w:val="00531054"/>
    <w:rsid w:val="0053117C"/>
    <w:rsid w:val="005313FC"/>
    <w:rsid w:val="00531AA0"/>
    <w:rsid w:val="00532273"/>
    <w:rsid w:val="005324BB"/>
    <w:rsid w:val="00532602"/>
    <w:rsid w:val="00532A3B"/>
    <w:rsid w:val="00532E8C"/>
    <w:rsid w:val="00533E1B"/>
    <w:rsid w:val="00533F51"/>
    <w:rsid w:val="005341FA"/>
    <w:rsid w:val="00534284"/>
    <w:rsid w:val="0053479F"/>
    <w:rsid w:val="00534952"/>
    <w:rsid w:val="005349BA"/>
    <w:rsid w:val="00534FC8"/>
    <w:rsid w:val="0053502B"/>
    <w:rsid w:val="005354B4"/>
    <w:rsid w:val="005356DC"/>
    <w:rsid w:val="00536112"/>
    <w:rsid w:val="00536120"/>
    <w:rsid w:val="00536801"/>
    <w:rsid w:val="005368F7"/>
    <w:rsid w:val="00536C00"/>
    <w:rsid w:val="00536DD2"/>
    <w:rsid w:val="0053771A"/>
    <w:rsid w:val="00537EF0"/>
    <w:rsid w:val="0054010F"/>
    <w:rsid w:val="00540258"/>
    <w:rsid w:val="00540316"/>
    <w:rsid w:val="00541257"/>
    <w:rsid w:val="005412CD"/>
    <w:rsid w:val="00541575"/>
    <w:rsid w:val="005415C7"/>
    <w:rsid w:val="00541639"/>
    <w:rsid w:val="00541660"/>
    <w:rsid w:val="005418EE"/>
    <w:rsid w:val="005420CF"/>
    <w:rsid w:val="0054213F"/>
    <w:rsid w:val="005425FA"/>
    <w:rsid w:val="00542B9C"/>
    <w:rsid w:val="00542D62"/>
    <w:rsid w:val="00542EAF"/>
    <w:rsid w:val="00543031"/>
    <w:rsid w:val="005430B1"/>
    <w:rsid w:val="0054354C"/>
    <w:rsid w:val="00544160"/>
    <w:rsid w:val="00544AF1"/>
    <w:rsid w:val="00545594"/>
    <w:rsid w:val="005455D2"/>
    <w:rsid w:val="005461B7"/>
    <w:rsid w:val="00546379"/>
    <w:rsid w:val="00546564"/>
    <w:rsid w:val="00546C37"/>
    <w:rsid w:val="00546EA2"/>
    <w:rsid w:val="00547022"/>
    <w:rsid w:val="005471F2"/>
    <w:rsid w:val="00547281"/>
    <w:rsid w:val="00547551"/>
    <w:rsid w:val="005500EA"/>
    <w:rsid w:val="0055016E"/>
    <w:rsid w:val="00550756"/>
    <w:rsid w:val="00550816"/>
    <w:rsid w:val="005508BD"/>
    <w:rsid w:val="00550CE2"/>
    <w:rsid w:val="00550D32"/>
    <w:rsid w:val="00550E1E"/>
    <w:rsid w:val="005510F2"/>
    <w:rsid w:val="00551122"/>
    <w:rsid w:val="005514AA"/>
    <w:rsid w:val="00552369"/>
    <w:rsid w:val="005524C7"/>
    <w:rsid w:val="0055295E"/>
    <w:rsid w:val="0055299B"/>
    <w:rsid w:val="00552A94"/>
    <w:rsid w:val="00552B4D"/>
    <w:rsid w:val="00552DA7"/>
    <w:rsid w:val="00552F9F"/>
    <w:rsid w:val="005531A9"/>
    <w:rsid w:val="00553206"/>
    <w:rsid w:val="00553381"/>
    <w:rsid w:val="005533AC"/>
    <w:rsid w:val="00553A10"/>
    <w:rsid w:val="0055419D"/>
    <w:rsid w:val="005546E3"/>
    <w:rsid w:val="00554D89"/>
    <w:rsid w:val="00554E65"/>
    <w:rsid w:val="00555580"/>
    <w:rsid w:val="00555771"/>
    <w:rsid w:val="005557C2"/>
    <w:rsid w:val="005559F6"/>
    <w:rsid w:val="00555AB6"/>
    <w:rsid w:val="00555DB7"/>
    <w:rsid w:val="005560CA"/>
    <w:rsid w:val="005561FF"/>
    <w:rsid w:val="005567D3"/>
    <w:rsid w:val="0055686B"/>
    <w:rsid w:val="0055691D"/>
    <w:rsid w:val="00556A0B"/>
    <w:rsid w:val="00556A45"/>
    <w:rsid w:val="00556B84"/>
    <w:rsid w:val="00556D6C"/>
    <w:rsid w:val="00556F82"/>
    <w:rsid w:val="005571E3"/>
    <w:rsid w:val="005572CD"/>
    <w:rsid w:val="00557906"/>
    <w:rsid w:val="005579D3"/>
    <w:rsid w:val="0056044D"/>
    <w:rsid w:val="00560AD9"/>
    <w:rsid w:val="00560DD5"/>
    <w:rsid w:val="005612C9"/>
    <w:rsid w:val="00561989"/>
    <w:rsid w:val="00561B2C"/>
    <w:rsid w:val="00561D84"/>
    <w:rsid w:val="00561E33"/>
    <w:rsid w:val="00562172"/>
    <w:rsid w:val="005623F7"/>
    <w:rsid w:val="00562CFA"/>
    <w:rsid w:val="00562D56"/>
    <w:rsid w:val="0056377B"/>
    <w:rsid w:val="00563B54"/>
    <w:rsid w:val="00563E43"/>
    <w:rsid w:val="0056507C"/>
    <w:rsid w:val="005653A3"/>
    <w:rsid w:val="0056557D"/>
    <w:rsid w:val="00565BC3"/>
    <w:rsid w:val="0056606F"/>
    <w:rsid w:val="005660E5"/>
    <w:rsid w:val="00566463"/>
    <w:rsid w:val="00566942"/>
    <w:rsid w:val="00566E5C"/>
    <w:rsid w:val="005670E4"/>
    <w:rsid w:val="00567A51"/>
    <w:rsid w:val="0057040D"/>
    <w:rsid w:val="00570BCF"/>
    <w:rsid w:val="005710A4"/>
    <w:rsid w:val="005711FE"/>
    <w:rsid w:val="00571894"/>
    <w:rsid w:val="005718E9"/>
    <w:rsid w:val="00571D0B"/>
    <w:rsid w:val="00572242"/>
    <w:rsid w:val="005726F4"/>
    <w:rsid w:val="00572B38"/>
    <w:rsid w:val="00572D08"/>
    <w:rsid w:val="005732FE"/>
    <w:rsid w:val="00573608"/>
    <w:rsid w:val="00573B68"/>
    <w:rsid w:val="00573C1C"/>
    <w:rsid w:val="00573D0E"/>
    <w:rsid w:val="00573D57"/>
    <w:rsid w:val="00573DD2"/>
    <w:rsid w:val="00574023"/>
    <w:rsid w:val="00574160"/>
    <w:rsid w:val="0057479A"/>
    <w:rsid w:val="00574A43"/>
    <w:rsid w:val="0057502A"/>
    <w:rsid w:val="005750B1"/>
    <w:rsid w:val="0057524B"/>
    <w:rsid w:val="0057556F"/>
    <w:rsid w:val="00575C5C"/>
    <w:rsid w:val="00575CB1"/>
    <w:rsid w:val="00575F18"/>
    <w:rsid w:val="00575FD1"/>
    <w:rsid w:val="00575FDD"/>
    <w:rsid w:val="005763B8"/>
    <w:rsid w:val="00576519"/>
    <w:rsid w:val="00576AA0"/>
    <w:rsid w:val="005772DF"/>
    <w:rsid w:val="005773E8"/>
    <w:rsid w:val="00577408"/>
    <w:rsid w:val="00577719"/>
    <w:rsid w:val="0057795C"/>
    <w:rsid w:val="00577BB2"/>
    <w:rsid w:val="00580135"/>
    <w:rsid w:val="005809C5"/>
    <w:rsid w:val="00580A3A"/>
    <w:rsid w:val="00581010"/>
    <w:rsid w:val="005812FC"/>
    <w:rsid w:val="0058135C"/>
    <w:rsid w:val="00581B13"/>
    <w:rsid w:val="00581DD1"/>
    <w:rsid w:val="00581FDD"/>
    <w:rsid w:val="00582716"/>
    <w:rsid w:val="00583735"/>
    <w:rsid w:val="00584AA9"/>
    <w:rsid w:val="00584F79"/>
    <w:rsid w:val="005851DB"/>
    <w:rsid w:val="005854AB"/>
    <w:rsid w:val="00585839"/>
    <w:rsid w:val="00585B96"/>
    <w:rsid w:val="00585D81"/>
    <w:rsid w:val="0058688C"/>
    <w:rsid w:val="005868BF"/>
    <w:rsid w:val="0058696C"/>
    <w:rsid w:val="005870B6"/>
    <w:rsid w:val="005870DA"/>
    <w:rsid w:val="005875DB"/>
    <w:rsid w:val="005875F3"/>
    <w:rsid w:val="005878A4"/>
    <w:rsid w:val="00587B38"/>
    <w:rsid w:val="00587C87"/>
    <w:rsid w:val="00587E63"/>
    <w:rsid w:val="00590298"/>
    <w:rsid w:val="005907A9"/>
    <w:rsid w:val="00590AB4"/>
    <w:rsid w:val="00590ADA"/>
    <w:rsid w:val="00591734"/>
    <w:rsid w:val="005917D1"/>
    <w:rsid w:val="00591E82"/>
    <w:rsid w:val="00591F52"/>
    <w:rsid w:val="00591FD2"/>
    <w:rsid w:val="00592353"/>
    <w:rsid w:val="0059256A"/>
    <w:rsid w:val="005926ED"/>
    <w:rsid w:val="0059298B"/>
    <w:rsid w:val="00592C89"/>
    <w:rsid w:val="00592F01"/>
    <w:rsid w:val="00593143"/>
    <w:rsid w:val="0059356D"/>
    <w:rsid w:val="00593979"/>
    <w:rsid w:val="0059419E"/>
    <w:rsid w:val="00594506"/>
    <w:rsid w:val="0059454F"/>
    <w:rsid w:val="005946DE"/>
    <w:rsid w:val="00594846"/>
    <w:rsid w:val="005948B8"/>
    <w:rsid w:val="00594914"/>
    <w:rsid w:val="00594CA7"/>
    <w:rsid w:val="00594E59"/>
    <w:rsid w:val="00594F35"/>
    <w:rsid w:val="00596228"/>
    <w:rsid w:val="00596989"/>
    <w:rsid w:val="00596A85"/>
    <w:rsid w:val="00597824"/>
    <w:rsid w:val="00597E9F"/>
    <w:rsid w:val="005A04DE"/>
    <w:rsid w:val="005A052D"/>
    <w:rsid w:val="005A07B5"/>
    <w:rsid w:val="005A1065"/>
    <w:rsid w:val="005A121E"/>
    <w:rsid w:val="005A12CE"/>
    <w:rsid w:val="005A140D"/>
    <w:rsid w:val="005A14B0"/>
    <w:rsid w:val="005A25FC"/>
    <w:rsid w:val="005A2E2C"/>
    <w:rsid w:val="005A34FA"/>
    <w:rsid w:val="005A35DA"/>
    <w:rsid w:val="005A3B8C"/>
    <w:rsid w:val="005A3C3E"/>
    <w:rsid w:val="005A3E62"/>
    <w:rsid w:val="005A41B7"/>
    <w:rsid w:val="005A4214"/>
    <w:rsid w:val="005A434C"/>
    <w:rsid w:val="005A45EA"/>
    <w:rsid w:val="005A48F9"/>
    <w:rsid w:val="005A51E3"/>
    <w:rsid w:val="005A57C2"/>
    <w:rsid w:val="005A5A08"/>
    <w:rsid w:val="005A5BB9"/>
    <w:rsid w:val="005A6335"/>
    <w:rsid w:val="005A67C0"/>
    <w:rsid w:val="005A68E6"/>
    <w:rsid w:val="005A6BEC"/>
    <w:rsid w:val="005A7FD6"/>
    <w:rsid w:val="005B01E6"/>
    <w:rsid w:val="005B0488"/>
    <w:rsid w:val="005B0865"/>
    <w:rsid w:val="005B08FB"/>
    <w:rsid w:val="005B0B4D"/>
    <w:rsid w:val="005B0FB7"/>
    <w:rsid w:val="005B0FD8"/>
    <w:rsid w:val="005B10BB"/>
    <w:rsid w:val="005B14B1"/>
    <w:rsid w:val="005B15A0"/>
    <w:rsid w:val="005B1905"/>
    <w:rsid w:val="005B1984"/>
    <w:rsid w:val="005B208F"/>
    <w:rsid w:val="005B231B"/>
    <w:rsid w:val="005B25CF"/>
    <w:rsid w:val="005B2A93"/>
    <w:rsid w:val="005B3131"/>
    <w:rsid w:val="005B35E9"/>
    <w:rsid w:val="005B3695"/>
    <w:rsid w:val="005B375A"/>
    <w:rsid w:val="005B382F"/>
    <w:rsid w:val="005B3CA4"/>
    <w:rsid w:val="005B40B9"/>
    <w:rsid w:val="005B4434"/>
    <w:rsid w:val="005B4E7F"/>
    <w:rsid w:val="005B51C7"/>
    <w:rsid w:val="005B557D"/>
    <w:rsid w:val="005B6095"/>
    <w:rsid w:val="005B68F4"/>
    <w:rsid w:val="005B699F"/>
    <w:rsid w:val="005B6B6B"/>
    <w:rsid w:val="005B6BC2"/>
    <w:rsid w:val="005C0727"/>
    <w:rsid w:val="005C08FC"/>
    <w:rsid w:val="005C0904"/>
    <w:rsid w:val="005C0BB4"/>
    <w:rsid w:val="005C0D44"/>
    <w:rsid w:val="005C10A5"/>
    <w:rsid w:val="005C1301"/>
    <w:rsid w:val="005C140D"/>
    <w:rsid w:val="005C146F"/>
    <w:rsid w:val="005C1527"/>
    <w:rsid w:val="005C15EB"/>
    <w:rsid w:val="005C168A"/>
    <w:rsid w:val="005C1AD4"/>
    <w:rsid w:val="005C207E"/>
    <w:rsid w:val="005C20F8"/>
    <w:rsid w:val="005C2B6C"/>
    <w:rsid w:val="005C2DC7"/>
    <w:rsid w:val="005C30E1"/>
    <w:rsid w:val="005C38F6"/>
    <w:rsid w:val="005C3ADC"/>
    <w:rsid w:val="005C3E6D"/>
    <w:rsid w:val="005C3ED8"/>
    <w:rsid w:val="005C4107"/>
    <w:rsid w:val="005C45B3"/>
    <w:rsid w:val="005C4A30"/>
    <w:rsid w:val="005C4B7E"/>
    <w:rsid w:val="005C52EB"/>
    <w:rsid w:val="005C533E"/>
    <w:rsid w:val="005C549A"/>
    <w:rsid w:val="005C5AE6"/>
    <w:rsid w:val="005C5D63"/>
    <w:rsid w:val="005C5E1A"/>
    <w:rsid w:val="005C61E2"/>
    <w:rsid w:val="005C665E"/>
    <w:rsid w:val="005C674F"/>
    <w:rsid w:val="005C6835"/>
    <w:rsid w:val="005C686D"/>
    <w:rsid w:val="005C6E80"/>
    <w:rsid w:val="005C7501"/>
    <w:rsid w:val="005C77AC"/>
    <w:rsid w:val="005C77C1"/>
    <w:rsid w:val="005C7CFF"/>
    <w:rsid w:val="005C7DDA"/>
    <w:rsid w:val="005C7EBC"/>
    <w:rsid w:val="005D0186"/>
    <w:rsid w:val="005D0640"/>
    <w:rsid w:val="005D0686"/>
    <w:rsid w:val="005D093D"/>
    <w:rsid w:val="005D0C85"/>
    <w:rsid w:val="005D1241"/>
    <w:rsid w:val="005D196D"/>
    <w:rsid w:val="005D19EF"/>
    <w:rsid w:val="005D1A31"/>
    <w:rsid w:val="005D1B7F"/>
    <w:rsid w:val="005D1D10"/>
    <w:rsid w:val="005D2662"/>
    <w:rsid w:val="005D3748"/>
    <w:rsid w:val="005D3A34"/>
    <w:rsid w:val="005D4CE9"/>
    <w:rsid w:val="005D4E95"/>
    <w:rsid w:val="005D5335"/>
    <w:rsid w:val="005D5629"/>
    <w:rsid w:val="005D5B0F"/>
    <w:rsid w:val="005D5F84"/>
    <w:rsid w:val="005D6521"/>
    <w:rsid w:val="005D66F0"/>
    <w:rsid w:val="005D6749"/>
    <w:rsid w:val="005D67C3"/>
    <w:rsid w:val="005D6C3A"/>
    <w:rsid w:val="005D6CDA"/>
    <w:rsid w:val="005D71F6"/>
    <w:rsid w:val="005D7DAD"/>
    <w:rsid w:val="005D7DAF"/>
    <w:rsid w:val="005E01C4"/>
    <w:rsid w:val="005E04D4"/>
    <w:rsid w:val="005E0750"/>
    <w:rsid w:val="005E09A5"/>
    <w:rsid w:val="005E0D5A"/>
    <w:rsid w:val="005E1057"/>
    <w:rsid w:val="005E14EA"/>
    <w:rsid w:val="005E1A6A"/>
    <w:rsid w:val="005E1F20"/>
    <w:rsid w:val="005E2146"/>
    <w:rsid w:val="005E230A"/>
    <w:rsid w:val="005E350E"/>
    <w:rsid w:val="005E354D"/>
    <w:rsid w:val="005E39D2"/>
    <w:rsid w:val="005E3DD2"/>
    <w:rsid w:val="005E4169"/>
    <w:rsid w:val="005E43F0"/>
    <w:rsid w:val="005E492F"/>
    <w:rsid w:val="005E495B"/>
    <w:rsid w:val="005E4A07"/>
    <w:rsid w:val="005E4EBD"/>
    <w:rsid w:val="005E5166"/>
    <w:rsid w:val="005E5A1A"/>
    <w:rsid w:val="005E5A6E"/>
    <w:rsid w:val="005E5A78"/>
    <w:rsid w:val="005E5F5D"/>
    <w:rsid w:val="005E618C"/>
    <w:rsid w:val="005E64FF"/>
    <w:rsid w:val="005E6711"/>
    <w:rsid w:val="005E6EF1"/>
    <w:rsid w:val="005E73BF"/>
    <w:rsid w:val="005E780E"/>
    <w:rsid w:val="005E79D7"/>
    <w:rsid w:val="005E7B60"/>
    <w:rsid w:val="005E7E6E"/>
    <w:rsid w:val="005F071C"/>
    <w:rsid w:val="005F077F"/>
    <w:rsid w:val="005F084F"/>
    <w:rsid w:val="005F0851"/>
    <w:rsid w:val="005F0862"/>
    <w:rsid w:val="005F0B68"/>
    <w:rsid w:val="005F10C5"/>
    <w:rsid w:val="005F17B5"/>
    <w:rsid w:val="005F1842"/>
    <w:rsid w:val="005F1D17"/>
    <w:rsid w:val="005F1EA1"/>
    <w:rsid w:val="005F1F44"/>
    <w:rsid w:val="005F2095"/>
    <w:rsid w:val="005F2A59"/>
    <w:rsid w:val="005F2C3C"/>
    <w:rsid w:val="005F2D0E"/>
    <w:rsid w:val="005F2F13"/>
    <w:rsid w:val="005F4779"/>
    <w:rsid w:val="005F48ED"/>
    <w:rsid w:val="005F4A1E"/>
    <w:rsid w:val="005F5148"/>
    <w:rsid w:val="005F51CB"/>
    <w:rsid w:val="005F5318"/>
    <w:rsid w:val="005F5951"/>
    <w:rsid w:val="005F5A98"/>
    <w:rsid w:val="005F5D25"/>
    <w:rsid w:val="005F5DED"/>
    <w:rsid w:val="005F5F7F"/>
    <w:rsid w:val="005F610A"/>
    <w:rsid w:val="005F64B0"/>
    <w:rsid w:val="005F6676"/>
    <w:rsid w:val="005F6CB4"/>
    <w:rsid w:val="005F6E26"/>
    <w:rsid w:val="005F74B4"/>
    <w:rsid w:val="005F74E5"/>
    <w:rsid w:val="005F7E19"/>
    <w:rsid w:val="00600144"/>
    <w:rsid w:val="006003A2"/>
    <w:rsid w:val="00600502"/>
    <w:rsid w:val="00600B58"/>
    <w:rsid w:val="00600C1B"/>
    <w:rsid w:val="00601987"/>
    <w:rsid w:val="00601A96"/>
    <w:rsid w:val="00601BCC"/>
    <w:rsid w:val="00601F14"/>
    <w:rsid w:val="00602571"/>
    <w:rsid w:val="006028B3"/>
    <w:rsid w:val="00602AD7"/>
    <w:rsid w:val="00602C17"/>
    <w:rsid w:val="00602C73"/>
    <w:rsid w:val="00602CDB"/>
    <w:rsid w:val="00602ECA"/>
    <w:rsid w:val="00603389"/>
    <w:rsid w:val="0060381C"/>
    <w:rsid w:val="00604C17"/>
    <w:rsid w:val="006057CA"/>
    <w:rsid w:val="00606663"/>
    <w:rsid w:val="00606914"/>
    <w:rsid w:val="00606B56"/>
    <w:rsid w:val="00606C1F"/>
    <w:rsid w:val="0060739A"/>
    <w:rsid w:val="00607B28"/>
    <w:rsid w:val="00607BEA"/>
    <w:rsid w:val="0061005A"/>
    <w:rsid w:val="006100DA"/>
    <w:rsid w:val="0061026C"/>
    <w:rsid w:val="00610888"/>
    <w:rsid w:val="00610A8D"/>
    <w:rsid w:val="00611634"/>
    <w:rsid w:val="006116ED"/>
    <w:rsid w:val="006119B5"/>
    <w:rsid w:val="0061338A"/>
    <w:rsid w:val="00613554"/>
    <w:rsid w:val="0061363A"/>
    <w:rsid w:val="00613F5C"/>
    <w:rsid w:val="00613F8B"/>
    <w:rsid w:val="0061409F"/>
    <w:rsid w:val="006140A2"/>
    <w:rsid w:val="00614461"/>
    <w:rsid w:val="00614CAC"/>
    <w:rsid w:val="00614F46"/>
    <w:rsid w:val="00614F5A"/>
    <w:rsid w:val="00615A54"/>
    <w:rsid w:val="006163DA"/>
    <w:rsid w:val="006166EA"/>
    <w:rsid w:val="00616A5F"/>
    <w:rsid w:val="00616A8B"/>
    <w:rsid w:val="00616FF3"/>
    <w:rsid w:val="0061735A"/>
    <w:rsid w:val="006175D7"/>
    <w:rsid w:val="00617688"/>
    <w:rsid w:val="006176F4"/>
    <w:rsid w:val="00617E87"/>
    <w:rsid w:val="006207D8"/>
    <w:rsid w:val="00620CD4"/>
    <w:rsid w:val="0062127E"/>
    <w:rsid w:val="006215A0"/>
    <w:rsid w:val="006217E4"/>
    <w:rsid w:val="00621B8B"/>
    <w:rsid w:val="0062236A"/>
    <w:rsid w:val="00622B3B"/>
    <w:rsid w:val="0062332B"/>
    <w:rsid w:val="00624254"/>
    <w:rsid w:val="0062474E"/>
    <w:rsid w:val="00624D8B"/>
    <w:rsid w:val="00624E28"/>
    <w:rsid w:val="006251CA"/>
    <w:rsid w:val="00625281"/>
    <w:rsid w:val="00625AFD"/>
    <w:rsid w:val="0062610C"/>
    <w:rsid w:val="0062624A"/>
    <w:rsid w:val="00626366"/>
    <w:rsid w:val="00626646"/>
    <w:rsid w:val="00626927"/>
    <w:rsid w:val="00626937"/>
    <w:rsid w:val="00626989"/>
    <w:rsid w:val="00626A70"/>
    <w:rsid w:val="00626D34"/>
    <w:rsid w:val="00626D56"/>
    <w:rsid w:val="006272E3"/>
    <w:rsid w:val="006277DA"/>
    <w:rsid w:val="00627B32"/>
    <w:rsid w:val="00630058"/>
    <w:rsid w:val="00630162"/>
    <w:rsid w:val="0063062E"/>
    <w:rsid w:val="0063067F"/>
    <w:rsid w:val="00630A92"/>
    <w:rsid w:val="00630F15"/>
    <w:rsid w:val="006311CB"/>
    <w:rsid w:val="00631271"/>
    <w:rsid w:val="00631AC3"/>
    <w:rsid w:val="00631CC3"/>
    <w:rsid w:val="00632102"/>
    <w:rsid w:val="0063232C"/>
    <w:rsid w:val="006325A2"/>
    <w:rsid w:val="00632D7D"/>
    <w:rsid w:val="00633AFB"/>
    <w:rsid w:val="00633E75"/>
    <w:rsid w:val="00635305"/>
    <w:rsid w:val="00635EEF"/>
    <w:rsid w:val="006364E6"/>
    <w:rsid w:val="006366C8"/>
    <w:rsid w:val="00636CD0"/>
    <w:rsid w:val="006375E3"/>
    <w:rsid w:val="006379A5"/>
    <w:rsid w:val="00637EBE"/>
    <w:rsid w:val="0064030D"/>
    <w:rsid w:val="006405A7"/>
    <w:rsid w:val="006408BD"/>
    <w:rsid w:val="006409BB"/>
    <w:rsid w:val="00640AC0"/>
    <w:rsid w:val="00640B94"/>
    <w:rsid w:val="00641447"/>
    <w:rsid w:val="0064154E"/>
    <w:rsid w:val="006416CF"/>
    <w:rsid w:val="00641B28"/>
    <w:rsid w:val="00642281"/>
    <w:rsid w:val="006431FC"/>
    <w:rsid w:val="00643BE3"/>
    <w:rsid w:val="00643FD0"/>
    <w:rsid w:val="006443EE"/>
    <w:rsid w:val="00644700"/>
    <w:rsid w:val="006447B1"/>
    <w:rsid w:val="0064496F"/>
    <w:rsid w:val="00644C0A"/>
    <w:rsid w:val="00644ED9"/>
    <w:rsid w:val="006451C0"/>
    <w:rsid w:val="00645310"/>
    <w:rsid w:val="0064537B"/>
    <w:rsid w:val="00645A98"/>
    <w:rsid w:val="0064615D"/>
    <w:rsid w:val="00646276"/>
    <w:rsid w:val="00646432"/>
    <w:rsid w:val="006466FC"/>
    <w:rsid w:val="006474B3"/>
    <w:rsid w:val="00647A65"/>
    <w:rsid w:val="006502E4"/>
    <w:rsid w:val="006502EC"/>
    <w:rsid w:val="00650CC6"/>
    <w:rsid w:val="00650CF0"/>
    <w:rsid w:val="006519F8"/>
    <w:rsid w:val="00651A53"/>
    <w:rsid w:val="00651F23"/>
    <w:rsid w:val="0065229C"/>
    <w:rsid w:val="00652422"/>
    <w:rsid w:val="00652800"/>
    <w:rsid w:val="00652DA3"/>
    <w:rsid w:val="00652E26"/>
    <w:rsid w:val="00653B8A"/>
    <w:rsid w:val="00653CB2"/>
    <w:rsid w:val="00653DEC"/>
    <w:rsid w:val="006540F7"/>
    <w:rsid w:val="006543A3"/>
    <w:rsid w:val="00654894"/>
    <w:rsid w:val="00654BAC"/>
    <w:rsid w:val="00654F98"/>
    <w:rsid w:val="00655285"/>
    <w:rsid w:val="00655E1D"/>
    <w:rsid w:val="00655E76"/>
    <w:rsid w:val="006561A5"/>
    <w:rsid w:val="00656498"/>
    <w:rsid w:val="0065670C"/>
    <w:rsid w:val="00656A10"/>
    <w:rsid w:val="00656AC3"/>
    <w:rsid w:val="00656FB3"/>
    <w:rsid w:val="00657712"/>
    <w:rsid w:val="006579FF"/>
    <w:rsid w:val="00657CFC"/>
    <w:rsid w:val="006606B6"/>
    <w:rsid w:val="006608FC"/>
    <w:rsid w:val="00661676"/>
    <w:rsid w:val="00661713"/>
    <w:rsid w:val="006618DC"/>
    <w:rsid w:val="006619D3"/>
    <w:rsid w:val="00661C60"/>
    <w:rsid w:val="00662128"/>
    <w:rsid w:val="00662523"/>
    <w:rsid w:val="0066271E"/>
    <w:rsid w:val="00662832"/>
    <w:rsid w:val="00662F36"/>
    <w:rsid w:val="00662F80"/>
    <w:rsid w:val="00663969"/>
    <w:rsid w:val="00663B4C"/>
    <w:rsid w:val="00663DB2"/>
    <w:rsid w:val="00664AB0"/>
    <w:rsid w:val="00664B2E"/>
    <w:rsid w:val="006651C6"/>
    <w:rsid w:val="00665A74"/>
    <w:rsid w:val="00665F12"/>
    <w:rsid w:val="006668EE"/>
    <w:rsid w:val="00666A26"/>
    <w:rsid w:val="00666EBC"/>
    <w:rsid w:val="006670C3"/>
    <w:rsid w:val="00667506"/>
    <w:rsid w:val="006679FC"/>
    <w:rsid w:val="00667CFC"/>
    <w:rsid w:val="006704E0"/>
    <w:rsid w:val="00670547"/>
    <w:rsid w:val="006711B5"/>
    <w:rsid w:val="00671492"/>
    <w:rsid w:val="0067159C"/>
    <w:rsid w:val="006715C7"/>
    <w:rsid w:val="00671A59"/>
    <w:rsid w:val="00672541"/>
    <w:rsid w:val="006729DC"/>
    <w:rsid w:val="00672D48"/>
    <w:rsid w:val="006730A0"/>
    <w:rsid w:val="006732F2"/>
    <w:rsid w:val="006735EA"/>
    <w:rsid w:val="006737D0"/>
    <w:rsid w:val="00673B20"/>
    <w:rsid w:val="00673F36"/>
    <w:rsid w:val="0067448E"/>
    <w:rsid w:val="00674BA4"/>
    <w:rsid w:val="00674BD9"/>
    <w:rsid w:val="00674EA4"/>
    <w:rsid w:val="006755C5"/>
    <w:rsid w:val="00675F43"/>
    <w:rsid w:val="00676879"/>
    <w:rsid w:val="00676DF1"/>
    <w:rsid w:val="006770F0"/>
    <w:rsid w:val="00677537"/>
    <w:rsid w:val="0067755F"/>
    <w:rsid w:val="00677965"/>
    <w:rsid w:val="00677DC0"/>
    <w:rsid w:val="006802DC"/>
    <w:rsid w:val="00680530"/>
    <w:rsid w:val="00680773"/>
    <w:rsid w:val="00680D03"/>
    <w:rsid w:val="0068111C"/>
    <w:rsid w:val="00681179"/>
    <w:rsid w:val="006812E8"/>
    <w:rsid w:val="0068145E"/>
    <w:rsid w:val="006814FC"/>
    <w:rsid w:val="006816E5"/>
    <w:rsid w:val="00681B89"/>
    <w:rsid w:val="006824A7"/>
    <w:rsid w:val="00682886"/>
    <w:rsid w:val="006828B2"/>
    <w:rsid w:val="00683392"/>
    <w:rsid w:val="0068372D"/>
    <w:rsid w:val="0068394A"/>
    <w:rsid w:val="00683A2F"/>
    <w:rsid w:val="00683C10"/>
    <w:rsid w:val="006842C0"/>
    <w:rsid w:val="006842D6"/>
    <w:rsid w:val="006843B2"/>
    <w:rsid w:val="0068478C"/>
    <w:rsid w:val="006856DA"/>
    <w:rsid w:val="006859EC"/>
    <w:rsid w:val="00685C13"/>
    <w:rsid w:val="006865F2"/>
    <w:rsid w:val="0068698C"/>
    <w:rsid w:val="00686F6C"/>
    <w:rsid w:val="006870A8"/>
    <w:rsid w:val="006873E4"/>
    <w:rsid w:val="00687A60"/>
    <w:rsid w:val="00687B85"/>
    <w:rsid w:val="00687EB2"/>
    <w:rsid w:val="006902EE"/>
    <w:rsid w:val="00690A32"/>
    <w:rsid w:val="00690D93"/>
    <w:rsid w:val="0069177E"/>
    <w:rsid w:val="006927DF"/>
    <w:rsid w:val="006929C7"/>
    <w:rsid w:val="00692D16"/>
    <w:rsid w:val="0069389B"/>
    <w:rsid w:val="00693BC2"/>
    <w:rsid w:val="006940D2"/>
    <w:rsid w:val="006940F5"/>
    <w:rsid w:val="00694933"/>
    <w:rsid w:val="00694969"/>
    <w:rsid w:val="00694B70"/>
    <w:rsid w:val="00694D2B"/>
    <w:rsid w:val="006952F6"/>
    <w:rsid w:val="0069532E"/>
    <w:rsid w:val="006953BC"/>
    <w:rsid w:val="00695409"/>
    <w:rsid w:val="006955DC"/>
    <w:rsid w:val="00695A5C"/>
    <w:rsid w:val="00695D4A"/>
    <w:rsid w:val="00695DA2"/>
    <w:rsid w:val="00695E25"/>
    <w:rsid w:val="00696088"/>
    <w:rsid w:val="00696706"/>
    <w:rsid w:val="006968A2"/>
    <w:rsid w:val="0069692F"/>
    <w:rsid w:val="00696A2E"/>
    <w:rsid w:val="006976D4"/>
    <w:rsid w:val="0069779F"/>
    <w:rsid w:val="00697FF2"/>
    <w:rsid w:val="006A01E0"/>
    <w:rsid w:val="006A059D"/>
    <w:rsid w:val="006A0635"/>
    <w:rsid w:val="006A0732"/>
    <w:rsid w:val="006A0D12"/>
    <w:rsid w:val="006A12EC"/>
    <w:rsid w:val="006A1C1F"/>
    <w:rsid w:val="006A1DB6"/>
    <w:rsid w:val="006A1EAF"/>
    <w:rsid w:val="006A240D"/>
    <w:rsid w:val="006A337C"/>
    <w:rsid w:val="006A3C76"/>
    <w:rsid w:val="006A3EC7"/>
    <w:rsid w:val="006A424F"/>
    <w:rsid w:val="006A443B"/>
    <w:rsid w:val="006A49AE"/>
    <w:rsid w:val="006A4D25"/>
    <w:rsid w:val="006A4DA4"/>
    <w:rsid w:val="006A5079"/>
    <w:rsid w:val="006A5F43"/>
    <w:rsid w:val="006A6061"/>
    <w:rsid w:val="006A60F7"/>
    <w:rsid w:val="006A616E"/>
    <w:rsid w:val="006A636B"/>
    <w:rsid w:val="006A6B52"/>
    <w:rsid w:val="006A6BFB"/>
    <w:rsid w:val="006A6D3F"/>
    <w:rsid w:val="006A6DBA"/>
    <w:rsid w:val="006A71D0"/>
    <w:rsid w:val="006A7517"/>
    <w:rsid w:val="006A7ACC"/>
    <w:rsid w:val="006A7B78"/>
    <w:rsid w:val="006A7BB3"/>
    <w:rsid w:val="006A7FB1"/>
    <w:rsid w:val="006B0144"/>
    <w:rsid w:val="006B068F"/>
    <w:rsid w:val="006B07B6"/>
    <w:rsid w:val="006B175F"/>
    <w:rsid w:val="006B1B4A"/>
    <w:rsid w:val="006B1B7C"/>
    <w:rsid w:val="006B22AF"/>
    <w:rsid w:val="006B2C9B"/>
    <w:rsid w:val="006B2EED"/>
    <w:rsid w:val="006B4755"/>
    <w:rsid w:val="006B4912"/>
    <w:rsid w:val="006B4B2F"/>
    <w:rsid w:val="006B5844"/>
    <w:rsid w:val="006B58AD"/>
    <w:rsid w:val="006B5B7A"/>
    <w:rsid w:val="006B5BB2"/>
    <w:rsid w:val="006B5E73"/>
    <w:rsid w:val="006B5E86"/>
    <w:rsid w:val="006B6ABB"/>
    <w:rsid w:val="006B7099"/>
    <w:rsid w:val="006B70AB"/>
    <w:rsid w:val="006B759D"/>
    <w:rsid w:val="006B78A9"/>
    <w:rsid w:val="006B7B35"/>
    <w:rsid w:val="006B7B90"/>
    <w:rsid w:val="006C046A"/>
    <w:rsid w:val="006C050F"/>
    <w:rsid w:val="006C08D3"/>
    <w:rsid w:val="006C1B7A"/>
    <w:rsid w:val="006C2370"/>
    <w:rsid w:val="006C2554"/>
    <w:rsid w:val="006C2735"/>
    <w:rsid w:val="006C286E"/>
    <w:rsid w:val="006C2D41"/>
    <w:rsid w:val="006C3016"/>
    <w:rsid w:val="006C3239"/>
    <w:rsid w:val="006C387F"/>
    <w:rsid w:val="006C3A85"/>
    <w:rsid w:val="006C3BCF"/>
    <w:rsid w:val="006C3BE6"/>
    <w:rsid w:val="006C3F48"/>
    <w:rsid w:val="006C43E2"/>
    <w:rsid w:val="006C49B8"/>
    <w:rsid w:val="006C4A00"/>
    <w:rsid w:val="006C4B35"/>
    <w:rsid w:val="006C4C32"/>
    <w:rsid w:val="006C4EB4"/>
    <w:rsid w:val="006C542D"/>
    <w:rsid w:val="006C54EB"/>
    <w:rsid w:val="006C5628"/>
    <w:rsid w:val="006C5A6A"/>
    <w:rsid w:val="006C5F7E"/>
    <w:rsid w:val="006C6076"/>
    <w:rsid w:val="006C63F6"/>
    <w:rsid w:val="006C6912"/>
    <w:rsid w:val="006C6BFE"/>
    <w:rsid w:val="006C6E25"/>
    <w:rsid w:val="006C6EF7"/>
    <w:rsid w:val="006C6F75"/>
    <w:rsid w:val="006C70D3"/>
    <w:rsid w:val="006C7AFC"/>
    <w:rsid w:val="006C7E2B"/>
    <w:rsid w:val="006C7E7A"/>
    <w:rsid w:val="006C7E81"/>
    <w:rsid w:val="006D07E7"/>
    <w:rsid w:val="006D0D61"/>
    <w:rsid w:val="006D0E21"/>
    <w:rsid w:val="006D2165"/>
    <w:rsid w:val="006D23A7"/>
    <w:rsid w:val="006D2612"/>
    <w:rsid w:val="006D2804"/>
    <w:rsid w:val="006D2885"/>
    <w:rsid w:val="006D2EA6"/>
    <w:rsid w:val="006D2F29"/>
    <w:rsid w:val="006D31A6"/>
    <w:rsid w:val="006D3491"/>
    <w:rsid w:val="006D3DAB"/>
    <w:rsid w:val="006D405F"/>
    <w:rsid w:val="006D4D4C"/>
    <w:rsid w:val="006D4F07"/>
    <w:rsid w:val="006D5AA4"/>
    <w:rsid w:val="006D5C4B"/>
    <w:rsid w:val="006D5D13"/>
    <w:rsid w:val="006D5DCA"/>
    <w:rsid w:val="006D6E9B"/>
    <w:rsid w:val="006D7056"/>
    <w:rsid w:val="006D70E2"/>
    <w:rsid w:val="006D7E26"/>
    <w:rsid w:val="006E0181"/>
    <w:rsid w:val="006E0482"/>
    <w:rsid w:val="006E07CF"/>
    <w:rsid w:val="006E14A9"/>
    <w:rsid w:val="006E1B90"/>
    <w:rsid w:val="006E1E4F"/>
    <w:rsid w:val="006E25CB"/>
    <w:rsid w:val="006E2EF0"/>
    <w:rsid w:val="006E33E9"/>
    <w:rsid w:val="006E3711"/>
    <w:rsid w:val="006E39E4"/>
    <w:rsid w:val="006E3A42"/>
    <w:rsid w:val="006E3A84"/>
    <w:rsid w:val="006E3F37"/>
    <w:rsid w:val="006E43C5"/>
    <w:rsid w:val="006E44E7"/>
    <w:rsid w:val="006E480A"/>
    <w:rsid w:val="006E4F89"/>
    <w:rsid w:val="006E51C7"/>
    <w:rsid w:val="006E53CE"/>
    <w:rsid w:val="006E5969"/>
    <w:rsid w:val="006E598E"/>
    <w:rsid w:val="006E5C64"/>
    <w:rsid w:val="006E5FA2"/>
    <w:rsid w:val="006E6055"/>
    <w:rsid w:val="006E6768"/>
    <w:rsid w:val="006E699F"/>
    <w:rsid w:val="006E6B40"/>
    <w:rsid w:val="006E6E89"/>
    <w:rsid w:val="006E6F3E"/>
    <w:rsid w:val="006E74B7"/>
    <w:rsid w:val="006E759C"/>
    <w:rsid w:val="006E770B"/>
    <w:rsid w:val="006E7CB6"/>
    <w:rsid w:val="006F00B7"/>
    <w:rsid w:val="006F01AE"/>
    <w:rsid w:val="006F084D"/>
    <w:rsid w:val="006F0B7A"/>
    <w:rsid w:val="006F0F6D"/>
    <w:rsid w:val="006F15AC"/>
    <w:rsid w:val="006F174D"/>
    <w:rsid w:val="006F19C6"/>
    <w:rsid w:val="006F1BED"/>
    <w:rsid w:val="006F201A"/>
    <w:rsid w:val="006F242A"/>
    <w:rsid w:val="006F27D0"/>
    <w:rsid w:val="006F298A"/>
    <w:rsid w:val="006F2A9D"/>
    <w:rsid w:val="006F2F63"/>
    <w:rsid w:val="006F4485"/>
    <w:rsid w:val="006F47DF"/>
    <w:rsid w:val="006F4A1B"/>
    <w:rsid w:val="006F4A30"/>
    <w:rsid w:val="006F537D"/>
    <w:rsid w:val="006F59B4"/>
    <w:rsid w:val="006F5B04"/>
    <w:rsid w:val="006F63DA"/>
    <w:rsid w:val="006F6498"/>
    <w:rsid w:val="006F69E4"/>
    <w:rsid w:val="006F6AB8"/>
    <w:rsid w:val="006F6C9A"/>
    <w:rsid w:val="006F6E3B"/>
    <w:rsid w:val="006F6F3C"/>
    <w:rsid w:val="006F7018"/>
    <w:rsid w:val="006F7059"/>
    <w:rsid w:val="006F72A8"/>
    <w:rsid w:val="006F7384"/>
    <w:rsid w:val="006F73C8"/>
    <w:rsid w:val="006F7981"/>
    <w:rsid w:val="00700112"/>
    <w:rsid w:val="00700140"/>
    <w:rsid w:val="0070019F"/>
    <w:rsid w:val="007006DA"/>
    <w:rsid w:val="007007F3"/>
    <w:rsid w:val="0070098A"/>
    <w:rsid w:val="00700D2F"/>
    <w:rsid w:val="00700ED3"/>
    <w:rsid w:val="00701055"/>
    <w:rsid w:val="0070105F"/>
    <w:rsid w:val="0070126D"/>
    <w:rsid w:val="0070165A"/>
    <w:rsid w:val="0070186F"/>
    <w:rsid w:val="007018B1"/>
    <w:rsid w:val="007018EA"/>
    <w:rsid w:val="00702104"/>
    <w:rsid w:val="00702338"/>
    <w:rsid w:val="007027B1"/>
    <w:rsid w:val="0070296A"/>
    <w:rsid w:val="00702B12"/>
    <w:rsid w:val="00702E40"/>
    <w:rsid w:val="007030E0"/>
    <w:rsid w:val="007033CE"/>
    <w:rsid w:val="00703663"/>
    <w:rsid w:val="00703873"/>
    <w:rsid w:val="007039AB"/>
    <w:rsid w:val="007043A5"/>
    <w:rsid w:val="00704D36"/>
    <w:rsid w:val="00704F62"/>
    <w:rsid w:val="00705107"/>
    <w:rsid w:val="0070594B"/>
    <w:rsid w:val="00705AD6"/>
    <w:rsid w:val="00705D41"/>
    <w:rsid w:val="00706218"/>
    <w:rsid w:val="00706638"/>
    <w:rsid w:val="00706640"/>
    <w:rsid w:val="007066C7"/>
    <w:rsid w:val="00706A40"/>
    <w:rsid w:val="00706AF3"/>
    <w:rsid w:val="00706FB3"/>
    <w:rsid w:val="007073E8"/>
    <w:rsid w:val="00707443"/>
    <w:rsid w:val="00710026"/>
    <w:rsid w:val="00710078"/>
    <w:rsid w:val="00710A84"/>
    <w:rsid w:val="00710A8A"/>
    <w:rsid w:val="007113C6"/>
    <w:rsid w:val="007114F2"/>
    <w:rsid w:val="00711775"/>
    <w:rsid w:val="00711EED"/>
    <w:rsid w:val="00712058"/>
    <w:rsid w:val="0071237D"/>
    <w:rsid w:val="0071249C"/>
    <w:rsid w:val="00712919"/>
    <w:rsid w:val="00712C00"/>
    <w:rsid w:val="00712D69"/>
    <w:rsid w:val="007131CD"/>
    <w:rsid w:val="00713B3F"/>
    <w:rsid w:val="007152BC"/>
    <w:rsid w:val="00715694"/>
    <w:rsid w:val="00715695"/>
    <w:rsid w:val="007161C6"/>
    <w:rsid w:val="0071657E"/>
    <w:rsid w:val="00716646"/>
    <w:rsid w:val="00716731"/>
    <w:rsid w:val="00716AEF"/>
    <w:rsid w:val="00716C4E"/>
    <w:rsid w:val="00716CFF"/>
    <w:rsid w:val="00716D26"/>
    <w:rsid w:val="007172B0"/>
    <w:rsid w:val="007176D5"/>
    <w:rsid w:val="007176F2"/>
    <w:rsid w:val="007177DA"/>
    <w:rsid w:val="00717859"/>
    <w:rsid w:val="00717DE5"/>
    <w:rsid w:val="00717EFD"/>
    <w:rsid w:val="00720116"/>
    <w:rsid w:val="0072014A"/>
    <w:rsid w:val="0072026D"/>
    <w:rsid w:val="007205A6"/>
    <w:rsid w:val="007218C9"/>
    <w:rsid w:val="00722902"/>
    <w:rsid w:val="007229EA"/>
    <w:rsid w:val="00722B44"/>
    <w:rsid w:val="00722E81"/>
    <w:rsid w:val="00723682"/>
    <w:rsid w:val="007236FB"/>
    <w:rsid w:val="007238A1"/>
    <w:rsid w:val="00723A34"/>
    <w:rsid w:val="00723BF7"/>
    <w:rsid w:val="00723FA0"/>
    <w:rsid w:val="007243DD"/>
    <w:rsid w:val="00724895"/>
    <w:rsid w:val="00724949"/>
    <w:rsid w:val="00724ACE"/>
    <w:rsid w:val="00724D5E"/>
    <w:rsid w:val="007258EF"/>
    <w:rsid w:val="00725A51"/>
    <w:rsid w:val="00725B94"/>
    <w:rsid w:val="00725E55"/>
    <w:rsid w:val="00726229"/>
    <w:rsid w:val="007269B2"/>
    <w:rsid w:val="00726FAA"/>
    <w:rsid w:val="00727564"/>
    <w:rsid w:val="00727A16"/>
    <w:rsid w:val="00727D55"/>
    <w:rsid w:val="0073091C"/>
    <w:rsid w:val="00731D75"/>
    <w:rsid w:val="00731FFE"/>
    <w:rsid w:val="00732055"/>
    <w:rsid w:val="00732308"/>
    <w:rsid w:val="007323D0"/>
    <w:rsid w:val="007325C2"/>
    <w:rsid w:val="00733B91"/>
    <w:rsid w:val="00733C29"/>
    <w:rsid w:val="007340EC"/>
    <w:rsid w:val="0073429F"/>
    <w:rsid w:val="007342E3"/>
    <w:rsid w:val="00734874"/>
    <w:rsid w:val="00734B99"/>
    <w:rsid w:val="00734D64"/>
    <w:rsid w:val="00734F40"/>
    <w:rsid w:val="007350AC"/>
    <w:rsid w:val="0073518C"/>
    <w:rsid w:val="00735A76"/>
    <w:rsid w:val="00735CAC"/>
    <w:rsid w:val="00735E87"/>
    <w:rsid w:val="00736296"/>
    <w:rsid w:val="00736791"/>
    <w:rsid w:val="007369DD"/>
    <w:rsid w:val="00736FF1"/>
    <w:rsid w:val="00737172"/>
    <w:rsid w:val="00737314"/>
    <w:rsid w:val="00737467"/>
    <w:rsid w:val="007374F3"/>
    <w:rsid w:val="00737A89"/>
    <w:rsid w:val="00737B7B"/>
    <w:rsid w:val="00737D54"/>
    <w:rsid w:val="007400D7"/>
    <w:rsid w:val="00740FD4"/>
    <w:rsid w:val="007411D6"/>
    <w:rsid w:val="00741736"/>
    <w:rsid w:val="0074261C"/>
    <w:rsid w:val="00742D14"/>
    <w:rsid w:val="00742D86"/>
    <w:rsid w:val="00743374"/>
    <w:rsid w:val="00743916"/>
    <w:rsid w:val="007439A1"/>
    <w:rsid w:val="00743CB2"/>
    <w:rsid w:val="00744F3E"/>
    <w:rsid w:val="00744FCF"/>
    <w:rsid w:val="00745079"/>
    <w:rsid w:val="00745267"/>
    <w:rsid w:val="007452E6"/>
    <w:rsid w:val="007459E9"/>
    <w:rsid w:val="00745C22"/>
    <w:rsid w:val="00745CB0"/>
    <w:rsid w:val="00746092"/>
    <w:rsid w:val="0074656E"/>
    <w:rsid w:val="0074680E"/>
    <w:rsid w:val="00746BD7"/>
    <w:rsid w:val="00746EC3"/>
    <w:rsid w:val="0074702E"/>
    <w:rsid w:val="007477E8"/>
    <w:rsid w:val="007502B1"/>
    <w:rsid w:val="00750357"/>
    <w:rsid w:val="0075046D"/>
    <w:rsid w:val="007509F8"/>
    <w:rsid w:val="00750AF7"/>
    <w:rsid w:val="0075171B"/>
    <w:rsid w:val="00752457"/>
    <w:rsid w:val="00752836"/>
    <w:rsid w:val="007528F0"/>
    <w:rsid w:val="00752922"/>
    <w:rsid w:val="0075298F"/>
    <w:rsid w:val="007529F2"/>
    <w:rsid w:val="00752B47"/>
    <w:rsid w:val="007540BD"/>
    <w:rsid w:val="00754798"/>
    <w:rsid w:val="00754C96"/>
    <w:rsid w:val="00754D09"/>
    <w:rsid w:val="00754E73"/>
    <w:rsid w:val="00754E8F"/>
    <w:rsid w:val="0075500D"/>
    <w:rsid w:val="007556E1"/>
    <w:rsid w:val="0075598F"/>
    <w:rsid w:val="00755B7A"/>
    <w:rsid w:val="00756193"/>
    <w:rsid w:val="007561F6"/>
    <w:rsid w:val="0075624F"/>
    <w:rsid w:val="00756686"/>
    <w:rsid w:val="0075692D"/>
    <w:rsid w:val="00756A30"/>
    <w:rsid w:val="00756C20"/>
    <w:rsid w:val="00756D08"/>
    <w:rsid w:val="00756D3F"/>
    <w:rsid w:val="00757031"/>
    <w:rsid w:val="007575B5"/>
    <w:rsid w:val="00757AF0"/>
    <w:rsid w:val="00757C78"/>
    <w:rsid w:val="00757DB5"/>
    <w:rsid w:val="00757E31"/>
    <w:rsid w:val="007604DA"/>
    <w:rsid w:val="007614CA"/>
    <w:rsid w:val="007618B0"/>
    <w:rsid w:val="007618E0"/>
    <w:rsid w:val="00761AC7"/>
    <w:rsid w:val="00761D70"/>
    <w:rsid w:val="00761DBE"/>
    <w:rsid w:val="00762370"/>
    <w:rsid w:val="00762C52"/>
    <w:rsid w:val="00762C62"/>
    <w:rsid w:val="00762E14"/>
    <w:rsid w:val="00762E9E"/>
    <w:rsid w:val="00762F96"/>
    <w:rsid w:val="00762FE5"/>
    <w:rsid w:val="007639C7"/>
    <w:rsid w:val="00763A57"/>
    <w:rsid w:val="00763C8A"/>
    <w:rsid w:val="00763F90"/>
    <w:rsid w:val="00764436"/>
    <w:rsid w:val="00764621"/>
    <w:rsid w:val="00764FB0"/>
    <w:rsid w:val="00765510"/>
    <w:rsid w:val="00765901"/>
    <w:rsid w:val="00765E7D"/>
    <w:rsid w:val="00767255"/>
    <w:rsid w:val="00767383"/>
    <w:rsid w:val="00767413"/>
    <w:rsid w:val="0076762D"/>
    <w:rsid w:val="00767900"/>
    <w:rsid w:val="00767D74"/>
    <w:rsid w:val="00767FA7"/>
    <w:rsid w:val="00770F8C"/>
    <w:rsid w:val="007712D0"/>
    <w:rsid w:val="007714EF"/>
    <w:rsid w:val="0077153C"/>
    <w:rsid w:val="0077169A"/>
    <w:rsid w:val="007716A6"/>
    <w:rsid w:val="00771B41"/>
    <w:rsid w:val="00771DAB"/>
    <w:rsid w:val="00771E52"/>
    <w:rsid w:val="00771F80"/>
    <w:rsid w:val="007720E2"/>
    <w:rsid w:val="007727E6"/>
    <w:rsid w:val="007728D2"/>
    <w:rsid w:val="00772D12"/>
    <w:rsid w:val="007730D9"/>
    <w:rsid w:val="0077330F"/>
    <w:rsid w:val="0077339C"/>
    <w:rsid w:val="00773729"/>
    <w:rsid w:val="0077392A"/>
    <w:rsid w:val="00773EBA"/>
    <w:rsid w:val="007741E2"/>
    <w:rsid w:val="00774212"/>
    <w:rsid w:val="0077465B"/>
    <w:rsid w:val="00774676"/>
    <w:rsid w:val="007748E8"/>
    <w:rsid w:val="00774AB4"/>
    <w:rsid w:val="007752CA"/>
    <w:rsid w:val="00775A32"/>
    <w:rsid w:val="00775C7A"/>
    <w:rsid w:val="00776181"/>
    <w:rsid w:val="0077661A"/>
    <w:rsid w:val="0077696D"/>
    <w:rsid w:val="00776991"/>
    <w:rsid w:val="00776B72"/>
    <w:rsid w:val="00776C92"/>
    <w:rsid w:val="007778F9"/>
    <w:rsid w:val="00777B92"/>
    <w:rsid w:val="00777BE0"/>
    <w:rsid w:val="00780818"/>
    <w:rsid w:val="00780EB0"/>
    <w:rsid w:val="00781014"/>
    <w:rsid w:val="00781110"/>
    <w:rsid w:val="007819EB"/>
    <w:rsid w:val="00781BB6"/>
    <w:rsid w:val="00781D04"/>
    <w:rsid w:val="00782136"/>
    <w:rsid w:val="00782BFF"/>
    <w:rsid w:val="00783023"/>
    <w:rsid w:val="007836C7"/>
    <w:rsid w:val="00783AC7"/>
    <w:rsid w:val="00783F57"/>
    <w:rsid w:val="0078401C"/>
    <w:rsid w:val="00784110"/>
    <w:rsid w:val="00784736"/>
    <w:rsid w:val="00784A8C"/>
    <w:rsid w:val="00784C28"/>
    <w:rsid w:val="00784FC7"/>
    <w:rsid w:val="00785BD5"/>
    <w:rsid w:val="00785DE3"/>
    <w:rsid w:val="00786060"/>
    <w:rsid w:val="0078611B"/>
    <w:rsid w:val="0078629A"/>
    <w:rsid w:val="007865BF"/>
    <w:rsid w:val="007866D3"/>
    <w:rsid w:val="00786986"/>
    <w:rsid w:val="007869CC"/>
    <w:rsid w:val="00786C0C"/>
    <w:rsid w:val="0078781B"/>
    <w:rsid w:val="00787C04"/>
    <w:rsid w:val="007901C3"/>
    <w:rsid w:val="0079069A"/>
    <w:rsid w:val="00790A04"/>
    <w:rsid w:val="00790A4E"/>
    <w:rsid w:val="00790DAF"/>
    <w:rsid w:val="007912A2"/>
    <w:rsid w:val="00791822"/>
    <w:rsid w:val="00791A05"/>
    <w:rsid w:val="00791D74"/>
    <w:rsid w:val="00791F6D"/>
    <w:rsid w:val="007920A4"/>
    <w:rsid w:val="007922DA"/>
    <w:rsid w:val="007924CE"/>
    <w:rsid w:val="0079295D"/>
    <w:rsid w:val="007934BD"/>
    <w:rsid w:val="00793572"/>
    <w:rsid w:val="00793C65"/>
    <w:rsid w:val="00793F90"/>
    <w:rsid w:val="00794255"/>
    <w:rsid w:val="00794C9E"/>
    <w:rsid w:val="00794E72"/>
    <w:rsid w:val="0079517E"/>
    <w:rsid w:val="007951A4"/>
    <w:rsid w:val="0079526F"/>
    <w:rsid w:val="00795321"/>
    <w:rsid w:val="007957D8"/>
    <w:rsid w:val="00795B5B"/>
    <w:rsid w:val="007961B6"/>
    <w:rsid w:val="00796267"/>
    <w:rsid w:val="007966DA"/>
    <w:rsid w:val="0079695B"/>
    <w:rsid w:val="00796972"/>
    <w:rsid w:val="00796B65"/>
    <w:rsid w:val="00796DAC"/>
    <w:rsid w:val="00797112"/>
    <w:rsid w:val="00797195"/>
    <w:rsid w:val="007972C9"/>
    <w:rsid w:val="00797745"/>
    <w:rsid w:val="00797E1E"/>
    <w:rsid w:val="007A0199"/>
    <w:rsid w:val="007A02E4"/>
    <w:rsid w:val="007A0965"/>
    <w:rsid w:val="007A11BE"/>
    <w:rsid w:val="007A1404"/>
    <w:rsid w:val="007A144D"/>
    <w:rsid w:val="007A19A3"/>
    <w:rsid w:val="007A20FF"/>
    <w:rsid w:val="007A24A1"/>
    <w:rsid w:val="007A257D"/>
    <w:rsid w:val="007A2AA8"/>
    <w:rsid w:val="007A2C82"/>
    <w:rsid w:val="007A2D1E"/>
    <w:rsid w:val="007A2DC5"/>
    <w:rsid w:val="007A3308"/>
    <w:rsid w:val="007A33BF"/>
    <w:rsid w:val="007A34C3"/>
    <w:rsid w:val="007A3AB0"/>
    <w:rsid w:val="007A3B77"/>
    <w:rsid w:val="007A3C8C"/>
    <w:rsid w:val="007A3DFB"/>
    <w:rsid w:val="007A410C"/>
    <w:rsid w:val="007A4573"/>
    <w:rsid w:val="007A45C6"/>
    <w:rsid w:val="007A46E3"/>
    <w:rsid w:val="007A4C29"/>
    <w:rsid w:val="007A4E3E"/>
    <w:rsid w:val="007A59F7"/>
    <w:rsid w:val="007A5D1B"/>
    <w:rsid w:val="007A5D8A"/>
    <w:rsid w:val="007A5DD2"/>
    <w:rsid w:val="007A5E6F"/>
    <w:rsid w:val="007A607F"/>
    <w:rsid w:val="007A61D7"/>
    <w:rsid w:val="007A66F3"/>
    <w:rsid w:val="007A6993"/>
    <w:rsid w:val="007A6F3E"/>
    <w:rsid w:val="007A73B0"/>
    <w:rsid w:val="007B07A7"/>
    <w:rsid w:val="007B096C"/>
    <w:rsid w:val="007B0E96"/>
    <w:rsid w:val="007B10B6"/>
    <w:rsid w:val="007B1136"/>
    <w:rsid w:val="007B147E"/>
    <w:rsid w:val="007B1CFA"/>
    <w:rsid w:val="007B2048"/>
    <w:rsid w:val="007B3018"/>
    <w:rsid w:val="007B328A"/>
    <w:rsid w:val="007B3521"/>
    <w:rsid w:val="007B3E87"/>
    <w:rsid w:val="007B3FC1"/>
    <w:rsid w:val="007B4144"/>
    <w:rsid w:val="007B4305"/>
    <w:rsid w:val="007B4497"/>
    <w:rsid w:val="007B46B4"/>
    <w:rsid w:val="007B4E6F"/>
    <w:rsid w:val="007B505E"/>
    <w:rsid w:val="007B50AD"/>
    <w:rsid w:val="007B5113"/>
    <w:rsid w:val="007B545C"/>
    <w:rsid w:val="007B5FA2"/>
    <w:rsid w:val="007B654E"/>
    <w:rsid w:val="007B69AD"/>
    <w:rsid w:val="007B6B25"/>
    <w:rsid w:val="007B6B5E"/>
    <w:rsid w:val="007B6D4D"/>
    <w:rsid w:val="007B6FCC"/>
    <w:rsid w:val="007B6FD3"/>
    <w:rsid w:val="007B7FF2"/>
    <w:rsid w:val="007C0169"/>
    <w:rsid w:val="007C02D2"/>
    <w:rsid w:val="007C06CE"/>
    <w:rsid w:val="007C09F2"/>
    <w:rsid w:val="007C1243"/>
    <w:rsid w:val="007C1D5E"/>
    <w:rsid w:val="007C2303"/>
    <w:rsid w:val="007C277F"/>
    <w:rsid w:val="007C2D2F"/>
    <w:rsid w:val="007C2E86"/>
    <w:rsid w:val="007C321D"/>
    <w:rsid w:val="007C378F"/>
    <w:rsid w:val="007C46BF"/>
    <w:rsid w:val="007C4732"/>
    <w:rsid w:val="007C4C94"/>
    <w:rsid w:val="007C57B2"/>
    <w:rsid w:val="007C58FE"/>
    <w:rsid w:val="007C64C0"/>
    <w:rsid w:val="007C655A"/>
    <w:rsid w:val="007C65AF"/>
    <w:rsid w:val="007C677F"/>
    <w:rsid w:val="007C69D4"/>
    <w:rsid w:val="007C6A8D"/>
    <w:rsid w:val="007C6AF8"/>
    <w:rsid w:val="007C6BBD"/>
    <w:rsid w:val="007C72B4"/>
    <w:rsid w:val="007C77F7"/>
    <w:rsid w:val="007C7ABA"/>
    <w:rsid w:val="007D0299"/>
    <w:rsid w:val="007D0709"/>
    <w:rsid w:val="007D070F"/>
    <w:rsid w:val="007D084B"/>
    <w:rsid w:val="007D093D"/>
    <w:rsid w:val="007D0965"/>
    <w:rsid w:val="007D0A6E"/>
    <w:rsid w:val="007D1452"/>
    <w:rsid w:val="007D1947"/>
    <w:rsid w:val="007D259D"/>
    <w:rsid w:val="007D3113"/>
    <w:rsid w:val="007D31FD"/>
    <w:rsid w:val="007D3987"/>
    <w:rsid w:val="007D39F9"/>
    <w:rsid w:val="007D3D80"/>
    <w:rsid w:val="007D4044"/>
    <w:rsid w:val="007D44A7"/>
    <w:rsid w:val="007D535C"/>
    <w:rsid w:val="007D5417"/>
    <w:rsid w:val="007D5460"/>
    <w:rsid w:val="007D5A68"/>
    <w:rsid w:val="007D69A5"/>
    <w:rsid w:val="007D6FF6"/>
    <w:rsid w:val="007D708B"/>
    <w:rsid w:val="007D745C"/>
    <w:rsid w:val="007D7814"/>
    <w:rsid w:val="007D7866"/>
    <w:rsid w:val="007D796E"/>
    <w:rsid w:val="007D7A02"/>
    <w:rsid w:val="007D7BA9"/>
    <w:rsid w:val="007D7D6B"/>
    <w:rsid w:val="007D7DDF"/>
    <w:rsid w:val="007E010D"/>
    <w:rsid w:val="007E058D"/>
    <w:rsid w:val="007E07CC"/>
    <w:rsid w:val="007E08D6"/>
    <w:rsid w:val="007E0BB9"/>
    <w:rsid w:val="007E109D"/>
    <w:rsid w:val="007E1979"/>
    <w:rsid w:val="007E1EFA"/>
    <w:rsid w:val="007E204F"/>
    <w:rsid w:val="007E23D7"/>
    <w:rsid w:val="007E2A19"/>
    <w:rsid w:val="007E3209"/>
    <w:rsid w:val="007E328C"/>
    <w:rsid w:val="007E37AA"/>
    <w:rsid w:val="007E3ADA"/>
    <w:rsid w:val="007E48F5"/>
    <w:rsid w:val="007E49F5"/>
    <w:rsid w:val="007E4CB7"/>
    <w:rsid w:val="007E4E65"/>
    <w:rsid w:val="007E4F72"/>
    <w:rsid w:val="007E524B"/>
    <w:rsid w:val="007E556F"/>
    <w:rsid w:val="007E5C38"/>
    <w:rsid w:val="007E625E"/>
    <w:rsid w:val="007E6332"/>
    <w:rsid w:val="007E64E8"/>
    <w:rsid w:val="007E67C4"/>
    <w:rsid w:val="007E6833"/>
    <w:rsid w:val="007E6B1F"/>
    <w:rsid w:val="007E6F1D"/>
    <w:rsid w:val="007E70EE"/>
    <w:rsid w:val="007E7904"/>
    <w:rsid w:val="007E7A89"/>
    <w:rsid w:val="007E7CB7"/>
    <w:rsid w:val="007F0376"/>
    <w:rsid w:val="007F0CEC"/>
    <w:rsid w:val="007F0D12"/>
    <w:rsid w:val="007F12C5"/>
    <w:rsid w:val="007F1503"/>
    <w:rsid w:val="007F1579"/>
    <w:rsid w:val="007F16AF"/>
    <w:rsid w:val="007F209A"/>
    <w:rsid w:val="007F217B"/>
    <w:rsid w:val="007F2308"/>
    <w:rsid w:val="007F2824"/>
    <w:rsid w:val="007F2AA9"/>
    <w:rsid w:val="007F2C82"/>
    <w:rsid w:val="007F43D6"/>
    <w:rsid w:val="007F4556"/>
    <w:rsid w:val="007F4A20"/>
    <w:rsid w:val="007F4E55"/>
    <w:rsid w:val="007F5932"/>
    <w:rsid w:val="007F5E8E"/>
    <w:rsid w:val="007F62F3"/>
    <w:rsid w:val="007F63A0"/>
    <w:rsid w:val="007F6AA8"/>
    <w:rsid w:val="007F70CA"/>
    <w:rsid w:val="007F71EE"/>
    <w:rsid w:val="007F758A"/>
    <w:rsid w:val="007F7CE4"/>
    <w:rsid w:val="007F7D7A"/>
    <w:rsid w:val="00800072"/>
    <w:rsid w:val="008008B7"/>
    <w:rsid w:val="008009B9"/>
    <w:rsid w:val="00800B2B"/>
    <w:rsid w:val="00800CBF"/>
    <w:rsid w:val="00801166"/>
    <w:rsid w:val="0080125C"/>
    <w:rsid w:val="00801DC9"/>
    <w:rsid w:val="00801E33"/>
    <w:rsid w:val="00802191"/>
    <w:rsid w:val="00802295"/>
    <w:rsid w:val="00802481"/>
    <w:rsid w:val="00802B91"/>
    <w:rsid w:val="00802E81"/>
    <w:rsid w:val="008030DA"/>
    <w:rsid w:val="0080359C"/>
    <w:rsid w:val="00803656"/>
    <w:rsid w:val="0080382A"/>
    <w:rsid w:val="00803CED"/>
    <w:rsid w:val="008044F8"/>
    <w:rsid w:val="00804A26"/>
    <w:rsid w:val="00804D46"/>
    <w:rsid w:val="00805542"/>
    <w:rsid w:val="008056C4"/>
    <w:rsid w:val="00805A03"/>
    <w:rsid w:val="0080657F"/>
    <w:rsid w:val="00806831"/>
    <w:rsid w:val="00806FD7"/>
    <w:rsid w:val="0080735B"/>
    <w:rsid w:val="008073BC"/>
    <w:rsid w:val="008074E7"/>
    <w:rsid w:val="008076D3"/>
    <w:rsid w:val="0081040A"/>
    <w:rsid w:val="00810990"/>
    <w:rsid w:val="00810F72"/>
    <w:rsid w:val="00811469"/>
    <w:rsid w:val="00811DF4"/>
    <w:rsid w:val="008129B2"/>
    <w:rsid w:val="00812DEF"/>
    <w:rsid w:val="00813092"/>
    <w:rsid w:val="008130DB"/>
    <w:rsid w:val="008130F9"/>
    <w:rsid w:val="0081313B"/>
    <w:rsid w:val="00813610"/>
    <w:rsid w:val="00813D99"/>
    <w:rsid w:val="00813E8F"/>
    <w:rsid w:val="00813F61"/>
    <w:rsid w:val="00813F83"/>
    <w:rsid w:val="00814385"/>
    <w:rsid w:val="00814425"/>
    <w:rsid w:val="00814DBD"/>
    <w:rsid w:val="00815096"/>
    <w:rsid w:val="00815517"/>
    <w:rsid w:val="00815826"/>
    <w:rsid w:val="00815D6A"/>
    <w:rsid w:val="00815E18"/>
    <w:rsid w:val="008163C0"/>
    <w:rsid w:val="0081688C"/>
    <w:rsid w:val="00816A59"/>
    <w:rsid w:val="00816F9A"/>
    <w:rsid w:val="0081734C"/>
    <w:rsid w:val="00817BAC"/>
    <w:rsid w:val="00820547"/>
    <w:rsid w:val="00820915"/>
    <w:rsid w:val="00820FE4"/>
    <w:rsid w:val="00821453"/>
    <w:rsid w:val="008216CB"/>
    <w:rsid w:val="008225E1"/>
    <w:rsid w:val="00822C2A"/>
    <w:rsid w:val="00822CB7"/>
    <w:rsid w:val="00823D39"/>
    <w:rsid w:val="008243BC"/>
    <w:rsid w:val="008243CD"/>
    <w:rsid w:val="00824E2D"/>
    <w:rsid w:val="00825769"/>
    <w:rsid w:val="008260A8"/>
    <w:rsid w:val="00826862"/>
    <w:rsid w:val="008269EE"/>
    <w:rsid w:val="00827483"/>
    <w:rsid w:val="008276CE"/>
    <w:rsid w:val="00827716"/>
    <w:rsid w:val="00827EF9"/>
    <w:rsid w:val="008307A5"/>
    <w:rsid w:val="0083084D"/>
    <w:rsid w:val="00830A5B"/>
    <w:rsid w:val="00830BDD"/>
    <w:rsid w:val="00831053"/>
    <w:rsid w:val="008312A2"/>
    <w:rsid w:val="008314DE"/>
    <w:rsid w:val="008316EE"/>
    <w:rsid w:val="008318E3"/>
    <w:rsid w:val="00831BF7"/>
    <w:rsid w:val="00831C21"/>
    <w:rsid w:val="00831CC3"/>
    <w:rsid w:val="0083286C"/>
    <w:rsid w:val="00832D3F"/>
    <w:rsid w:val="00833015"/>
    <w:rsid w:val="00833366"/>
    <w:rsid w:val="008334DC"/>
    <w:rsid w:val="00833ABB"/>
    <w:rsid w:val="00833B50"/>
    <w:rsid w:val="00833D88"/>
    <w:rsid w:val="00833F6E"/>
    <w:rsid w:val="008341E7"/>
    <w:rsid w:val="0083454C"/>
    <w:rsid w:val="0083483E"/>
    <w:rsid w:val="00834A87"/>
    <w:rsid w:val="00834C10"/>
    <w:rsid w:val="00834D8D"/>
    <w:rsid w:val="00834DBC"/>
    <w:rsid w:val="00834E5A"/>
    <w:rsid w:val="00835022"/>
    <w:rsid w:val="00835111"/>
    <w:rsid w:val="008353BF"/>
    <w:rsid w:val="00835A64"/>
    <w:rsid w:val="00835C86"/>
    <w:rsid w:val="00835D69"/>
    <w:rsid w:val="008361DC"/>
    <w:rsid w:val="0083641B"/>
    <w:rsid w:val="0083655B"/>
    <w:rsid w:val="008365EA"/>
    <w:rsid w:val="008366EE"/>
    <w:rsid w:val="00836739"/>
    <w:rsid w:val="008368B5"/>
    <w:rsid w:val="00836AEB"/>
    <w:rsid w:val="00836BA5"/>
    <w:rsid w:val="0083707A"/>
    <w:rsid w:val="00837175"/>
    <w:rsid w:val="00837A56"/>
    <w:rsid w:val="00837D50"/>
    <w:rsid w:val="00837EC0"/>
    <w:rsid w:val="00840199"/>
    <w:rsid w:val="0084033A"/>
    <w:rsid w:val="008407A5"/>
    <w:rsid w:val="00840912"/>
    <w:rsid w:val="00840F1A"/>
    <w:rsid w:val="008418E0"/>
    <w:rsid w:val="00842418"/>
    <w:rsid w:val="0084258D"/>
    <w:rsid w:val="00842F9F"/>
    <w:rsid w:val="0084332A"/>
    <w:rsid w:val="0084373A"/>
    <w:rsid w:val="008437D7"/>
    <w:rsid w:val="00843C79"/>
    <w:rsid w:val="00845722"/>
    <w:rsid w:val="00845726"/>
    <w:rsid w:val="0084593D"/>
    <w:rsid w:val="00845A1D"/>
    <w:rsid w:val="00845B8D"/>
    <w:rsid w:val="008464BE"/>
    <w:rsid w:val="00846895"/>
    <w:rsid w:val="00846E69"/>
    <w:rsid w:val="0084740A"/>
    <w:rsid w:val="00847451"/>
    <w:rsid w:val="00850088"/>
    <w:rsid w:val="008504B5"/>
    <w:rsid w:val="008504F9"/>
    <w:rsid w:val="0085080B"/>
    <w:rsid w:val="00850B5D"/>
    <w:rsid w:val="00850B7C"/>
    <w:rsid w:val="00850E51"/>
    <w:rsid w:val="008511AF"/>
    <w:rsid w:val="008512E4"/>
    <w:rsid w:val="00851653"/>
    <w:rsid w:val="00851896"/>
    <w:rsid w:val="0085206E"/>
    <w:rsid w:val="008520D2"/>
    <w:rsid w:val="008521BD"/>
    <w:rsid w:val="008526DC"/>
    <w:rsid w:val="0085271C"/>
    <w:rsid w:val="00852B5A"/>
    <w:rsid w:val="00852BD9"/>
    <w:rsid w:val="00852C88"/>
    <w:rsid w:val="00852FAB"/>
    <w:rsid w:val="00853023"/>
    <w:rsid w:val="00853058"/>
    <w:rsid w:val="008532FA"/>
    <w:rsid w:val="00853D67"/>
    <w:rsid w:val="00854257"/>
    <w:rsid w:val="0085432F"/>
    <w:rsid w:val="00854D1A"/>
    <w:rsid w:val="00855205"/>
    <w:rsid w:val="008553FD"/>
    <w:rsid w:val="0085549D"/>
    <w:rsid w:val="00855AAD"/>
    <w:rsid w:val="008565E8"/>
    <w:rsid w:val="00856662"/>
    <w:rsid w:val="00856716"/>
    <w:rsid w:val="008568FE"/>
    <w:rsid w:val="00856F4D"/>
    <w:rsid w:val="0085705B"/>
    <w:rsid w:val="00857076"/>
    <w:rsid w:val="008570C4"/>
    <w:rsid w:val="0085781B"/>
    <w:rsid w:val="008578F8"/>
    <w:rsid w:val="00861A6D"/>
    <w:rsid w:val="00861BA9"/>
    <w:rsid w:val="00861C85"/>
    <w:rsid w:val="00861EE4"/>
    <w:rsid w:val="00861FB5"/>
    <w:rsid w:val="008621AC"/>
    <w:rsid w:val="00862410"/>
    <w:rsid w:val="008628EC"/>
    <w:rsid w:val="00862970"/>
    <w:rsid w:val="00862B46"/>
    <w:rsid w:val="008630AF"/>
    <w:rsid w:val="008632B5"/>
    <w:rsid w:val="0086340E"/>
    <w:rsid w:val="00863DEB"/>
    <w:rsid w:val="008640A6"/>
    <w:rsid w:val="00864458"/>
    <w:rsid w:val="008644F7"/>
    <w:rsid w:val="008647DA"/>
    <w:rsid w:val="00864C5C"/>
    <w:rsid w:val="0086508E"/>
    <w:rsid w:val="00865442"/>
    <w:rsid w:val="0086566C"/>
    <w:rsid w:val="008656BD"/>
    <w:rsid w:val="00865EF3"/>
    <w:rsid w:val="00866057"/>
    <w:rsid w:val="008660C1"/>
    <w:rsid w:val="00866335"/>
    <w:rsid w:val="00866858"/>
    <w:rsid w:val="00866AB6"/>
    <w:rsid w:val="00867BAD"/>
    <w:rsid w:val="0087034C"/>
    <w:rsid w:val="00870568"/>
    <w:rsid w:val="0087098E"/>
    <w:rsid w:val="00871C31"/>
    <w:rsid w:val="00871EFA"/>
    <w:rsid w:val="00871F49"/>
    <w:rsid w:val="00871FFF"/>
    <w:rsid w:val="008723C6"/>
    <w:rsid w:val="00872716"/>
    <w:rsid w:val="00872B4E"/>
    <w:rsid w:val="00872BE8"/>
    <w:rsid w:val="00873311"/>
    <w:rsid w:val="008733D5"/>
    <w:rsid w:val="0087373E"/>
    <w:rsid w:val="00873BEF"/>
    <w:rsid w:val="00873F05"/>
    <w:rsid w:val="008741E1"/>
    <w:rsid w:val="00874DFF"/>
    <w:rsid w:val="008755FC"/>
    <w:rsid w:val="00875710"/>
    <w:rsid w:val="008758A0"/>
    <w:rsid w:val="008762BF"/>
    <w:rsid w:val="008763AA"/>
    <w:rsid w:val="008765E3"/>
    <w:rsid w:val="00876D4A"/>
    <w:rsid w:val="00876DE7"/>
    <w:rsid w:val="008773DC"/>
    <w:rsid w:val="0088001C"/>
    <w:rsid w:val="008804F1"/>
    <w:rsid w:val="00881264"/>
    <w:rsid w:val="00881393"/>
    <w:rsid w:val="0088159C"/>
    <w:rsid w:val="0088166A"/>
    <w:rsid w:val="00881671"/>
    <w:rsid w:val="00881810"/>
    <w:rsid w:val="008823CD"/>
    <w:rsid w:val="00882403"/>
    <w:rsid w:val="0088251E"/>
    <w:rsid w:val="00882748"/>
    <w:rsid w:val="00882B66"/>
    <w:rsid w:val="00882C90"/>
    <w:rsid w:val="00882E8A"/>
    <w:rsid w:val="00882F80"/>
    <w:rsid w:val="0088346A"/>
    <w:rsid w:val="008835F8"/>
    <w:rsid w:val="00883AD8"/>
    <w:rsid w:val="00883B2D"/>
    <w:rsid w:val="00884794"/>
    <w:rsid w:val="00884D4E"/>
    <w:rsid w:val="00884F3A"/>
    <w:rsid w:val="00884F41"/>
    <w:rsid w:val="008855F4"/>
    <w:rsid w:val="00885F7C"/>
    <w:rsid w:val="00886121"/>
    <w:rsid w:val="00886323"/>
    <w:rsid w:val="0088694E"/>
    <w:rsid w:val="0088717F"/>
    <w:rsid w:val="0088718C"/>
    <w:rsid w:val="008871AB"/>
    <w:rsid w:val="008877F0"/>
    <w:rsid w:val="00887D4B"/>
    <w:rsid w:val="0089068D"/>
    <w:rsid w:val="00890851"/>
    <w:rsid w:val="00890B29"/>
    <w:rsid w:val="008912F5"/>
    <w:rsid w:val="00892316"/>
    <w:rsid w:val="00892635"/>
    <w:rsid w:val="008926E3"/>
    <w:rsid w:val="008928AC"/>
    <w:rsid w:val="00892DCA"/>
    <w:rsid w:val="00892E8B"/>
    <w:rsid w:val="00893024"/>
    <w:rsid w:val="0089375B"/>
    <w:rsid w:val="00893CA5"/>
    <w:rsid w:val="00894170"/>
    <w:rsid w:val="008955B4"/>
    <w:rsid w:val="00895C85"/>
    <w:rsid w:val="008963B5"/>
    <w:rsid w:val="00896AA9"/>
    <w:rsid w:val="00896D99"/>
    <w:rsid w:val="0089722C"/>
    <w:rsid w:val="008973E3"/>
    <w:rsid w:val="00897777"/>
    <w:rsid w:val="00897912"/>
    <w:rsid w:val="00897B18"/>
    <w:rsid w:val="00897CE4"/>
    <w:rsid w:val="00897DA8"/>
    <w:rsid w:val="00897FA2"/>
    <w:rsid w:val="008A00BE"/>
    <w:rsid w:val="008A037F"/>
    <w:rsid w:val="008A0419"/>
    <w:rsid w:val="008A068E"/>
    <w:rsid w:val="008A0E6A"/>
    <w:rsid w:val="008A0F55"/>
    <w:rsid w:val="008A0FDD"/>
    <w:rsid w:val="008A121A"/>
    <w:rsid w:val="008A173A"/>
    <w:rsid w:val="008A1B5C"/>
    <w:rsid w:val="008A1C1C"/>
    <w:rsid w:val="008A1F65"/>
    <w:rsid w:val="008A1FF5"/>
    <w:rsid w:val="008A259F"/>
    <w:rsid w:val="008A25AF"/>
    <w:rsid w:val="008A2E91"/>
    <w:rsid w:val="008A356E"/>
    <w:rsid w:val="008A3850"/>
    <w:rsid w:val="008A3C7D"/>
    <w:rsid w:val="008A4328"/>
    <w:rsid w:val="008A447F"/>
    <w:rsid w:val="008A4855"/>
    <w:rsid w:val="008A4EC2"/>
    <w:rsid w:val="008A5418"/>
    <w:rsid w:val="008A5439"/>
    <w:rsid w:val="008A564E"/>
    <w:rsid w:val="008A5A6C"/>
    <w:rsid w:val="008A5ABE"/>
    <w:rsid w:val="008A5EA6"/>
    <w:rsid w:val="008A6CA9"/>
    <w:rsid w:val="008A6F8A"/>
    <w:rsid w:val="008A73EF"/>
    <w:rsid w:val="008A74C5"/>
    <w:rsid w:val="008A79CD"/>
    <w:rsid w:val="008A79D6"/>
    <w:rsid w:val="008A7F01"/>
    <w:rsid w:val="008B01B7"/>
    <w:rsid w:val="008B03AA"/>
    <w:rsid w:val="008B05B3"/>
    <w:rsid w:val="008B0EC0"/>
    <w:rsid w:val="008B0FC5"/>
    <w:rsid w:val="008B1331"/>
    <w:rsid w:val="008B15FD"/>
    <w:rsid w:val="008B2196"/>
    <w:rsid w:val="008B2280"/>
    <w:rsid w:val="008B2904"/>
    <w:rsid w:val="008B298B"/>
    <w:rsid w:val="008B29B5"/>
    <w:rsid w:val="008B2ACD"/>
    <w:rsid w:val="008B3063"/>
    <w:rsid w:val="008B30CF"/>
    <w:rsid w:val="008B3CE4"/>
    <w:rsid w:val="008B48E6"/>
    <w:rsid w:val="008B4EFA"/>
    <w:rsid w:val="008B5090"/>
    <w:rsid w:val="008B5285"/>
    <w:rsid w:val="008B57C4"/>
    <w:rsid w:val="008B59B4"/>
    <w:rsid w:val="008B6594"/>
    <w:rsid w:val="008B65A4"/>
    <w:rsid w:val="008B67F3"/>
    <w:rsid w:val="008B69A0"/>
    <w:rsid w:val="008B6C56"/>
    <w:rsid w:val="008B6ED2"/>
    <w:rsid w:val="008B7068"/>
    <w:rsid w:val="008B7BFF"/>
    <w:rsid w:val="008C05D6"/>
    <w:rsid w:val="008C088C"/>
    <w:rsid w:val="008C0990"/>
    <w:rsid w:val="008C09F0"/>
    <w:rsid w:val="008C10E2"/>
    <w:rsid w:val="008C1173"/>
    <w:rsid w:val="008C12C0"/>
    <w:rsid w:val="008C135E"/>
    <w:rsid w:val="008C1500"/>
    <w:rsid w:val="008C1714"/>
    <w:rsid w:val="008C1BFE"/>
    <w:rsid w:val="008C210A"/>
    <w:rsid w:val="008C23A8"/>
    <w:rsid w:val="008C29B6"/>
    <w:rsid w:val="008C2ADE"/>
    <w:rsid w:val="008C2CCD"/>
    <w:rsid w:val="008C31B3"/>
    <w:rsid w:val="008C3349"/>
    <w:rsid w:val="008C3357"/>
    <w:rsid w:val="008C33B1"/>
    <w:rsid w:val="008C3428"/>
    <w:rsid w:val="008C3609"/>
    <w:rsid w:val="008C3750"/>
    <w:rsid w:val="008C3998"/>
    <w:rsid w:val="008C3C2C"/>
    <w:rsid w:val="008C431D"/>
    <w:rsid w:val="008C4448"/>
    <w:rsid w:val="008C4805"/>
    <w:rsid w:val="008C4810"/>
    <w:rsid w:val="008C49DE"/>
    <w:rsid w:val="008C4CAA"/>
    <w:rsid w:val="008C5983"/>
    <w:rsid w:val="008C59FD"/>
    <w:rsid w:val="008C5A6D"/>
    <w:rsid w:val="008C5C07"/>
    <w:rsid w:val="008C5F95"/>
    <w:rsid w:val="008C6138"/>
    <w:rsid w:val="008C6325"/>
    <w:rsid w:val="008C67A2"/>
    <w:rsid w:val="008C6ED1"/>
    <w:rsid w:val="008C6FA2"/>
    <w:rsid w:val="008C73A5"/>
    <w:rsid w:val="008C78F6"/>
    <w:rsid w:val="008C796D"/>
    <w:rsid w:val="008C7972"/>
    <w:rsid w:val="008D00CF"/>
    <w:rsid w:val="008D0309"/>
    <w:rsid w:val="008D054D"/>
    <w:rsid w:val="008D06C1"/>
    <w:rsid w:val="008D09CB"/>
    <w:rsid w:val="008D0FD9"/>
    <w:rsid w:val="008D1306"/>
    <w:rsid w:val="008D1663"/>
    <w:rsid w:val="008D1CD4"/>
    <w:rsid w:val="008D1D05"/>
    <w:rsid w:val="008D1D5D"/>
    <w:rsid w:val="008D1FC1"/>
    <w:rsid w:val="008D20B6"/>
    <w:rsid w:val="008D21EF"/>
    <w:rsid w:val="008D2820"/>
    <w:rsid w:val="008D290D"/>
    <w:rsid w:val="008D33F2"/>
    <w:rsid w:val="008D3AC5"/>
    <w:rsid w:val="008D40CB"/>
    <w:rsid w:val="008D482B"/>
    <w:rsid w:val="008D4D2D"/>
    <w:rsid w:val="008D4D71"/>
    <w:rsid w:val="008D5194"/>
    <w:rsid w:val="008D58D3"/>
    <w:rsid w:val="008D59A5"/>
    <w:rsid w:val="008D5EDB"/>
    <w:rsid w:val="008D62B0"/>
    <w:rsid w:val="008D6737"/>
    <w:rsid w:val="008D69C8"/>
    <w:rsid w:val="008D6AF9"/>
    <w:rsid w:val="008D756C"/>
    <w:rsid w:val="008D7E34"/>
    <w:rsid w:val="008E092A"/>
    <w:rsid w:val="008E0BDB"/>
    <w:rsid w:val="008E0F91"/>
    <w:rsid w:val="008E15FB"/>
    <w:rsid w:val="008E1953"/>
    <w:rsid w:val="008E1E63"/>
    <w:rsid w:val="008E1ED9"/>
    <w:rsid w:val="008E1F63"/>
    <w:rsid w:val="008E2150"/>
    <w:rsid w:val="008E2769"/>
    <w:rsid w:val="008E2793"/>
    <w:rsid w:val="008E29DA"/>
    <w:rsid w:val="008E31D0"/>
    <w:rsid w:val="008E36CD"/>
    <w:rsid w:val="008E3DB0"/>
    <w:rsid w:val="008E4458"/>
    <w:rsid w:val="008E4B78"/>
    <w:rsid w:val="008E4C00"/>
    <w:rsid w:val="008E4C9D"/>
    <w:rsid w:val="008E4D64"/>
    <w:rsid w:val="008E4EA0"/>
    <w:rsid w:val="008E52F5"/>
    <w:rsid w:val="008E5490"/>
    <w:rsid w:val="008E55EF"/>
    <w:rsid w:val="008E5EE0"/>
    <w:rsid w:val="008E638F"/>
    <w:rsid w:val="008E660E"/>
    <w:rsid w:val="008E6CD2"/>
    <w:rsid w:val="008E7724"/>
    <w:rsid w:val="008E7DFA"/>
    <w:rsid w:val="008F01A4"/>
    <w:rsid w:val="008F051A"/>
    <w:rsid w:val="008F0CAB"/>
    <w:rsid w:val="008F0EE2"/>
    <w:rsid w:val="008F165D"/>
    <w:rsid w:val="008F1A0B"/>
    <w:rsid w:val="008F27B2"/>
    <w:rsid w:val="008F2B2A"/>
    <w:rsid w:val="008F2E2C"/>
    <w:rsid w:val="008F311D"/>
    <w:rsid w:val="008F32B1"/>
    <w:rsid w:val="008F3741"/>
    <w:rsid w:val="008F37E5"/>
    <w:rsid w:val="008F3843"/>
    <w:rsid w:val="008F49C6"/>
    <w:rsid w:val="008F49EA"/>
    <w:rsid w:val="008F5087"/>
    <w:rsid w:val="008F51C2"/>
    <w:rsid w:val="008F524E"/>
    <w:rsid w:val="008F540D"/>
    <w:rsid w:val="008F5E1E"/>
    <w:rsid w:val="008F6382"/>
    <w:rsid w:val="008F63D7"/>
    <w:rsid w:val="008F660E"/>
    <w:rsid w:val="008F6D4F"/>
    <w:rsid w:val="008F6EAD"/>
    <w:rsid w:val="008F6F6E"/>
    <w:rsid w:val="008F77EB"/>
    <w:rsid w:val="008F7F91"/>
    <w:rsid w:val="00900043"/>
    <w:rsid w:val="0090074F"/>
    <w:rsid w:val="00900E3C"/>
    <w:rsid w:val="009012C5"/>
    <w:rsid w:val="00901BF3"/>
    <w:rsid w:val="009020EE"/>
    <w:rsid w:val="00902131"/>
    <w:rsid w:val="00902185"/>
    <w:rsid w:val="00902363"/>
    <w:rsid w:val="0090258B"/>
    <w:rsid w:val="00902672"/>
    <w:rsid w:val="009027BC"/>
    <w:rsid w:val="009027D1"/>
    <w:rsid w:val="00902892"/>
    <w:rsid w:val="00902A04"/>
    <w:rsid w:val="00903B79"/>
    <w:rsid w:val="00903E87"/>
    <w:rsid w:val="0090429E"/>
    <w:rsid w:val="0090441B"/>
    <w:rsid w:val="009045BD"/>
    <w:rsid w:val="009046CF"/>
    <w:rsid w:val="00904825"/>
    <w:rsid w:val="00904B0C"/>
    <w:rsid w:val="00904D01"/>
    <w:rsid w:val="00904EB0"/>
    <w:rsid w:val="00905116"/>
    <w:rsid w:val="00905405"/>
    <w:rsid w:val="0090554F"/>
    <w:rsid w:val="009058B7"/>
    <w:rsid w:val="00905C61"/>
    <w:rsid w:val="00905F94"/>
    <w:rsid w:val="0090601B"/>
    <w:rsid w:val="00906333"/>
    <w:rsid w:val="009063BA"/>
    <w:rsid w:val="009068C0"/>
    <w:rsid w:val="009069FB"/>
    <w:rsid w:val="00906B76"/>
    <w:rsid w:val="009073B6"/>
    <w:rsid w:val="0090745C"/>
    <w:rsid w:val="00907534"/>
    <w:rsid w:val="00907558"/>
    <w:rsid w:val="00907769"/>
    <w:rsid w:val="0090784F"/>
    <w:rsid w:val="00907E1C"/>
    <w:rsid w:val="00907E1F"/>
    <w:rsid w:val="00910BDB"/>
    <w:rsid w:val="00910DBD"/>
    <w:rsid w:val="0091145D"/>
    <w:rsid w:val="0091151A"/>
    <w:rsid w:val="00911816"/>
    <w:rsid w:val="00911C8A"/>
    <w:rsid w:val="00912584"/>
    <w:rsid w:val="00912847"/>
    <w:rsid w:val="00912E2B"/>
    <w:rsid w:val="00913246"/>
    <w:rsid w:val="009135A4"/>
    <w:rsid w:val="009136C9"/>
    <w:rsid w:val="0091387E"/>
    <w:rsid w:val="009143D3"/>
    <w:rsid w:val="00914639"/>
    <w:rsid w:val="0091476A"/>
    <w:rsid w:val="00914910"/>
    <w:rsid w:val="00915118"/>
    <w:rsid w:val="0091527C"/>
    <w:rsid w:val="00915472"/>
    <w:rsid w:val="00915576"/>
    <w:rsid w:val="00915F16"/>
    <w:rsid w:val="00916173"/>
    <w:rsid w:val="00916BD8"/>
    <w:rsid w:val="00916EC6"/>
    <w:rsid w:val="00917088"/>
    <w:rsid w:val="00917356"/>
    <w:rsid w:val="009207FE"/>
    <w:rsid w:val="00920840"/>
    <w:rsid w:val="00920A01"/>
    <w:rsid w:val="00920EED"/>
    <w:rsid w:val="0092147E"/>
    <w:rsid w:val="00921AD9"/>
    <w:rsid w:val="00922335"/>
    <w:rsid w:val="00922BD3"/>
    <w:rsid w:val="00922CD3"/>
    <w:rsid w:val="00922D44"/>
    <w:rsid w:val="00922E5C"/>
    <w:rsid w:val="00923D0B"/>
    <w:rsid w:val="00924052"/>
    <w:rsid w:val="0092420F"/>
    <w:rsid w:val="0092470B"/>
    <w:rsid w:val="00924A3C"/>
    <w:rsid w:val="00924D57"/>
    <w:rsid w:val="00924DD9"/>
    <w:rsid w:val="00924DE2"/>
    <w:rsid w:val="00924EC1"/>
    <w:rsid w:val="00925137"/>
    <w:rsid w:val="00925376"/>
    <w:rsid w:val="00925487"/>
    <w:rsid w:val="00925C40"/>
    <w:rsid w:val="0092635E"/>
    <w:rsid w:val="00926565"/>
    <w:rsid w:val="00926A08"/>
    <w:rsid w:val="00926B5A"/>
    <w:rsid w:val="00926BD7"/>
    <w:rsid w:val="00927088"/>
    <w:rsid w:val="00927777"/>
    <w:rsid w:val="009277C7"/>
    <w:rsid w:val="009303E1"/>
    <w:rsid w:val="00930671"/>
    <w:rsid w:val="00930C97"/>
    <w:rsid w:val="00930EE1"/>
    <w:rsid w:val="0093103C"/>
    <w:rsid w:val="00931579"/>
    <w:rsid w:val="00931A6E"/>
    <w:rsid w:val="00931A76"/>
    <w:rsid w:val="00931F00"/>
    <w:rsid w:val="00932493"/>
    <w:rsid w:val="00932854"/>
    <w:rsid w:val="00933310"/>
    <w:rsid w:val="00933675"/>
    <w:rsid w:val="00933677"/>
    <w:rsid w:val="00933C39"/>
    <w:rsid w:val="00933E5F"/>
    <w:rsid w:val="0093413C"/>
    <w:rsid w:val="0093434A"/>
    <w:rsid w:val="00934CA4"/>
    <w:rsid w:val="009352AF"/>
    <w:rsid w:val="00935317"/>
    <w:rsid w:val="00935D5C"/>
    <w:rsid w:val="0093683B"/>
    <w:rsid w:val="00936C9D"/>
    <w:rsid w:val="009375AC"/>
    <w:rsid w:val="0093780A"/>
    <w:rsid w:val="00937841"/>
    <w:rsid w:val="009404F5"/>
    <w:rsid w:val="00940A33"/>
    <w:rsid w:val="00940E35"/>
    <w:rsid w:val="00941534"/>
    <w:rsid w:val="00941791"/>
    <w:rsid w:val="00941B32"/>
    <w:rsid w:val="00941E44"/>
    <w:rsid w:val="00941F38"/>
    <w:rsid w:val="00942303"/>
    <w:rsid w:val="0094264B"/>
    <w:rsid w:val="009426A1"/>
    <w:rsid w:val="00943381"/>
    <w:rsid w:val="00943B6B"/>
    <w:rsid w:val="00943F62"/>
    <w:rsid w:val="009441CA"/>
    <w:rsid w:val="00944607"/>
    <w:rsid w:val="00945101"/>
    <w:rsid w:val="009454EF"/>
    <w:rsid w:val="00945A94"/>
    <w:rsid w:val="00945C70"/>
    <w:rsid w:val="00945DBB"/>
    <w:rsid w:val="00945DFE"/>
    <w:rsid w:val="00945FBD"/>
    <w:rsid w:val="00946886"/>
    <w:rsid w:val="009468C4"/>
    <w:rsid w:val="00946BBF"/>
    <w:rsid w:val="009470EA"/>
    <w:rsid w:val="0094712B"/>
    <w:rsid w:val="0094724F"/>
    <w:rsid w:val="00947B2E"/>
    <w:rsid w:val="00947CB6"/>
    <w:rsid w:val="00947CD7"/>
    <w:rsid w:val="009510D5"/>
    <w:rsid w:val="0095117F"/>
    <w:rsid w:val="009512B1"/>
    <w:rsid w:val="009514FC"/>
    <w:rsid w:val="00951558"/>
    <w:rsid w:val="009515E4"/>
    <w:rsid w:val="00951DA2"/>
    <w:rsid w:val="009523F2"/>
    <w:rsid w:val="00952BC6"/>
    <w:rsid w:val="00953342"/>
    <w:rsid w:val="0095381B"/>
    <w:rsid w:val="00953AEA"/>
    <w:rsid w:val="00953E0A"/>
    <w:rsid w:val="00954162"/>
    <w:rsid w:val="009549B2"/>
    <w:rsid w:val="00954C91"/>
    <w:rsid w:val="00954D53"/>
    <w:rsid w:val="00954E1B"/>
    <w:rsid w:val="0095519A"/>
    <w:rsid w:val="00955255"/>
    <w:rsid w:val="00955540"/>
    <w:rsid w:val="00955656"/>
    <w:rsid w:val="009562F5"/>
    <w:rsid w:val="0095680B"/>
    <w:rsid w:val="00956C2F"/>
    <w:rsid w:val="00956F5C"/>
    <w:rsid w:val="00956F97"/>
    <w:rsid w:val="009570EC"/>
    <w:rsid w:val="009570F9"/>
    <w:rsid w:val="0095731C"/>
    <w:rsid w:val="00957992"/>
    <w:rsid w:val="00957CFF"/>
    <w:rsid w:val="00957E4C"/>
    <w:rsid w:val="0096017C"/>
    <w:rsid w:val="0096073D"/>
    <w:rsid w:val="00960A4C"/>
    <w:rsid w:val="00960AE8"/>
    <w:rsid w:val="00960D4D"/>
    <w:rsid w:val="0096127A"/>
    <w:rsid w:val="009613A9"/>
    <w:rsid w:val="00961586"/>
    <w:rsid w:val="009620CA"/>
    <w:rsid w:val="0096276D"/>
    <w:rsid w:val="009628C3"/>
    <w:rsid w:val="00962C1C"/>
    <w:rsid w:val="00963111"/>
    <w:rsid w:val="0096349E"/>
    <w:rsid w:val="009638CB"/>
    <w:rsid w:val="00963DBD"/>
    <w:rsid w:val="00963E2B"/>
    <w:rsid w:val="00963EDF"/>
    <w:rsid w:val="00964288"/>
    <w:rsid w:val="0096436A"/>
    <w:rsid w:val="0096479A"/>
    <w:rsid w:val="00964DC3"/>
    <w:rsid w:val="00964F02"/>
    <w:rsid w:val="00965947"/>
    <w:rsid w:val="00965C99"/>
    <w:rsid w:val="009665EE"/>
    <w:rsid w:val="0096662F"/>
    <w:rsid w:val="009667E2"/>
    <w:rsid w:val="00966BEF"/>
    <w:rsid w:val="00966D24"/>
    <w:rsid w:val="009670AF"/>
    <w:rsid w:val="00967966"/>
    <w:rsid w:val="00967A88"/>
    <w:rsid w:val="00967AD8"/>
    <w:rsid w:val="00967BD9"/>
    <w:rsid w:val="00967CDA"/>
    <w:rsid w:val="00967D26"/>
    <w:rsid w:val="0097039C"/>
    <w:rsid w:val="0097055B"/>
    <w:rsid w:val="009705E7"/>
    <w:rsid w:val="00970669"/>
    <w:rsid w:val="00970AE6"/>
    <w:rsid w:val="00970F7D"/>
    <w:rsid w:val="00971029"/>
    <w:rsid w:val="00971202"/>
    <w:rsid w:val="00971522"/>
    <w:rsid w:val="009716AA"/>
    <w:rsid w:val="009716AD"/>
    <w:rsid w:val="009716EE"/>
    <w:rsid w:val="00971E14"/>
    <w:rsid w:val="009722FF"/>
    <w:rsid w:val="00972945"/>
    <w:rsid w:val="00972F41"/>
    <w:rsid w:val="0097471E"/>
    <w:rsid w:val="00974AF3"/>
    <w:rsid w:val="00974E42"/>
    <w:rsid w:val="00974E7F"/>
    <w:rsid w:val="00975247"/>
    <w:rsid w:val="009756EF"/>
    <w:rsid w:val="00975BEC"/>
    <w:rsid w:val="00976B1B"/>
    <w:rsid w:val="00976CF7"/>
    <w:rsid w:val="0097713A"/>
    <w:rsid w:val="009772CD"/>
    <w:rsid w:val="00977A4F"/>
    <w:rsid w:val="00977FB0"/>
    <w:rsid w:val="00980497"/>
    <w:rsid w:val="0098060F"/>
    <w:rsid w:val="009807D1"/>
    <w:rsid w:val="00980A0F"/>
    <w:rsid w:val="00981BC8"/>
    <w:rsid w:val="00982436"/>
    <w:rsid w:val="00982841"/>
    <w:rsid w:val="00982846"/>
    <w:rsid w:val="009830DA"/>
    <w:rsid w:val="00983263"/>
    <w:rsid w:val="009834F7"/>
    <w:rsid w:val="00984123"/>
    <w:rsid w:val="009843CC"/>
    <w:rsid w:val="00984E35"/>
    <w:rsid w:val="0098542E"/>
    <w:rsid w:val="0098591E"/>
    <w:rsid w:val="00985A63"/>
    <w:rsid w:val="00985F5A"/>
    <w:rsid w:val="009865DD"/>
    <w:rsid w:val="0098695C"/>
    <w:rsid w:val="00986E8C"/>
    <w:rsid w:val="009870CA"/>
    <w:rsid w:val="00987543"/>
    <w:rsid w:val="00987871"/>
    <w:rsid w:val="009878AD"/>
    <w:rsid w:val="00987F15"/>
    <w:rsid w:val="00990CB6"/>
    <w:rsid w:val="00990DD3"/>
    <w:rsid w:val="00991047"/>
    <w:rsid w:val="00991546"/>
    <w:rsid w:val="00991D24"/>
    <w:rsid w:val="009922C7"/>
    <w:rsid w:val="00992363"/>
    <w:rsid w:val="00992B73"/>
    <w:rsid w:val="00992DFF"/>
    <w:rsid w:val="00993357"/>
    <w:rsid w:val="009938FB"/>
    <w:rsid w:val="009939DF"/>
    <w:rsid w:val="00993CAB"/>
    <w:rsid w:val="00993CB6"/>
    <w:rsid w:val="00993F10"/>
    <w:rsid w:val="009949F9"/>
    <w:rsid w:val="009954AD"/>
    <w:rsid w:val="00995986"/>
    <w:rsid w:val="00995BD0"/>
    <w:rsid w:val="00995C3B"/>
    <w:rsid w:val="00995E1F"/>
    <w:rsid w:val="009966EA"/>
    <w:rsid w:val="00996B1B"/>
    <w:rsid w:val="00996BD6"/>
    <w:rsid w:val="009972AE"/>
    <w:rsid w:val="00997466"/>
    <w:rsid w:val="00997586"/>
    <w:rsid w:val="00997D55"/>
    <w:rsid w:val="00997DE8"/>
    <w:rsid w:val="00997F25"/>
    <w:rsid w:val="009A02E1"/>
    <w:rsid w:val="009A03AC"/>
    <w:rsid w:val="009A064E"/>
    <w:rsid w:val="009A06EA"/>
    <w:rsid w:val="009A080E"/>
    <w:rsid w:val="009A092F"/>
    <w:rsid w:val="009A0FED"/>
    <w:rsid w:val="009A0FF6"/>
    <w:rsid w:val="009A1121"/>
    <w:rsid w:val="009A164C"/>
    <w:rsid w:val="009A1AC2"/>
    <w:rsid w:val="009A1E74"/>
    <w:rsid w:val="009A1EF4"/>
    <w:rsid w:val="009A2254"/>
    <w:rsid w:val="009A26EF"/>
    <w:rsid w:val="009A2940"/>
    <w:rsid w:val="009A2A46"/>
    <w:rsid w:val="009A31B0"/>
    <w:rsid w:val="009A3472"/>
    <w:rsid w:val="009A348A"/>
    <w:rsid w:val="009A35F2"/>
    <w:rsid w:val="009A3C48"/>
    <w:rsid w:val="009A41BD"/>
    <w:rsid w:val="009A465C"/>
    <w:rsid w:val="009A4AC0"/>
    <w:rsid w:val="009A4CDF"/>
    <w:rsid w:val="009A4F85"/>
    <w:rsid w:val="009A5072"/>
    <w:rsid w:val="009A5523"/>
    <w:rsid w:val="009A5537"/>
    <w:rsid w:val="009A6393"/>
    <w:rsid w:val="009A665E"/>
    <w:rsid w:val="009A6B5C"/>
    <w:rsid w:val="009A6D14"/>
    <w:rsid w:val="009A72DB"/>
    <w:rsid w:val="009A7415"/>
    <w:rsid w:val="009A7541"/>
    <w:rsid w:val="009A75BE"/>
    <w:rsid w:val="009A7677"/>
    <w:rsid w:val="009A78DB"/>
    <w:rsid w:val="009A7B5D"/>
    <w:rsid w:val="009A7C12"/>
    <w:rsid w:val="009A7C8C"/>
    <w:rsid w:val="009B0703"/>
    <w:rsid w:val="009B07BA"/>
    <w:rsid w:val="009B0A21"/>
    <w:rsid w:val="009B0B42"/>
    <w:rsid w:val="009B0F4A"/>
    <w:rsid w:val="009B152B"/>
    <w:rsid w:val="009B1BFB"/>
    <w:rsid w:val="009B1EFD"/>
    <w:rsid w:val="009B2442"/>
    <w:rsid w:val="009B269A"/>
    <w:rsid w:val="009B2809"/>
    <w:rsid w:val="009B3B13"/>
    <w:rsid w:val="009B3BDF"/>
    <w:rsid w:val="009B3C60"/>
    <w:rsid w:val="009B410F"/>
    <w:rsid w:val="009B41CA"/>
    <w:rsid w:val="009B4284"/>
    <w:rsid w:val="009B433E"/>
    <w:rsid w:val="009B4985"/>
    <w:rsid w:val="009B4E6E"/>
    <w:rsid w:val="009B50F7"/>
    <w:rsid w:val="009B510C"/>
    <w:rsid w:val="009B523C"/>
    <w:rsid w:val="009B57B4"/>
    <w:rsid w:val="009B5B75"/>
    <w:rsid w:val="009B6073"/>
    <w:rsid w:val="009B625B"/>
    <w:rsid w:val="009B696D"/>
    <w:rsid w:val="009B7104"/>
    <w:rsid w:val="009B7BC6"/>
    <w:rsid w:val="009C099C"/>
    <w:rsid w:val="009C0A74"/>
    <w:rsid w:val="009C0A95"/>
    <w:rsid w:val="009C0C9A"/>
    <w:rsid w:val="009C0D05"/>
    <w:rsid w:val="009C0E8E"/>
    <w:rsid w:val="009C19D0"/>
    <w:rsid w:val="009C1B8D"/>
    <w:rsid w:val="009C2D21"/>
    <w:rsid w:val="009C31F3"/>
    <w:rsid w:val="009C348E"/>
    <w:rsid w:val="009C3C62"/>
    <w:rsid w:val="009C46CD"/>
    <w:rsid w:val="009C4E65"/>
    <w:rsid w:val="009C560D"/>
    <w:rsid w:val="009C56D7"/>
    <w:rsid w:val="009C5DA7"/>
    <w:rsid w:val="009C62A9"/>
    <w:rsid w:val="009C69CF"/>
    <w:rsid w:val="009C69EA"/>
    <w:rsid w:val="009C6D9C"/>
    <w:rsid w:val="009C6F9F"/>
    <w:rsid w:val="009C7166"/>
    <w:rsid w:val="009C7262"/>
    <w:rsid w:val="009C73DC"/>
    <w:rsid w:val="009C755B"/>
    <w:rsid w:val="009C773F"/>
    <w:rsid w:val="009C77E2"/>
    <w:rsid w:val="009C7D61"/>
    <w:rsid w:val="009C7DDE"/>
    <w:rsid w:val="009D07BE"/>
    <w:rsid w:val="009D0E71"/>
    <w:rsid w:val="009D12AE"/>
    <w:rsid w:val="009D13FA"/>
    <w:rsid w:val="009D15A5"/>
    <w:rsid w:val="009D1761"/>
    <w:rsid w:val="009D17C0"/>
    <w:rsid w:val="009D1C81"/>
    <w:rsid w:val="009D2118"/>
    <w:rsid w:val="009D2677"/>
    <w:rsid w:val="009D309F"/>
    <w:rsid w:val="009D344F"/>
    <w:rsid w:val="009D3959"/>
    <w:rsid w:val="009D3F6F"/>
    <w:rsid w:val="009D4034"/>
    <w:rsid w:val="009D420F"/>
    <w:rsid w:val="009D441D"/>
    <w:rsid w:val="009D461C"/>
    <w:rsid w:val="009D4678"/>
    <w:rsid w:val="009D4959"/>
    <w:rsid w:val="009D5235"/>
    <w:rsid w:val="009D59B8"/>
    <w:rsid w:val="009D5AA8"/>
    <w:rsid w:val="009D5DE8"/>
    <w:rsid w:val="009D5EF1"/>
    <w:rsid w:val="009D6289"/>
    <w:rsid w:val="009D77C7"/>
    <w:rsid w:val="009D7800"/>
    <w:rsid w:val="009D784F"/>
    <w:rsid w:val="009D78AA"/>
    <w:rsid w:val="009D7A50"/>
    <w:rsid w:val="009D7B6E"/>
    <w:rsid w:val="009E0371"/>
    <w:rsid w:val="009E06B5"/>
    <w:rsid w:val="009E0C65"/>
    <w:rsid w:val="009E0E25"/>
    <w:rsid w:val="009E0FCC"/>
    <w:rsid w:val="009E1455"/>
    <w:rsid w:val="009E17C5"/>
    <w:rsid w:val="009E1AFD"/>
    <w:rsid w:val="009E2548"/>
    <w:rsid w:val="009E276C"/>
    <w:rsid w:val="009E2BF1"/>
    <w:rsid w:val="009E2D7E"/>
    <w:rsid w:val="009E3193"/>
    <w:rsid w:val="009E3945"/>
    <w:rsid w:val="009E39D9"/>
    <w:rsid w:val="009E464D"/>
    <w:rsid w:val="009E4EB2"/>
    <w:rsid w:val="009E5024"/>
    <w:rsid w:val="009E53F4"/>
    <w:rsid w:val="009E559A"/>
    <w:rsid w:val="009E565A"/>
    <w:rsid w:val="009E56E4"/>
    <w:rsid w:val="009E578E"/>
    <w:rsid w:val="009E5A0E"/>
    <w:rsid w:val="009E5A59"/>
    <w:rsid w:val="009E5FD1"/>
    <w:rsid w:val="009E6184"/>
    <w:rsid w:val="009E6237"/>
    <w:rsid w:val="009E697B"/>
    <w:rsid w:val="009E6B23"/>
    <w:rsid w:val="009E6B5C"/>
    <w:rsid w:val="009E6C7F"/>
    <w:rsid w:val="009E6E6A"/>
    <w:rsid w:val="009E7AA9"/>
    <w:rsid w:val="009E7FD2"/>
    <w:rsid w:val="009F045D"/>
    <w:rsid w:val="009F0602"/>
    <w:rsid w:val="009F0F2D"/>
    <w:rsid w:val="009F10E8"/>
    <w:rsid w:val="009F1188"/>
    <w:rsid w:val="009F11AF"/>
    <w:rsid w:val="009F163F"/>
    <w:rsid w:val="009F1770"/>
    <w:rsid w:val="009F208B"/>
    <w:rsid w:val="009F21D3"/>
    <w:rsid w:val="009F24F6"/>
    <w:rsid w:val="009F2586"/>
    <w:rsid w:val="009F2643"/>
    <w:rsid w:val="009F2C3D"/>
    <w:rsid w:val="009F2C95"/>
    <w:rsid w:val="009F3373"/>
    <w:rsid w:val="009F4268"/>
    <w:rsid w:val="009F4C88"/>
    <w:rsid w:val="009F4ED0"/>
    <w:rsid w:val="009F4F93"/>
    <w:rsid w:val="009F540B"/>
    <w:rsid w:val="009F57EA"/>
    <w:rsid w:val="009F65CE"/>
    <w:rsid w:val="009F673B"/>
    <w:rsid w:val="009F69CD"/>
    <w:rsid w:val="009F6C14"/>
    <w:rsid w:val="009F6F60"/>
    <w:rsid w:val="009F7022"/>
    <w:rsid w:val="00A00317"/>
    <w:rsid w:val="00A00EE1"/>
    <w:rsid w:val="00A00F0D"/>
    <w:rsid w:val="00A00F2C"/>
    <w:rsid w:val="00A01283"/>
    <w:rsid w:val="00A017E9"/>
    <w:rsid w:val="00A01C22"/>
    <w:rsid w:val="00A01D4D"/>
    <w:rsid w:val="00A02406"/>
    <w:rsid w:val="00A02502"/>
    <w:rsid w:val="00A02633"/>
    <w:rsid w:val="00A027CE"/>
    <w:rsid w:val="00A0298D"/>
    <w:rsid w:val="00A031DB"/>
    <w:rsid w:val="00A0342B"/>
    <w:rsid w:val="00A038FA"/>
    <w:rsid w:val="00A03968"/>
    <w:rsid w:val="00A03C42"/>
    <w:rsid w:val="00A03C5A"/>
    <w:rsid w:val="00A03D15"/>
    <w:rsid w:val="00A04851"/>
    <w:rsid w:val="00A04DBA"/>
    <w:rsid w:val="00A04F1F"/>
    <w:rsid w:val="00A0500A"/>
    <w:rsid w:val="00A0501C"/>
    <w:rsid w:val="00A052B0"/>
    <w:rsid w:val="00A05A70"/>
    <w:rsid w:val="00A0625B"/>
    <w:rsid w:val="00A0654E"/>
    <w:rsid w:val="00A06832"/>
    <w:rsid w:val="00A06D6E"/>
    <w:rsid w:val="00A06DB2"/>
    <w:rsid w:val="00A0700D"/>
    <w:rsid w:val="00A105A8"/>
    <w:rsid w:val="00A10E44"/>
    <w:rsid w:val="00A10FD1"/>
    <w:rsid w:val="00A1102C"/>
    <w:rsid w:val="00A1105F"/>
    <w:rsid w:val="00A1129D"/>
    <w:rsid w:val="00A119E2"/>
    <w:rsid w:val="00A11AE8"/>
    <w:rsid w:val="00A1207F"/>
    <w:rsid w:val="00A1217B"/>
    <w:rsid w:val="00A1241B"/>
    <w:rsid w:val="00A12744"/>
    <w:rsid w:val="00A1274B"/>
    <w:rsid w:val="00A12AA2"/>
    <w:rsid w:val="00A12D6A"/>
    <w:rsid w:val="00A12F67"/>
    <w:rsid w:val="00A14179"/>
    <w:rsid w:val="00A1459A"/>
    <w:rsid w:val="00A145DD"/>
    <w:rsid w:val="00A14B13"/>
    <w:rsid w:val="00A14FE3"/>
    <w:rsid w:val="00A1501C"/>
    <w:rsid w:val="00A16196"/>
    <w:rsid w:val="00A16398"/>
    <w:rsid w:val="00A1640F"/>
    <w:rsid w:val="00A16680"/>
    <w:rsid w:val="00A1768D"/>
    <w:rsid w:val="00A176F8"/>
    <w:rsid w:val="00A17968"/>
    <w:rsid w:val="00A17F63"/>
    <w:rsid w:val="00A205DB"/>
    <w:rsid w:val="00A20EA2"/>
    <w:rsid w:val="00A21206"/>
    <w:rsid w:val="00A21310"/>
    <w:rsid w:val="00A21893"/>
    <w:rsid w:val="00A21B7F"/>
    <w:rsid w:val="00A22017"/>
    <w:rsid w:val="00A22406"/>
    <w:rsid w:val="00A226D4"/>
    <w:rsid w:val="00A22DBE"/>
    <w:rsid w:val="00A22FFC"/>
    <w:rsid w:val="00A23434"/>
    <w:rsid w:val="00A236B7"/>
    <w:rsid w:val="00A244BD"/>
    <w:rsid w:val="00A24611"/>
    <w:rsid w:val="00A247F2"/>
    <w:rsid w:val="00A2499F"/>
    <w:rsid w:val="00A24A3C"/>
    <w:rsid w:val="00A24DB8"/>
    <w:rsid w:val="00A24F3E"/>
    <w:rsid w:val="00A25112"/>
    <w:rsid w:val="00A2597F"/>
    <w:rsid w:val="00A25A17"/>
    <w:rsid w:val="00A25D40"/>
    <w:rsid w:val="00A25E55"/>
    <w:rsid w:val="00A25F1F"/>
    <w:rsid w:val="00A25FD3"/>
    <w:rsid w:val="00A26CAF"/>
    <w:rsid w:val="00A2727E"/>
    <w:rsid w:val="00A2749C"/>
    <w:rsid w:val="00A278C6"/>
    <w:rsid w:val="00A27933"/>
    <w:rsid w:val="00A279AA"/>
    <w:rsid w:val="00A27AE2"/>
    <w:rsid w:val="00A300CB"/>
    <w:rsid w:val="00A3109A"/>
    <w:rsid w:val="00A31292"/>
    <w:rsid w:val="00A312A8"/>
    <w:rsid w:val="00A313B0"/>
    <w:rsid w:val="00A31827"/>
    <w:rsid w:val="00A319A9"/>
    <w:rsid w:val="00A3230C"/>
    <w:rsid w:val="00A32361"/>
    <w:rsid w:val="00A32866"/>
    <w:rsid w:val="00A328D2"/>
    <w:rsid w:val="00A32E7B"/>
    <w:rsid w:val="00A330AB"/>
    <w:rsid w:val="00A345D4"/>
    <w:rsid w:val="00A3476A"/>
    <w:rsid w:val="00A3551A"/>
    <w:rsid w:val="00A35B58"/>
    <w:rsid w:val="00A35C80"/>
    <w:rsid w:val="00A35D73"/>
    <w:rsid w:val="00A360D6"/>
    <w:rsid w:val="00A36609"/>
    <w:rsid w:val="00A36DDE"/>
    <w:rsid w:val="00A37784"/>
    <w:rsid w:val="00A3791E"/>
    <w:rsid w:val="00A37E88"/>
    <w:rsid w:val="00A40382"/>
    <w:rsid w:val="00A40683"/>
    <w:rsid w:val="00A406DB"/>
    <w:rsid w:val="00A407D8"/>
    <w:rsid w:val="00A413E9"/>
    <w:rsid w:val="00A417E8"/>
    <w:rsid w:val="00A4190F"/>
    <w:rsid w:val="00A41A18"/>
    <w:rsid w:val="00A41AA5"/>
    <w:rsid w:val="00A41B26"/>
    <w:rsid w:val="00A41FC4"/>
    <w:rsid w:val="00A42438"/>
    <w:rsid w:val="00A424BD"/>
    <w:rsid w:val="00A42DE4"/>
    <w:rsid w:val="00A43E50"/>
    <w:rsid w:val="00A43EC8"/>
    <w:rsid w:val="00A43EDB"/>
    <w:rsid w:val="00A43F3E"/>
    <w:rsid w:val="00A43F9B"/>
    <w:rsid w:val="00A440F8"/>
    <w:rsid w:val="00A442EF"/>
    <w:rsid w:val="00A4448B"/>
    <w:rsid w:val="00A4497D"/>
    <w:rsid w:val="00A449EF"/>
    <w:rsid w:val="00A44F45"/>
    <w:rsid w:val="00A452A2"/>
    <w:rsid w:val="00A4539E"/>
    <w:rsid w:val="00A4561D"/>
    <w:rsid w:val="00A460A6"/>
    <w:rsid w:val="00A4630E"/>
    <w:rsid w:val="00A46491"/>
    <w:rsid w:val="00A46976"/>
    <w:rsid w:val="00A469F8"/>
    <w:rsid w:val="00A46A60"/>
    <w:rsid w:val="00A46D7C"/>
    <w:rsid w:val="00A46EF3"/>
    <w:rsid w:val="00A47163"/>
    <w:rsid w:val="00A4716A"/>
    <w:rsid w:val="00A47326"/>
    <w:rsid w:val="00A47350"/>
    <w:rsid w:val="00A4798C"/>
    <w:rsid w:val="00A502C7"/>
    <w:rsid w:val="00A5037F"/>
    <w:rsid w:val="00A50789"/>
    <w:rsid w:val="00A50C5B"/>
    <w:rsid w:val="00A50CCB"/>
    <w:rsid w:val="00A50D93"/>
    <w:rsid w:val="00A50E28"/>
    <w:rsid w:val="00A50E7F"/>
    <w:rsid w:val="00A50F64"/>
    <w:rsid w:val="00A5112B"/>
    <w:rsid w:val="00A518D5"/>
    <w:rsid w:val="00A51ED3"/>
    <w:rsid w:val="00A521BE"/>
    <w:rsid w:val="00A52AD1"/>
    <w:rsid w:val="00A52C6A"/>
    <w:rsid w:val="00A52CF9"/>
    <w:rsid w:val="00A53259"/>
    <w:rsid w:val="00A534CB"/>
    <w:rsid w:val="00A53965"/>
    <w:rsid w:val="00A53D85"/>
    <w:rsid w:val="00A5436E"/>
    <w:rsid w:val="00A54685"/>
    <w:rsid w:val="00A548A7"/>
    <w:rsid w:val="00A549A3"/>
    <w:rsid w:val="00A54C36"/>
    <w:rsid w:val="00A54F29"/>
    <w:rsid w:val="00A55108"/>
    <w:rsid w:val="00A551F4"/>
    <w:rsid w:val="00A55275"/>
    <w:rsid w:val="00A55D6A"/>
    <w:rsid w:val="00A55EB1"/>
    <w:rsid w:val="00A563AE"/>
    <w:rsid w:val="00A566B8"/>
    <w:rsid w:val="00A56A32"/>
    <w:rsid w:val="00A571D1"/>
    <w:rsid w:val="00A57431"/>
    <w:rsid w:val="00A574D8"/>
    <w:rsid w:val="00A57591"/>
    <w:rsid w:val="00A57A4A"/>
    <w:rsid w:val="00A57B01"/>
    <w:rsid w:val="00A57DA1"/>
    <w:rsid w:val="00A6026A"/>
    <w:rsid w:val="00A603AF"/>
    <w:rsid w:val="00A60785"/>
    <w:rsid w:val="00A60B0B"/>
    <w:rsid w:val="00A61317"/>
    <w:rsid w:val="00A615DA"/>
    <w:rsid w:val="00A61674"/>
    <w:rsid w:val="00A61EE9"/>
    <w:rsid w:val="00A6212B"/>
    <w:rsid w:val="00A624D3"/>
    <w:rsid w:val="00A626F2"/>
    <w:rsid w:val="00A62AC5"/>
    <w:rsid w:val="00A62BBE"/>
    <w:rsid w:val="00A63045"/>
    <w:rsid w:val="00A63542"/>
    <w:rsid w:val="00A6384B"/>
    <w:rsid w:val="00A63A9E"/>
    <w:rsid w:val="00A63C95"/>
    <w:rsid w:val="00A63E72"/>
    <w:rsid w:val="00A6423C"/>
    <w:rsid w:val="00A64E61"/>
    <w:rsid w:val="00A65561"/>
    <w:rsid w:val="00A655EE"/>
    <w:rsid w:val="00A65828"/>
    <w:rsid w:val="00A659B8"/>
    <w:rsid w:val="00A65E07"/>
    <w:rsid w:val="00A65F23"/>
    <w:rsid w:val="00A661A4"/>
    <w:rsid w:val="00A6640F"/>
    <w:rsid w:val="00A6653E"/>
    <w:rsid w:val="00A66663"/>
    <w:rsid w:val="00A66A57"/>
    <w:rsid w:val="00A66EDF"/>
    <w:rsid w:val="00A66FB8"/>
    <w:rsid w:val="00A671A1"/>
    <w:rsid w:val="00A67521"/>
    <w:rsid w:val="00A6758D"/>
    <w:rsid w:val="00A70140"/>
    <w:rsid w:val="00A706F4"/>
    <w:rsid w:val="00A70839"/>
    <w:rsid w:val="00A70B0A"/>
    <w:rsid w:val="00A71908"/>
    <w:rsid w:val="00A71B8A"/>
    <w:rsid w:val="00A71BB5"/>
    <w:rsid w:val="00A720DB"/>
    <w:rsid w:val="00A732B0"/>
    <w:rsid w:val="00A7347A"/>
    <w:rsid w:val="00A737A1"/>
    <w:rsid w:val="00A73B8A"/>
    <w:rsid w:val="00A73DB8"/>
    <w:rsid w:val="00A73FA8"/>
    <w:rsid w:val="00A740B0"/>
    <w:rsid w:val="00A740F4"/>
    <w:rsid w:val="00A74196"/>
    <w:rsid w:val="00A74340"/>
    <w:rsid w:val="00A7435B"/>
    <w:rsid w:val="00A7551B"/>
    <w:rsid w:val="00A755E2"/>
    <w:rsid w:val="00A75BD7"/>
    <w:rsid w:val="00A75F14"/>
    <w:rsid w:val="00A75FBB"/>
    <w:rsid w:val="00A77020"/>
    <w:rsid w:val="00A7720F"/>
    <w:rsid w:val="00A778EA"/>
    <w:rsid w:val="00A77B93"/>
    <w:rsid w:val="00A80B3E"/>
    <w:rsid w:val="00A80DBE"/>
    <w:rsid w:val="00A80EBE"/>
    <w:rsid w:val="00A8109F"/>
    <w:rsid w:val="00A8141A"/>
    <w:rsid w:val="00A81689"/>
    <w:rsid w:val="00A81A0D"/>
    <w:rsid w:val="00A81D4F"/>
    <w:rsid w:val="00A827B4"/>
    <w:rsid w:val="00A828DE"/>
    <w:rsid w:val="00A82CB8"/>
    <w:rsid w:val="00A82EC6"/>
    <w:rsid w:val="00A83697"/>
    <w:rsid w:val="00A83E8B"/>
    <w:rsid w:val="00A844DE"/>
    <w:rsid w:val="00A847EE"/>
    <w:rsid w:val="00A852AD"/>
    <w:rsid w:val="00A8538D"/>
    <w:rsid w:val="00A8599F"/>
    <w:rsid w:val="00A86328"/>
    <w:rsid w:val="00A8645C"/>
    <w:rsid w:val="00A86489"/>
    <w:rsid w:val="00A86596"/>
    <w:rsid w:val="00A87021"/>
    <w:rsid w:val="00A87323"/>
    <w:rsid w:val="00A87D0E"/>
    <w:rsid w:val="00A900A7"/>
    <w:rsid w:val="00A90353"/>
    <w:rsid w:val="00A904D7"/>
    <w:rsid w:val="00A9107F"/>
    <w:rsid w:val="00A912E4"/>
    <w:rsid w:val="00A91492"/>
    <w:rsid w:val="00A91997"/>
    <w:rsid w:val="00A920A0"/>
    <w:rsid w:val="00A9215D"/>
    <w:rsid w:val="00A92449"/>
    <w:rsid w:val="00A9270A"/>
    <w:rsid w:val="00A92DD0"/>
    <w:rsid w:val="00A93101"/>
    <w:rsid w:val="00A9344D"/>
    <w:rsid w:val="00A935C1"/>
    <w:rsid w:val="00A93859"/>
    <w:rsid w:val="00A93DFF"/>
    <w:rsid w:val="00A940CC"/>
    <w:rsid w:val="00A943E3"/>
    <w:rsid w:val="00A945B1"/>
    <w:rsid w:val="00A948D9"/>
    <w:rsid w:val="00A94C99"/>
    <w:rsid w:val="00A94F1A"/>
    <w:rsid w:val="00A95069"/>
    <w:rsid w:val="00A950F3"/>
    <w:rsid w:val="00A95109"/>
    <w:rsid w:val="00A95A39"/>
    <w:rsid w:val="00A95AD1"/>
    <w:rsid w:val="00A95CA3"/>
    <w:rsid w:val="00A9623E"/>
    <w:rsid w:val="00A96489"/>
    <w:rsid w:val="00A96DAE"/>
    <w:rsid w:val="00A96FB3"/>
    <w:rsid w:val="00A9777F"/>
    <w:rsid w:val="00A97A21"/>
    <w:rsid w:val="00A97D9B"/>
    <w:rsid w:val="00A97E2D"/>
    <w:rsid w:val="00A97F72"/>
    <w:rsid w:val="00A97FEE"/>
    <w:rsid w:val="00AA01D3"/>
    <w:rsid w:val="00AA0328"/>
    <w:rsid w:val="00AA09AF"/>
    <w:rsid w:val="00AA0B7C"/>
    <w:rsid w:val="00AA144A"/>
    <w:rsid w:val="00AA145B"/>
    <w:rsid w:val="00AA17F2"/>
    <w:rsid w:val="00AA214C"/>
    <w:rsid w:val="00AA21AB"/>
    <w:rsid w:val="00AA2307"/>
    <w:rsid w:val="00AA32ED"/>
    <w:rsid w:val="00AA3510"/>
    <w:rsid w:val="00AA3694"/>
    <w:rsid w:val="00AA3F63"/>
    <w:rsid w:val="00AA4334"/>
    <w:rsid w:val="00AA4DDD"/>
    <w:rsid w:val="00AA5014"/>
    <w:rsid w:val="00AA5602"/>
    <w:rsid w:val="00AA5987"/>
    <w:rsid w:val="00AA6026"/>
    <w:rsid w:val="00AA6A62"/>
    <w:rsid w:val="00AA6EBB"/>
    <w:rsid w:val="00AA75F5"/>
    <w:rsid w:val="00AA7AF0"/>
    <w:rsid w:val="00AA7F10"/>
    <w:rsid w:val="00AB0129"/>
    <w:rsid w:val="00AB015E"/>
    <w:rsid w:val="00AB0AE7"/>
    <w:rsid w:val="00AB0DDD"/>
    <w:rsid w:val="00AB17FA"/>
    <w:rsid w:val="00AB1FA8"/>
    <w:rsid w:val="00AB2561"/>
    <w:rsid w:val="00AB2586"/>
    <w:rsid w:val="00AB2A5A"/>
    <w:rsid w:val="00AB2A7A"/>
    <w:rsid w:val="00AB2C30"/>
    <w:rsid w:val="00AB30B8"/>
    <w:rsid w:val="00AB33A5"/>
    <w:rsid w:val="00AB36FD"/>
    <w:rsid w:val="00AB3DAE"/>
    <w:rsid w:val="00AB471C"/>
    <w:rsid w:val="00AB493F"/>
    <w:rsid w:val="00AB4C95"/>
    <w:rsid w:val="00AB4E79"/>
    <w:rsid w:val="00AB5186"/>
    <w:rsid w:val="00AB5302"/>
    <w:rsid w:val="00AB5C4C"/>
    <w:rsid w:val="00AB603A"/>
    <w:rsid w:val="00AB622B"/>
    <w:rsid w:val="00AB641E"/>
    <w:rsid w:val="00AB699A"/>
    <w:rsid w:val="00AB6AF9"/>
    <w:rsid w:val="00AB6CB1"/>
    <w:rsid w:val="00AB70A9"/>
    <w:rsid w:val="00AB7242"/>
    <w:rsid w:val="00AB7410"/>
    <w:rsid w:val="00AB74AD"/>
    <w:rsid w:val="00AB764A"/>
    <w:rsid w:val="00AB764B"/>
    <w:rsid w:val="00AB7B9B"/>
    <w:rsid w:val="00AB7CBF"/>
    <w:rsid w:val="00AC003B"/>
    <w:rsid w:val="00AC00B3"/>
    <w:rsid w:val="00AC03DB"/>
    <w:rsid w:val="00AC187F"/>
    <w:rsid w:val="00AC23B2"/>
    <w:rsid w:val="00AC2731"/>
    <w:rsid w:val="00AC2A51"/>
    <w:rsid w:val="00AC39C7"/>
    <w:rsid w:val="00AC3A2A"/>
    <w:rsid w:val="00AC3B27"/>
    <w:rsid w:val="00AC3CB7"/>
    <w:rsid w:val="00AC3D99"/>
    <w:rsid w:val="00AC3DB5"/>
    <w:rsid w:val="00AC3FF0"/>
    <w:rsid w:val="00AC4055"/>
    <w:rsid w:val="00AC4730"/>
    <w:rsid w:val="00AC47AB"/>
    <w:rsid w:val="00AC4B1F"/>
    <w:rsid w:val="00AC5AE0"/>
    <w:rsid w:val="00AC5DE3"/>
    <w:rsid w:val="00AC6018"/>
    <w:rsid w:val="00AC6281"/>
    <w:rsid w:val="00AC62BD"/>
    <w:rsid w:val="00AC67B2"/>
    <w:rsid w:val="00AC7060"/>
    <w:rsid w:val="00AC7ECC"/>
    <w:rsid w:val="00AD0131"/>
    <w:rsid w:val="00AD01CF"/>
    <w:rsid w:val="00AD02C3"/>
    <w:rsid w:val="00AD0DA5"/>
    <w:rsid w:val="00AD1508"/>
    <w:rsid w:val="00AD1AE5"/>
    <w:rsid w:val="00AD1FAE"/>
    <w:rsid w:val="00AD26B7"/>
    <w:rsid w:val="00AD26BD"/>
    <w:rsid w:val="00AD2830"/>
    <w:rsid w:val="00AD2AD9"/>
    <w:rsid w:val="00AD2BAF"/>
    <w:rsid w:val="00AD348E"/>
    <w:rsid w:val="00AD3823"/>
    <w:rsid w:val="00AD3AC2"/>
    <w:rsid w:val="00AD3C7A"/>
    <w:rsid w:val="00AD401D"/>
    <w:rsid w:val="00AD4168"/>
    <w:rsid w:val="00AD4173"/>
    <w:rsid w:val="00AD427B"/>
    <w:rsid w:val="00AD43DB"/>
    <w:rsid w:val="00AD45B3"/>
    <w:rsid w:val="00AD4874"/>
    <w:rsid w:val="00AD51CF"/>
    <w:rsid w:val="00AD5796"/>
    <w:rsid w:val="00AD5A84"/>
    <w:rsid w:val="00AD5B81"/>
    <w:rsid w:val="00AD5F2C"/>
    <w:rsid w:val="00AD61BB"/>
    <w:rsid w:val="00AD6417"/>
    <w:rsid w:val="00AD6C48"/>
    <w:rsid w:val="00AD7391"/>
    <w:rsid w:val="00AD73D9"/>
    <w:rsid w:val="00AD77D6"/>
    <w:rsid w:val="00AD7B3D"/>
    <w:rsid w:val="00AE0003"/>
    <w:rsid w:val="00AE08C8"/>
    <w:rsid w:val="00AE0AE0"/>
    <w:rsid w:val="00AE0B30"/>
    <w:rsid w:val="00AE14C1"/>
    <w:rsid w:val="00AE1E67"/>
    <w:rsid w:val="00AE1FFE"/>
    <w:rsid w:val="00AE2021"/>
    <w:rsid w:val="00AE219F"/>
    <w:rsid w:val="00AE2362"/>
    <w:rsid w:val="00AE268A"/>
    <w:rsid w:val="00AE2DDB"/>
    <w:rsid w:val="00AE2ED5"/>
    <w:rsid w:val="00AE332E"/>
    <w:rsid w:val="00AE3887"/>
    <w:rsid w:val="00AE450C"/>
    <w:rsid w:val="00AE4633"/>
    <w:rsid w:val="00AE4D6A"/>
    <w:rsid w:val="00AE58A1"/>
    <w:rsid w:val="00AE5922"/>
    <w:rsid w:val="00AE5FD1"/>
    <w:rsid w:val="00AE64DF"/>
    <w:rsid w:val="00AE7A91"/>
    <w:rsid w:val="00AE7DC2"/>
    <w:rsid w:val="00AF02F9"/>
    <w:rsid w:val="00AF0450"/>
    <w:rsid w:val="00AF0A50"/>
    <w:rsid w:val="00AF112C"/>
    <w:rsid w:val="00AF11FA"/>
    <w:rsid w:val="00AF2006"/>
    <w:rsid w:val="00AF22D3"/>
    <w:rsid w:val="00AF255D"/>
    <w:rsid w:val="00AF2743"/>
    <w:rsid w:val="00AF29AA"/>
    <w:rsid w:val="00AF2E7E"/>
    <w:rsid w:val="00AF2F5D"/>
    <w:rsid w:val="00AF3215"/>
    <w:rsid w:val="00AF38A1"/>
    <w:rsid w:val="00AF444D"/>
    <w:rsid w:val="00AF4568"/>
    <w:rsid w:val="00AF45EB"/>
    <w:rsid w:val="00AF46C9"/>
    <w:rsid w:val="00AF4917"/>
    <w:rsid w:val="00AF4ADE"/>
    <w:rsid w:val="00AF4B8D"/>
    <w:rsid w:val="00AF52DF"/>
    <w:rsid w:val="00AF5441"/>
    <w:rsid w:val="00AF5786"/>
    <w:rsid w:val="00AF5A6C"/>
    <w:rsid w:val="00AF5AB6"/>
    <w:rsid w:val="00AF60C3"/>
    <w:rsid w:val="00AF6318"/>
    <w:rsid w:val="00AF63AE"/>
    <w:rsid w:val="00AF68A4"/>
    <w:rsid w:val="00AF6AD6"/>
    <w:rsid w:val="00AF7182"/>
    <w:rsid w:val="00AF7425"/>
    <w:rsid w:val="00AF79C4"/>
    <w:rsid w:val="00AF7D69"/>
    <w:rsid w:val="00B00638"/>
    <w:rsid w:val="00B007B1"/>
    <w:rsid w:val="00B00A76"/>
    <w:rsid w:val="00B01686"/>
    <w:rsid w:val="00B01857"/>
    <w:rsid w:val="00B01CE6"/>
    <w:rsid w:val="00B01D28"/>
    <w:rsid w:val="00B01F68"/>
    <w:rsid w:val="00B0239E"/>
    <w:rsid w:val="00B02502"/>
    <w:rsid w:val="00B02F92"/>
    <w:rsid w:val="00B03194"/>
    <w:rsid w:val="00B031FE"/>
    <w:rsid w:val="00B03ADB"/>
    <w:rsid w:val="00B03E6B"/>
    <w:rsid w:val="00B04433"/>
    <w:rsid w:val="00B0510B"/>
    <w:rsid w:val="00B054C2"/>
    <w:rsid w:val="00B05515"/>
    <w:rsid w:val="00B05646"/>
    <w:rsid w:val="00B056B6"/>
    <w:rsid w:val="00B0573D"/>
    <w:rsid w:val="00B059F3"/>
    <w:rsid w:val="00B05A2F"/>
    <w:rsid w:val="00B0603D"/>
    <w:rsid w:val="00B06218"/>
    <w:rsid w:val="00B069F1"/>
    <w:rsid w:val="00B0707B"/>
    <w:rsid w:val="00B07112"/>
    <w:rsid w:val="00B1034C"/>
    <w:rsid w:val="00B104ED"/>
    <w:rsid w:val="00B10F06"/>
    <w:rsid w:val="00B10F0E"/>
    <w:rsid w:val="00B10F51"/>
    <w:rsid w:val="00B10FCB"/>
    <w:rsid w:val="00B11534"/>
    <w:rsid w:val="00B117D8"/>
    <w:rsid w:val="00B11F72"/>
    <w:rsid w:val="00B12393"/>
    <w:rsid w:val="00B12A5B"/>
    <w:rsid w:val="00B1308C"/>
    <w:rsid w:val="00B13511"/>
    <w:rsid w:val="00B13C00"/>
    <w:rsid w:val="00B1420E"/>
    <w:rsid w:val="00B142B8"/>
    <w:rsid w:val="00B16015"/>
    <w:rsid w:val="00B16152"/>
    <w:rsid w:val="00B1689C"/>
    <w:rsid w:val="00B1706C"/>
    <w:rsid w:val="00B1712B"/>
    <w:rsid w:val="00B17715"/>
    <w:rsid w:val="00B17BA6"/>
    <w:rsid w:val="00B17BCC"/>
    <w:rsid w:val="00B17F26"/>
    <w:rsid w:val="00B201EF"/>
    <w:rsid w:val="00B202E1"/>
    <w:rsid w:val="00B203BB"/>
    <w:rsid w:val="00B208C9"/>
    <w:rsid w:val="00B20AB8"/>
    <w:rsid w:val="00B20B8F"/>
    <w:rsid w:val="00B20B95"/>
    <w:rsid w:val="00B20C8F"/>
    <w:rsid w:val="00B211FD"/>
    <w:rsid w:val="00B212B4"/>
    <w:rsid w:val="00B21306"/>
    <w:rsid w:val="00B21484"/>
    <w:rsid w:val="00B21603"/>
    <w:rsid w:val="00B2164B"/>
    <w:rsid w:val="00B21E9E"/>
    <w:rsid w:val="00B22264"/>
    <w:rsid w:val="00B22786"/>
    <w:rsid w:val="00B228EA"/>
    <w:rsid w:val="00B2324C"/>
    <w:rsid w:val="00B237AB"/>
    <w:rsid w:val="00B2381E"/>
    <w:rsid w:val="00B23B4F"/>
    <w:rsid w:val="00B23D50"/>
    <w:rsid w:val="00B23F5A"/>
    <w:rsid w:val="00B24057"/>
    <w:rsid w:val="00B242B3"/>
    <w:rsid w:val="00B243C7"/>
    <w:rsid w:val="00B2453B"/>
    <w:rsid w:val="00B24926"/>
    <w:rsid w:val="00B24AEE"/>
    <w:rsid w:val="00B24AFC"/>
    <w:rsid w:val="00B251F0"/>
    <w:rsid w:val="00B2572B"/>
    <w:rsid w:val="00B25939"/>
    <w:rsid w:val="00B25A53"/>
    <w:rsid w:val="00B25BB0"/>
    <w:rsid w:val="00B26227"/>
    <w:rsid w:val="00B264B7"/>
    <w:rsid w:val="00B26A9C"/>
    <w:rsid w:val="00B26C9B"/>
    <w:rsid w:val="00B26D31"/>
    <w:rsid w:val="00B2740E"/>
    <w:rsid w:val="00B27463"/>
    <w:rsid w:val="00B300F5"/>
    <w:rsid w:val="00B3031A"/>
    <w:rsid w:val="00B30608"/>
    <w:rsid w:val="00B3060F"/>
    <w:rsid w:val="00B30978"/>
    <w:rsid w:val="00B309D8"/>
    <w:rsid w:val="00B30D44"/>
    <w:rsid w:val="00B30EC4"/>
    <w:rsid w:val="00B312DF"/>
    <w:rsid w:val="00B31C82"/>
    <w:rsid w:val="00B31DB8"/>
    <w:rsid w:val="00B31E2A"/>
    <w:rsid w:val="00B31F87"/>
    <w:rsid w:val="00B321A6"/>
    <w:rsid w:val="00B32478"/>
    <w:rsid w:val="00B32585"/>
    <w:rsid w:val="00B32BA9"/>
    <w:rsid w:val="00B32E9D"/>
    <w:rsid w:val="00B32F25"/>
    <w:rsid w:val="00B3318C"/>
    <w:rsid w:val="00B33403"/>
    <w:rsid w:val="00B336CA"/>
    <w:rsid w:val="00B33BCC"/>
    <w:rsid w:val="00B341E6"/>
    <w:rsid w:val="00B34A4E"/>
    <w:rsid w:val="00B34B66"/>
    <w:rsid w:val="00B34C92"/>
    <w:rsid w:val="00B34ECA"/>
    <w:rsid w:val="00B34EEB"/>
    <w:rsid w:val="00B34F1F"/>
    <w:rsid w:val="00B35509"/>
    <w:rsid w:val="00B35984"/>
    <w:rsid w:val="00B35BC7"/>
    <w:rsid w:val="00B36535"/>
    <w:rsid w:val="00B3670F"/>
    <w:rsid w:val="00B36E47"/>
    <w:rsid w:val="00B37407"/>
    <w:rsid w:val="00B37711"/>
    <w:rsid w:val="00B4038F"/>
    <w:rsid w:val="00B40949"/>
    <w:rsid w:val="00B40F28"/>
    <w:rsid w:val="00B411BA"/>
    <w:rsid w:val="00B418E8"/>
    <w:rsid w:val="00B41A8E"/>
    <w:rsid w:val="00B420BC"/>
    <w:rsid w:val="00B42150"/>
    <w:rsid w:val="00B42885"/>
    <w:rsid w:val="00B42A42"/>
    <w:rsid w:val="00B42D7B"/>
    <w:rsid w:val="00B4319F"/>
    <w:rsid w:val="00B433BE"/>
    <w:rsid w:val="00B437AA"/>
    <w:rsid w:val="00B43EFE"/>
    <w:rsid w:val="00B447F8"/>
    <w:rsid w:val="00B44822"/>
    <w:rsid w:val="00B44ED8"/>
    <w:rsid w:val="00B44F0F"/>
    <w:rsid w:val="00B44FEF"/>
    <w:rsid w:val="00B4542B"/>
    <w:rsid w:val="00B454CD"/>
    <w:rsid w:val="00B45A4C"/>
    <w:rsid w:val="00B45BB3"/>
    <w:rsid w:val="00B46042"/>
    <w:rsid w:val="00B46671"/>
    <w:rsid w:val="00B47004"/>
    <w:rsid w:val="00B47425"/>
    <w:rsid w:val="00B47500"/>
    <w:rsid w:val="00B47DF4"/>
    <w:rsid w:val="00B50194"/>
    <w:rsid w:val="00B502E5"/>
    <w:rsid w:val="00B50495"/>
    <w:rsid w:val="00B5060E"/>
    <w:rsid w:val="00B506BC"/>
    <w:rsid w:val="00B50711"/>
    <w:rsid w:val="00B5075A"/>
    <w:rsid w:val="00B507DA"/>
    <w:rsid w:val="00B508A0"/>
    <w:rsid w:val="00B50989"/>
    <w:rsid w:val="00B50B08"/>
    <w:rsid w:val="00B50B8C"/>
    <w:rsid w:val="00B5163C"/>
    <w:rsid w:val="00B51A6B"/>
    <w:rsid w:val="00B51F85"/>
    <w:rsid w:val="00B5267D"/>
    <w:rsid w:val="00B528FC"/>
    <w:rsid w:val="00B53363"/>
    <w:rsid w:val="00B53698"/>
    <w:rsid w:val="00B53902"/>
    <w:rsid w:val="00B53A2C"/>
    <w:rsid w:val="00B53CEC"/>
    <w:rsid w:val="00B53F30"/>
    <w:rsid w:val="00B5450E"/>
    <w:rsid w:val="00B54A33"/>
    <w:rsid w:val="00B54B1D"/>
    <w:rsid w:val="00B54C88"/>
    <w:rsid w:val="00B54DCF"/>
    <w:rsid w:val="00B55F2E"/>
    <w:rsid w:val="00B55F5C"/>
    <w:rsid w:val="00B562E1"/>
    <w:rsid w:val="00B56935"/>
    <w:rsid w:val="00B56C22"/>
    <w:rsid w:val="00B56CC2"/>
    <w:rsid w:val="00B57350"/>
    <w:rsid w:val="00B5743D"/>
    <w:rsid w:val="00B57531"/>
    <w:rsid w:val="00B57B4C"/>
    <w:rsid w:val="00B57D72"/>
    <w:rsid w:val="00B600E4"/>
    <w:rsid w:val="00B606F1"/>
    <w:rsid w:val="00B60731"/>
    <w:rsid w:val="00B60952"/>
    <w:rsid w:val="00B60AC9"/>
    <w:rsid w:val="00B6119F"/>
    <w:rsid w:val="00B6192F"/>
    <w:rsid w:val="00B62218"/>
    <w:rsid w:val="00B622D0"/>
    <w:rsid w:val="00B62BDA"/>
    <w:rsid w:val="00B62E0B"/>
    <w:rsid w:val="00B632EE"/>
    <w:rsid w:val="00B635AC"/>
    <w:rsid w:val="00B635B1"/>
    <w:rsid w:val="00B63613"/>
    <w:rsid w:val="00B64321"/>
    <w:rsid w:val="00B6442C"/>
    <w:rsid w:val="00B64444"/>
    <w:rsid w:val="00B645BC"/>
    <w:rsid w:val="00B6497E"/>
    <w:rsid w:val="00B64CDF"/>
    <w:rsid w:val="00B65265"/>
    <w:rsid w:val="00B65A1C"/>
    <w:rsid w:val="00B65B4B"/>
    <w:rsid w:val="00B662F0"/>
    <w:rsid w:val="00B66485"/>
    <w:rsid w:val="00B66A3F"/>
    <w:rsid w:val="00B66B7B"/>
    <w:rsid w:val="00B67005"/>
    <w:rsid w:val="00B671C5"/>
    <w:rsid w:val="00B67234"/>
    <w:rsid w:val="00B67529"/>
    <w:rsid w:val="00B675D3"/>
    <w:rsid w:val="00B678A7"/>
    <w:rsid w:val="00B70068"/>
    <w:rsid w:val="00B704A9"/>
    <w:rsid w:val="00B704B3"/>
    <w:rsid w:val="00B70D64"/>
    <w:rsid w:val="00B710D7"/>
    <w:rsid w:val="00B711D6"/>
    <w:rsid w:val="00B71B22"/>
    <w:rsid w:val="00B71D77"/>
    <w:rsid w:val="00B71D97"/>
    <w:rsid w:val="00B72048"/>
    <w:rsid w:val="00B7284B"/>
    <w:rsid w:val="00B729C1"/>
    <w:rsid w:val="00B72E15"/>
    <w:rsid w:val="00B73596"/>
    <w:rsid w:val="00B738B2"/>
    <w:rsid w:val="00B73D54"/>
    <w:rsid w:val="00B73FF0"/>
    <w:rsid w:val="00B74040"/>
    <w:rsid w:val="00B740E1"/>
    <w:rsid w:val="00B747FE"/>
    <w:rsid w:val="00B74A6F"/>
    <w:rsid w:val="00B74B46"/>
    <w:rsid w:val="00B74EA7"/>
    <w:rsid w:val="00B755B5"/>
    <w:rsid w:val="00B75DBC"/>
    <w:rsid w:val="00B75E96"/>
    <w:rsid w:val="00B7608A"/>
    <w:rsid w:val="00B76252"/>
    <w:rsid w:val="00B767FD"/>
    <w:rsid w:val="00B76854"/>
    <w:rsid w:val="00B76861"/>
    <w:rsid w:val="00B76A71"/>
    <w:rsid w:val="00B76C03"/>
    <w:rsid w:val="00B77118"/>
    <w:rsid w:val="00B772B4"/>
    <w:rsid w:val="00B7730F"/>
    <w:rsid w:val="00B774B5"/>
    <w:rsid w:val="00B7778F"/>
    <w:rsid w:val="00B777C1"/>
    <w:rsid w:val="00B77ED5"/>
    <w:rsid w:val="00B80401"/>
    <w:rsid w:val="00B804C0"/>
    <w:rsid w:val="00B80600"/>
    <w:rsid w:val="00B80700"/>
    <w:rsid w:val="00B80A74"/>
    <w:rsid w:val="00B80CDE"/>
    <w:rsid w:val="00B80E96"/>
    <w:rsid w:val="00B81523"/>
    <w:rsid w:val="00B81727"/>
    <w:rsid w:val="00B818A0"/>
    <w:rsid w:val="00B81C74"/>
    <w:rsid w:val="00B82159"/>
    <w:rsid w:val="00B821A3"/>
    <w:rsid w:val="00B82320"/>
    <w:rsid w:val="00B824C8"/>
    <w:rsid w:val="00B827CA"/>
    <w:rsid w:val="00B82AF1"/>
    <w:rsid w:val="00B82AFE"/>
    <w:rsid w:val="00B82B3E"/>
    <w:rsid w:val="00B82B41"/>
    <w:rsid w:val="00B82C96"/>
    <w:rsid w:val="00B830F3"/>
    <w:rsid w:val="00B83B04"/>
    <w:rsid w:val="00B84943"/>
    <w:rsid w:val="00B84D0E"/>
    <w:rsid w:val="00B865DE"/>
    <w:rsid w:val="00B868B6"/>
    <w:rsid w:val="00B869EB"/>
    <w:rsid w:val="00B86F67"/>
    <w:rsid w:val="00B8717D"/>
    <w:rsid w:val="00B87BAA"/>
    <w:rsid w:val="00B87C4E"/>
    <w:rsid w:val="00B87DBE"/>
    <w:rsid w:val="00B87F09"/>
    <w:rsid w:val="00B87FE5"/>
    <w:rsid w:val="00B901F9"/>
    <w:rsid w:val="00B909E0"/>
    <w:rsid w:val="00B90A0C"/>
    <w:rsid w:val="00B90C27"/>
    <w:rsid w:val="00B911A3"/>
    <w:rsid w:val="00B917DD"/>
    <w:rsid w:val="00B9180D"/>
    <w:rsid w:val="00B91F70"/>
    <w:rsid w:val="00B92E68"/>
    <w:rsid w:val="00B934D6"/>
    <w:rsid w:val="00B9469E"/>
    <w:rsid w:val="00B946D1"/>
    <w:rsid w:val="00B94F0B"/>
    <w:rsid w:val="00B954AC"/>
    <w:rsid w:val="00B956BE"/>
    <w:rsid w:val="00B956F1"/>
    <w:rsid w:val="00B958D8"/>
    <w:rsid w:val="00B95955"/>
    <w:rsid w:val="00B95C5E"/>
    <w:rsid w:val="00B95E2C"/>
    <w:rsid w:val="00B95F44"/>
    <w:rsid w:val="00B963A9"/>
    <w:rsid w:val="00B9665F"/>
    <w:rsid w:val="00B96D50"/>
    <w:rsid w:val="00B979E1"/>
    <w:rsid w:val="00B97C9A"/>
    <w:rsid w:val="00BA03EA"/>
    <w:rsid w:val="00BA0459"/>
    <w:rsid w:val="00BA0571"/>
    <w:rsid w:val="00BA07C5"/>
    <w:rsid w:val="00BA088E"/>
    <w:rsid w:val="00BA094A"/>
    <w:rsid w:val="00BA0E2E"/>
    <w:rsid w:val="00BA1187"/>
    <w:rsid w:val="00BA13A2"/>
    <w:rsid w:val="00BA15FE"/>
    <w:rsid w:val="00BA1C13"/>
    <w:rsid w:val="00BA253B"/>
    <w:rsid w:val="00BA2540"/>
    <w:rsid w:val="00BA2588"/>
    <w:rsid w:val="00BA2BB3"/>
    <w:rsid w:val="00BA3276"/>
    <w:rsid w:val="00BA39A0"/>
    <w:rsid w:val="00BA3B48"/>
    <w:rsid w:val="00BA4695"/>
    <w:rsid w:val="00BA530D"/>
    <w:rsid w:val="00BA56DE"/>
    <w:rsid w:val="00BA598D"/>
    <w:rsid w:val="00BA60CF"/>
    <w:rsid w:val="00BA6325"/>
    <w:rsid w:val="00BA64A8"/>
    <w:rsid w:val="00BA69FE"/>
    <w:rsid w:val="00BA6DC6"/>
    <w:rsid w:val="00BA75A1"/>
    <w:rsid w:val="00BA765B"/>
    <w:rsid w:val="00BB05FD"/>
    <w:rsid w:val="00BB0698"/>
    <w:rsid w:val="00BB07EE"/>
    <w:rsid w:val="00BB0A64"/>
    <w:rsid w:val="00BB1063"/>
    <w:rsid w:val="00BB1087"/>
    <w:rsid w:val="00BB11AB"/>
    <w:rsid w:val="00BB1606"/>
    <w:rsid w:val="00BB166A"/>
    <w:rsid w:val="00BB1E96"/>
    <w:rsid w:val="00BB1FDB"/>
    <w:rsid w:val="00BB20D4"/>
    <w:rsid w:val="00BB22C9"/>
    <w:rsid w:val="00BB26CC"/>
    <w:rsid w:val="00BB28B8"/>
    <w:rsid w:val="00BB290A"/>
    <w:rsid w:val="00BB2DB7"/>
    <w:rsid w:val="00BB2EE1"/>
    <w:rsid w:val="00BB538B"/>
    <w:rsid w:val="00BB548A"/>
    <w:rsid w:val="00BB550E"/>
    <w:rsid w:val="00BB56AF"/>
    <w:rsid w:val="00BB5AD8"/>
    <w:rsid w:val="00BB5BB1"/>
    <w:rsid w:val="00BB5E9F"/>
    <w:rsid w:val="00BB63FF"/>
    <w:rsid w:val="00BB644E"/>
    <w:rsid w:val="00BB6711"/>
    <w:rsid w:val="00BB6A1A"/>
    <w:rsid w:val="00BB6B89"/>
    <w:rsid w:val="00BB6BE6"/>
    <w:rsid w:val="00BB70F2"/>
    <w:rsid w:val="00BB725F"/>
    <w:rsid w:val="00BB74ED"/>
    <w:rsid w:val="00BB78C4"/>
    <w:rsid w:val="00BB7E1B"/>
    <w:rsid w:val="00BC01AE"/>
    <w:rsid w:val="00BC0898"/>
    <w:rsid w:val="00BC09DA"/>
    <w:rsid w:val="00BC0B26"/>
    <w:rsid w:val="00BC0BA2"/>
    <w:rsid w:val="00BC0D0D"/>
    <w:rsid w:val="00BC119B"/>
    <w:rsid w:val="00BC14BE"/>
    <w:rsid w:val="00BC1BA4"/>
    <w:rsid w:val="00BC2621"/>
    <w:rsid w:val="00BC2874"/>
    <w:rsid w:val="00BC28E3"/>
    <w:rsid w:val="00BC2F99"/>
    <w:rsid w:val="00BC30BE"/>
    <w:rsid w:val="00BC3194"/>
    <w:rsid w:val="00BC3B64"/>
    <w:rsid w:val="00BC3F2F"/>
    <w:rsid w:val="00BC3F47"/>
    <w:rsid w:val="00BC4108"/>
    <w:rsid w:val="00BC4420"/>
    <w:rsid w:val="00BC468F"/>
    <w:rsid w:val="00BC4BA7"/>
    <w:rsid w:val="00BC4F0C"/>
    <w:rsid w:val="00BC5727"/>
    <w:rsid w:val="00BC5AF6"/>
    <w:rsid w:val="00BC6207"/>
    <w:rsid w:val="00BC633A"/>
    <w:rsid w:val="00BC633E"/>
    <w:rsid w:val="00BC68AD"/>
    <w:rsid w:val="00BC691C"/>
    <w:rsid w:val="00BC6C0B"/>
    <w:rsid w:val="00BC6C57"/>
    <w:rsid w:val="00BC6DC0"/>
    <w:rsid w:val="00BC6F90"/>
    <w:rsid w:val="00BC7035"/>
    <w:rsid w:val="00BC7118"/>
    <w:rsid w:val="00BD071F"/>
    <w:rsid w:val="00BD0B5E"/>
    <w:rsid w:val="00BD0C00"/>
    <w:rsid w:val="00BD0C8D"/>
    <w:rsid w:val="00BD1340"/>
    <w:rsid w:val="00BD1CE3"/>
    <w:rsid w:val="00BD210E"/>
    <w:rsid w:val="00BD22DC"/>
    <w:rsid w:val="00BD22E1"/>
    <w:rsid w:val="00BD2A8B"/>
    <w:rsid w:val="00BD2F99"/>
    <w:rsid w:val="00BD32DA"/>
    <w:rsid w:val="00BD38EA"/>
    <w:rsid w:val="00BD3902"/>
    <w:rsid w:val="00BD3F9B"/>
    <w:rsid w:val="00BD4200"/>
    <w:rsid w:val="00BD42CE"/>
    <w:rsid w:val="00BD4752"/>
    <w:rsid w:val="00BD481A"/>
    <w:rsid w:val="00BD4A9B"/>
    <w:rsid w:val="00BD4AA3"/>
    <w:rsid w:val="00BD4D6C"/>
    <w:rsid w:val="00BD5AFF"/>
    <w:rsid w:val="00BD5D13"/>
    <w:rsid w:val="00BD6063"/>
    <w:rsid w:val="00BD60B8"/>
    <w:rsid w:val="00BD661B"/>
    <w:rsid w:val="00BD6750"/>
    <w:rsid w:val="00BD69EA"/>
    <w:rsid w:val="00BD6C16"/>
    <w:rsid w:val="00BD6E9F"/>
    <w:rsid w:val="00BD7242"/>
    <w:rsid w:val="00BD7467"/>
    <w:rsid w:val="00BD75CD"/>
    <w:rsid w:val="00BD7B5F"/>
    <w:rsid w:val="00BD7E7E"/>
    <w:rsid w:val="00BE060C"/>
    <w:rsid w:val="00BE0610"/>
    <w:rsid w:val="00BE0C62"/>
    <w:rsid w:val="00BE0E79"/>
    <w:rsid w:val="00BE11D3"/>
    <w:rsid w:val="00BE17F4"/>
    <w:rsid w:val="00BE1A15"/>
    <w:rsid w:val="00BE1BD7"/>
    <w:rsid w:val="00BE1E89"/>
    <w:rsid w:val="00BE2137"/>
    <w:rsid w:val="00BE22FA"/>
    <w:rsid w:val="00BE2457"/>
    <w:rsid w:val="00BE2B0D"/>
    <w:rsid w:val="00BE2E4C"/>
    <w:rsid w:val="00BE3212"/>
    <w:rsid w:val="00BE35A6"/>
    <w:rsid w:val="00BE35EA"/>
    <w:rsid w:val="00BE3A68"/>
    <w:rsid w:val="00BE43DC"/>
    <w:rsid w:val="00BE43E5"/>
    <w:rsid w:val="00BE5259"/>
    <w:rsid w:val="00BE53A7"/>
    <w:rsid w:val="00BE563E"/>
    <w:rsid w:val="00BE5AE2"/>
    <w:rsid w:val="00BE5CE1"/>
    <w:rsid w:val="00BE6952"/>
    <w:rsid w:val="00BE6CF0"/>
    <w:rsid w:val="00BE6E5E"/>
    <w:rsid w:val="00BE6FD6"/>
    <w:rsid w:val="00BE71BA"/>
    <w:rsid w:val="00BE78DC"/>
    <w:rsid w:val="00BE7969"/>
    <w:rsid w:val="00BF0312"/>
    <w:rsid w:val="00BF082C"/>
    <w:rsid w:val="00BF08EF"/>
    <w:rsid w:val="00BF0B4A"/>
    <w:rsid w:val="00BF0C3E"/>
    <w:rsid w:val="00BF13D8"/>
    <w:rsid w:val="00BF1D33"/>
    <w:rsid w:val="00BF214F"/>
    <w:rsid w:val="00BF2164"/>
    <w:rsid w:val="00BF2531"/>
    <w:rsid w:val="00BF270C"/>
    <w:rsid w:val="00BF28CD"/>
    <w:rsid w:val="00BF2905"/>
    <w:rsid w:val="00BF296D"/>
    <w:rsid w:val="00BF2D18"/>
    <w:rsid w:val="00BF2DB7"/>
    <w:rsid w:val="00BF2EB6"/>
    <w:rsid w:val="00BF2FAB"/>
    <w:rsid w:val="00BF32C5"/>
    <w:rsid w:val="00BF364D"/>
    <w:rsid w:val="00BF3BBA"/>
    <w:rsid w:val="00BF3FEB"/>
    <w:rsid w:val="00BF4487"/>
    <w:rsid w:val="00BF5158"/>
    <w:rsid w:val="00BF51CB"/>
    <w:rsid w:val="00BF5246"/>
    <w:rsid w:val="00BF5338"/>
    <w:rsid w:val="00BF5639"/>
    <w:rsid w:val="00BF583F"/>
    <w:rsid w:val="00BF5C53"/>
    <w:rsid w:val="00BF6812"/>
    <w:rsid w:val="00BF6930"/>
    <w:rsid w:val="00BF74FD"/>
    <w:rsid w:val="00BF7783"/>
    <w:rsid w:val="00BF7A4F"/>
    <w:rsid w:val="00BF7F3E"/>
    <w:rsid w:val="00C004D1"/>
    <w:rsid w:val="00C004FB"/>
    <w:rsid w:val="00C0057C"/>
    <w:rsid w:val="00C00672"/>
    <w:rsid w:val="00C009E0"/>
    <w:rsid w:val="00C00B6C"/>
    <w:rsid w:val="00C00C7A"/>
    <w:rsid w:val="00C01B54"/>
    <w:rsid w:val="00C01CD4"/>
    <w:rsid w:val="00C01E79"/>
    <w:rsid w:val="00C01F46"/>
    <w:rsid w:val="00C0239B"/>
    <w:rsid w:val="00C025F1"/>
    <w:rsid w:val="00C02871"/>
    <w:rsid w:val="00C031E7"/>
    <w:rsid w:val="00C0360B"/>
    <w:rsid w:val="00C037E1"/>
    <w:rsid w:val="00C03A11"/>
    <w:rsid w:val="00C03F09"/>
    <w:rsid w:val="00C042BF"/>
    <w:rsid w:val="00C047F7"/>
    <w:rsid w:val="00C04A16"/>
    <w:rsid w:val="00C04A31"/>
    <w:rsid w:val="00C04DB3"/>
    <w:rsid w:val="00C04E39"/>
    <w:rsid w:val="00C04F00"/>
    <w:rsid w:val="00C05F2A"/>
    <w:rsid w:val="00C05F46"/>
    <w:rsid w:val="00C0644C"/>
    <w:rsid w:val="00C064EA"/>
    <w:rsid w:val="00C067C1"/>
    <w:rsid w:val="00C06939"/>
    <w:rsid w:val="00C06C42"/>
    <w:rsid w:val="00C0704B"/>
    <w:rsid w:val="00C07CDC"/>
    <w:rsid w:val="00C07D13"/>
    <w:rsid w:val="00C10AD4"/>
    <w:rsid w:val="00C10DEF"/>
    <w:rsid w:val="00C11414"/>
    <w:rsid w:val="00C11485"/>
    <w:rsid w:val="00C1175D"/>
    <w:rsid w:val="00C1178E"/>
    <w:rsid w:val="00C117E5"/>
    <w:rsid w:val="00C11DCC"/>
    <w:rsid w:val="00C122A2"/>
    <w:rsid w:val="00C12881"/>
    <w:rsid w:val="00C12899"/>
    <w:rsid w:val="00C130F9"/>
    <w:rsid w:val="00C131C8"/>
    <w:rsid w:val="00C1366E"/>
    <w:rsid w:val="00C136C1"/>
    <w:rsid w:val="00C13957"/>
    <w:rsid w:val="00C13EC1"/>
    <w:rsid w:val="00C1444D"/>
    <w:rsid w:val="00C144BB"/>
    <w:rsid w:val="00C1476F"/>
    <w:rsid w:val="00C14E95"/>
    <w:rsid w:val="00C1557A"/>
    <w:rsid w:val="00C15665"/>
    <w:rsid w:val="00C15CE1"/>
    <w:rsid w:val="00C1643A"/>
    <w:rsid w:val="00C1660A"/>
    <w:rsid w:val="00C168E7"/>
    <w:rsid w:val="00C16913"/>
    <w:rsid w:val="00C169F9"/>
    <w:rsid w:val="00C17484"/>
    <w:rsid w:val="00C1766D"/>
    <w:rsid w:val="00C1781E"/>
    <w:rsid w:val="00C17978"/>
    <w:rsid w:val="00C17AEA"/>
    <w:rsid w:val="00C17BD1"/>
    <w:rsid w:val="00C17E74"/>
    <w:rsid w:val="00C20333"/>
    <w:rsid w:val="00C2038A"/>
    <w:rsid w:val="00C205D8"/>
    <w:rsid w:val="00C2090F"/>
    <w:rsid w:val="00C209DF"/>
    <w:rsid w:val="00C20DF6"/>
    <w:rsid w:val="00C20E48"/>
    <w:rsid w:val="00C21280"/>
    <w:rsid w:val="00C21322"/>
    <w:rsid w:val="00C2141C"/>
    <w:rsid w:val="00C21466"/>
    <w:rsid w:val="00C2189F"/>
    <w:rsid w:val="00C218DB"/>
    <w:rsid w:val="00C21DF7"/>
    <w:rsid w:val="00C22166"/>
    <w:rsid w:val="00C22397"/>
    <w:rsid w:val="00C227FA"/>
    <w:rsid w:val="00C22CD5"/>
    <w:rsid w:val="00C23133"/>
    <w:rsid w:val="00C2348A"/>
    <w:rsid w:val="00C2379C"/>
    <w:rsid w:val="00C23861"/>
    <w:rsid w:val="00C2389E"/>
    <w:rsid w:val="00C2391B"/>
    <w:rsid w:val="00C24535"/>
    <w:rsid w:val="00C246CD"/>
    <w:rsid w:val="00C24C31"/>
    <w:rsid w:val="00C25064"/>
    <w:rsid w:val="00C258B5"/>
    <w:rsid w:val="00C25B98"/>
    <w:rsid w:val="00C26319"/>
    <w:rsid w:val="00C26564"/>
    <w:rsid w:val="00C26B32"/>
    <w:rsid w:val="00C26CF6"/>
    <w:rsid w:val="00C26E82"/>
    <w:rsid w:val="00C2716D"/>
    <w:rsid w:val="00C27988"/>
    <w:rsid w:val="00C27992"/>
    <w:rsid w:val="00C27ADA"/>
    <w:rsid w:val="00C27C27"/>
    <w:rsid w:val="00C302FE"/>
    <w:rsid w:val="00C30381"/>
    <w:rsid w:val="00C307E8"/>
    <w:rsid w:val="00C30E18"/>
    <w:rsid w:val="00C314A7"/>
    <w:rsid w:val="00C31844"/>
    <w:rsid w:val="00C318E7"/>
    <w:rsid w:val="00C31C2F"/>
    <w:rsid w:val="00C31CDC"/>
    <w:rsid w:val="00C3263D"/>
    <w:rsid w:val="00C3283C"/>
    <w:rsid w:val="00C32A33"/>
    <w:rsid w:val="00C32EA9"/>
    <w:rsid w:val="00C32F85"/>
    <w:rsid w:val="00C33152"/>
    <w:rsid w:val="00C3321E"/>
    <w:rsid w:val="00C33656"/>
    <w:rsid w:val="00C3367C"/>
    <w:rsid w:val="00C3384B"/>
    <w:rsid w:val="00C34477"/>
    <w:rsid w:val="00C34FC7"/>
    <w:rsid w:val="00C35731"/>
    <w:rsid w:val="00C3576E"/>
    <w:rsid w:val="00C35CA6"/>
    <w:rsid w:val="00C35D22"/>
    <w:rsid w:val="00C36285"/>
    <w:rsid w:val="00C36624"/>
    <w:rsid w:val="00C36FA4"/>
    <w:rsid w:val="00C37088"/>
    <w:rsid w:val="00C371E1"/>
    <w:rsid w:val="00C375E5"/>
    <w:rsid w:val="00C40618"/>
    <w:rsid w:val="00C406AC"/>
    <w:rsid w:val="00C40751"/>
    <w:rsid w:val="00C410E8"/>
    <w:rsid w:val="00C4125A"/>
    <w:rsid w:val="00C414C4"/>
    <w:rsid w:val="00C41C50"/>
    <w:rsid w:val="00C41CD4"/>
    <w:rsid w:val="00C41F1C"/>
    <w:rsid w:val="00C425E1"/>
    <w:rsid w:val="00C426E8"/>
    <w:rsid w:val="00C427A3"/>
    <w:rsid w:val="00C42955"/>
    <w:rsid w:val="00C42AFA"/>
    <w:rsid w:val="00C42D35"/>
    <w:rsid w:val="00C4336A"/>
    <w:rsid w:val="00C4337C"/>
    <w:rsid w:val="00C435FD"/>
    <w:rsid w:val="00C43AA1"/>
    <w:rsid w:val="00C43BDD"/>
    <w:rsid w:val="00C44930"/>
    <w:rsid w:val="00C44D05"/>
    <w:rsid w:val="00C44E71"/>
    <w:rsid w:val="00C453D9"/>
    <w:rsid w:val="00C454F3"/>
    <w:rsid w:val="00C45A7F"/>
    <w:rsid w:val="00C45B99"/>
    <w:rsid w:val="00C46035"/>
    <w:rsid w:val="00C461D1"/>
    <w:rsid w:val="00C461DE"/>
    <w:rsid w:val="00C463BC"/>
    <w:rsid w:val="00C46746"/>
    <w:rsid w:val="00C46B42"/>
    <w:rsid w:val="00C46EF8"/>
    <w:rsid w:val="00C46FE5"/>
    <w:rsid w:val="00C47613"/>
    <w:rsid w:val="00C47649"/>
    <w:rsid w:val="00C47D84"/>
    <w:rsid w:val="00C47ECA"/>
    <w:rsid w:val="00C5010A"/>
    <w:rsid w:val="00C50283"/>
    <w:rsid w:val="00C5029F"/>
    <w:rsid w:val="00C51C8D"/>
    <w:rsid w:val="00C521E5"/>
    <w:rsid w:val="00C524BD"/>
    <w:rsid w:val="00C526EF"/>
    <w:rsid w:val="00C52A88"/>
    <w:rsid w:val="00C531EE"/>
    <w:rsid w:val="00C53276"/>
    <w:rsid w:val="00C534C4"/>
    <w:rsid w:val="00C540A3"/>
    <w:rsid w:val="00C54113"/>
    <w:rsid w:val="00C54236"/>
    <w:rsid w:val="00C5426D"/>
    <w:rsid w:val="00C5428A"/>
    <w:rsid w:val="00C5431A"/>
    <w:rsid w:val="00C5452A"/>
    <w:rsid w:val="00C5472C"/>
    <w:rsid w:val="00C54803"/>
    <w:rsid w:val="00C54DDE"/>
    <w:rsid w:val="00C55EA1"/>
    <w:rsid w:val="00C56017"/>
    <w:rsid w:val="00C56718"/>
    <w:rsid w:val="00C56820"/>
    <w:rsid w:val="00C56988"/>
    <w:rsid w:val="00C56D53"/>
    <w:rsid w:val="00C575D7"/>
    <w:rsid w:val="00C5772C"/>
    <w:rsid w:val="00C57A39"/>
    <w:rsid w:val="00C57C86"/>
    <w:rsid w:val="00C605FE"/>
    <w:rsid w:val="00C60908"/>
    <w:rsid w:val="00C60B74"/>
    <w:rsid w:val="00C61834"/>
    <w:rsid w:val="00C61997"/>
    <w:rsid w:val="00C61D29"/>
    <w:rsid w:val="00C62B7A"/>
    <w:rsid w:val="00C62F2F"/>
    <w:rsid w:val="00C639DF"/>
    <w:rsid w:val="00C65308"/>
    <w:rsid w:val="00C654F5"/>
    <w:rsid w:val="00C6581C"/>
    <w:rsid w:val="00C65C6E"/>
    <w:rsid w:val="00C65DC7"/>
    <w:rsid w:val="00C666C7"/>
    <w:rsid w:val="00C66A27"/>
    <w:rsid w:val="00C66DC1"/>
    <w:rsid w:val="00C6712C"/>
    <w:rsid w:val="00C67310"/>
    <w:rsid w:val="00C6749D"/>
    <w:rsid w:val="00C678A0"/>
    <w:rsid w:val="00C678AB"/>
    <w:rsid w:val="00C67D7D"/>
    <w:rsid w:val="00C70463"/>
    <w:rsid w:val="00C70E72"/>
    <w:rsid w:val="00C712E8"/>
    <w:rsid w:val="00C71F2E"/>
    <w:rsid w:val="00C720F3"/>
    <w:rsid w:val="00C72392"/>
    <w:rsid w:val="00C73131"/>
    <w:rsid w:val="00C731CF"/>
    <w:rsid w:val="00C733F8"/>
    <w:rsid w:val="00C734D6"/>
    <w:rsid w:val="00C73A0E"/>
    <w:rsid w:val="00C73B97"/>
    <w:rsid w:val="00C74056"/>
    <w:rsid w:val="00C743BF"/>
    <w:rsid w:val="00C74C69"/>
    <w:rsid w:val="00C75071"/>
    <w:rsid w:val="00C75542"/>
    <w:rsid w:val="00C75AFC"/>
    <w:rsid w:val="00C76AF8"/>
    <w:rsid w:val="00C77763"/>
    <w:rsid w:val="00C77AF5"/>
    <w:rsid w:val="00C77B07"/>
    <w:rsid w:val="00C77D54"/>
    <w:rsid w:val="00C77E37"/>
    <w:rsid w:val="00C806B7"/>
    <w:rsid w:val="00C80917"/>
    <w:rsid w:val="00C809C5"/>
    <w:rsid w:val="00C80CD0"/>
    <w:rsid w:val="00C81AE0"/>
    <w:rsid w:val="00C81F07"/>
    <w:rsid w:val="00C82188"/>
    <w:rsid w:val="00C82316"/>
    <w:rsid w:val="00C82338"/>
    <w:rsid w:val="00C824C6"/>
    <w:rsid w:val="00C825AA"/>
    <w:rsid w:val="00C827F7"/>
    <w:rsid w:val="00C82866"/>
    <w:rsid w:val="00C828E4"/>
    <w:rsid w:val="00C83238"/>
    <w:rsid w:val="00C83311"/>
    <w:rsid w:val="00C8349F"/>
    <w:rsid w:val="00C8371B"/>
    <w:rsid w:val="00C8387B"/>
    <w:rsid w:val="00C84527"/>
    <w:rsid w:val="00C84E2B"/>
    <w:rsid w:val="00C85162"/>
    <w:rsid w:val="00C857FF"/>
    <w:rsid w:val="00C859C7"/>
    <w:rsid w:val="00C85B96"/>
    <w:rsid w:val="00C85D8F"/>
    <w:rsid w:val="00C877A9"/>
    <w:rsid w:val="00C87F5B"/>
    <w:rsid w:val="00C90DF7"/>
    <w:rsid w:val="00C9123F"/>
    <w:rsid w:val="00C9180F"/>
    <w:rsid w:val="00C91864"/>
    <w:rsid w:val="00C91BD3"/>
    <w:rsid w:val="00C92A98"/>
    <w:rsid w:val="00C93B39"/>
    <w:rsid w:val="00C94275"/>
    <w:rsid w:val="00C948B2"/>
    <w:rsid w:val="00C94A38"/>
    <w:rsid w:val="00C94C42"/>
    <w:rsid w:val="00C94DCC"/>
    <w:rsid w:val="00C94FA7"/>
    <w:rsid w:val="00C95113"/>
    <w:rsid w:val="00C95342"/>
    <w:rsid w:val="00C95347"/>
    <w:rsid w:val="00C958A0"/>
    <w:rsid w:val="00C959F7"/>
    <w:rsid w:val="00C95C03"/>
    <w:rsid w:val="00C96DEC"/>
    <w:rsid w:val="00C96DF3"/>
    <w:rsid w:val="00C96F36"/>
    <w:rsid w:val="00C96FA1"/>
    <w:rsid w:val="00C9705D"/>
    <w:rsid w:val="00C970CE"/>
    <w:rsid w:val="00C970E6"/>
    <w:rsid w:val="00C97705"/>
    <w:rsid w:val="00C977AE"/>
    <w:rsid w:val="00C97A28"/>
    <w:rsid w:val="00CA08AB"/>
    <w:rsid w:val="00CA0908"/>
    <w:rsid w:val="00CA0CFB"/>
    <w:rsid w:val="00CA1164"/>
    <w:rsid w:val="00CA1FDF"/>
    <w:rsid w:val="00CA2138"/>
    <w:rsid w:val="00CA2772"/>
    <w:rsid w:val="00CA2968"/>
    <w:rsid w:val="00CA328C"/>
    <w:rsid w:val="00CA3669"/>
    <w:rsid w:val="00CA38D3"/>
    <w:rsid w:val="00CA3CF9"/>
    <w:rsid w:val="00CA3DBF"/>
    <w:rsid w:val="00CA485E"/>
    <w:rsid w:val="00CA48D1"/>
    <w:rsid w:val="00CA4BE8"/>
    <w:rsid w:val="00CA511C"/>
    <w:rsid w:val="00CA5F69"/>
    <w:rsid w:val="00CA62DB"/>
    <w:rsid w:val="00CA632D"/>
    <w:rsid w:val="00CA6E60"/>
    <w:rsid w:val="00CA7527"/>
    <w:rsid w:val="00CA75F0"/>
    <w:rsid w:val="00CA75F9"/>
    <w:rsid w:val="00CA7BA1"/>
    <w:rsid w:val="00CB0F47"/>
    <w:rsid w:val="00CB0F84"/>
    <w:rsid w:val="00CB1392"/>
    <w:rsid w:val="00CB203F"/>
    <w:rsid w:val="00CB21F0"/>
    <w:rsid w:val="00CB2208"/>
    <w:rsid w:val="00CB3102"/>
    <w:rsid w:val="00CB3719"/>
    <w:rsid w:val="00CB40AA"/>
    <w:rsid w:val="00CB4143"/>
    <w:rsid w:val="00CB48FC"/>
    <w:rsid w:val="00CB57CF"/>
    <w:rsid w:val="00CB5D63"/>
    <w:rsid w:val="00CB5DD2"/>
    <w:rsid w:val="00CB60B0"/>
    <w:rsid w:val="00CB6837"/>
    <w:rsid w:val="00CB7831"/>
    <w:rsid w:val="00CB79D7"/>
    <w:rsid w:val="00CB7F49"/>
    <w:rsid w:val="00CB7F95"/>
    <w:rsid w:val="00CC0150"/>
    <w:rsid w:val="00CC0AE0"/>
    <w:rsid w:val="00CC1604"/>
    <w:rsid w:val="00CC19AC"/>
    <w:rsid w:val="00CC1E4C"/>
    <w:rsid w:val="00CC1E63"/>
    <w:rsid w:val="00CC22B6"/>
    <w:rsid w:val="00CC24F0"/>
    <w:rsid w:val="00CC2B0F"/>
    <w:rsid w:val="00CC2F3A"/>
    <w:rsid w:val="00CC2F93"/>
    <w:rsid w:val="00CC3317"/>
    <w:rsid w:val="00CC3B79"/>
    <w:rsid w:val="00CC3E5D"/>
    <w:rsid w:val="00CC4522"/>
    <w:rsid w:val="00CC4611"/>
    <w:rsid w:val="00CC4E3F"/>
    <w:rsid w:val="00CC4EAF"/>
    <w:rsid w:val="00CC511E"/>
    <w:rsid w:val="00CC5645"/>
    <w:rsid w:val="00CC6315"/>
    <w:rsid w:val="00CC697F"/>
    <w:rsid w:val="00CC6D6D"/>
    <w:rsid w:val="00CC71F0"/>
    <w:rsid w:val="00CC7467"/>
    <w:rsid w:val="00CC778D"/>
    <w:rsid w:val="00CC78CD"/>
    <w:rsid w:val="00CC7BAE"/>
    <w:rsid w:val="00CC7D67"/>
    <w:rsid w:val="00CD023D"/>
    <w:rsid w:val="00CD06C7"/>
    <w:rsid w:val="00CD0CE8"/>
    <w:rsid w:val="00CD1BB3"/>
    <w:rsid w:val="00CD2175"/>
    <w:rsid w:val="00CD24C0"/>
    <w:rsid w:val="00CD2DED"/>
    <w:rsid w:val="00CD3064"/>
    <w:rsid w:val="00CD35EF"/>
    <w:rsid w:val="00CD3B3F"/>
    <w:rsid w:val="00CD4343"/>
    <w:rsid w:val="00CD4866"/>
    <w:rsid w:val="00CD4F0B"/>
    <w:rsid w:val="00CD50C2"/>
    <w:rsid w:val="00CD540C"/>
    <w:rsid w:val="00CD5826"/>
    <w:rsid w:val="00CD5855"/>
    <w:rsid w:val="00CD5A5B"/>
    <w:rsid w:val="00CD5BC4"/>
    <w:rsid w:val="00CD6714"/>
    <w:rsid w:val="00CD67E0"/>
    <w:rsid w:val="00CD6E0E"/>
    <w:rsid w:val="00CD72BC"/>
    <w:rsid w:val="00CD7B2F"/>
    <w:rsid w:val="00CE0074"/>
    <w:rsid w:val="00CE0104"/>
    <w:rsid w:val="00CE0229"/>
    <w:rsid w:val="00CE0813"/>
    <w:rsid w:val="00CE0DC4"/>
    <w:rsid w:val="00CE125F"/>
    <w:rsid w:val="00CE17AB"/>
    <w:rsid w:val="00CE1D25"/>
    <w:rsid w:val="00CE1F75"/>
    <w:rsid w:val="00CE1FA6"/>
    <w:rsid w:val="00CE2658"/>
    <w:rsid w:val="00CE2823"/>
    <w:rsid w:val="00CE2834"/>
    <w:rsid w:val="00CE28A8"/>
    <w:rsid w:val="00CE2C32"/>
    <w:rsid w:val="00CE386C"/>
    <w:rsid w:val="00CE3B45"/>
    <w:rsid w:val="00CE3E93"/>
    <w:rsid w:val="00CE3F92"/>
    <w:rsid w:val="00CE4027"/>
    <w:rsid w:val="00CE4054"/>
    <w:rsid w:val="00CE4086"/>
    <w:rsid w:val="00CE49B5"/>
    <w:rsid w:val="00CE4BAA"/>
    <w:rsid w:val="00CE4E8B"/>
    <w:rsid w:val="00CE5016"/>
    <w:rsid w:val="00CE52A1"/>
    <w:rsid w:val="00CE62FA"/>
    <w:rsid w:val="00CE6307"/>
    <w:rsid w:val="00CE666E"/>
    <w:rsid w:val="00CE6C15"/>
    <w:rsid w:val="00CE6CE3"/>
    <w:rsid w:val="00CE7322"/>
    <w:rsid w:val="00CE7452"/>
    <w:rsid w:val="00CE758F"/>
    <w:rsid w:val="00CE77B6"/>
    <w:rsid w:val="00CE787D"/>
    <w:rsid w:val="00CE788E"/>
    <w:rsid w:val="00CE7AF8"/>
    <w:rsid w:val="00CE7B46"/>
    <w:rsid w:val="00CE7F1E"/>
    <w:rsid w:val="00CF0409"/>
    <w:rsid w:val="00CF05BB"/>
    <w:rsid w:val="00CF063F"/>
    <w:rsid w:val="00CF0C17"/>
    <w:rsid w:val="00CF0F77"/>
    <w:rsid w:val="00CF277B"/>
    <w:rsid w:val="00CF2813"/>
    <w:rsid w:val="00CF2BCE"/>
    <w:rsid w:val="00CF2F9E"/>
    <w:rsid w:val="00CF3522"/>
    <w:rsid w:val="00CF3540"/>
    <w:rsid w:val="00CF3D63"/>
    <w:rsid w:val="00CF3FF8"/>
    <w:rsid w:val="00CF427F"/>
    <w:rsid w:val="00CF4B41"/>
    <w:rsid w:val="00CF4BDC"/>
    <w:rsid w:val="00CF4C89"/>
    <w:rsid w:val="00CF4DB0"/>
    <w:rsid w:val="00CF4EB3"/>
    <w:rsid w:val="00CF5356"/>
    <w:rsid w:val="00CF55FE"/>
    <w:rsid w:val="00CF5C7E"/>
    <w:rsid w:val="00CF5C9F"/>
    <w:rsid w:val="00CF6A9D"/>
    <w:rsid w:val="00CF6BF4"/>
    <w:rsid w:val="00CF6DC7"/>
    <w:rsid w:val="00CF6F46"/>
    <w:rsid w:val="00CF6F99"/>
    <w:rsid w:val="00CF7012"/>
    <w:rsid w:val="00CF7116"/>
    <w:rsid w:val="00CF72FF"/>
    <w:rsid w:val="00CF76E1"/>
    <w:rsid w:val="00CF7815"/>
    <w:rsid w:val="00CF797E"/>
    <w:rsid w:val="00CF7F5F"/>
    <w:rsid w:val="00D00186"/>
    <w:rsid w:val="00D005B4"/>
    <w:rsid w:val="00D0085B"/>
    <w:rsid w:val="00D00C67"/>
    <w:rsid w:val="00D012BD"/>
    <w:rsid w:val="00D01457"/>
    <w:rsid w:val="00D01469"/>
    <w:rsid w:val="00D01529"/>
    <w:rsid w:val="00D01A4B"/>
    <w:rsid w:val="00D0231E"/>
    <w:rsid w:val="00D024EA"/>
    <w:rsid w:val="00D02658"/>
    <w:rsid w:val="00D02688"/>
    <w:rsid w:val="00D02863"/>
    <w:rsid w:val="00D02AC0"/>
    <w:rsid w:val="00D02D07"/>
    <w:rsid w:val="00D02ECA"/>
    <w:rsid w:val="00D03607"/>
    <w:rsid w:val="00D0372F"/>
    <w:rsid w:val="00D03D01"/>
    <w:rsid w:val="00D0434C"/>
    <w:rsid w:val="00D04490"/>
    <w:rsid w:val="00D04539"/>
    <w:rsid w:val="00D04A91"/>
    <w:rsid w:val="00D04AE7"/>
    <w:rsid w:val="00D05329"/>
    <w:rsid w:val="00D054F1"/>
    <w:rsid w:val="00D05543"/>
    <w:rsid w:val="00D055BC"/>
    <w:rsid w:val="00D06204"/>
    <w:rsid w:val="00D063E4"/>
    <w:rsid w:val="00D0670E"/>
    <w:rsid w:val="00D06885"/>
    <w:rsid w:val="00D069AF"/>
    <w:rsid w:val="00D06B6C"/>
    <w:rsid w:val="00D06C34"/>
    <w:rsid w:val="00D06C81"/>
    <w:rsid w:val="00D06E45"/>
    <w:rsid w:val="00D06F5C"/>
    <w:rsid w:val="00D07EC9"/>
    <w:rsid w:val="00D104BF"/>
    <w:rsid w:val="00D1069F"/>
    <w:rsid w:val="00D106A6"/>
    <w:rsid w:val="00D1075F"/>
    <w:rsid w:val="00D107CD"/>
    <w:rsid w:val="00D10A71"/>
    <w:rsid w:val="00D10E39"/>
    <w:rsid w:val="00D114C0"/>
    <w:rsid w:val="00D11608"/>
    <w:rsid w:val="00D11DC3"/>
    <w:rsid w:val="00D11FAA"/>
    <w:rsid w:val="00D11FF7"/>
    <w:rsid w:val="00D1202C"/>
    <w:rsid w:val="00D12163"/>
    <w:rsid w:val="00D12683"/>
    <w:rsid w:val="00D129DE"/>
    <w:rsid w:val="00D12A84"/>
    <w:rsid w:val="00D12D19"/>
    <w:rsid w:val="00D12DFE"/>
    <w:rsid w:val="00D1305E"/>
    <w:rsid w:val="00D13439"/>
    <w:rsid w:val="00D13F25"/>
    <w:rsid w:val="00D1425B"/>
    <w:rsid w:val="00D1540F"/>
    <w:rsid w:val="00D15A3F"/>
    <w:rsid w:val="00D15B3B"/>
    <w:rsid w:val="00D15CBA"/>
    <w:rsid w:val="00D16021"/>
    <w:rsid w:val="00D1603D"/>
    <w:rsid w:val="00D160FF"/>
    <w:rsid w:val="00D1618A"/>
    <w:rsid w:val="00D16634"/>
    <w:rsid w:val="00D1692F"/>
    <w:rsid w:val="00D1699D"/>
    <w:rsid w:val="00D16D53"/>
    <w:rsid w:val="00D16E16"/>
    <w:rsid w:val="00D171E0"/>
    <w:rsid w:val="00D17444"/>
    <w:rsid w:val="00D17AC4"/>
    <w:rsid w:val="00D20296"/>
    <w:rsid w:val="00D2084C"/>
    <w:rsid w:val="00D20CB0"/>
    <w:rsid w:val="00D2112F"/>
    <w:rsid w:val="00D21B4F"/>
    <w:rsid w:val="00D21E68"/>
    <w:rsid w:val="00D21EE8"/>
    <w:rsid w:val="00D221CE"/>
    <w:rsid w:val="00D232F3"/>
    <w:rsid w:val="00D23472"/>
    <w:rsid w:val="00D2347B"/>
    <w:rsid w:val="00D2378E"/>
    <w:rsid w:val="00D24570"/>
    <w:rsid w:val="00D2494D"/>
    <w:rsid w:val="00D24C9C"/>
    <w:rsid w:val="00D2564F"/>
    <w:rsid w:val="00D25663"/>
    <w:rsid w:val="00D25B88"/>
    <w:rsid w:val="00D26116"/>
    <w:rsid w:val="00D2629A"/>
    <w:rsid w:val="00D264CC"/>
    <w:rsid w:val="00D264ED"/>
    <w:rsid w:val="00D26E1C"/>
    <w:rsid w:val="00D26EDC"/>
    <w:rsid w:val="00D27751"/>
    <w:rsid w:val="00D30CD6"/>
    <w:rsid w:val="00D30DE3"/>
    <w:rsid w:val="00D3118A"/>
    <w:rsid w:val="00D313DB"/>
    <w:rsid w:val="00D31680"/>
    <w:rsid w:val="00D31782"/>
    <w:rsid w:val="00D3218D"/>
    <w:rsid w:val="00D32882"/>
    <w:rsid w:val="00D32FFD"/>
    <w:rsid w:val="00D33024"/>
    <w:rsid w:val="00D330D8"/>
    <w:rsid w:val="00D33373"/>
    <w:rsid w:val="00D3368F"/>
    <w:rsid w:val="00D337BB"/>
    <w:rsid w:val="00D33E9B"/>
    <w:rsid w:val="00D347FA"/>
    <w:rsid w:val="00D34AA5"/>
    <w:rsid w:val="00D34AFA"/>
    <w:rsid w:val="00D34FF4"/>
    <w:rsid w:val="00D3519D"/>
    <w:rsid w:val="00D3594C"/>
    <w:rsid w:val="00D35B39"/>
    <w:rsid w:val="00D363E0"/>
    <w:rsid w:val="00D3669A"/>
    <w:rsid w:val="00D36714"/>
    <w:rsid w:val="00D36BB2"/>
    <w:rsid w:val="00D36FB3"/>
    <w:rsid w:val="00D3719F"/>
    <w:rsid w:val="00D372EF"/>
    <w:rsid w:val="00D37C45"/>
    <w:rsid w:val="00D4023C"/>
    <w:rsid w:val="00D40301"/>
    <w:rsid w:val="00D40415"/>
    <w:rsid w:val="00D4080A"/>
    <w:rsid w:val="00D409DA"/>
    <w:rsid w:val="00D41342"/>
    <w:rsid w:val="00D41770"/>
    <w:rsid w:val="00D41C85"/>
    <w:rsid w:val="00D41EF1"/>
    <w:rsid w:val="00D420EE"/>
    <w:rsid w:val="00D425F5"/>
    <w:rsid w:val="00D4280A"/>
    <w:rsid w:val="00D428B4"/>
    <w:rsid w:val="00D42999"/>
    <w:rsid w:val="00D42AB0"/>
    <w:rsid w:val="00D4305D"/>
    <w:rsid w:val="00D433BC"/>
    <w:rsid w:val="00D43667"/>
    <w:rsid w:val="00D4379A"/>
    <w:rsid w:val="00D43A5C"/>
    <w:rsid w:val="00D43F40"/>
    <w:rsid w:val="00D43F65"/>
    <w:rsid w:val="00D440DE"/>
    <w:rsid w:val="00D44B66"/>
    <w:rsid w:val="00D44EEA"/>
    <w:rsid w:val="00D44F53"/>
    <w:rsid w:val="00D44F90"/>
    <w:rsid w:val="00D4501D"/>
    <w:rsid w:val="00D4594B"/>
    <w:rsid w:val="00D46083"/>
    <w:rsid w:val="00D466AC"/>
    <w:rsid w:val="00D46B13"/>
    <w:rsid w:val="00D46D06"/>
    <w:rsid w:val="00D477E6"/>
    <w:rsid w:val="00D47959"/>
    <w:rsid w:val="00D47B15"/>
    <w:rsid w:val="00D47C20"/>
    <w:rsid w:val="00D50A86"/>
    <w:rsid w:val="00D50D54"/>
    <w:rsid w:val="00D50FE3"/>
    <w:rsid w:val="00D50FED"/>
    <w:rsid w:val="00D51352"/>
    <w:rsid w:val="00D518A9"/>
    <w:rsid w:val="00D51A39"/>
    <w:rsid w:val="00D51AD1"/>
    <w:rsid w:val="00D52A34"/>
    <w:rsid w:val="00D52A68"/>
    <w:rsid w:val="00D52B9D"/>
    <w:rsid w:val="00D52CB2"/>
    <w:rsid w:val="00D52CC4"/>
    <w:rsid w:val="00D5313D"/>
    <w:rsid w:val="00D53723"/>
    <w:rsid w:val="00D53F64"/>
    <w:rsid w:val="00D54181"/>
    <w:rsid w:val="00D54ACC"/>
    <w:rsid w:val="00D557DE"/>
    <w:rsid w:val="00D5611E"/>
    <w:rsid w:val="00D5643E"/>
    <w:rsid w:val="00D5645F"/>
    <w:rsid w:val="00D5649C"/>
    <w:rsid w:val="00D5656B"/>
    <w:rsid w:val="00D56AA8"/>
    <w:rsid w:val="00D56F98"/>
    <w:rsid w:val="00D5710D"/>
    <w:rsid w:val="00D57312"/>
    <w:rsid w:val="00D57959"/>
    <w:rsid w:val="00D57A01"/>
    <w:rsid w:val="00D60364"/>
    <w:rsid w:val="00D6099C"/>
    <w:rsid w:val="00D613FD"/>
    <w:rsid w:val="00D6205A"/>
    <w:rsid w:val="00D625D0"/>
    <w:rsid w:val="00D62628"/>
    <w:rsid w:val="00D62A58"/>
    <w:rsid w:val="00D62BCE"/>
    <w:rsid w:val="00D63060"/>
    <w:rsid w:val="00D632D5"/>
    <w:rsid w:val="00D6354F"/>
    <w:rsid w:val="00D642A1"/>
    <w:rsid w:val="00D642D6"/>
    <w:rsid w:val="00D64444"/>
    <w:rsid w:val="00D64B1C"/>
    <w:rsid w:val="00D658CE"/>
    <w:rsid w:val="00D66359"/>
    <w:rsid w:val="00D6740A"/>
    <w:rsid w:val="00D67A79"/>
    <w:rsid w:val="00D67F98"/>
    <w:rsid w:val="00D70519"/>
    <w:rsid w:val="00D705BB"/>
    <w:rsid w:val="00D70B1B"/>
    <w:rsid w:val="00D70EDD"/>
    <w:rsid w:val="00D70F2D"/>
    <w:rsid w:val="00D71091"/>
    <w:rsid w:val="00D710FF"/>
    <w:rsid w:val="00D71688"/>
    <w:rsid w:val="00D71701"/>
    <w:rsid w:val="00D71FC8"/>
    <w:rsid w:val="00D72387"/>
    <w:rsid w:val="00D72E77"/>
    <w:rsid w:val="00D72F19"/>
    <w:rsid w:val="00D732E5"/>
    <w:rsid w:val="00D734D3"/>
    <w:rsid w:val="00D73723"/>
    <w:rsid w:val="00D7386B"/>
    <w:rsid w:val="00D73FE3"/>
    <w:rsid w:val="00D74363"/>
    <w:rsid w:val="00D744F5"/>
    <w:rsid w:val="00D74B1C"/>
    <w:rsid w:val="00D74B49"/>
    <w:rsid w:val="00D74F95"/>
    <w:rsid w:val="00D750AB"/>
    <w:rsid w:val="00D7515D"/>
    <w:rsid w:val="00D75448"/>
    <w:rsid w:val="00D75BEC"/>
    <w:rsid w:val="00D7674F"/>
    <w:rsid w:val="00D76EC5"/>
    <w:rsid w:val="00D76F3D"/>
    <w:rsid w:val="00D770DD"/>
    <w:rsid w:val="00D7718B"/>
    <w:rsid w:val="00D772F8"/>
    <w:rsid w:val="00D7779E"/>
    <w:rsid w:val="00D77908"/>
    <w:rsid w:val="00D77B04"/>
    <w:rsid w:val="00D77D8C"/>
    <w:rsid w:val="00D77F02"/>
    <w:rsid w:val="00D800C1"/>
    <w:rsid w:val="00D80164"/>
    <w:rsid w:val="00D801EC"/>
    <w:rsid w:val="00D80299"/>
    <w:rsid w:val="00D805C4"/>
    <w:rsid w:val="00D80E2F"/>
    <w:rsid w:val="00D80EFF"/>
    <w:rsid w:val="00D81218"/>
    <w:rsid w:val="00D81488"/>
    <w:rsid w:val="00D816B1"/>
    <w:rsid w:val="00D816EA"/>
    <w:rsid w:val="00D817CF"/>
    <w:rsid w:val="00D81E34"/>
    <w:rsid w:val="00D823DB"/>
    <w:rsid w:val="00D82F47"/>
    <w:rsid w:val="00D831A9"/>
    <w:rsid w:val="00D83DD4"/>
    <w:rsid w:val="00D83F8E"/>
    <w:rsid w:val="00D840A9"/>
    <w:rsid w:val="00D84592"/>
    <w:rsid w:val="00D84DAE"/>
    <w:rsid w:val="00D85139"/>
    <w:rsid w:val="00D8516D"/>
    <w:rsid w:val="00D8541E"/>
    <w:rsid w:val="00D8544F"/>
    <w:rsid w:val="00D854A4"/>
    <w:rsid w:val="00D85521"/>
    <w:rsid w:val="00D861B1"/>
    <w:rsid w:val="00D86473"/>
    <w:rsid w:val="00D86576"/>
    <w:rsid w:val="00D868AF"/>
    <w:rsid w:val="00D86B2C"/>
    <w:rsid w:val="00D86B85"/>
    <w:rsid w:val="00D870DF"/>
    <w:rsid w:val="00D87294"/>
    <w:rsid w:val="00D8729A"/>
    <w:rsid w:val="00D87881"/>
    <w:rsid w:val="00D87C79"/>
    <w:rsid w:val="00D87CE7"/>
    <w:rsid w:val="00D902D9"/>
    <w:rsid w:val="00D906C2"/>
    <w:rsid w:val="00D9084D"/>
    <w:rsid w:val="00D90861"/>
    <w:rsid w:val="00D911AC"/>
    <w:rsid w:val="00D919F9"/>
    <w:rsid w:val="00D91B57"/>
    <w:rsid w:val="00D91F41"/>
    <w:rsid w:val="00D9281C"/>
    <w:rsid w:val="00D92A91"/>
    <w:rsid w:val="00D92B4E"/>
    <w:rsid w:val="00D92D82"/>
    <w:rsid w:val="00D92F67"/>
    <w:rsid w:val="00D9364E"/>
    <w:rsid w:val="00D93C2C"/>
    <w:rsid w:val="00D9515D"/>
    <w:rsid w:val="00D95388"/>
    <w:rsid w:val="00D955AA"/>
    <w:rsid w:val="00D9577B"/>
    <w:rsid w:val="00D96351"/>
    <w:rsid w:val="00D9637A"/>
    <w:rsid w:val="00D9652A"/>
    <w:rsid w:val="00D9657B"/>
    <w:rsid w:val="00D96B78"/>
    <w:rsid w:val="00D976EF"/>
    <w:rsid w:val="00D97B33"/>
    <w:rsid w:val="00D97DB8"/>
    <w:rsid w:val="00D97DEB"/>
    <w:rsid w:val="00D97EEC"/>
    <w:rsid w:val="00DA0199"/>
    <w:rsid w:val="00DA01BD"/>
    <w:rsid w:val="00DA027B"/>
    <w:rsid w:val="00DA0384"/>
    <w:rsid w:val="00DA0388"/>
    <w:rsid w:val="00DA0745"/>
    <w:rsid w:val="00DA1574"/>
    <w:rsid w:val="00DA1764"/>
    <w:rsid w:val="00DA1C8D"/>
    <w:rsid w:val="00DA1D0F"/>
    <w:rsid w:val="00DA21E9"/>
    <w:rsid w:val="00DA22A9"/>
    <w:rsid w:val="00DA24C7"/>
    <w:rsid w:val="00DA3CE6"/>
    <w:rsid w:val="00DA4401"/>
    <w:rsid w:val="00DA4E92"/>
    <w:rsid w:val="00DA5478"/>
    <w:rsid w:val="00DA5511"/>
    <w:rsid w:val="00DA58CB"/>
    <w:rsid w:val="00DA592E"/>
    <w:rsid w:val="00DA5CEF"/>
    <w:rsid w:val="00DA62BA"/>
    <w:rsid w:val="00DA67C1"/>
    <w:rsid w:val="00DA69CD"/>
    <w:rsid w:val="00DA6B83"/>
    <w:rsid w:val="00DA6D0A"/>
    <w:rsid w:val="00DA7865"/>
    <w:rsid w:val="00DA79DC"/>
    <w:rsid w:val="00DA7F11"/>
    <w:rsid w:val="00DA7F8A"/>
    <w:rsid w:val="00DB011C"/>
    <w:rsid w:val="00DB017B"/>
    <w:rsid w:val="00DB049C"/>
    <w:rsid w:val="00DB110B"/>
    <w:rsid w:val="00DB18BF"/>
    <w:rsid w:val="00DB18F2"/>
    <w:rsid w:val="00DB20F4"/>
    <w:rsid w:val="00DB2426"/>
    <w:rsid w:val="00DB26AC"/>
    <w:rsid w:val="00DB2FB2"/>
    <w:rsid w:val="00DB33EE"/>
    <w:rsid w:val="00DB3A58"/>
    <w:rsid w:val="00DB4095"/>
    <w:rsid w:val="00DB4323"/>
    <w:rsid w:val="00DB4421"/>
    <w:rsid w:val="00DB46EB"/>
    <w:rsid w:val="00DB49FD"/>
    <w:rsid w:val="00DB4DAD"/>
    <w:rsid w:val="00DB5088"/>
    <w:rsid w:val="00DB57D7"/>
    <w:rsid w:val="00DB5EAF"/>
    <w:rsid w:val="00DB6215"/>
    <w:rsid w:val="00DB65E8"/>
    <w:rsid w:val="00DB6E26"/>
    <w:rsid w:val="00DB712C"/>
    <w:rsid w:val="00DB7867"/>
    <w:rsid w:val="00DB790E"/>
    <w:rsid w:val="00DB7B2E"/>
    <w:rsid w:val="00DB7FBA"/>
    <w:rsid w:val="00DC0AE8"/>
    <w:rsid w:val="00DC115F"/>
    <w:rsid w:val="00DC187F"/>
    <w:rsid w:val="00DC1A8F"/>
    <w:rsid w:val="00DC1D3A"/>
    <w:rsid w:val="00DC1D6B"/>
    <w:rsid w:val="00DC2635"/>
    <w:rsid w:val="00DC2911"/>
    <w:rsid w:val="00DC2C4A"/>
    <w:rsid w:val="00DC2D8C"/>
    <w:rsid w:val="00DC331B"/>
    <w:rsid w:val="00DC34F3"/>
    <w:rsid w:val="00DC3735"/>
    <w:rsid w:val="00DC3EAB"/>
    <w:rsid w:val="00DC3F80"/>
    <w:rsid w:val="00DC4145"/>
    <w:rsid w:val="00DC51BB"/>
    <w:rsid w:val="00DC621B"/>
    <w:rsid w:val="00DC62D3"/>
    <w:rsid w:val="00DC631C"/>
    <w:rsid w:val="00DC6328"/>
    <w:rsid w:val="00DC690B"/>
    <w:rsid w:val="00DC6BC4"/>
    <w:rsid w:val="00DC6D90"/>
    <w:rsid w:val="00DC6F7F"/>
    <w:rsid w:val="00DC7021"/>
    <w:rsid w:val="00DC705B"/>
    <w:rsid w:val="00DC7A53"/>
    <w:rsid w:val="00DD0304"/>
    <w:rsid w:val="00DD0AC6"/>
    <w:rsid w:val="00DD0CF4"/>
    <w:rsid w:val="00DD0F5C"/>
    <w:rsid w:val="00DD0FF9"/>
    <w:rsid w:val="00DD1100"/>
    <w:rsid w:val="00DD1264"/>
    <w:rsid w:val="00DD1679"/>
    <w:rsid w:val="00DD18E8"/>
    <w:rsid w:val="00DD19CB"/>
    <w:rsid w:val="00DD1D19"/>
    <w:rsid w:val="00DD1DED"/>
    <w:rsid w:val="00DD2059"/>
    <w:rsid w:val="00DD2077"/>
    <w:rsid w:val="00DD230B"/>
    <w:rsid w:val="00DD24A2"/>
    <w:rsid w:val="00DD2816"/>
    <w:rsid w:val="00DD2935"/>
    <w:rsid w:val="00DD2961"/>
    <w:rsid w:val="00DD4172"/>
    <w:rsid w:val="00DD452A"/>
    <w:rsid w:val="00DD455F"/>
    <w:rsid w:val="00DD4614"/>
    <w:rsid w:val="00DD4A1C"/>
    <w:rsid w:val="00DD4E38"/>
    <w:rsid w:val="00DD4E73"/>
    <w:rsid w:val="00DD4EF9"/>
    <w:rsid w:val="00DD4F92"/>
    <w:rsid w:val="00DD546B"/>
    <w:rsid w:val="00DD6C79"/>
    <w:rsid w:val="00DD74AD"/>
    <w:rsid w:val="00DD774F"/>
    <w:rsid w:val="00DE0435"/>
    <w:rsid w:val="00DE078D"/>
    <w:rsid w:val="00DE0832"/>
    <w:rsid w:val="00DE0A2A"/>
    <w:rsid w:val="00DE0AAE"/>
    <w:rsid w:val="00DE0CEB"/>
    <w:rsid w:val="00DE1097"/>
    <w:rsid w:val="00DE245E"/>
    <w:rsid w:val="00DE2894"/>
    <w:rsid w:val="00DE2896"/>
    <w:rsid w:val="00DE297F"/>
    <w:rsid w:val="00DE2D2E"/>
    <w:rsid w:val="00DE2E3D"/>
    <w:rsid w:val="00DE2EAD"/>
    <w:rsid w:val="00DE3002"/>
    <w:rsid w:val="00DE3196"/>
    <w:rsid w:val="00DE3436"/>
    <w:rsid w:val="00DE43AC"/>
    <w:rsid w:val="00DE4B86"/>
    <w:rsid w:val="00DE52C6"/>
    <w:rsid w:val="00DE5A85"/>
    <w:rsid w:val="00DE5B3F"/>
    <w:rsid w:val="00DE5BC6"/>
    <w:rsid w:val="00DE654D"/>
    <w:rsid w:val="00DE6989"/>
    <w:rsid w:val="00DE6D87"/>
    <w:rsid w:val="00DE7349"/>
    <w:rsid w:val="00DE7454"/>
    <w:rsid w:val="00DE74C4"/>
    <w:rsid w:val="00DE7935"/>
    <w:rsid w:val="00DE7CA6"/>
    <w:rsid w:val="00DE7E0B"/>
    <w:rsid w:val="00DE7E68"/>
    <w:rsid w:val="00DE7F3A"/>
    <w:rsid w:val="00DF008B"/>
    <w:rsid w:val="00DF0295"/>
    <w:rsid w:val="00DF0EF1"/>
    <w:rsid w:val="00DF11B0"/>
    <w:rsid w:val="00DF11EA"/>
    <w:rsid w:val="00DF12B1"/>
    <w:rsid w:val="00DF188D"/>
    <w:rsid w:val="00DF1D66"/>
    <w:rsid w:val="00DF1F65"/>
    <w:rsid w:val="00DF282F"/>
    <w:rsid w:val="00DF2AD0"/>
    <w:rsid w:val="00DF3167"/>
    <w:rsid w:val="00DF3587"/>
    <w:rsid w:val="00DF4816"/>
    <w:rsid w:val="00DF4B52"/>
    <w:rsid w:val="00DF5042"/>
    <w:rsid w:val="00DF5065"/>
    <w:rsid w:val="00DF55B0"/>
    <w:rsid w:val="00DF5F07"/>
    <w:rsid w:val="00DF628B"/>
    <w:rsid w:val="00DF65E6"/>
    <w:rsid w:val="00DF6679"/>
    <w:rsid w:val="00DF68D9"/>
    <w:rsid w:val="00DF6AD2"/>
    <w:rsid w:val="00DF6C46"/>
    <w:rsid w:val="00DF6DD7"/>
    <w:rsid w:val="00DF6E9F"/>
    <w:rsid w:val="00DF712C"/>
    <w:rsid w:val="00DF72BB"/>
    <w:rsid w:val="00DF75EA"/>
    <w:rsid w:val="00DF7702"/>
    <w:rsid w:val="00DF7FD2"/>
    <w:rsid w:val="00E005FC"/>
    <w:rsid w:val="00E00676"/>
    <w:rsid w:val="00E00742"/>
    <w:rsid w:val="00E00847"/>
    <w:rsid w:val="00E00ABB"/>
    <w:rsid w:val="00E00B08"/>
    <w:rsid w:val="00E01854"/>
    <w:rsid w:val="00E01DEA"/>
    <w:rsid w:val="00E02011"/>
    <w:rsid w:val="00E030F4"/>
    <w:rsid w:val="00E03374"/>
    <w:rsid w:val="00E0442C"/>
    <w:rsid w:val="00E04484"/>
    <w:rsid w:val="00E048AF"/>
    <w:rsid w:val="00E049E5"/>
    <w:rsid w:val="00E04AC2"/>
    <w:rsid w:val="00E0539C"/>
    <w:rsid w:val="00E0551B"/>
    <w:rsid w:val="00E05DCB"/>
    <w:rsid w:val="00E063DD"/>
    <w:rsid w:val="00E067EF"/>
    <w:rsid w:val="00E06827"/>
    <w:rsid w:val="00E06AC8"/>
    <w:rsid w:val="00E06CCC"/>
    <w:rsid w:val="00E07A12"/>
    <w:rsid w:val="00E07E70"/>
    <w:rsid w:val="00E10B3C"/>
    <w:rsid w:val="00E110F2"/>
    <w:rsid w:val="00E11171"/>
    <w:rsid w:val="00E11419"/>
    <w:rsid w:val="00E11479"/>
    <w:rsid w:val="00E11689"/>
    <w:rsid w:val="00E126E8"/>
    <w:rsid w:val="00E129C9"/>
    <w:rsid w:val="00E12C04"/>
    <w:rsid w:val="00E13BA7"/>
    <w:rsid w:val="00E141AD"/>
    <w:rsid w:val="00E1442B"/>
    <w:rsid w:val="00E14515"/>
    <w:rsid w:val="00E146A1"/>
    <w:rsid w:val="00E147DD"/>
    <w:rsid w:val="00E14DAE"/>
    <w:rsid w:val="00E15349"/>
    <w:rsid w:val="00E15927"/>
    <w:rsid w:val="00E15BBE"/>
    <w:rsid w:val="00E15F28"/>
    <w:rsid w:val="00E167A3"/>
    <w:rsid w:val="00E16925"/>
    <w:rsid w:val="00E172AA"/>
    <w:rsid w:val="00E174FC"/>
    <w:rsid w:val="00E17CDD"/>
    <w:rsid w:val="00E17F58"/>
    <w:rsid w:val="00E20172"/>
    <w:rsid w:val="00E201ED"/>
    <w:rsid w:val="00E20789"/>
    <w:rsid w:val="00E20D0D"/>
    <w:rsid w:val="00E20DFB"/>
    <w:rsid w:val="00E21173"/>
    <w:rsid w:val="00E212F4"/>
    <w:rsid w:val="00E2147C"/>
    <w:rsid w:val="00E21490"/>
    <w:rsid w:val="00E21816"/>
    <w:rsid w:val="00E21B40"/>
    <w:rsid w:val="00E21E33"/>
    <w:rsid w:val="00E220E5"/>
    <w:rsid w:val="00E2214E"/>
    <w:rsid w:val="00E22627"/>
    <w:rsid w:val="00E22762"/>
    <w:rsid w:val="00E22B66"/>
    <w:rsid w:val="00E22DF0"/>
    <w:rsid w:val="00E232FE"/>
    <w:rsid w:val="00E23CFB"/>
    <w:rsid w:val="00E23DA3"/>
    <w:rsid w:val="00E2417A"/>
    <w:rsid w:val="00E2458F"/>
    <w:rsid w:val="00E246F6"/>
    <w:rsid w:val="00E253F0"/>
    <w:rsid w:val="00E25508"/>
    <w:rsid w:val="00E25CC9"/>
    <w:rsid w:val="00E264DA"/>
    <w:rsid w:val="00E26662"/>
    <w:rsid w:val="00E27223"/>
    <w:rsid w:val="00E276F1"/>
    <w:rsid w:val="00E27709"/>
    <w:rsid w:val="00E27BAD"/>
    <w:rsid w:val="00E27ECE"/>
    <w:rsid w:val="00E300CD"/>
    <w:rsid w:val="00E30176"/>
    <w:rsid w:val="00E314D8"/>
    <w:rsid w:val="00E31CAF"/>
    <w:rsid w:val="00E31D40"/>
    <w:rsid w:val="00E31D52"/>
    <w:rsid w:val="00E32684"/>
    <w:rsid w:val="00E32D61"/>
    <w:rsid w:val="00E331D3"/>
    <w:rsid w:val="00E33355"/>
    <w:rsid w:val="00E33714"/>
    <w:rsid w:val="00E33738"/>
    <w:rsid w:val="00E33808"/>
    <w:rsid w:val="00E33E78"/>
    <w:rsid w:val="00E3489B"/>
    <w:rsid w:val="00E34A3F"/>
    <w:rsid w:val="00E34B50"/>
    <w:rsid w:val="00E3534B"/>
    <w:rsid w:val="00E35529"/>
    <w:rsid w:val="00E3559B"/>
    <w:rsid w:val="00E35C1C"/>
    <w:rsid w:val="00E360A6"/>
    <w:rsid w:val="00E3622D"/>
    <w:rsid w:val="00E36416"/>
    <w:rsid w:val="00E36545"/>
    <w:rsid w:val="00E37271"/>
    <w:rsid w:val="00E3746D"/>
    <w:rsid w:val="00E377BD"/>
    <w:rsid w:val="00E37EFA"/>
    <w:rsid w:val="00E406E9"/>
    <w:rsid w:val="00E407BA"/>
    <w:rsid w:val="00E408A5"/>
    <w:rsid w:val="00E40A5D"/>
    <w:rsid w:val="00E40BF2"/>
    <w:rsid w:val="00E41115"/>
    <w:rsid w:val="00E413E0"/>
    <w:rsid w:val="00E41BB6"/>
    <w:rsid w:val="00E4225C"/>
    <w:rsid w:val="00E42CE2"/>
    <w:rsid w:val="00E43A8D"/>
    <w:rsid w:val="00E43B19"/>
    <w:rsid w:val="00E43EAE"/>
    <w:rsid w:val="00E43F8A"/>
    <w:rsid w:val="00E44012"/>
    <w:rsid w:val="00E45046"/>
    <w:rsid w:val="00E45250"/>
    <w:rsid w:val="00E46197"/>
    <w:rsid w:val="00E462B0"/>
    <w:rsid w:val="00E46847"/>
    <w:rsid w:val="00E46E3D"/>
    <w:rsid w:val="00E47829"/>
    <w:rsid w:val="00E47946"/>
    <w:rsid w:val="00E47F62"/>
    <w:rsid w:val="00E50351"/>
    <w:rsid w:val="00E5062A"/>
    <w:rsid w:val="00E507C2"/>
    <w:rsid w:val="00E508B4"/>
    <w:rsid w:val="00E50A99"/>
    <w:rsid w:val="00E50DC4"/>
    <w:rsid w:val="00E50E7A"/>
    <w:rsid w:val="00E510B7"/>
    <w:rsid w:val="00E5130E"/>
    <w:rsid w:val="00E51779"/>
    <w:rsid w:val="00E522B1"/>
    <w:rsid w:val="00E52357"/>
    <w:rsid w:val="00E52D84"/>
    <w:rsid w:val="00E52E25"/>
    <w:rsid w:val="00E52F03"/>
    <w:rsid w:val="00E5369D"/>
    <w:rsid w:val="00E538C0"/>
    <w:rsid w:val="00E53D76"/>
    <w:rsid w:val="00E53FA9"/>
    <w:rsid w:val="00E5403D"/>
    <w:rsid w:val="00E545E1"/>
    <w:rsid w:val="00E545E7"/>
    <w:rsid w:val="00E54B17"/>
    <w:rsid w:val="00E54DC5"/>
    <w:rsid w:val="00E55658"/>
    <w:rsid w:val="00E558E4"/>
    <w:rsid w:val="00E559F9"/>
    <w:rsid w:val="00E563B1"/>
    <w:rsid w:val="00E56464"/>
    <w:rsid w:val="00E56E45"/>
    <w:rsid w:val="00E571AD"/>
    <w:rsid w:val="00E573A4"/>
    <w:rsid w:val="00E5744A"/>
    <w:rsid w:val="00E5761C"/>
    <w:rsid w:val="00E5784A"/>
    <w:rsid w:val="00E57EA7"/>
    <w:rsid w:val="00E6013A"/>
    <w:rsid w:val="00E6033A"/>
    <w:rsid w:val="00E6095F"/>
    <w:rsid w:val="00E6194A"/>
    <w:rsid w:val="00E61E17"/>
    <w:rsid w:val="00E61EB7"/>
    <w:rsid w:val="00E62106"/>
    <w:rsid w:val="00E6218B"/>
    <w:rsid w:val="00E626B5"/>
    <w:rsid w:val="00E635BC"/>
    <w:rsid w:val="00E63682"/>
    <w:rsid w:val="00E639CE"/>
    <w:rsid w:val="00E63A41"/>
    <w:rsid w:val="00E63D44"/>
    <w:rsid w:val="00E63DAB"/>
    <w:rsid w:val="00E63F9F"/>
    <w:rsid w:val="00E644AB"/>
    <w:rsid w:val="00E64E27"/>
    <w:rsid w:val="00E65762"/>
    <w:rsid w:val="00E65A78"/>
    <w:rsid w:val="00E65D7E"/>
    <w:rsid w:val="00E67138"/>
    <w:rsid w:val="00E673E3"/>
    <w:rsid w:val="00E676F8"/>
    <w:rsid w:val="00E67E08"/>
    <w:rsid w:val="00E67E7E"/>
    <w:rsid w:val="00E7008F"/>
    <w:rsid w:val="00E70139"/>
    <w:rsid w:val="00E7072A"/>
    <w:rsid w:val="00E710BA"/>
    <w:rsid w:val="00E7190F"/>
    <w:rsid w:val="00E71A50"/>
    <w:rsid w:val="00E71C51"/>
    <w:rsid w:val="00E71F3F"/>
    <w:rsid w:val="00E722E1"/>
    <w:rsid w:val="00E725EA"/>
    <w:rsid w:val="00E73383"/>
    <w:rsid w:val="00E73464"/>
    <w:rsid w:val="00E73477"/>
    <w:rsid w:val="00E73F55"/>
    <w:rsid w:val="00E74CAC"/>
    <w:rsid w:val="00E74D1B"/>
    <w:rsid w:val="00E74D7E"/>
    <w:rsid w:val="00E74DC9"/>
    <w:rsid w:val="00E74EB0"/>
    <w:rsid w:val="00E750E5"/>
    <w:rsid w:val="00E75CDC"/>
    <w:rsid w:val="00E76014"/>
    <w:rsid w:val="00E7672E"/>
    <w:rsid w:val="00E769B2"/>
    <w:rsid w:val="00E77334"/>
    <w:rsid w:val="00E7736D"/>
    <w:rsid w:val="00E776C5"/>
    <w:rsid w:val="00E77C22"/>
    <w:rsid w:val="00E8014C"/>
    <w:rsid w:val="00E8078F"/>
    <w:rsid w:val="00E80A83"/>
    <w:rsid w:val="00E81CB4"/>
    <w:rsid w:val="00E81D9F"/>
    <w:rsid w:val="00E81FD8"/>
    <w:rsid w:val="00E82611"/>
    <w:rsid w:val="00E82616"/>
    <w:rsid w:val="00E8270A"/>
    <w:rsid w:val="00E82871"/>
    <w:rsid w:val="00E82895"/>
    <w:rsid w:val="00E82A59"/>
    <w:rsid w:val="00E82A86"/>
    <w:rsid w:val="00E82F07"/>
    <w:rsid w:val="00E82F43"/>
    <w:rsid w:val="00E833E3"/>
    <w:rsid w:val="00E83629"/>
    <w:rsid w:val="00E83AC3"/>
    <w:rsid w:val="00E83E18"/>
    <w:rsid w:val="00E83F4C"/>
    <w:rsid w:val="00E84139"/>
    <w:rsid w:val="00E84434"/>
    <w:rsid w:val="00E84504"/>
    <w:rsid w:val="00E84558"/>
    <w:rsid w:val="00E8462C"/>
    <w:rsid w:val="00E85359"/>
    <w:rsid w:val="00E854C9"/>
    <w:rsid w:val="00E85CF7"/>
    <w:rsid w:val="00E862CA"/>
    <w:rsid w:val="00E8654F"/>
    <w:rsid w:val="00E866A5"/>
    <w:rsid w:val="00E8698D"/>
    <w:rsid w:val="00E86C06"/>
    <w:rsid w:val="00E8757C"/>
    <w:rsid w:val="00E8764A"/>
    <w:rsid w:val="00E876C0"/>
    <w:rsid w:val="00E909CF"/>
    <w:rsid w:val="00E9129C"/>
    <w:rsid w:val="00E91557"/>
    <w:rsid w:val="00E91585"/>
    <w:rsid w:val="00E91E1A"/>
    <w:rsid w:val="00E920D4"/>
    <w:rsid w:val="00E925F8"/>
    <w:rsid w:val="00E9268A"/>
    <w:rsid w:val="00E927DD"/>
    <w:rsid w:val="00E92A8B"/>
    <w:rsid w:val="00E92FAB"/>
    <w:rsid w:val="00E9306B"/>
    <w:rsid w:val="00E94145"/>
    <w:rsid w:val="00E949C3"/>
    <w:rsid w:val="00E9520E"/>
    <w:rsid w:val="00E95464"/>
    <w:rsid w:val="00E95E92"/>
    <w:rsid w:val="00E96481"/>
    <w:rsid w:val="00E9660D"/>
    <w:rsid w:val="00E96723"/>
    <w:rsid w:val="00E96F82"/>
    <w:rsid w:val="00E9704A"/>
    <w:rsid w:val="00E97541"/>
    <w:rsid w:val="00E97CA0"/>
    <w:rsid w:val="00EA01B7"/>
    <w:rsid w:val="00EA0AFB"/>
    <w:rsid w:val="00EA103F"/>
    <w:rsid w:val="00EA154B"/>
    <w:rsid w:val="00EA189B"/>
    <w:rsid w:val="00EA19BF"/>
    <w:rsid w:val="00EA259A"/>
    <w:rsid w:val="00EA2B79"/>
    <w:rsid w:val="00EA2C63"/>
    <w:rsid w:val="00EA2E49"/>
    <w:rsid w:val="00EA2F1D"/>
    <w:rsid w:val="00EA3115"/>
    <w:rsid w:val="00EA33CF"/>
    <w:rsid w:val="00EA340F"/>
    <w:rsid w:val="00EA4583"/>
    <w:rsid w:val="00EA4A63"/>
    <w:rsid w:val="00EA4D28"/>
    <w:rsid w:val="00EA5407"/>
    <w:rsid w:val="00EA5436"/>
    <w:rsid w:val="00EA55BD"/>
    <w:rsid w:val="00EA55E0"/>
    <w:rsid w:val="00EA57F6"/>
    <w:rsid w:val="00EA580E"/>
    <w:rsid w:val="00EA6352"/>
    <w:rsid w:val="00EA6D21"/>
    <w:rsid w:val="00EA706A"/>
    <w:rsid w:val="00EA7276"/>
    <w:rsid w:val="00EA7396"/>
    <w:rsid w:val="00EA7819"/>
    <w:rsid w:val="00EA796B"/>
    <w:rsid w:val="00EA79E5"/>
    <w:rsid w:val="00EA7C0E"/>
    <w:rsid w:val="00EA7FC2"/>
    <w:rsid w:val="00EB000D"/>
    <w:rsid w:val="00EB0C9A"/>
    <w:rsid w:val="00EB0EC8"/>
    <w:rsid w:val="00EB1014"/>
    <w:rsid w:val="00EB1042"/>
    <w:rsid w:val="00EB1335"/>
    <w:rsid w:val="00EB148F"/>
    <w:rsid w:val="00EB18C8"/>
    <w:rsid w:val="00EB1C7C"/>
    <w:rsid w:val="00EB2041"/>
    <w:rsid w:val="00EB23EC"/>
    <w:rsid w:val="00EB2470"/>
    <w:rsid w:val="00EB2CF2"/>
    <w:rsid w:val="00EB2F0E"/>
    <w:rsid w:val="00EB3572"/>
    <w:rsid w:val="00EB39F9"/>
    <w:rsid w:val="00EB3B91"/>
    <w:rsid w:val="00EB465D"/>
    <w:rsid w:val="00EB4812"/>
    <w:rsid w:val="00EB49DF"/>
    <w:rsid w:val="00EB5986"/>
    <w:rsid w:val="00EB5B30"/>
    <w:rsid w:val="00EB5D46"/>
    <w:rsid w:val="00EB5FE5"/>
    <w:rsid w:val="00EB608A"/>
    <w:rsid w:val="00EB615F"/>
    <w:rsid w:val="00EB6A76"/>
    <w:rsid w:val="00EB6F1E"/>
    <w:rsid w:val="00EB72E1"/>
    <w:rsid w:val="00EB741D"/>
    <w:rsid w:val="00EB784B"/>
    <w:rsid w:val="00EC005A"/>
    <w:rsid w:val="00EC01F8"/>
    <w:rsid w:val="00EC0847"/>
    <w:rsid w:val="00EC0B10"/>
    <w:rsid w:val="00EC0C5F"/>
    <w:rsid w:val="00EC19F3"/>
    <w:rsid w:val="00EC232E"/>
    <w:rsid w:val="00EC271E"/>
    <w:rsid w:val="00EC32BD"/>
    <w:rsid w:val="00EC32EE"/>
    <w:rsid w:val="00EC39CD"/>
    <w:rsid w:val="00EC3B51"/>
    <w:rsid w:val="00EC3E7C"/>
    <w:rsid w:val="00EC44C8"/>
    <w:rsid w:val="00EC4BA8"/>
    <w:rsid w:val="00EC4FC2"/>
    <w:rsid w:val="00EC5128"/>
    <w:rsid w:val="00EC5796"/>
    <w:rsid w:val="00EC6893"/>
    <w:rsid w:val="00EC6B8A"/>
    <w:rsid w:val="00EC6F68"/>
    <w:rsid w:val="00EC78C7"/>
    <w:rsid w:val="00EC7EA2"/>
    <w:rsid w:val="00EC7FD6"/>
    <w:rsid w:val="00ED0091"/>
    <w:rsid w:val="00ED07D4"/>
    <w:rsid w:val="00ED0ABB"/>
    <w:rsid w:val="00ED1C36"/>
    <w:rsid w:val="00ED1EA4"/>
    <w:rsid w:val="00ED22FC"/>
    <w:rsid w:val="00ED27EC"/>
    <w:rsid w:val="00ED2899"/>
    <w:rsid w:val="00ED28AE"/>
    <w:rsid w:val="00ED2A2B"/>
    <w:rsid w:val="00ED2B37"/>
    <w:rsid w:val="00ED3467"/>
    <w:rsid w:val="00ED34AF"/>
    <w:rsid w:val="00ED3764"/>
    <w:rsid w:val="00ED3CB5"/>
    <w:rsid w:val="00ED3ECB"/>
    <w:rsid w:val="00ED4185"/>
    <w:rsid w:val="00ED46D7"/>
    <w:rsid w:val="00ED4C1C"/>
    <w:rsid w:val="00ED4E99"/>
    <w:rsid w:val="00ED4F31"/>
    <w:rsid w:val="00ED55E9"/>
    <w:rsid w:val="00ED55F8"/>
    <w:rsid w:val="00ED56D0"/>
    <w:rsid w:val="00ED5A76"/>
    <w:rsid w:val="00ED5BE4"/>
    <w:rsid w:val="00ED5C99"/>
    <w:rsid w:val="00ED5D60"/>
    <w:rsid w:val="00ED6010"/>
    <w:rsid w:val="00ED62A9"/>
    <w:rsid w:val="00ED6862"/>
    <w:rsid w:val="00ED7674"/>
    <w:rsid w:val="00ED7812"/>
    <w:rsid w:val="00ED7C64"/>
    <w:rsid w:val="00ED7E3C"/>
    <w:rsid w:val="00ED7F21"/>
    <w:rsid w:val="00EE074C"/>
    <w:rsid w:val="00EE15ED"/>
    <w:rsid w:val="00EE1A6F"/>
    <w:rsid w:val="00EE2317"/>
    <w:rsid w:val="00EE2555"/>
    <w:rsid w:val="00EE2A2A"/>
    <w:rsid w:val="00EE2B27"/>
    <w:rsid w:val="00EE34A8"/>
    <w:rsid w:val="00EE34ED"/>
    <w:rsid w:val="00EE3570"/>
    <w:rsid w:val="00EE3B8F"/>
    <w:rsid w:val="00EE3E01"/>
    <w:rsid w:val="00EE3EF0"/>
    <w:rsid w:val="00EE50A8"/>
    <w:rsid w:val="00EE5308"/>
    <w:rsid w:val="00EE5539"/>
    <w:rsid w:val="00EE5903"/>
    <w:rsid w:val="00EE5E7B"/>
    <w:rsid w:val="00EE68FF"/>
    <w:rsid w:val="00EE6D85"/>
    <w:rsid w:val="00EE6EFA"/>
    <w:rsid w:val="00EE722E"/>
    <w:rsid w:val="00EE7824"/>
    <w:rsid w:val="00EE78A1"/>
    <w:rsid w:val="00EF0044"/>
    <w:rsid w:val="00EF06D9"/>
    <w:rsid w:val="00EF0971"/>
    <w:rsid w:val="00EF0D97"/>
    <w:rsid w:val="00EF0FA2"/>
    <w:rsid w:val="00EF1D57"/>
    <w:rsid w:val="00EF1FDE"/>
    <w:rsid w:val="00EF2366"/>
    <w:rsid w:val="00EF23BA"/>
    <w:rsid w:val="00EF25E7"/>
    <w:rsid w:val="00EF3297"/>
    <w:rsid w:val="00EF34E3"/>
    <w:rsid w:val="00EF3543"/>
    <w:rsid w:val="00EF35AD"/>
    <w:rsid w:val="00EF3656"/>
    <w:rsid w:val="00EF3774"/>
    <w:rsid w:val="00EF39DE"/>
    <w:rsid w:val="00EF3D9C"/>
    <w:rsid w:val="00EF42DF"/>
    <w:rsid w:val="00EF435A"/>
    <w:rsid w:val="00EF44E5"/>
    <w:rsid w:val="00EF453D"/>
    <w:rsid w:val="00EF462D"/>
    <w:rsid w:val="00EF4857"/>
    <w:rsid w:val="00EF4D48"/>
    <w:rsid w:val="00EF5057"/>
    <w:rsid w:val="00EF54A8"/>
    <w:rsid w:val="00EF5628"/>
    <w:rsid w:val="00EF5779"/>
    <w:rsid w:val="00EF5E2D"/>
    <w:rsid w:val="00EF5F89"/>
    <w:rsid w:val="00EF604F"/>
    <w:rsid w:val="00EF6162"/>
    <w:rsid w:val="00EF675E"/>
    <w:rsid w:val="00EF6BFD"/>
    <w:rsid w:val="00EF6F5A"/>
    <w:rsid w:val="00EF72D2"/>
    <w:rsid w:val="00EF7463"/>
    <w:rsid w:val="00EF7A11"/>
    <w:rsid w:val="00F00269"/>
    <w:rsid w:val="00F0043D"/>
    <w:rsid w:val="00F005DF"/>
    <w:rsid w:val="00F00B20"/>
    <w:rsid w:val="00F010C3"/>
    <w:rsid w:val="00F013A6"/>
    <w:rsid w:val="00F01673"/>
    <w:rsid w:val="00F01710"/>
    <w:rsid w:val="00F01B3B"/>
    <w:rsid w:val="00F02076"/>
    <w:rsid w:val="00F021B6"/>
    <w:rsid w:val="00F0241A"/>
    <w:rsid w:val="00F02CE0"/>
    <w:rsid w:val="00F03086"/>
    <w:rsid w:val="00F03B7B"/>
    <w:rsid w:val="00F03C46"/>
    <w:rsid w:val="00F03E95"/>
    <w:rsid w:val="00F04750"/>
    <w:rsid w:val="00F04AF9"/>
    <w:rsid w:val="00F04EFC"/>
    <w:rsid w:val="00F050FF"/>
    <w:rsid w:val="00F058B0"/>
    <w:rsid w:val="00F05B01"/>
    <w:rsid w:val="00F061D6"/>
    <w:rsid w:val="00F06636"/>
    <w:rsid w:val="00F0671A"/>
    <w:rsid w:val="00F0739E"/>
    <w:rsid w:val="00F075B7"/>
    <w:rsid w:val="00F07AB2"/>
    <w:rsid w:val="00F10080"/>
    <w:rsid w:val="00F1016F"/>
    <w:rsid w:val="00F10F7A"/>
    <w:rsid w:val="00F116EA"/>
    <w:rsid w:val="00F11D64"/>
    <w:rsid w:val="00F11D66"/>
    <w:rsid w:val="00F11E74"/>
    <w:rsid w:val="00F124A9"/>
    <w:rsid w:val="00F12FFF"/>
    <w:rsid w:val="00F1301B"/>
    <w:rsid w:val="00F1312D"/>
    <w:rsid w:val="00F135ED"/>
    <w:rsid w:val="00F138F7"/>
    <w:rsid w:val="00F13AD0"/>
    <w:rsid w:val="00F13D18"/>
    <w:rsid w:val="00F13F8D"/>
    <w:rsid w:val="00F13FAC"/>
    <w:rsid w:val="00F1437D"/>
    <w:rsid w:val="00F145CF"/>
    <w:rsid w:val="00F14F6E"/>
    <w:rsid w:val="00F1520B"/>
    <w:rsid w:val="00F15237"/>
    <w:rsid w:val="00F15678"/>
    <w:rsid w:val="00F1569F"/>
    <w:rsid w:val="00F1587C"/>
    <w:rsid w:val="00F15E73"/>
    <w:rsid w:val="00F1632C"/>
    <w:rsid w:val="00F1648D"/>
    <w:rsid w:val="00F16AC4"/>
    <w:rsid w:val="00F178EB"/>
    <w:rsid w:val="00F17B13"/>
    <w:rsid w:val="00F17BDF"/>
    <w:rsid w:val="00F17DCC"/>
    <w:rsid w:val="00F17EA3"/>
    <w:rsid w:val="00F17EEF"/>
    <w:rsid w:val="00F20181"/>
    <w:rsid w:val="00F203A2"/>
    <w:rsid w:val="00F20467"/>
    <w:rsid w:val="00F2068F"/>
    <w:rsid w:val="00F21070"/>
    <w:rsid w:val="00F213AD"/>
    <w:rsid w:val="00F214BB"/>
    <w:rsid w:val="00F214DB"/>
    <w:rsid w:val="00F2152D"/>
    <w:rsid w:val="00F21F17"/>
    <w:rsid w:val="00F220D3"/>
    <w:rsid w:val="00F222A6"/>
    <w:rsid w:val="00F22C68"/>
    <w:rsid w:val="00F23042"/>
    <w:rsid w:val="00F231F7"/>
    <w:rsid w:val="00F23267"/>
    <w:rsid w:val="00F234C8"/>
    <w:rsid w:val="00F236E6"/>
    <w:rsid w:val="00F23D44"/>
    <w:rsid w:val="00F23E74"/>
    <w:rsid w:val="00F249D0"/>
    <w:rsid w:val="00F24DB9"/>
    <w:rsid w:val="00F24E65"/>
    <w:rsid w:val="00F257AB"/>
    <w:rsid w:val="00F26872"/>
    <w:rsid w:val="00F26AF2"/>
    <w:rsid w:val="00F26BC6"/>
    <w:rsid w:val="00F26FC6"/>
    <w:rsid w:val="00F273DE"/>
    <w:rsid w:val="00F2763D"/>
    <w:rsid w:val="00F27B78"/>
    <w:rsid w:val="00F27C4D"/>
    <w:rsid w:val="00F27C69"/>
    <w:rsid w:val="00F3036F"/>
    <w:rsid w:val="00F3079C"/>
    <w:rsid w:val="00F30E8E"/>
    <w:rsid w:val="00F310F2"/>
    <w:rsid w:val="00F31369"/>
    <w:rsid w:val="00F314E6"/>
    <w:rsid w:val="00F31BBF"/>
    <w:rsid w:val="00F320B9"/>
    <w:rsid w:val="00F320BF"/>
    <w:rsid w:val="00F3218F"/>
    <w:rsid w:val="00F3249C"/>
    <w:rsid w:val="00F32F60"/>
    <w:rsid w:val="00F3312F"/>
    <w:rsid w:val="00F332B9"/>
    <w:rsid w:val="00F333DD"/>
    <w:rsid w:val="00F33835"/>
    <w:rsid w:val="00F33AEE"/>
    <w:rsid w:val="00F33E6D"/>
    <w:rsid w:val="00F33F4C"/>
    <w:rsid w:val="00F34086"/>
    <w:rsid w:val="00F340B5"/>
    <w:rsid w:val="00F34155"/>
    <w:rsid w:val="00F3422D"/>
    <w:rsid w:val="00F34E59"/>
    <w:rsid w:val="00F357FF"/>
    <w:rsid w:val="00F358AC"/>
    <w:rsid w:val="00F35951"/>
    <w:rsid w:val="00F35AEA"/>
    <w:rsid w:val="00F35D12"/>
    <w:rsid w:val="00F35DEE"/>
    <w:rsid w:val="00F36740"/>
    <w:rsid w:val="00F36ADE"/>
    <w:rsid w:val="00F37371"/>
    <w:rsid w:val="00F375C9"/>
    <w:rsid w:val="00F37939"/>
    <w:rsid w:val="00F37E08"/>
    <w:rsid w:val="00F37E9C"/>
    <w:rsid w:val="00F418B2"/>
    <w:rsid w:val="00F41B35"/>
    <w:rsid w:val="00F4264F"/>
    <w:rsid w:val="00F42889"/>
    <w:rsid w:val="00F42898"/>
    <w:rsid w:val="00F42C49"/>
    <w:rsid w:val="00F42EDA"/>
    <w:rsid w:val="00F43AC3"/>
    <w:rsid w:val="00F4430B"/>
    <w:rsid w:val="00F44470"/>
    <w:rsid w:val="00F44846"/>
    <w:rsid w:val="00F44D9D"/>
    <w:rsid w:val="00F44FAF"/>
    <w:rsid w:val="00F453B0"/>
    <w:rsid w:val="00F45C85"/>
    <w:rsid w:val="00F45CB5"/>
    <w:rsid w:val="00F45F94"/>
    <w:rsid w:val="00F4660D"/>
    <w:rsid w:val="00F46B90"/>
    <w:rsid w:val="00F46EC7"/>
    <w:rsid w:val="00F4757A"/>
    <w:rsid w:val="00F4794B"/>
    <w:rsid w:val="00F5022B"/>
    <w:rsid w:val="00F50682"/>
    <w:rsid w:val="00F506C3"/>
    <w:rsid w:val="00F51255"/>
    <w:rsid w:val="00F5161D"/>
    <w:rsid w:val="00F51823"/>
    <w:rsid w:val="00F51A13"/>
    <w:rsid w:val="00F51F3A"/>
    <w:rsid w:val="00F5212D"/>
    <w:rsid w:val="00F52245"/>
    <w:rsid w:val="00F5264B"/>
    <w:rsid w:val="00F529E7"/>
    <w:rsid w:val="00F52D87"/>
    <w:rsid w:val="00F534E3"/>
    <w:rsid w:val="00F53AA5"/>
    <w:rsid w:val="00F540D5"/>
    <w:rsid w:val="00F54276"/>
    <w:rsid w:val="00F54342"/>
    <w:rsid w:val="00F545EF"/>
    <w:rsid w:val="00F547EF"/>
    <w:rsid w:val="00F55CCD"/>
    <w:rsid w:val="00F55F13"/>
    <w:rsid w:val="00F55FAD"/>
    <w:rsid w:val="00F56039"/>
    <w:rsid w:val="00F562EF"/>
    <w:rsid w:val="00F56369"/>
    <w:rsid w:val="00F565B3"/>
    <w:rsid w:val="00F56EAE"/>
    <w:rsid w:val="00F57642"/>
    <w:rsid w:val="00F5767A"/>
    <w:rsid w:val="00F57A3E"/>
    <w:rsid w:val="00F602E8"/>
    <w:rsid w:val="00F60368"/>
    <w:rsid w:val="00F6059F"/>
    <w:rsid w:val="00F60F0E"/>
    <w:rsid w:val="00F61088"/>
    <w:rsid w:val="00F61103"/>
    <w:rsid w:val="00F611B2"/>
    <w:rsid w:val="00F61541"/>
    <w:rsid w:val="00F6197D"/>
    <w:rsid w:val="00F6250E"/>
    <w:rsid w:val="00F62614"/>
    <w:rsid w:val="00F62700"/>
    <w:rsid w:val="00F62934"/>
    <w:rsid w:val="00F629B2"/>
    <w:rsid w:val="00F639C3"/>
    <w:rsid w:val="00F63CB1"/>
    <w:rsid w:val="00F6409E"/>
    <w:rsid w:val="00F641FA"/>
    <w:rsid w:val="00F649C0"/>
    <w:rsid w:val="00F64A1F"/>
    <w:rsid w:val="00F64DF6"/>
    <w:rsid w:val="00F64F91"/>
    <w:rsid w:val="00F64FA4"/>
    <w:rsid w:val="00F65403"/>
    <w:rsid w:val="00F657A7"/>
    <w:rsid w:val="00F65B95"/>
    <w:rsid w:val="00F65C48"/>
    <w:rsid w:val="00F65C6F"/>
    <w:rsid w:val="00F66136"/>
    <w:rsid w:val="00F66718"/>
    <w:rsid w:val="00F668C8"/>
    <w:rsid w:val="00F66A49"/>
    <w:rsid w:val="00F66BDD"/>
    <w:rsid w:val="00F66C15"/>
    <w:rsid w:val="00F6747D"/>
    <w:rsid w:val="00F67F24"/>
    <w:rsid w:val="00F7083E"/>
    <w:rsid w:val="00F70A31"/>
    <w:rsid w:val="00F71022"/>
    <w:rsid w:val="00F711F6"/>
    <w:rsid w:val="00F712F5"/>
    <w:rsid w:val="00F7178F"/>
    <w:rsid w:val="00F7193A"/>
    <w:rsid w:val="00F71B7C"/>
    <w:rsid w:val="00F71C32"/>
    <w:rsid w:val="00F71D13"/>
    <w:rsid w:val="00F7292C"/>
    <w:rsid w:val="00F72C7D"/>
    <w:rsid w:val="00F72EBA"/>
    <w:rsid w:val="00F73124"/>
    <w:rsid w:val="00F732B3"/>
    <w:rsid w:val="00F73353"/>
    <w:rsid w:val="00F733C0"/>
    <w:rsid w:val="00F7352F"/>
    <w:rsid w:val="00F73946"/>
    <w:rsid w:val="00F74291"/>
    <w:rsid w:val="00F74878"/>
    <w:rsid w:val="00F74925"/>
    <w:rsid w:val="00F753D7"/>
    <w:rsid w:val="00F75BC0"/>
    <w:rsid w:val="00F75C2A"/>
    <w:rsid w:val="00F761C2"/>
    <w:rsid w:val="00F76331"/>
    <w:rsid w:val="00F767C1"/>
    <w:rsid w:val="00F767EB"/>
    <w:rsid w:val="00F76A89"/>
    <w:rsid w:val="00F76DC6"/>
    <w:rsid w:val="00F770B9"/>
    <w:rsid w:val="00F772CE"/>
    <w:rsid w:val="00F779AA"/>
    <w:rsid w:val="00F77C6A"/>
    <w:rsid w:val="00F77E81"/>
    <w:rsid w:val="00F8000F"/>
    <w:rsid w:val="00F80093"/>
    <w:rsid w:val="00F802D3"/>
    <w:rsid w:val="00F80584"/>
    <w:rsid w:val="00F80A17"/>
    <w:rsid w:val="00F816F9"/>
    <w:rsid w:val="00F817A6"/>
    <w:rsid w:val="00F8189B"/>
    <w:rsid w:val="00F81E9F"/>
    <w:rsid w:val="00F81F4C"/>
    <w:rsid w:val="00F82603"/>
    <w:rsid w:val="00F82D92"/>
    <w:rsid w:val="00F8319B"/>
    <w:rsid w:val="00F8327F"/>
    <w:rsid w:val="00F83466"/>
    <w:rsid w:val="00F835DA"/>
    <w:rsid w:val="00F83794"/>
    <w:rsid w:val="00F838A8"/>
    <w:rsid w:val="00F83939"/>
    <w:rsid w:val="00F83CA5"/>
    <w:rsid w:val="00F83DDC"/>
    <w:rsid w:val="00F83EFD"/>
    <w:rsid w:val="00F8416E"/>
    <w:rsid w:val="00F846DC"/>
    <w:rsid w:val="00F84937"/>
    <w:rsid w:val="00F84FC2"/>
    <w:rsid w:val="00F84FF5"/>
    <w:rsid w:val="00F852F0"/>
    <w:rsid w:val="00F8542D"/>
    <w:rsid w:val="00F85771"/>
    <w:rsid w:val="00F85FBF"/>
    <w:rsid w:val="00F86290"/>
    <w:rsid w:val="00F8654C"/>
    <w:rsid w:val="00F86C23"/>
    <w:rsid w:val="00F86F84"/>
    <w:rsid w:val="00F87085"/>
    <w:rsid w:val="00F871AC"/>
    <w:rsid w:val="00F8743E"/>
    <w:rsid w:val="00F8754D"/>
    <w:rsid w:val="00F8786E"/>
    <w:rsid w:val="00F87FC5"/>
    <w:rsid w:val="00F907F7"/>
    <w:rsid w:val="00F90DC6"/>
    <w:rsid w:val="00F90E0E"/>
    <w:rsid w:val="00F9106D"/>
    <w:rsid w:val="00F916DD"/>
    <w:rsid w:val="00F918A9"/>
    <w:rsid w:val="00F91A59"/>
    <w:rsid w:val="00F91F33"/>
    <w:rsid w:val="00F93285"/>
    <w:rsid w:val="00F93340"/>
    <w:rsid w:val="00F9378D"/>
    <w:rsid w:val="00F9382C"/>
    <w:rsid w:val="00F93EBC"/>
    <w:rsid w:val="00F946A8"/>
    <w:rsid w:val="00F94B87"/>
    <w:rsid w:val="00F9519E"/>
    <w:rsid w:val="00F951BE"/>
    <w:rsid w:val="00F956C2"/>
    <w:rsid w:val="00F95767"/>
    <w:rsid w:val="00F96125"/>
    <w:rsid w:val="00F961AD"/>
    <w:rsid w:val="00F963BA"/>
    <w:rsid w:val="00F965C8"/>
    <w:rsid w:val="00F9669B"/>
    <w:rsid w:val="00F97249"/>
    <w:rsid w:val="00F97714"/>
    <w:rsid w:val="00F97813"/>
    <w:rsid w:val="00F97B59"/>
    <w:rsid w:val="00F97DCC"/>
    <w:rsid w:val="00FA0916"/>
    <w:rsid w:val="00FA0B02"/>
    <w:rsid w:val="00FA0B4A"/>
    <w:rsid w:val="00FA0C01"/>
    <w:rsid w:val="00FA0D88"/>
    <w:rsid w:val="00FA1421"/>
    <w:rsid w:val="00FA14A2"/>
    <w:rsid w:val="00FA1711"/>
    <w:rsid w:val="00FA1715"/>
    <w:rsid w:val="00FA27F6"/>
    <w:rsid w:val="00FA2839"/>
    <w:rsid w:val="00FA37E9"/>
    <w:rsid w:val="00FA3DC0"/>
    <w:rsid w:val="00FA3F7D"/>
    <w:rsid w:val="00FA4625"/>
    <w:rsid w:val="00FA4B8C"/>
    <w:rsid w:val="00FA515E"/>
    <w:rsid w:val="00FA5504"/>
    <w:rsid w:val="00FA57A7"/>
    <w:rsid w:val="00FA5F94"/>
    <w:rsid w:val="00FA607B"/>
    <w:rsid w:val="00FA630D"/>
    <w:rsid w:val="00FA630F"/>
    <w:rsid w:val="00FA65E0"/>
    <w:rsid w:val="00FA6A3E"/>
    <w:rsid w:val="00FA6A48"/>
    <w:rsid w:val="00FA6E56"/>
    <w:rsid w:val="00FA6F8A"/>
    <w:rsid w:val="00FA7127"/>
    <w:rsid w:val="00FA7293"/>
    <w:rsid w:val="00FA7595"/>
    <w:rsid w:val="00FA7A5E"/>
    <w:rsid w:val="00FB00BD"/>
    <w:rsid w:val="00FB00E7"/>
    <w:rsid w:val="00FB0A36"/>
    <w:rsid w:val="00FB0C7C"/>
    <w:rsid w:val="00FB1337"/>
    <w:rsid w:val="00FB134C"/>
    <w:rsid w:val="00FB138C"/>
    <w:rsid w:val="00FB1E15"/>
    <w:rsid w:val="00FB1E17"/>
    <w:rsid w:val="00FB1FEA"/>
    <w:rsid w:val="00FB2303"/>
    <w:rsid w:val="00FB25BD"/>
    <w:rsid w:val="00FB28B2"/>
    <w:rsid w:val="00FB3273"/>
    <w:rsid w:val="00FB3E12"/>
    <w:rsid w:val="00FB452C"/>
    <w:rsid w:val="00FB4702"/>
    <w:rsid w:val="00FB4D07"/>
    <w:rsid w:val="00FB4EAC"/>
    <w:rsid w:val="00FB4F44"/>
    <w:rsid w:val="00FB514C"/>
    <w:rsid w:val="00FB5695"/>
    <w:rsid w:val="00FB5844"/>
    <w:rsid w:val="00FB5A50"/>
    <w:rsid w:val="00FB5D66"/>
    <w:rsid w:val="00FB64A6"/>
    <w:rsid w:val="00FB6526"/>
    <w:rsid w:val="00FB67C3"/>
    <w:rsid w:val="00FB6E05"/>
    <w:rsid w:val="00FB6E76"/>
    <w:rsid w:val="00FB70D9"/>
    <w:rsid w:val="00FB73C5"/>
    <w:rsid w:val="00FB7402"/>
    <w:rsid w:val="00FB740B"/>
    <w:rsid w:val="00FB74E6"/>
    <w:rsid w:val="00FB7588"/>
    <w:rsid w:val="00FB7CB0"/>
    <w:rsid w:val="00FB7F60"/>
    <w:rsid w:val="00FC044F"/>
    <w:rsid w:val="00FC0C30"/>
    <w:rsid w:val="00FC0E59"/>
    <w:rsid w:val="00FC0EA5"/>
    <w:rsid w:val="00FC0F39"/>
    <w:rsid w:val="00FC1726"/>
    <w:rsid w:val="00FC1826"/>
    <w:rsid w:val="00FC186D"/>
    <w:rsid w:val="00FC1F78"/>
    <w:rsid w:val="00FC2597"/>
    <w:rsid w:val="00FC2ADE"/>
    <w:rsid w:val="00FC2B9C"/>
    <w:rsid w:val="00FC3320"/>
    <w:rsid w:val="00FC366D"/>
    <w:rsid w:val="00FC3B61"/>
    <w:rsid w:val="00FC411F"/>
    <w:rsid w:val="00FC45BA"/>
    <w:rsid w:val="00FC4716"/>
    <w:rsid w:val="00FC49F9"/>
    <w:rsid w:val="00FC54A1"/>
    <w:rsid w:val="00FC58BC"/>
    <w:rsid w:val="00FC5A3C"/>
    <w:rsid w:val="00FC5C1F"/>
    <w:rsid w:val="00FC5C38"/>
    <w:rsid w:val="00FC5F67"/>
    <w:rsid w:val="00FC6331"/>
    <w:rsid w:val="00FC647F"/>
    <w:rsid w:val="00FC64C8"/>
    <w:rsid w:val="00FC67B3"/>
    <w:rsid w:val="00FC6883"/>
    <w:rsid w:val="00FC6A5E"/>
    <w:rsid w:val="00FC6CFB"/>
    <w:rsid w:val="00FC6E13"/>
    <w:rsid w:val="00FC6F77"/>
    <w:rsid w:val="00FC718B"/>
    <w:rsid w:val="00FC75FC"/>
    <w:rsid w:val="00FC76BD"/>
    <w:rsid w:val="00FC7745"/>
    <w:rsid w:val="00FC7932"/>
    <w:rsid w:val="00FC7C4D"/>
    <w:rsid w:val="00FC7E57"/>
    <w:rsid w:val="00FC7F9B"/>
    <w:rsid w:val="00FD038D"/>
    <w:rsid w:val="00FD0823"/>
    <w:rsid w:val="00FD0B02"/>
    <w:rsid w:val="00FD0CB2"/>
    <w:rsid w:val="00FD0CE9"/>
    <w:rsid w:val="00FD1041"/>
    <w:rsid w:val="00FD133E"/>
    <w:rsid w:val="00FD1639"/>
    <w:rsid w:val="00FD181A"/>
    <w:rsid w:val="00FD1BFA"/>
    <w:rsid w:val="00FD1C49"/>
    <w:rsid w:val="00FD1D1C"/>
    <w:rsid w:val="00FD1E44"/>
    <w:rsid w:val="00FD21E0"/>
    <w:rsid w:val="00FD2463"/>
    <w:rsid w:val="00FD27E8"/>
    <w:rsid w:val="00FD2A6D"/>
    <w:rsid w:val="00FD2A8A"/>
    <w:rsid w:val="00FD2E1E"/>
    <w:rsid w:val="00FD2F0C"/>
    <w:rsid w:val="00FD300C"/>
    <w:rsid w:val="00FD34E8"/>
    <w:rsid w:val="00FD3A66"/>
    <w:rsid w:val="00FD42C1"/>
    <w:rsid w:val="00FD4406"/>
    <w:rsid w:val="00FD4412"/>
    <w:rsid w:val="00FD4498"/>
    <w:rsid w:val="00FD4D5C"/>
    <w:rsid w:val="00FD56B3"/>
    <w:rsid w:val="00FD5AF1"/>
    <w:rsid w:val="00FD5C97"/>
    <w:rsid w:val="00FD5F1E"/>
    <w:rsid w:val="00FD5F82"/>
    <w:rsid w:val="00FD642B"/>
    <w:rsid w:val="00FD64B3"/>
    <w:rsid w:val="00FD65EF"/>
    <w:rsid w:val="00FD67BC"/>
    <w:rsid w:val="00FD67F1"/>
    <w:rsid w:val="00FD6BE2"/>
    <w:rsid w:val="00FD6E8D"/>
    <w:rsid w:val="00FD7145"/>
    <w:rsid w:val="00FD74F9"/>
    <w:rsid w:val="00FE0137"/>
    <w:rsid w:val="00FE0CA4"/>
    <w:rsid w:val="00FE0DA5"/>
    <w:rsid w:val="00FE0E52"/>
    <w:rsid w:val="00FE0F48"/>
    <w:rsid w:val="00FE1E27"/>
    <w:rsid w:val="00FE1EBF"/>
    <w:rsid w:val="00FE242C"/>
    <w:rsid w:val="00FE24CA"/>
    <w:rsid w:val="00FE2969"/>
    <w:rsid w:val="00FE2F0C"/>
    <w:rsid w:val="00FE3843"/>
    <w:rsid w:val="00FE3F3C"/>
    <w:rsid w:val="00FE4EF5"/>
    <w:rsid w:val="00FE54EC"/>
    <w:rsid w:val="00FE5512"/>
    <w:rsid w:val="00FE5802"/>
    <w:rsid w:val="00FE5E1C"/>
    <w:rsid w:val="00FE6C64"/>
    <w:rsid w:val="00FE6CAC"/>
    <w:rsid w:val="00FE6D42"/>
    <w:rsid w:val="00FE7133"/>
    <w:rsid w:val="00FE7174"/>
    <w:rsid w:val="00FF00C7"/>
    <w:rsid w:val="00FF022E"/>
    <w:rsid w:val="00FF047E"/>
    <w:rsid w:val="00FF05E5"/>
    <w:rsid w:val="00FF080D"/>
    <w:rsid w:val="00FF119E"/>
    <w:rsid w:val="00FF1316"/>
    <w:rsid w:val="00FF1C13"/>
    <w:rsid w:val="00FF1CA7"/>
    <w:rsid w:val="00FF22A0"/>
    <w:rsid w:val="00FF27E3"/>
    <w:rsid w:val="00FF2F6C"/>
    <w:rsid w:val="00FF307D"/>
    <w:rsid w:val="00FF3133"/>
    <w:rsid w:val="00FF348E"/>
    <w:rsid w:val="00FF3572"/>
    <w:rsid w:val="00FF35D4"/>
    <w:rsid w:val="00FF36FF"/>
    <w:rsid w:val="00FF3AB0"/>
    <w:rsid w:val="00FF3B07"/>
    <w:rsid w:val="00FF3C45"/>
    <w:rsid w:val="00FF44D8"/>
    <w:rsid w:val="00FF456C"/>
    <w:rsid w:val="00FF4648"/>
    <w:rsid w:val="00FF4674"/>
    <w:rsid w:val="00FF4B07"/>
    <w:rsid w:val="00FF5296"/>
    <w:rsid w:val="00FF5917"/>
    <w:rsid w:val="00FF6083"/>
    <w:rsid w:val="00FF65AE"/>
    <w:rsid w:val="00FF6934"/>
    <w:rsid w:val="00FF6C2B"/>
    <w:rsid w:val="00FF7155"/>
    <w:rsid w:val="00FF7946"/>
    <w:rsid w:val="00FF7995"/>
    <w:rsid w:val="00FF7CDE"/>
    <w:rsid w:val="00FF7D64"/>
    <w:rsid w:val="00FF7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14C32E"/>
  <w15:chartTrackingRefBased/>
  <w15:docId w15:val="{DE3B3623-A906-4A97-8B20-AC5D10B54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Bullet" w:qFormat="1"/>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Normal (Web)" w:uiPriority="99" w:qFormat="1"/>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74B"/>
    <w:pPr>
      <w:spacing w:line="360" w:lineRule="auto"/>
      <w:ind w:firstLine="567"/>
      <w:jc w:val="both"/>
    </w:pPr>
    <w:rPr>
      <w:rFonts w:ascii="GHEA Grapalat" w:hAnsi="GHEA Grapalat" w:cs="Times Unicode"/>
      <w:sz w:val="22"/>
      <w:szCs w:val="22"/>
      <w:lang w:val="hy-AM"/>
    </w:rPr>
  </w:style>
  <w:style w:type="paragraph" w:styleId="Heading1">
    <w:name w:val="heading 1"/>
    <w:basedOn w:val="Normal"/>
    <w:next w:val="Normal"/>
    <w:link w:val="Heading1Char"/>
    <w:uiPriority w:val="99"/>
    <w:qFormat/>
    <w:rsid w:val="005D2662"/>
    <w:pPr>
      <w:keepNext/>
      <w:numPr>
        <w:numId w:val="24"/>
      </w:numPr>
      <w:spacing w:before="120" w:after="240"/>
      <w:outlineLvl w:val="0"/>
    </w:pPr>
    <w:rPr>
      <w:b/>
      <w:bCs/>
      <w:color w:val="002060"/>
      <w:kern w:val="32"/>
      <w:sz w:val="28"/>
    </w:rPr>
  </w:style>
  <w:style w:type="paragraph" w:styleId="Heading2">
    <w:name w:val="heading 2"/>
    <w:aliases w:val="(Chapter),Paranum,Text"/>
    <w:basedOn w:val="Normal"/>
    <w:next w:val="BodyText"/>
    <w:link w:val="Heading2Char"/>
    <w:autoRedefine/>
    <w:qFormat/>
    <w:rsid w:val="00941791"/>
    <w:pPr>
      <w:keepNext/>
      <w:widowControl w:val="0"/>
      <w:numPr>
        <w:ilvl w:val="1"/>
        <w:numId w:val="24"/>
      </w:numPr>
      <w:tabs>
        <w:tab w:val="left" w:pos="993"/>
        <w:tab w:val="right" w:pos="10208"/>
      </w:tabs>
      <w:spacing w:after="240" w:line="240" w:lineRule="auto"/>
      <w:contextualSpacing/>
      <w:jc w:val="left"/>
      <w:outlineLvl w:val="1"/>
    </w:pPr>
    <w:rPr>
      <w:b/>
      <w:kern w:val="16"/>
      <w:sz w:val="26"/>
      <w:lang w:val="af-ZA" w:eastAsia="x-none"/>
    </w:rPr>
  </w:style>
  <w:style w:type="paragraph" w:styleId="Heading3">
    <w:name w:val="heading 3"/>
    <w:aliases w:val="(Sub-Chapter),Centered,(text),Heading 3 Char Char Char Char Char Char"/>
    <w:basedOn w:val="Normal"/>
    <w:next w:val="BodyText"/>
    <w:link w:val="Heading3Char1"/>
    <w:autoRedefine/>
    <w:uiPriority w:val="9"/>
    <w:qFormat/>
    <w:rsid w:val="00E9129C"/>
    <w:pPr>
      <w:keepNext/>
      <w:widowControl w:val="0"/>
      <w:numPr>
        <w:ilvl w:val="1"/>
        <w:numId w:val="21"/>
      </w:numPr>
      <w:tabs>
        <w:tab w:val="left" w:pos="624"/>
      </w:tabs>
      <w:spacing w:before="120"/>
      <w:ind w:right="301"/>
      <w:outlineLvl w:val="2"/>
    </w:pPr>
    <w:rPr>
      <w:b/>
      <w:bCs/>
      <w:color w:val="000000"/>
      <w:lang w:val="es-ES" w:eastAsia="x-none"/>
    </w:rPr>
  </w:style>
  <w:style w:type="paragraph" w:styleId="Heading4">
    <w:name w:val="heading 4"/>
    <w:aliases w:val="Centred"/>
    <w:basedOn w:val="Normal"/>
    <w:next w:val="Normal"/>
    <w:link w:val="Heading4Char2"/>
    <w:autoRedefine/>
    <w:qFormat/>
    <w:rsid w:val="009027D1"/>
    <w:pPr>
      <w:keepNext/>
      <w:numPr>
        <w:ilvl w:val="2"/>
        <w:numId w:val="21"/>
      </w:numPr>
      <w:spacing w:before="240" w:after="60"/>
      <w:outlineLvl w:val="3"/>
    </w:pPr>
    <w:rPr>
      <w:b/>
      <w:bCs/>
      <w:lang w:val="af-ZA" w:eastAsia="x-none"/>
    </w:rPr>
  </w:style>
  <w:style w:type="paragraph" w:styleId="Heading5">
    <w:name w:val="heading 5"/>
    <w:aliases w:val="Side"/>
    <w:basedOn w:val="Normal"/>
    <w:next w:val="Normal"/>
    <w:link w:val="Heading5Char1"/>
    <w:qFormat/>
    <w:rsid w:val="00C9180F"/>
    <w:pPr>
      <w:spacing w:before="240" w:after="60"/>
      <w:outlineLvl w:val="4"/>
    </w:pPr>
    <w:rPr>
      <w:b/>
      <w:bCs/>
      <w:i/>
      <w:iCs/>
      <w:sz w:val="26"/>
      <w:szCs w:val="26"/>
    </w:rPr>
  </w:style>
  <w:style w:type="paragraph" w:styleId="Heading6">
    <w:name w:val="heading 6"/>
    <w:basedOn w:val="Normal"/>
    <w:next w:val="BodyText"/>
    <w:link w:val="Heading6Char1"/>
    <w:qFormat/>
    <w:rsid w:val="00C9180F"/>
    <w:pPr>
      <w:keepNext/>
      <w:widowControl w:val="0"/>
      <w:numPr>
        <w:ilvl w:val="5"/>
        <w:numId w:val="2"/>
      </w:numPr>
      <w:tabs>
        <w:tab w:val="left" w:pos="1247"/>
      </w:tabs>
      <w:spacing w:before="120" w:after="120"/>
      <w:outlineLvl w:val="5"/>
    </w:pPr>
    <w:rPr>
      <w:rFonts w:ascii="Arial Armenian" w:hAnsi="Arial Armenian"/>
      <w:i/>
      <w:szCs w:val="20"/>
      <w:u w:val="single"/>
      <w:lang w:val="en-GB" w:eastAsia="x-none"/>
    </w:rPr>
  </w:style>
  <w:style w:type="paragraph" w:styleId="Heading7">
    <w:name w:val="heading 7"/>
    <w:basedOn w:val="Normal"/>
    <w:next w:val="BodyText"/>
    <w:link w:val="Heading7Char1"/>
    <w:qFormat/>
    <w:rsid w:val="00C9180F"/>
    <w:pPr>
      <w:framePr w:w="3780" w:hSpace="240" w:wrap="auto" w:vAnchor="text" w:hAnchor="page" w:x="1489" w:y="1"/>
      <w:widowControl w:val="0"/>
      <w:numPr>
        <w:ilvl w:val="6"/>
        <w:numId w:val="2"/>
      </w:numPr>
      <w:pBdr>
        <w:top w:val="single" w:sz="6" w:space="12" w:color="FFFFFF"/>
        <w:left w:val="single" w:sz="6" w:space="12" w:color="FFFFFF"/>
        <w:bottom w:val="single" w:sz="6" w:space="12" w:color="FFFFFF"/>
        <w:right w:val="single" w:sz="6" w:space="12" w:color="FFFFFF"/>
      </w:pBdr>
      <w:shd w:val="pct5" w:color="auto" w:fill="auto"/>
      <w:spacing w:before="60"/>
      <w:outlineLvl w:val="6"/>
    </w:pPr>
    <w:rPr>
      <w:rFonts w:ascii="Garamond" w:hAnsi="Garamond"/>
      <w:i/>
      <w:spacing w:val="-5"/>
      <w:sz w:val="28"/>
      <w:szCs w:val="20"/>
      <w:lang w:val="en-GB" w:eastAsia="x-none"/>
    </w:rPr>
  </w:style>
  <w:style w:type="paragraph" w:styleId="Heading8">
    <w:name w:val="heading 8"/>
    <w:basedOn w:val="Normal"/>
    <w:next w:val="BodyText"/>
    <w:link w:val="Heading8Char1"/>
    <w:qFormat/>
    <w:rsid w:val="00C9180F"/>
    <w:pPr>
      <w:keepNext/>
      <w:framePr w:w="1860" w:wrap="auto" w:vAnchor="text" w:hAnchor="page" w:x="1201" w:y="1"/>
      <w:widowControl w:val="0"/>
      <w:numPr>
        <w:ilvl w:val="7"/>
        <w:numId w:val="2"/>
      </w:numPr>
      <w:pBdr>
        <w:top w:val="single" w:sz="24" w:space="0" w:color="auto"/>
        <w:bottom w:val="single" w:sz="6" w:space="0" w:color="auto"/>
      </w:pBdr>
      <w:spacing w:before="60" w:line="320" w:lineRule="exact"/>
      <w:jc w:val="center"/>
      <w:outlineLvl w:val="7"/>
    </w:pPr>
    <w:rPr>
      <w:rFonts w:ascii="Arial Black" w:hAnsi="Arial Black"/>
      <w:caps/>
      <w:spacing w:val="60"/>
      <w:position w:val="4"/>
      <w:sz w:val="14"/>
      <w:szCs w:val="20"/>
      <w:lang w:val="en-GB" w:eastAsia="x-none"/>
    </w:rPr>
  </w:style>
  <w:style w:type="paragraph" w:styleId="Heading9">
    <w:name w:val="heading 9"/>
    <w:basedOn w:val="Normal"/>
    <w:next w:val="BodyText"/>
    <w:link w:val="Heading9Char1"/>
    <w:qFormat/>
    <w:rsid w:val="00C9180F"/>
    <w:pPr>
      <w:keepNext/>
      <w:widowControl w:val="0"/>
      <w:numPr>
        <w:ilvl w:val="8"/>
        <w:numId w:val="2"/>
      </w:numPr>
      <w:spacing w:before="80" w:after="60"/>
      <w:outlineLvl w:val="8"/>
    </w:pPr>
    <w:rPr>
      <w:rFonts w:ascii="Garamond" w:hAnsi="Garamond"/>
      <w:b/>
      <w:i/>
      <w:kern w:val="28"/>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5D2662"/>
    <w:rPr>
      <w:rFonts w:ascii="GHEA Grapalat" w:hAnsi="GHEA Grapalat" w:cs="Times Unicode"/>
      <w:b/>
      <w:bCs/>
      <w:color w:val="002060"/>
      <w:kern w:val="32"/>
      <w:sz w:val="28"/>
      <w:szCs w:val="22"/>
      <w:lang w:val="hy-AM"/>
    </w:rPr>
  </w:style>
  <w:style w:type="paragraph" w:styleId="BodyText">
    <w:name w:val="Body Text"/>
    <w:aliases w:val="(Main Text),date,Body Text (Main text)"/>
    <w:basedOn w:val="Normal"/>
    <w:link w:val="BodyTextChar1"/>
    <w:rsid w:val="00D40301"/>
    <w:pPr>
      <w:spacing w:after="120"/>
    </w:pPr>
    <w:rPr>
      <w:lang w:val="x-none" w:eastAsia="x-none"/>
    </w:rPr>
  </w:style>
  <w:style w:type="character" w:customStyle="1" w:styleId="BodyTextChar1">
    <w:name w:val="Body Text Char1"/>
    <w:aliases w:val="(Main Text) Char,date Char,Body Text (Main text) Char1"/>
    <w:link w:val="BodyText"/>
    <w:rsid w:val="00CC2B0F"/>
    <w:rPr>
      <w:sz w:val="24"/>
      <w:szCs w:val="24"/>
    </w:rPr>
  </w:style>
  <w:style w:type="character" w:customStyle="1" w:styleId="Heading2Char">
    <w:name w:val="Heading 2 Char"/>
    <w:aliases w:val="(Chapter) Char,Paranum Char,Text Char"/>
    <w:link w:val="Heading2"/>
    <w:rsid w:val="00941791"/>
    <w:rPr>
      <w:rFonts w:ascii="GHEA Grapalat" w:hAnsi="GHEA Grapalat" w:cs="Times Unicode"/>
      <w:b/>
      <w:kern w:val="16"/>
      <w:sz w:val="26"/>
      <w:szCs w:val="22"/>
      <w:lang w:val="af-ZA" w:eastAsia="x-none"/>
    </w:rPr>
  </w:style>
  <w:style w:type="character" w:customStyle="1" w:styleId="Heading3Char1">
    <w:name w:val="Heading 3 Char1"/>
    <w:aliases w:val="(Sub-Chapter) Char,Centered Char,(text) Char,Heading 3 Char Char Char Char Char Char Char1"/>
    <w:link w:val="Heading3"/>
    <w:uiPriority w:val="9"/>
    <w:rsid w:val="00E9129C"/>
    <w:rPr>
      <w:rFonts w:ascii="GHEA Grapalat" w:hAnsi="GHEA Grapalat"/>
      <w:b/>
      <w:bCs/>
      <w:color w:val="000000"/>
      <w:sz w:val="22"/>
      <w:szCs w:val="22"/>
      <w:lang w:val="es-ES" w:eastAsia="x-none"/>
    </w:rPr>
  </w:style>
  <w:style w:type="character" w:customStyle="1" w:styleId="Heading4Char2">
    <w:name w:val="Heading 4 Char2"/>
    <w:aliases w:val="Centred Char1"/>
    <w:link w:val="Heading4"/>
    <w:rsid w:val="009027D1"/>
    <w:rPr>
      <w:rFonts w:ascii="GHEA Grapalat" w:hAnsi="GHEA Grapalat"/>
      <w:b/>
      <w:bCs/>
      <w:sz w:val="22"/>
      <w:szCs w:val="22"/>
      <w:lang w:val="af-ZA"/>
    </w:rPr>
  </w:style>
  <w:style w:type="character" w:customStyle="1" w:styleId="Heading5Char1">
    <w:name w:val="Heading 5 Char1"/>
    <w:aliases w:val="Side Char1"/>
    <w:link w:val="Heading5"/>
    <w:rsid w:val="0029274A"/>
    <w:rPr>
      <w:b/>
      <w:bCs/>
      <w:i/>
      <w:iCs/>
      <w:sz w:val="26"/>
      <w:szCs w:val="26"/>
      <w:lang w:val="en-US" w:eastAsia="en-US" w:bidi="ar-SA"/>
    </w:rPr>
  </w:style>
  <w:style w:type="character" w:customStyle="1" w:styleId="Heading6Char1">
    <w:name w:val="Heading 6 Char1"/>
    <w:link w:val="Heading6"/>
    <w:rsid w:val="0029274A"/>
    <w:rPr>
      <w:rFonts w:ascii="Arial Armenian" w:hAnsi="Arial Armenian"/>
      <w:i/>
      <w:sz w:val="22"/>
      <w:u w:val="single"/>
      <w:lang w:val="en-GB" w:eastAsia="x-none"/>
    </w:rPr>
  </w:style>
  <w:style w:type="character" w:customStyle="1" w:styleId="Heading7Char1">
    <w:name w:val="Heading 7 Char1"/>
    <w:link w:val="Heading7"/>
    <w:rsid w:val="0029274A"/>
    <w:rPr>
      <w:rFonts w:ascii="Garamond" w:hAnsi="Garamond"/>
      <w:i/>
      <w:spacing w:val="-5"/>
      <w:sz w:val="28"/>
      <w:shd w:val="pct5" w:color="auto" w:fill="auto"/>
      <w:lang w:val="en-GB" w:eastAsia="x-none"/>
    </w:rPr>
  </w:style>
  <w:style w:type="character" w:customStyle="1" w:styleId="Heading8Char1">
    <w:name w:val="Heading 8 Char1"/>
    <w:link w:val="Heading8"/>
    <w:rsid w:val="0029274A"/>
    <w:rPr>
      <w:rFonts w:ascii="Arial Black" w:hAnsi="Arial Black"/>
      <w:caps/>
      <w:spacing w:val="60"/>
      <w:position w:val="4"/>
      <w:sz w:val="14"/>
      <w:lang w:val="en-GB" w:eastAsia="x-none"/>
    </w:rPr>
  </w:style>
  <w:style w:type="character" w:customStyle="1" w:styleId="Heading9Char1">
    <w:name w:val="Heading 9 Char1"/>
    <w:link w:val="Heading9"/>
    <w:rsid w:val="0029274A"/>
    <w:rPr>
      <w:rFonts w:ascii="Garamond" w:hAnsi="Garamond"/>
      <w:b/>
      <w:i/>
      <w:kern w:val="28"/>
      <w:lang w:val="en-GB" w:eastAsia="x-none"/>
    </w:rPr>
  </w:style>
  <w:style w:type="paragraph" w:customStyle="1" w:styleId="Head4">
    <w:name w:val="Head 4"/>
    <w:basedOn w:val="Heading4"/>
    <w:autoRedefine/>
    <w:rsid w:val="007B4E6F"/>
    <w:pPr>
      <w:widowControl w:val="0"/>
      <w:tabs>
        <w:tab w:val="left" w:pos="567"/>
      </w:tabs>
      <w:spacing w:before="0" w:after="0" w:line="240" w:lineRule="auto"/>
      <w:ind w:left="397"/>
    </w:pPr>
    <w:rPr>
      <w:szCs w:val="20"/>
    </w:rPr>
  </w:style>
  <w:style w:type="paragraph" w:styleId="Caption">
    <w:name w:val="caption"/>
    <w:aliases w:val="(Table Title),(Table Title) Char Char Char Char Char Char Char Char Char Char, (Table Title), (Table Title) Char Char Char Char Char Char Char Char Char Char"/>
    <w:basedOn w:val="Normal"/>
    <w:next w:val="Normal"/>
    <w:autoRedefine/>
    <w:uiPriority w:val="35"/>
    <w:qFormat/>
    <w:rsid w:val="008912F5"/>
    <w:pPr>
      <w:keepNext/>
      <w:keepLines/>
      <w:widowControl w:val="0"/>
    </w:pPr>
    <w:rPr>
      <w:rFonts w:cs="Arial"/>
      <w:sz w:val="20"/>
      <w:szCs w:val="20"/>
      <w:lang w:val="fr-FR"/>
    </w:rPr>
  </w:style>
  <w:style w:type="paragraph" w:styleId="BodyTextIndent3">
    <w:name w:val="Body Text Indent 3"/>
    <w:basedOn w:val="Normal"/>
    <w:link w:val="BodyTextIndent3Char"/>
    <w:rsid w:val="00D40301"/>
    <w:rPr>
      <w:rFonts w:ascii="Arial Armenian" w:hAnsi="Arial Armenian"/>
      <w:noProof/>
      <w:sz w:val="20"/>
      <w:szCs w:val="20"/>
    </w:rPr>
  </w:style>
  <w:style w:type="character" w:customStyle="1" w:styleId="BodyTextIndent3Char">
    <w:name w:val="Body Text Indent 3 Char"/>
    <w:link w:val="BodyTextIndent3"/>
    <w:rsid w:val="0029274A"/>
    <w:rPr>
      <w:rFonts w:ascii="Arial Armenian" w:hAnsi="Arial Armenian"/>
      <w:noProof/>
      <w:lang w:val="en-US" w:eastAsia="en-US" w:bidi="ar-SA"/>
    </w:rPr>
  </w:style>
  <w:style w:type="paragraph" w:customStyle="1" w:styleId="xl24">
    <w:name w:val="xl24"/>
    <w:basedOn w:val="Normal"/>
    <w:rsid w:val="00D40301"/>
    <w:pPr>
      <w:spacing w:before="100" w:beforeAutospacing="1" w:after="100" w:afterAutospacing="1"/>
    </w:pPr>
    <w:rPr>
      <w:rFonts w:ascii="Arial Armenian" w:eastAsia="Arial Unicode MS" w:hAnsi="Arial Armenian" w:cs="Arial Unicode MS"/>
      <w:sz w:val="18"/>
      <w:szCs w:val="18"/>
    </w:rPr>
  </w:style>
  <w:style w:type="paragraph" w:customStyle="1" w:styleId="Tablefigure">
    <w:name w:val="Table_figure"/>
    <w:basedOn w:val="Normal"/>
    <w:rsid w:val="00D40301"/>
    <w:pPr>
      <w:spacing w:before="60" w:after="60"/>
      <w:jc w:val="right"/>
    </w:pPr>
    <w:rPr>
      <w:rFonts w:ascii="Arial Armenian" w:hAnsi="Arial Armenian"/>
      <w:sz w:val="16"/>
      <w:szCs w:val="20"/>
      <w:lang w:val="en-GB"/>
    </w:rPr>
  </w:style>
  <w:style w:type="paragraph" w:styleId="BodyTextIndent2">
    <w:name w:val="Body Text Indent 2"/>
    <w:basedOn w:val="Normal"/>
    <w:link w:val="BodyTextIndent2Char1"/>
    <w:rsid w:val="00D40301"/>
    <w:pPr>
      <w:widowControl w:val="0"/>
      <w:spacing w:after="120" w:line="312" w:lineRule="auto"/>
      <w:ind w:left="720" w:firstLine="720"/>
    </w:pPr>
    <w:rPr>
      <w:rFonts w:ascii="Arial Armenian" w:hAnsi="Arial Armenian"/>
      <w:sz w:val="20"/>
      <w:szCs w:val="20"/>
      <w:lang w:val="en-GB"/>
    </w:rPr>
  </w:style>
  <w:style w:type="character" w:customStyle="1" w:styleId="BodyTextIndent2Char1">
    <w:name w:val="Body Text Indent 2 Char1"/>
    <w:link w:val="BodyTextIndent2"/>
    <w:rsid w:val="0029274A"/>
    <w:rPr>
      <w:rFonts w:ascii="Arial Armenian" w:hAnsi="Arial Armenian"/>
      <w:lang w:val="en-GB" w:eastAsia="en-US" w:bidi="ar-SA"/>
    </w:rPr>
  </w:style>
  <w:style w:type="paragraph" w:styleId="BodyTextIndent">
    <w:name w:val="Body Text Indent"/>
    <w:aliases w:val="(Table Source), (Table Source),(Table Source) Char,Body Text Indent Char,(Table Source)1"/>
    <w:basedOn w:val="BodyText"/>
    <w:next w:val="Normal"/>
    <w:link w:val="BodyTextIndentChar1"/>
    <w:rsid w:val="00D40301"/>
    <w:pPr>
      <w:widowControl w:val="0"/>
      <w:spacing w:before="60" w:after="60"/>
      <w:ind w:firstLine="652"/>
    </w:pPr>
    <w:rPr>
      <w:rFonts w:ascii="Arial Armenian" w:hAnsi="Arial Armenian"/>
      <w:i/>
      <w:sz w:val="16"/>
      <w:szCs w:val="20"/>
      <w:lang w:val="en-GB" w:eastAsia="en-US"/>
    </w:rPr>
  </w:style>
  <w:style w:type="character" w:customStyle="1" w:styleId="BodyTextIndentChar1">
    <w:name w:val="Body Text Indent Char1"/>
    <w:aliases w:val="(Table Source) Char1, (Table Source) Char,(Table Source) Char Char,Body Text Indent Char Char,(Table Source)1 Char"/>
    <w:link w:val="BodyTextIndent"/>
    <w:rsid w:val="0029274A"/>
    <w:rPr>
      <w:rFonts w:ascii="Arial Armenian" w:hAnsi="Arial Armenian"/>
      <w:i/>
      <w:sz w:val="16"/>
      <w:lang w:val="en-GB" w:eastAsia="en-US" w:bidi="ar-SA"/>
    </w:rPr>
  </w:style>
  <w:style w:type="paragraph" w:customStyle="1" w:styleId="Specialnormal">
    <w:name w:val="Special normal"/>
    <w:basedOn w:val="Normal"/>
    <w:rsid w:val="00D40301"/>
    <w:pPr>
      <w:overflowPunct w:val="0"/>
      <w:autoSpaceDE w:val="0"/>
      <w:autoSpaceDN w:val="0"/>
      <w:adjustRightInd w:val="0"/>
      <w:jc w:val="center"/>
      <w:textAlignment w:val="baseline"/>
    </w:pPr>
    <w:rPr>
      <w:sz w:val="20"/>
      <w:szCs w:val="20"/>
      <w:lang w:val="en-GB"/>
    </w:rPr>
  </w:style>
  <w:style w:type="paragraph" w:styleId="CommentText">
    <w:name w:val="annotation text"/>
    <w:basedOn w:val="Normal"/>
    <w:link w:val="CommentTextChar"/>
    <w:uiPriority w:val="99"/>
    <w:rsid w:val="003F3353"/>
    <w:rPr>
      <w:color w:val="0070C0"/>
      <w:sz w:val="28"/>
      <w:szCs w:val="20"/>
      <w:lang w:val="ru-RU" w:eastAsia="ru-RU"/>
    </w:rPr>
  </w:style>
  <w:style w:type="character" w:customStyle="1" w:styleId="CommentTextChar">
    <w:name w:val="Comment Text Char"/>
    <w:link w:val="CommentText"/>
    <w:uiPriority w:val="99"/>
    <w:rsid w:val="003F3353"/>
    <w:rPr>
      <w:rFonts w:ascii="GHEA Grapalat" w:hAnsi="GHEA Grapalat" w:cs="Times Unicode"/>
      <w:color w:val="0070C0"/>
      <w:sz w:val="28"/>
      <w:lang w:val="ru-RU" w:eastAsia="ru-RU"/>
    </w:rPr>
  </w:style>
  <w:style w:type="paragraph" w:customStyle="1" w:styleId="a0">
    <w:name w:val="???????? ????? ? ????????"/>
    <w:basedOn w:val="Normal"/>
    <w:rsid w:val="00D40301"/>
    <w:pPr>
      <w:ind w:left="360" w:hanging="360"/>
    </w:pPr>
    <w:rPr>
      <w:rFonts w:ascii="Times Armenian" w:hAnsi="Times Armenian"/>
      <w:szCs w:val="20"/>
      <w:lang w:eastAsia="ru-RU"/>
    </w:rPr>
  </w:style>
  <w:style w:type="paragraph" w:customStyle="1" w:styleId="a1">
    <w:name w:val="???????"/>
    <w:link w:val="Char"/>
    <w:rsid w:val="00D40301"/>
    <w:rPr>
      <w:lang w:val="ru-RU" w:eastAsia="ru-RU"/>
    </w:rPr>
  </w:style>
  <w:style w:type="character" w:customStyle="1" w:styleId="Char">
    <w:name w:val="??????? Char"/>
    <w:link w:val="a1"/>
    <w:rsid w:val="00644ED9"/>
    <w:rPr>
      <w:lang w:val="ru-RU" w:eastAsia="ru-RU" w:bidi="ar-SA"/>
    </w:rPr>
  </w:style>
  <w:style w:type="paragraph" w:customStyle="1" w:styleId="2">
    <w:name w:val="???????2"/>
    <w:rsid w:val="00D40301"/>
    <w:rPr>
      <w:rFonts w:ascii="Times Armenian" w:hAnsi="Times Armenian"/>
      <w:sz w:val="24"/>
      <w:lang w:eastAsia="ru-RU"/>
    </w:rPr>
  </w:style>
  <w:style w:type="paragraph" w:customStyle="1" w:styleId="a2">
    <w:name w:val="???????? ?????"/>
    <w:basedOn w:val="a1"/>
    <w:rsid w:val="00D40301"/>
    <w:pPr>
      <w:jc w:val="center"/>
    </w:pPr>
    <w:rPr>
      <w:rFonts w:ascii="Times Armenian" w:hAnsi="Times Armenian"/>
      <w:i/>
      <w:sz w:val="32"/>
      <w:lang w:val="en-US"/>
    </w:rPr>
  </w:style>
  <w:style w:type="paragraph" w:customStyle="1" w:styleId="31">
    <w:name w:val="???????? ????? ? ???????? 31"/>
    <w:basedOn w:val="2"/>
    <w:rsid w:val="00D40301"/>
    <w:pPr>
      <w:spacing w:line="360" w:lineRule="auto"/>
      <w:ind w:firstLine="360"/>
      <w:jc w:val="both"/>
    </w:pPr>
  </w:style>
  <w:style w:type="paragraph" w:customStyle="1" w:styleId="a3">
    <w:name w:val="??????"/>
    <w:basedOn w:val="2"/>
    <w:rsid w:val="00D40301"/>
    <w:pPr>
      <w:spacing w:line="360" w:lineRule="auto"/>
      <w:ind w:left="-426" w:right="-619" w:firstLine="710"/>
      <w:jc w:val="both"/>
    </w:pPr>
    <w:rPr>
      <w:rFonts w:ascii="Arial LatArm" w:hAnsi="Arial LatArm"/>
      <w:i/>
      <w:lang w:val="en-AU"/>
    </w:rPr>
  </w:style>
  <w:style w:type="paragraph" w:customStyle="1" w:styleId="3">
    <w:name w:val="???????? ????? 3"/>
    <w:basedOn w:val="Normal"/>
    <w:rsid w:val="00D40301"/>
    <w:rPr>
      <w:rFonts w:ascii="Times Armenian" w:hAnsi="Times Armenian"/>
      <w:szCs w:val="20"/>
      <w:lang w:val="ru-RU" w:eastAsia="ru-RU"/>
    </w:rPr>
  </w:style>
  <w:style w:type="paragraph" w:customStyle="1" w:styleId="20">
    <w:name w:val="???????? ????? ? ????????2"/>
    <w:basedOn w:val="2"/>
    <w:rsid w:val="00D40301"/>
    <w:pPr>
      <w:spacing w:line="360" w:lineRule="auto"/>
      <w:ind w:firstLine="720"/>
      <w:jc w:val="both"/>
    </w:pPr>
    <w:rPr>
      <w:sz w:val="28"/>
    </w:rPr>
  </w:style>
  <w:style w:type="paragraph" w:customStyle="1" w:styleId="11">
    <w:name w:val="????????? 11"/>
    <w:basedOn w:val="2"/>
    <w:next w:val="2"/>
    <w:rsid w:val="00D40301"/>
    <w:pPr>
      <w:keepNext/>
      <w:spacing w:line="360" w:lineRule="auto"/>
      <w:outlineLvl w:val="0"/>
    </w:pPr>
    <w:rPr>
      <w:rFonts w:ascii="Times LatArm" w:hAnsi="Times LatArm"/>
    </w:rPr>
  </w:style>
  <w:style w:type="paragraph" w:customStyle="1" w:styleId="1">
    <w:name w:val="????????1"/>
    <w:basedOn w:val="a1"/>
    <w:rsid w:val="00CC19AC"/>
    <w:pPr>
      <w:jc w:val="center"/>
    </w:pPr>
    <w:rPr>
      <w:rFonts w:ascii="Times Armenian" w:hAnsi="Times Armenian"/>
      <w:i/>
      <w:sz w:val="28"/>
      <w:lang w:val="en-US"/>
    </w:rPr>
  </w:style>
  <w:style w:type="paragraph" w:customStyle="1" w:styleId="21">
    <w:name w:val="???????? ????? ? ???????? 2"/>
    <w:basedOn w:val="a1"/>
    <w:rsid w:val="00CC19AC"/>
    <w:pPr>
      <w:ind w:right="-141" w:firstLine="567"/>
      <w:jc w:val="both"/>
    </w:pPr>
    <w:rPr>
      <w:rFonts w:ascii="Times Armenian" w:hAnsi="Times Armenian"/>
      <w:sz w:val="24"/>
    </w:rPr>
  </w:style>
  <w:style w:type="paragraph" w:customStyle="1" w:styleId="22">
    <w:name w:val="???????? ????? 2"/>
    <w:basedOn w:val="a1"/>
    <w:rsid w:val="00D74B1C"/>
    <w:pPr>
      <w:spacing w:line="360" w:lineRule="auto"/>
      <w:jc w:val="both"/>
    </w:pPr>
    <w:rPr>
      <w:rFonts w:ascii="Times LatArm" w:hAnsi="Times LatArm"/>
      <w:b/>
      <w:i/>
      <w:sz w:val="28"/>
      <w:lang w:val="en-US"/>
    </w:rPr>
  </w:style>
  <w:style w:type="paragraph" w:customStyle="1" w:styleId="10">
    <w:name w:val="???????1"/>
    <w:rsid w:val="00D15CBA"/>
    <w:rPr>
      <w:lang w:val="ru-RU" w:eastAsia="ru-RU"/>
    </w:rPr>
  </w:style>
  <w:style w:type="paragraph" w:customStyle="1" w:styleId="30">
    <w:name w:val="???????? ????? ? ????????3"/>
    <w:basedOn w:val="a1"/>
    <w:rsid w:val="006C08D3"/>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7A59F7"/>
    <w:pPr>
      <w:spacing w:before="240" w:after="120" w:line="276" w:lineRule="auto"/>
    </w:pPr>
    <w:rPr>
      <w:rFonts w:ascii="GHEA Grapalat" w:hAnsi="GHEA Grapalat"/>
      <w:iCs/>
      <w:spacing w:val="0"/>
      <w:kern w:val="0"/>
      <w:lang w:val="af-ZA" w:eastAsia="ru-RU"/>
    </w:rPr>
  </w:style>
  <w:style w:type="paragraph" w:customStyle="1" w:styleId="Heading2ChapterParanumText">
    <w:name w:val="Heading 2.(Chapter).Paranum.Text"/>
    <w:basedOn w:val="Normal"/>
    <w:next w:val="BodyTextMainTextdateBodyTextMaintext"/>
    <w:link w:val="Heading2ChapterParanumTextChar"/>
    <w:rsid w:val="005531A9"/>
    <w:pPr>
      <w:keepNext/>
      <w:widowControl w:val="0"/>
      <w:spacing w:after="240"/>
      <w:outlineLvl w:val="1"/>
    </w:pPr>
    <w:rPr>
      <w:rFonts w:ascii="Times Armenian" w:hAnsi="Times Armenian"/>
      <w:b/>
      <w:spacing w:val="24"/>
      <w:kern w:val="28"/>
      <w:lang w:val="it-IT"/>
    </w:rPr>
  </w:style>
  <w:style w:type="paragraph" w:customStyle="1" w:styleId="BodyTextMainTextdateBodyTextMaintext">
    <w:name w:val="Body Text.(Main Text).date.Body Text (Main text)"/>
    <w:basedOn w:val="Normal"/>
    <w:rsid w:val="005531A9"/>
    <w:pPr>
      <w:widowControl w:val="0"/>
      <w:spacing w:after="120"/>
      <w:ind w:firstLine="652"/>
    </w:pPr>
    <w:rPr>
      <w:rFonts w:ascii="Arial Armenian" w:hAnsi="Arial Armenian"/>
      <w:sz w:val="20"/>
      <w:lang w:val="en-GB"/>
    </w:rPr>
  </w:style>
  <w:style w:type="character" w:customStyle="1" w:styleId="Heading2ChapterParanumTextChar">
    <w:name w:val="Heading 2.(Chapter).Paranum.Text Char"/>
    <w:link w:val="Heading2ChapterParanumText"/>
    <w:rsid w:val="00FC67B3"/>
    <w:rPr>
      <w:rFonts w:ascii="Times Armenian" w:hAnsi="Times Armenian"/>
      <w:b/>
      <w:spacing w:val="24"/>
      <w:kern w:val="28"/>
      <w:sz w:val="24"/>
      <w:szCs w:val="24"/>
      <w:lang w:val="it-IT" w:eastAsia="en-US" w:bidi="ar-SA"/>
    </w:rPr>
  </w:style>
  <w:style w:type="character" w:customStyle="1" w:styleId="StyleHeading2ChapterParanumTextSylfaen1Char">
    <w:name w:val="Style Heading 2.(Chapter).Paranum.Text + Sylfaen1 Char"/>
    <w:link w:val="StyleHeading2ChapterParanumTextSylfaen1"/>
    <w:rsid w:val="007A59F7"/>
    <w:rPr>
      <w:rFonts w:ascii="GHEA Grapalat" w:hAnsi="GHEA Grapalat" w:cs="Arial"/>
      <w:b/>
      <w:iCs/>
      <w:sz w:val="22"/>
      <w:szCs w:val="22"/>
      <w:lang w:val="af-ZA" w:eastAsia="ru-RU"/>
    </w:rPr>
  </w:style>
  <w:style w:type="paragraph" w:customStyle="1" w:styleId="8">
    <w:name w:val="????????? 8"/>
    <w:basedOn w:val="a1"/>
    <w:next w:val="a1"/>
    <w:rsid w:val="0089375B"/>
    <w:pPr>
      <w:keepNext/>
      <w:ind w:firstLine="426"/>
      <w:outlineLvl w:val="7"/>
    </w:pPr>
    <w:rPr>
      <w:rFonts w:ascii="Times Armenian" w:hAnsi="Times Armenian"/>
      <w:b/>
      <w:sz w:val="24"/>
      <w:lang w:val="en-US"/>
    </w:rPr>
  </w:style>
  <w:style w:type="paragraph" w:customStyle="1" w:styleId="210">
    <w:name w:val="???????? ????? ? ???????? 21"/>
    <w:basedOn w:val="2"/>
    <w:rsid w:val="00077B04"/>
    <w:pPr>
      <w:spacing w:line="360" w:lineRule="auto"/>
      <w:ind w:firstLine="840"/>
      <w:jc w:val="both"/>
    </w:pPr>
    <w:rPr>
      <w:rFonts w:ascii="Arial LatArm" w:hAnsi="Arial LatArm"/>
    </w:rPr>
  </w:style>
  <w:style w:type="paragraph" w:styleId="BodyText2">
    <w:name w:val="Body Text 2"/>
    <w:basedOn w:val="Normal"/>
    <w:link w:val="BodyText2Char1"/>
    <w:rsid w:val="003B57EA"/>
    <w:pPr>
      <w:spacing w:after="120" w:line="480" w:lineRule="auto"/>
    </w:pPr>
    <w:rPr>
      <w:sz w:val="20"/>
      <w:szCs w:val="20"/>
      <w:lang w:val="ru-RU" w:eastAsia="ru-RU"/>
    </w:rPr>
  </w:style>
  <w:style w:type="character" w:customStyle="1" w:styleId="BodyText2Char1">
    <w:name w:val="Body Text 2 Char1"/>
    <w:link w:val="BodyText2"/>
    <w:rsid w:val="0029274A"/>
    <w:rPr>
      <w:lang w:val="ru-RU" w:eastAsia="ru-RU" w:bidi="ar-SA"/>
    </w:rPr>
  </w:style>
  <w:style w:type="paragraph" w:styleId="BodyText3">
    <w:name w:val="Body Text 3"/>
    <w:basedOn w:val="Normal"/>
    <w:link w:val="BodyText3Char1"/>
    <w:rsid w:val="006732F2"/>
    <w:pPr>
      <w:spacing w:after="120"/>
    </w:pPr>
    <w:rPr>
      <w:sz w:val="16"/>
      <w:szCs w:val="16"/>
      <w:lang w:val="ru-RU" w:eastAsia="ru-RU"/>
    </w:rPr>
  </w:style>
  <w:style w:type="character" w:customStyle="1" w:styleId="BodyText3Char1">
    <w:name w:val="Body Text 3 Char1"/>
    <w:link w:val="BodyText3"/>
    <w:rsid w:val="0029274A"/>
    <w:rPr>
      <w:sz w:val="16"/>
      <w:szCs w:val="16"/>
      <w:lang w:val="ru-RU" w:eastAsia="ru-RU" w:bidi="ar-SA"/>
    </w:rPr>
  </w:style>
  <w:style w:type="paragraph" w:customStyle="1" w:styleId="Bullet">
    <w:name w:val="Bullet"/>
    <w:aliases w:val="bl,Bullet L1,bl1"/>
    <w:basedOn w:val="Normal"/>
    <w:rsid w:val="00C9180F"/>
    <w:pPr>
      <w:numPr>
        <w:numId w:val="1"/>
      </w:numPr>
      <w:tabs>
        <w:tab w:val="clear" w:pos="720"/>
        <w:tab w:val="num" w:pos="360"/>
      </w:tabs>
      <w:overflowPunct w:val="0"/>
      <w:autoSpaceDE w:val="0"/>
      <w:autoSpaceDN w:val="0"/>
      <w:adjustRightInd w:val="0"/>
      <w:spacing w:after="130"/>
      <w:ind w:left="360"/>
      <w:textAlignment w:val="baseline"/>
    </w:pPr>
    <w:rPr>
      <w:lang w:val="en-GB"/>
    </w:rPr>
  </w:style>
  <w:style w:type="paragraph" w:styleId="ListBullet">
    <w:name w:val="List Bullet"/>
    <w:basedOn w:val="Normal"/>
    <w:autoRedefine/>
    <w:qFormat/>
    <w:rsid w:val="00C9180F"/>
    <w:pPr>
      <w:tabs>
        <w:tab w:val="num" w:pos="360"/>
      </w:tabs>
      <w:overflowPunct w:val="0"/>
      <w:autoSpaceDE w:val="0"/>
      <w:autoSpaceDN w:val="0"/>
      <w:adjustRightInd w:val="0"/>
      <w:spacing w:before="130"/>
      <w:ind w:left="360" w:hanging="360"/>
      <w:textAlignment w:val="baseline"/>
    </w:pPr>
    <w:rPr>
      <w:lang w:val="en-GB"/>
    </w:rPr>
  </w:style>
  <w:style w:type="paragraph" w:customStyle="1" w:styleId="BSAPtext">
    <w:name w:val="BSAP text"/>
    <w:basedOn w:val="Normal"/>
    <w:rsid w:val="00C9180F"/>
    <w:pPr>
      <w:spacing w:line="312" w:lineRule="auto"/>
    </w:pPr>
    <w:rPr>
      <w:rFonts w:ascii="Bookman Old Style" w:hAnsi="Bookman Old Style"/>
    </w:rPr>
  </w:style>
  <w:style w:type="paragraph" w:styleId="EndnoteText">
    <w:name w:val="endnote text"/>
    <w:basedOn w:val="Normal"/>
    <w:link w:val="EndnoteTextChar"/>
    <w:rsid w:val="00C9180F"/>
    <w:rPr>
      <w:sz w:val="20"/>
      <w:szCs w:val="20"/>
      <w:lang w:val="en-GB"/>
    </w:rPr>
  </w:style>
  <w:style w:type="character" w:customStyle="1" w:styleId="EndnoteTextChar">
    <w:name w:val="Endnote Text Char"/>
    <w:link w:val="EndnoteText"/>
    <w:rsid w:val="0029274A"/>
    <w:rPr>
      <w:lang w:val="en-GB" w:eastAsia="en-US" w:bidi="ar-SA"/>
    </w:rPr>
  </w:style>
  <w:style w:type="character" w:styleId="PageNumber">
    <w:name w:val="page number"/>
    <w:basedOn w:val="DefaultParagraphFont"/>
    <w:rsid w:val="00C9180F"/>
  </w:style>
  <w:style w:type="paragraph" w:styleId="Footer">
    <w:name w:val="footer"/>
    <w:basedOn w:val="Normal"/>
    <w:next w:val="Normal"/>
    <w:link w:val="FooterChar2"/>
    <w:uiPriority w:val="99"/>
    <w:rsid w:val="00C9180F"/>
    <w:pPr>
      <w:tabs>
        <w:tab w:val="center" w:pos="4819"/>
        <w:tab w:val="right" w:pos="9071"/>
      </w:tabs>
      <w:overflowPunct w:val="0"/>
      <w:autoSpaceDE w:val="0"/>
      <w:autoSpaceDN w:val="0"/>
      <w:adjustRightInd w:val="0"/>
      <w:textAlignment w:val="baseline"/>
    </w:pPr>
    <w:rPr>
      <w:lang w:val="en-GB" w:eastAsia="x-none"/>
    </w:rPr>
  </w:style>
  <w:style w:type="character" w:customStyle="1" w:styleId="FooterChar2">
    <w:name w:val="Footer Char2"/>
    <w:link w:val="Footer"/>
    <w:rsid w:val="003E5F3D"/>
    <w:rPr>
      <w:sz w:val="22"/>
      <w:szCs w:val="22"/>
      <w:lang w:val="en-GB"/>
    </w:rPr>
  </w:style>
  <w:style w:type="paragraph" w:customStyle="1" w:styleId="xl32">
    <w:name w:val="xl32"/>
    <w:basedOn w:val="Normal"/>
    <w:rsid w:val="00C918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Armenian" w:hAnsi="Times Armenian"/>
      <w:sz w:val="16"/>
      <w:szCs w:val="16"/>
      <w:lang w:val="ru-RU" w:eastAsia="ru-RU"/>
    </w:rPr>
  </w:style>
  <w:style w:type="character" w:styleId="Hyperlink">
    <w:name w:val="Hyperlink"/>
    <w:uiPriority w:val="99"/>
    <w:rsid w:val="00C9180F"/>
    <w:rPr>
      <w:color w:val="0000FF"/>
      <w:u w:val="single"/>
    </w:rPr>
  </w:style>
  <w:style w:type="character" w:styleId="FollowedHyperlink">
    <w:name w:val="FollowedHyperlink"/>
    <w:rsid w:val="00C9180F"/>
    <w:rPr>
      <w:color w:val="800080"/>
      <w:u w:val="single"/>
    </w:rPr>
  </w:style>
  <w:style w:type="paragraph" w:customStyle="1" w:styleId="CaptionSubtitle">
    <w:name w:val="Caption: Subtitle"/>
    <w:rsid w:val="008E4C9D"/>
    <w:rPr>
      <w:rFonts w:ascii="Arial" w:hAnsi="Arial"/>
      <w:noProof/>
      <w:sz w:val="18"/>
    </w:rPr>
  </w:style>
  <w:style w:type="paragraph" w:styleId="FootnoteText">
    <w:name w:val="footnote text"/>
    <w:aliases w:val="fn,ADB,single space,footnote text Char,Footnote Text Char,fn Char,ADB Char,single space Char Char,footnote text,FOOTNOTES Char,FOOTNOTES Char Char Char,FOOTNOTES,Footnote Text Char2 Char,Footnote Text Char1 Char Char,f,WB-Fußnotentext,ft"/>
    <w:basedOn w:val="Normal"/>
    <w:link w:val="FootnoteTextChar1"/>
    <w:autoRedefine/>
    <w:rsid w:val="006812E8"/>
    <w:pPr>
      <w:spacing w:line="240" w:lineRule="auto"/>
    </w:pPr>
    <w:rPr>
      <w:sz w:val="16"/>
      <w:szCs w:val="20"/>
    </w:rPr>
  </w:style>
  <w:style w:type="character" w:customStyle="1" w:styleId="FootnoteTextChar1">
    <w:name w:val="Footnote Text Char1"/>
    <w:aliases w:val="fn Char1,ADB Char1,single space Char,footnote text Char Char,Footnote Text Char Char,fn Char Char,ADB Char Char,single space Char Char Char,footnote text Char1,FOOTNOTES Char Char,FOOTNOTES Char Char Char Char,FOOTNOTES Char1,f Char"/>
    <w:link w:val="FootnoteText"/>
    <w:rsid w:val="006812E8"/>
    <w:rPr>
      <w:rFonts w:ascii="GHEA Grapalat" w:hAnsi="GHEA Grapalat" w:cs="Times Unicode"/>
      <w:sz w:val="16"/>
      <w:lang w:val="hy-AM"/>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600144"/>
    <w:rPr>
      <w:vertAlign w:val="superscript"/>
    </w:rPr>
  </w:style>
  <w:style w:type="table" w:styleId="TableGrid">
    <w:name w:val="Table Grid"/>
    <w:basedOn w:val="TableNormal"/>
    <w:uiPriority w:val="39"/>
    <w:rsid w:val="00600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rsid w:val="00602C73"/>
    <w:pPr>
      <w:overflowPunct w:val="0"/>
      <w:autoSpaceDE w:val="0"/>
      <w:autoSpaceDN w:val="0"/>
      <w:adjustRightInd w:val="0"/>
      <w:ind w:left="153" w:hanging="153"/>
      <w:textAlignment w:val="baseline"/>
    </w:pPr>
    <w:rPr>
      <w:sz w:val="18"/>
      <w:szCs w:val="20"/>
      <w:lang w:val="en-GB"/>
    </w:rPr>
  </w:style>
  <w:style w:type="paragraph" w:styleId="BlockText">
    <w:name w:val="Block Text"/>
    <w:basedOn w:val="Normal"/>
    <w:rsid w:val="00602C73"/>
    <w:pPr>
      <w:ind w:left="-709" w:right="-483"/>
    </w:pPr>
    <w:rPr>
      <w:rFonts w:ascii="Times Armenian" w:hAnsi="Times Armenian"/>
      <w:szCs w:val="20"/>
    </w:rPr>
  </w:style>
  <w:style w:type="paragraph" w:customStyle="1" w:styleId="CaptionTable">
    <w:name w:val="Caption_Table"/>
    <w:basedOn w:val="Caption"/>
    <w:rsid w:val="005531A9"/>
    <w:pPr>
      <w:keepLines w:val="0"/>
      <w:ind w:left="1325" w:hanging="1325"/>
      <w:jc w:val="left"/>
    </w:pPr>
    <w:rPr>
      <w:rFonts w:ascii="Arial Armenian" w:hAnsi="Arial Armenian"/>
      <w:bCs/>
      <w:lang w:val="en-GB"/>
    </w:rPr>
  </w:style>
  <w:style w:type="paragraph" w:customStyle="1" w:styleId="xl34">
    <w:name w:val="xl34"/>
    <w:basedOn w:val="Normal"/>
    <w:rsid w:val="005531A9"/>
    <w:pPr>
      <w:spacing w:before="100" w:beforeAutospacing="1" w:after="100" w:afterAutospacing="1"/>
      <w:jc w:val="center"/>
    </w:pPr>
    <w:rPr>
      <w:rFonts w:ascii="Arial Armenian" w:eastAsia="Arial Unicode MS" w:hAnsi="Arial Armenian" w:cs="Arial Unicode MS"/>
      <w:sz w:val="16"/>
      <w:szCs w:val="16"/>
    </w:rPr>
  </w:style>
  <w:style w:type="paragraph" w:customStyle="1" w:styleId="Tablefirstcolumn">
    <w:name w:val="Table_first column"/>
    <w:basedOn w:val="Normal"/>
    <w:rsid w:val="005531A9"/>
    <w:pPr>
      <w:spacing w:before="60" w:after="60"/>
    </w:pPr>
    <w:rPr>
      <w:rFonts w:ascii="Arial Armenian" w:hAnsi="Arial Armenian"/>
      <w:sz w:val="16"/>
      <w:szCs w:val="20"/>
      <w:lang w:val="en-GB"/>
    </w:rPr>
  </w:style>
  <w:style w:type="paragraph" w:customStyle="1" w:styleId="xl25">
    <w:name w:val="xl25"/>
    <w:basedOn w:val="Normal"/>
    <w:rsid w:val="005531A9"/>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i/>
      <w:iCs/>
      <w:sz w:val="16"/>
      <w:szCs w:val="16"/>
    </w:rPr>
  </w:style>
  <w:style w:type="paragraph" w:customStyle="1" w:styleId="BodyTextIndentTableSourceTableSourceCharBodyTextIndentChar">
    <w:name w:val="Body Text Indent.(Table Source).(Table Source) Char.Body Text Indent Char"/>
    <w:basedOn w:val="BodyTextMainTextdateBodyTextMaintext"/>
    <w:next w:val="Normal"/>
    <w:rsid w:val="005531A9"/>
    <w:pPr>
      <w:spacing w:before="60" w:after="60" w:line="240" w:lineRule="auto"/>
    </w:pPr>
    <w:rPr>
      <w:i/>
      <w:sz w:val="16"/>
    </w:rPr>
  </w:style>
  <w:style w:type="paragraph" w:customStyle="1" w:styleId="Tablefirstrow">
    <w:name w:val="Table_first row"/>
    <w:basedOn w:val="Normal"/>
    <w:rsid w:val="005531A9"/>
    <w:pPr>
      <w:widowControl w:val="0"/>
      <w:spacing w:before="60" w:after="60"/>
      <w:jc w:val="right"/>
    </w:pPr>
    <w:rPr>
      <w:rFonts w:ascii="Arial Armenian" w:hAnsi="Arial Armenian"/>
      <w:b/>
      <w:sz w:val="16"/>
      <w:szCs w:val="20"/>
      <w:lang w:val="en-GB"/>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5531A9"/>
    <w:pPr>
      <w:spacing w:after="60"/>
    </w:pPr>
    <w:rPr>
      <w:rFonts w:ascii="Arial Armenian" w:hAnsi="Arial Armenian"/>
      <w:i/>
      <w:sz w:val="18"/>
      <w:lang w:val="en-GB"/>
    </w:rPr>
  </w:style>
  <w:style w:type="paragraph" w:styleId="BalloonText">
    <w:name w:val="Balloon Text"/>
    <w:basedOn w:val="Normal"/>
    <w:link w:val="BalloonTextChar"/>
    <w:uiPriority w:val="99"/>
    <w:rsid w:val="004C4D8B"/>
    <w:rPr>
      <w:rFonts w:ascii="Tahoma" w:hAnsi="Tahoma"/>
      <w:sz w:val="16"/>
      <w:szCs w:val="16"/>
      <w:lang w:val="x-none" w:eastAsia="x-none"/>
    </w:rPr>
  </w:style>
  <w:style w:type="character" w:customStyle="1" w:styleId="BalloonTextChar">
    <w:name w:val="Balloon Text Char"/>
    <w:link w:val="BalloonText"/>
    <w:uiPriority w:val="99"/>
    <w:rsid w:val="004C4D8B"/>
    <w:rPr>
      <w:rFonts w:ascii="Tahoma" w:hAnsi="Tahoma" w:cs="Tahoma"/>
      <w:sz w:val="16"/>
      <w:szCs w:val="16"/>
    </w:rPr>
  </w:style>
  <w:style w:type="paragraph" w:customStyle="1" w:styleId="ListParagraph1">
    <w:name w:val="List Paragraph1"/>
    <w:aliases w:val="Akapit z listą BS,List Paragraph 1,List_Paragraph,Multilevel para_II,Bullet1,Bullets,References,List Paragraph (numbered (a)),IBL List Paragraph,List Paragraph nowy,Numbered List Paragraph,List Paragraph-ExecSummary,List Paragraph3,Ha"/>
    <w:basedOn w:val="Normal"/>
    <w:link w:val="ListParagraphChar"/>
    <w:uiPriority w:val="34"/>
    <w:qFormat/>
    <w:rsid w:val="00CC1E4C"/>
    <w:pPr>
      <w:ind w:left="720"/>
      <w:contextualSpacing/>
    </w:pPr>
  </w:style>
  <w:style w:type="paragraph" w:styleId="TOC2">
    <w:name w:val="toc 2"/>
    <w:basedOn w:val="Normal"/>
    <w:next w:val="Normal"/>
    <w:autoRedefine/>
    <w:uiPriority w:val="39"/>
    <w:qFormat/>
    <w:rsid w:val="003D28DA"/>
    <w:pPr>
      <w:tabs>
        <w:tab w:val="left" w:pos="426"/>
        <w:tab w:val="right" w:leader="dot" w:pos="10206"/>
      </w:tabs>
      <w:spacing w:after="100" w:line="240" w:lineRule="auto"/>
      <w:ind w:left="851" w:hanging="567"/>
      <w:jc w:val="left"/>
    </w:pPr>
    <w:rPr>
      <w:b/>
      <w:noProof/>
      <w:color w:val="0070C0"/>
    </w:rPr>
  </w:style>
  <w:style w:type="paragraph" w:styleId="TOC3">
    <w:name w:val="toc 3"/>
    <w:basedOn w:val="Normal"/>
    <w:next w:val="Normal"/>
    <w:autoRedefine/>
    <w:uiPriority w:val="39"/>
    <w:qFormat/>
    <w:rsid w:val="00957E4C"/>
    <w:pPr>
      <w:tabs>
        <w:tab w:val="right" w:leader="dot" w:pos="10200"/>
      </w:tabs>
      <w:spacing w:after="100"/>
      <w:ind w:left="142"/>
    </w:pPr>
    <w:rPr>
      <w:b/>
      <w:sz w:val="20"/>
    </w:rPr>
  </w:style>
  <w:style w:type="paragraph" w:styleId="TOC4">
    <w:name w:val="toc 4"/>
    <w:basedOn w:val="Normal"/>
    <w:next w:val="Normal"/>
    <w:autoRedefine/>
    <w:uiPriority w:val="39"/>
    <w:rsid w:val="00503895"/>
    <w:pPr>
      <w:tabs>
        <w:tab w:val="right" w:leader="dot" w:pos="9072"/>
      </w:tabs>
      <w:spacing w:after="100"/>
      <w:ind w:left="284"/>
    </w:pPr>
    <w:rPr>
      <w:rFonts w:ascii="Times Armenian" w:hAnsi="Times Armenian"/>
      <w:sz w:val="18"/>
    </w:rPr>
  </w:style>
  <w:style w:type="paragraph" w:styleId="Header">
    <w:name w:val="header"/>
    <w:aliases w:val="Header Char Char Char Char Char Char Char Char Char Char,Header Char Char Char Char Char Char Char Char Char Char Char Char,h"/>
    <w:basedOn w:val="Normal"/>
    <w:link w:val="HeaderChar1"/>
    <w:uiPriority w:val="99"/>
    <w:rsid w:val="00D92D82"/>
    <w:pPr>
      <w:tabs>
        <w:tab w:val="center" w:pos="4844"/>
        <w:tab w:val="right" w:pos="9689"/>
      </w:tabs>
    </w:pPr>
    <w:rPr>
      <w:lang w:val="x-none" w:eastAsia="x-none"/>
    </w:rPr>
  </w:style>
  <w:style w:type="character" w:customStyle="1" w:styleId="HeaderChar1">
    <w:name w:val="Header Char1"/>
    <w:aliases w:val="Header Char Char Char Char Char Char Char Char Char Char Char,Header Char Char Char Char Char Char Char Char Char Char Char Char Char,h Char"/>
    <w:link w:val="Header"/>
    <w:uiPriority w:val="99"/>
    <w:rsid w:val="00D92D82"/>
    <w:rPr>
      <w:sz w:val="24"/>
      <w:szCs w:val="24"/>
    </w:rPr>
  </w:style>
  <w:style w:type="paragraph" w:styleId="TOC1">
    <w:name w:val="toc 1"/>
    <w:basedOn w:val="Normal"/>
    <w:next w:val="Normal"/>
    <w:autoRedefine/>
    <w:uiPriority w:val="39"/>
    <w:qFormat/>
    <w:rsid w:val="003D28DA"/>
    <w:pPr>
      <w:tabs>
        <w:tab w:val="left" w:pos="284"/>
        <w:tab w:val="right" w:leader="dot" w:pos="10200"/>
      </w:tabs>
      <w:spacing w:before="240" w:after="120" w:line="240" w:lineRule="auto"/>
      <w:ind w:left="284" w:hanging="284"/>
      <w:jc w:val="left"/>
    </w:pPr>
    <w:rPr>
      <w:b/>
      <w:noProof/>
      <w:color w:val="0070C0"/>
    </w:rPr>
  </w:style>
  <w:style w:type="paragraph" w:styleId="TOC5">
    <w:name w:val="toc 5"/>
    <w:basedOn w:val="Normal"/>
    <w:next w:val="Normal"/>
    <w:autoRedefine/>
    <w:uiPriority w:val="39"/>
    <w:rsid w:val="0093413C"/>
    <w:pPr>
      <w:tabs>
        <w:tab w:val="right" w:leader="dot" w:pos="9072"/>
      </w:tabs>
      <w:spacing w:after="100"/>
      <w:ind w:left="851"/>
    </w:pPr>
    <w:rPr>
      <w:rFonts w:ascii="Times Armenian" w:hAnsi="Times Armenian"/>
      <w:b/>
      <w:sz w:val="18"/>
    </w:rPr>
  </w:style>
  <w:style w:type="paragraph" w:customStyle="1" w:styleId="H1-intro">
    <w:name w:val="H1-intro"/>
    <w:basedOn w:val="Heading1"/>
    <w:autoRedefine/>
    <w:rsid w:val="00A844DE"/>
    <w:pPr>
      <w:widowControl w:val="0"/>
      <w:tabs>
        <w:tab w:val="left" w:pos="-284"/>
      </w:tabs>
      <w:spacing w:before="0" w:after="0"/>
      <w:ind w:right="-51"/>
      <w:jc w:val="center"/>
    </w:pPr>
    <w:rPr>
      <w:rFonts w:ascii="Times Armenian" w:hAnsi="Times Armenian" w:cs="Times New Roman"/>
      <w:bCs w:val="0"/>
      <w:iCs/>
      <w:spacing w:val="60"/>
      <w:kern w:val="28"/>
      <w:szCs w:val="28"/>
      <w:lang w:val="es-ES"/>
    </w:rPr>
  </w:style>
  <w:style w:type="paragraph" w:styleId="Title">
    <w:name w:val="Title"/>
    <w:basedOn w:val="Normal"/>
    <w:link w:val="TitleChar1"/>
    <w:qFormat/>
    <w:rsid w:val="00C41C50"/>
    <w:pPr>
      <w:jc w:val="center"/>
    </w:pPr>
    <w:rPr>
      <w:rFonts w:ascii="Arial Armenian" w:hAnsi="Arial Armenian"/>
      <w:b/>
      <w:color w:val="1F497D"/>
      <w:sz w:val="32"/>
      <w:szCs w:val="32"/>
    </w:rPr>
  </w:style>
  <w:style w:type="character" w:customStyle="1" w:styleId="TitleChar1">
    <w:name w:val="Title Char1"/>
    <w:link w:val="Title"/>
    <w:rsid w:val="00C41C50"/>
    <w:rPr>
      <w:rFonts w:ascii="Arial Armenian" w:hAnsi="Arial Armenian"/>
      <w:b/>
      <w:color w:val="1F497D"/>
      <w:sz w:val="32"/>
      <w:szCs w:val="32"/>
      <w:lang w:val="hy-AM"/>
    </w:rPr>
  </w:style>
  <w:style w:type="paragraph" w:customStyle="1" w:styleId="CaptionGraph">
    <w:name w:val="Caption_Graph"/>
    <w:basedOn w:val="Caption"/>
    <w:rsid w:val="00AF5441"/>
    <w:pPr>
      <w:spacing w:before="120"/>
      <w:ind w:left="1325" w:hanging="1325"/>
    </w:pPr>
    <w:rPr>
      <w:lang w:val="it-IT"/>
    </w:rPr>
  </w:style>
  <w:style w:type="paragraph" w:customStyle="1" w:styleId="graphtable">
    <w:name w:val="graph&amp;table"/>
    <w:basedOn w:val="BodyText"/>
    <w:next w:val="BodyTextIndent"/>
    <w:rsid w:val="00AF5441"/>
    <w:pPr>
      <w:widowControl w:val="0"/>
      <w:spacing w:before="60" w:after="60"/>
    </w:pPr>
    <w:rPr>
      <w:rFonts w:ascii="Arial Armenian" w:hAnsi="Arial Armenian"/>
      <w:sz w:val="20"/>
      <w:szCs w:val="20"/>
      <w:lang w:val="en-GB"/>
    </w:rPr>
  </w:style>
  <w:style w:type="paragraph" w:customStyle="1" w:styleId="BodyTextdate">
    <w:name w:val="Body Text.date"/>
    <w:basedOn w:val="Normal"/>
    <w:rsid w:val="00AF5441"/>
    <w:pPr>
      <w:widowControl w:val="0"/>
      <w:spacing w:after="120"/>
    </w:pPr>
    <w:rPr>
      <w:rFonts w:ascii="Arial Armenian" w:hAnsi="Arial Armenian"/>
      <w:spacing w:val="-5"/>
      <w:sz w:val="20"/>
      <w:szCs w:val="20"/>
      <w:lang w:val="en-GB"/>
    </w:rPr>
  </w:style>
  <w:style w:type="character" w:customStyle="1" w:styleId="CaptionGraphChar">
    <w:name w:val="Caption_Graph Char"/>
    <w:rsid w:val="00AF5441"/>
    <w:rPr>
      <w:rFonts w:ascii="Arial Armenian" w:hAnsi="Arial Armenian"/>
      <w:b/>
      <w:sz w:val="20"/>
    </w:rPr>
  </w:style>
  <w:style w:type="paragraph" w:customStyle="1" w:styleId="CoverSubTitle">
    <w:name w:val="Cover SubTitle"/>
    <w:basedOn w:val="Normal"/>
    <w:rsid w:val="00AF5441"/>
    <w:pPr>
      <w:widowControl w:val="0"/>
      <w:overflowPunct w:val="0"/>
      <w:autoSpaceDE w:val="0"/>
      <w:autoSpaceDN w:val="0"/>
      <w:adjustRightInd w:val="0"/>
      <w:spacing w:line="440" w:lineRule="exact"/>
      <w:jc w:val="center"/>
      <w:textAlignment w:val="baseline"/>
    </w:pPr>
    <w:rPr>
      <w:sz w:val="32"/>
      <w:szCs w:val="20"/>
    </w:rPr>
  </w:style>
  <w:style w:type="paragraph" w:customStyle="1" w:styleId="Heading5Side">
    <w:name w:val="Heading 5.Side"/>
    <w:basedOn w:val="Normal"/>
    <w:next w:val="Normal"/>
    <w:rsid w:val="00AF5441"/>
    <w:pPr>
      <w:keepNext/>
      <w:outlineLvl w:val="4"/>
    </w:pPr>
    <w:rPr>
      <w:rFonts w:ascii="Times LatArm" w:hAnsi="Times LatArm"/>
      <w:szCs w:val="20"/>
      <w:lang w:val="en-NZ"/>
    </w:rPr>
  </w:style>
  <w:style w:type="paragraph" w:customStyle="1" w:styleId="23">
    <w:name w:val="çàãîëîâîê 2"/>
    <w:basedOn w:val="Normal"/>
    <w:next w:val="Normal"/>
    <w:rsid w:val="00AF5441"/>
    <w:pPr>
      <w:keepNext/>
      <w:overflowPunct w:val="0"/>
      <w:autoSpaceDE w:val="0"/>
      <w:autoSpaceDN w:val="0"/>
      <w:adjustRightInd w:val="0"/>
    </w:pPr>
    <w:rPr>
      <w:rFonts w:ascii="Arial Armenian" w:hAnsi="Arial Armenian"/>
      <w:szCs w:val="20"/>
    </w:rPr>
  </w:style>
  <w:style w:type="paragraph" w:customStyle="1" w:styleId="BodyTextMainTextdate">
    <w:name w:val="Body Text.(Main Text).date"/>
    <w:basedOn w:val="Normal"/>
    <w:rsid w:val="00AF5441"/>
    <w:pPr>
      <w:jc w:val="center"/>
    </w:pPr>
    <w:rPr>
      <w:rFonts w:ascii="Times LatArm" w:hAnsi="Times LatArm"/>
      <w:b/>
      <w:i/>
      <w:sz w:val="28"/>
      <w:szCs w:val="20"/>
    </w:rPr>
  </w:style>
  <w:style w:type="paragraph" w:customStyle="1" w:styleId="CaptionAnnexedTable">
    <w:name w:val="Caption_Annexed Table"/>
    <w:basedOn w:val="Caption"/>
    <w:rsid w:val="00AF5441"/>
    <w:pPr>
      <w:spacing w:before="120"/>
      <w:ind w:left="1325" w:hanging="1325"/>
    </w:pPr>
    <w:rPr>
      <w:lang w:val="en-US"/>
    </w:rPr>
  </w:style>
  <w:style w:type="paragraph" w:customStyle="1" w:styleId="xl28">
    <w:name w:val="xl28"/>
    <w:basedOn w:val="Normal"/>
    <w:rsid w:val="00AF5441"/>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ascii="Times Armenian" w:eastAsia="Arial Unicode MS" w:hAnsi="Times Armenian" w:cs="Arial Unicode MS"/>
      <w:b/>
      <w:bCs/>
      <w:sz w:val="16"/>
      <w:szCs w:val="16"/>
    </w:rPr>
  </w:style>
  <w:style w:type="paragraph" w:customStyle="1" w:styleId="xl57">
    <w:name w:val="xl57"/>
    <w:basedOn w:val="Normal"/>
    <w:rsid w:val="00AF5441"/>
    <w:pPr>
      <w:pBdr>
        <w:bottom w:val="single" w:sz="4" w:space="0" w:color="auto"/>
        <w:right w:val="single" w:sz="4" w:space="0" w:color="auto"/>
      </w:pBdr>
      <w:spacing w:before="100" w:after="100"/>
    </w:pPr>
    <w:rPr>
      <w:rFonts w:ascii="Times Armenian" w:eastAsia="Arial Unicode MS" w:hAnsi="Times Armenian"/>
      <w:sz w:val="16"/>
      <w:szCs w:val="20"/>
    </w:rPr>
  </w:style>
  <w:style w:type="paragraph" w:styleId="PlainText">
    <w:name w:val="Plain Text"/>
    <w:basedOn w:val="Normal"/>
    <w:link w:val="PlainTextChar"/>
    <w:rsid w:val="00AF5441"/>
    <w:pPr>
      <w:spacing w:before="120"/>
    </w:pPr>
    <w:rPr>
      <w:rFonts w:ascii="Courier New" w:hAnsi="Courier New"/>
      <w:sz w:val="20"/>
      <w:szCs w:val="20"/>
      <w:lang w:val="x-none" w:eastAsia="x-none"/>
    </w:rPr>
  </w:style>
  <w:style w:type="character" w:customStyle="1" w:styleId="PlainTextChar">
    <w:name w:val="Plain Text Char"/>
    <w:link w:val="PlainText"/>
    <w:rsid w:val="00AF5441"/>
    <w:rPr>
      <w:rFonts w:ascii="Courier New" w:hAnsi="Courier New"/>
    </w:rPr>
  </w:style>
  <w:style w:type="paragraph" w:customStyle="1" w:styleId="Armenian">
    <w:name w:val="Armenian"/>
    <w:basedOn w:val="Normal"/>
    <w:rsid w:val="00AF5441"/>
    <w:pPr>
      <w:autoSpaceDE w:val="0"/>
      <w:autoSpaceDN w:val="0"/>
    </w:pPr>
    <w:rPr>
      <w:rFonts w:ascii="Times LatArm" w:hAnsi="Times LatArm"/>
      <w:sz w:val="20"/>
    </w:rPr>
  </w:style>
  <w:style w:type="paragraph" w:customStyle="1" w:styleId="Vernagir">
    <w:name w:val="Vernagir"/>
    <w:basedOn w:val="Normal"/>
    <w:next w:val="Normal"/>
    <w:rsid w:val="00AF5441"/>
    <w:pPr>
      <w:autoSpaceDE w:val="0"/>
      <w:autoSpaceDN w:val="0"/>
      <w:spacing w:before="240" w:after="120"/>
      <w:jc w:val="center"/>
    </w:pPr>
    <w:rPr>
      <w:rFonts w:ascii="Times Armenian" w:hAnsi="Times Armenian"/>
      <w:b/>
      <w:bCs/>
      <w:sz w:val="20"/>
    </w:rPr>
  </w:style>
  <w:style w:type="paragraph" w:customStyle="1" w:styleId="xl44">
    <w:name w:val="xl44"/>
    <w:basedOn w:val="Normal"/>
    <w:rsid w:val="00AF5441"/>
    <w:pPr>
      <w:pBdr>
        <w:bottom w:val="single" w:sz="4" w:space="0" w:color="auto"/>
        <w:right w:val="single" w:sz="4" w:space="0" w:color="auto"/>
      </w:pBdr>
      <w:shd w:val="clear" w:color="auto" w:fill="00FF00"/>
      <w:spacing w:before="100" w:after="100"/>
      <w:jc w:val="center"/>
      <w:textAlignment w:val="top"/>
    </w:pPr>
    <w:rPr>
      <w:rFonts w:ascii="Arial Armenian" w:eastAsia="Arial Unicode MS" w:hAnsi="Arial Armenian"/>
      <w:sz w:val="16"/>
      <w:szCs w:val="20"/>
    </w:rPr>
  </w:style>
  <w:style w:type="paragraph" w:customStyle="1" w:styleId="Heading3Sub-ChapterCenteredtext">
    <w:name w:val="Heading 3.(Sub-Chapter).Centered.(text)"/>
    <w:basedOn w:val="Normal"/>
    <w:next w:val="BodyTextMainTextdateBodyTextMaintext"/>
    <w:rsid w:val="00AF5441"/>
    <w:pPr>
      <w:keepNext/>
      <w:widowControl w:val="0"/>
      <w:tabs>
        <w:tab w:val="left" w:pos="624"/>
      </w:tabs>
      <w:spacing w:before="240" w:after="240"/>
      <w:outlineLvl w:val="2"/>
    </w:pPr>
    <w:rPr>
      <w:rFonts w:ascii="Times Armenian" w:hAnsi="Times Armenian"/>
      <w:b/>
      <w:lang w:val="af-ZA"/>
    </w:rPr>
  </w:style>
  <w:style w:type="paragraph" w:customStyle="1" w:styleId="BoxTitle">
    <w:name w:val="Box_Title"/>
    <w:basedOn w:val="Caption"/>
    <w:rsid w:val="00AF5441"/>
    <w:pPr>
      <w:spacing w:before="60" w:after="120"/>
      <w:ind w:left="1325" w:hanging="1325"/>
    </w:pPr>
  </w:style>
  <w:style w:type="paragraph" w:styleId="TOC6">
    <w:name w:val="toc 6"/>
    <w:basedOn w:val="Normal"/>
    <w:next w:val="Normal"/>
    <w:autoRedefine/>
    <w:uiPriority w:val="39"/>
    <w:rsid w:val="00AF5441"/>
    <w:pPr>
      <w:ind w:left="1200"/>
    </w:pPr>
  </w:style>
  <w:style w:type="paragraph" w:styleId="TOC7">
    <w:name w:val="toc 7"/>
    <w:basedOn w:val="Normal"/>
    <w:next w:val="Normal"/>
    <w:autoRedefine/>
    <w:uiPriority w:val="39"/>
    <w:rsid w:val="00AF5441"/>
    <w:pPr>
      <w:ind w:left="1440"/>
    </w:pPr>
  </w:style>
  <w:style w:type="paragraph" w:styleId="TOC8">
    <w:name w:val="toc 8"/>
    <w:basedOn w:val="Normal"/>
    <w:next w:val="Normal"/>
    <w:autoRedefine/>
    <w:uiPriority w:val="39"/>
    <w:rsid w:val="00AF5441"/>
    <w:pPr>
      <w:ind w:left="1680"/>
    </w:pPr>
  </w:style>
  <w:style w:type="paragraph" w:styleId="TOC9">
    <w:name w:val="toc 9"/>
    <w:basedOn w:val="Normal"/>
    <w:next w:val="Normal"/>
    <w:autoRedefine/>
    <w:uiPriority w:val="39"/>
    <w:rsid w:val="00AF5441"/>
    <w:pPr>
      <w:ind w:left="1920"/>
    </w:pPr>
  </w:style>
  <w:style w:type="table" w:styleId="TableList7">
    <w:name w:val="Table List 7"/>
    <w:basedOn w:val="TableNormal"/>
    <w:rsid w:val="00AF544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rsid w:val="00AF544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AF544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ableofFigures">
    <w:name w:val="table of figures"/>
    <w:basedOn w:val="Normal"/>
    <w:next w:val="Normal"/>
    <w:rsid w:val="000F0242"/>
    <w:pPr>
      <w:ind w:left="480" w:hanging="480"/>
    </w:pPr>
    <w:rPr>
      <w:sz w:val="20"/>
    </w:rPr>
  </w:style>
  <w:style w:type="paragraph" w:customStyle="1" w:styleId="TOCBase">
    <w:name w:val="TOC Base"/>
    <w:basedOn w:val="Normal"/>
    <w:rsid w:val="000F0242"/>
    <w:pPr>
      <w:tabs>
        <w:tab w:val="right" w:leader="dot" w:pos="8505"/>
      </w:tabs>
      <w:overflowPunct w:val="0"/>
      <w:autoSpaceDE w:val="0"/>
      <w:autoSpaceDN w:val="0"/>
      <w:adjustRightInd w:val="0"/>
      <w:textAlignment w:val="baseline"/>
    </w:pPr>
    <w:rPr>
      <w:rFonts w:ascii="Gill Sans" w:hAnsi="Gill Sans"/>
      <w:szCs w:val="20"/>
    </w:rPr>
  </w:style>
  <w:style w:type="paragraph" w:customStyle="1" w:styleId="Bulets">
    <w:name w:val="Bulets"/>
    <w:basedOn w:val="Normal"/>
    <w:next w:val="Normal"/>
    <w:rsid w:val="000F0242"/>
    <w:pPr>
      <w:tabs>
        <w:tab w:val="num" w:pos="360"/>
      </w:tabs>
      <w:ind w:left="357" w:hanging="357"/>
    </w:pPr>
    <w:rPr>
      <w:rFonts w:ascii="Times Armenian" w:hAnsi="Times Armenian"/>
      <w:sz w:val="20"/>
      <w:szCs w:val="20"/>
    </w:rPr>
  </w:style>
  <w:style w:type="paragraph" w:customStyle="1" w:styleId="Numbering">
    <w:name w:val="Numbering"/>
    <w:basedOn w:val="Normal"/>
    <w:next w:val="Normal"/>
    <w:rsid w:val="000F0242"/>
    <w:pPr>
      <w:tabs>
        <w:tab w:val="num" w:pos="360"/>
      </w:tabs>
      <w:ind w:left="360" w:hanging="360"/>
    </w:pPr>
    <w:rPr>
      <w:rFonts w:ascii="Times Armenian" w:hAnsi="Times Armenian"/>
      <w:sz w:val="20"/>
      <w:szCs w:val="20"/>
    </w:rPr>
  </w:style>
  <w:style w:type="paragraph" w:customStyle="1" w:styleId="Bulet-2">
    <w:name w:val="Bulet-2"/>
    <w:basedOn w:val="Normal"/>
    <w:rsid w:val="000F0242"/>
    <w:pPr>
      <w:tabs>
        <w:tab w:val="num" w:pos="454"/>
      </w:tabs>
      <w:ind w:left="454" w:hanging="454"/>
    </w:pPr>
    <w:rPr>
      <w:rFonts w:ascii="Times Armenian" w:hAnsi="Times Armenian"/>
    </w:rPr>
  </w:style>
  <w:style w:type="character" w:styleId="Strong">
    <w:name w:val="Strong"/>
    <w:qFormat/>
    <w:rsid w:val="000F0242"/>
    <w:rPr>
      <w: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F0242"/>
    <w:pPr>
      <w:spacing w:after="120"/>
      <w:ind w:left="360"/>
    </w:pPr>
    <w:rPr>
      <w:sz w:val="20"/>
    </w:rPr>
  </w:style>
  <w:style w:type="paragraph" w:customStyle="1" w:styleId="StyleHeading120pt">
    <w:name w:val="Style Heading 1 + 20 pt"/>
    <w:basedOn w:val="Heading1"/>
    <w:rsid w:val="00CE0229"/>
    <w:pPr>
      <w:spacing w:before="0" w:after="0"/>
    </w:pPr>
    <w:rPr>
      <w:rFonts w:ascii="Times Armenian" w:hAnsi="Times Armenian" w:cs="Times New Roman"/>
      <w:b w:val="0"/>
      <w:bCs w:val="0"/>
      <w:kern w:val="0"/>
      <w:sz w:val="40"/>
      <w:szCs w:val="24"/>
    </w:rPr>
  </w:style>
  <w:style w:type="paragraph" w:customStyle="1" w:styleId="StyleHeading216ptBoldLightBlueLeft025">
    <w:name w:val="Style Heading 2 + 16 pt Bold Light Blue Left:  0.25&quot;"/>
    <w:basedOn w:val="Heading2"/>
    <w:rsid w:val="00CE0229"/>
    <w:pPr>
      <w:widowControl/>
      <w:ind w:left="360"/>
    </w:pPr>
    <w:rPr>
      <w:color w:val="3366FF"/>
      <w:spacing w:val="24"/>
      <w:sz w:val="32"/>
      <w:lang w:val="en-US"/>
    </w:rPr>
  </w:style>
  <w:style w:type="paragraph" w:styleId="Subtitle">
    <w:name w:val="Subtitle"/>
    <w:basedOn w:val="Normal"/>
    <w:link w:val="SubtitleChar"/>
    <w:qFormat/>
    <w:rsid w:val="005D2662"/>
    <w:pPr>
      <w:spacing w:before="120" w:after="240"/>
    </w:pPr>
    <w:rPr>
      <w:b/>
      <w:color w:val="002060"/>
      <w:sz w:val="28"/>
      <w:lang w:val="x-none" w:eastAsia="ru-RU"/>
    </w:rPr>
  </w:style>
  <w:style w:type="character" w:customStyle="1" w:styleId="SubtitleChar">
    <w:name w:val="Subtitle Char"/>
    <w:link w:val="Subtitle"/>
    <w:rsid w:val="005D2662"/>
    <w:rPr>
      <w:rFonts w:ascii="GHEA Grapalat" w:hAnsi="GHEA Grapalat"/>
      <w:b/>
      <w:color w:val="002060"/>
      <w:sz w:val="28"/>
      <w:szCs w:val="24"/>
      <w:lang w:val="x-none" w:eastAsia="ru-RU"/>
    </w:rPr>
  </w:style>
  <w:style w:type="character" w:styleId="EndnoteReference">
    <w:name w:val="endnote reference"/>
    <w:rsid w:val="00CE0229"/>
    <w:rPr>
      <w:vertAlign w:val="superscript"/>
    </w:rPr>
  </w:style>
  <w:style w:type="paragraph" w:styleId="Index1">
    <w:name w:val="index 1"/>
    <w:basedOn w:val="Normal"/>
    <w:next w:val="Normal"/>
    <w:autoRedefine/>
    <w:rsid w:val="00CE0229"/>
    <w:pPr>
      <w:ind w:left="240" w:hanging="240"/>
    </w:pPr>
  </w:style>
  <w:style w:type="paragraph" w:styleId="Index2">
    <w:name w:val="index 2"/>
    <w:basedOn w:val="Normal"/>
    <w:next w:val="Normal"/>
    <w:autoRedefine/>
    <w:rsid w:val="00CE0229"/>
    <w:pPr>
      <w:ind w:left="480" w:hanging="240"/>
    </w:pPr>
  </w:style>
  <w:style w:type="paragraph" w:styleId="Index3">
    <w:name w:val="index 3"/>
    <w:basedOn w:val="Normal"/>
    <w:next w:val="Normal"/>
    <w:autoRedefine/>
    <w:rsid w:val="00CE0229"/>
    <w:pPr>
      <w:ind w:left="720" w:hanging="240"/>
    </w:pPr>
  </w:style>
  <w:style w:type="paragraph" w:styleId="Index4">
    <w:name w:val="index 4"/>
    <w:basedOn w:val="Normal"/>
    <w:next w:val="Normal"/>
    <w:autoRedefine/>
    <w:rsid w:val="00CE0229"/>
    <w:pPr>
      <w:ind w:left="960" w:hanging="240"/>
    </w:pPr>
  </w:style>
  <w:style w:type="paragraph" w:styleId="Index5">
    <w:name w:val="index 5"/>
    <w:basedOn w:val="Normal"/>
    <w:next w:val="Normal"/>
    <w:autoRedefine/>
    <w:rsid w:val="00CE0229"/>
    <w:pPr>
      <w:ind w:left="1200" w:hanging="240"/>
    </w:pPr>
  </w:style>
  <w:style w:type="paragraph" w:styleId="Index6">
    <w:name w:val="index 6"/>
    <w:basedOn w:val="Normal"/>
    <w:next w:val="Normal"/>
    <w:autoRedefine/>
    <w:rsid w:val="00CE0229"/>
    <w:pPr>
      <w:ind w:left="1440" w:hanging="240"/>
    </w:pPr>
  </w:style>
  <w:style w:type="paragraph" w:styleId="Index7">
    <w:name w:val="index 7"/>
    <w:basedOn w:val="Normal"/>
    <w:next w:val="Normal"/>
    <w:autoRedefine/>
    <w:rsid w:val="00CE0229"/>
    <w:pPr>
      <w:ind w:left="1680" w:hanging="240"/>
    </w:pPr>
  </w:style>
  <w:style w:type="paragraph" w:styleId="Index8">
    <w:name w:val="index 8"/>
    <w:basedOn w:val="Normal"/>
    <w:next w:val="Normal"/>
    <w:autoRedefine/>
    <w:rsid w:val="00CE0229"/>
    <w:pPr>
      <w:ind w:left="1920" w:hanging="240"/>
    </w:pPr>
  </w:style>
  <w:style w:type="paragraph" w:styleId="Index9">
    <w:name w:val="index 9"/>
    <w:basedOn w:val="Normal"/>
    <w:next w:val="Normal"/>
    <w:autoRedefine/>
    <w:rsid w:val="00CE0229"/>
    <w:pPr>
      <w:ind w:left="2160" w:hanging="240"/>
    </w:pPr>
  </w:style>
  <w:style w:type="paragraph" w:styleId="IndexHeading">
    <w:name w:val="index heading"/>
    <w:basedOn w:val="Normal"/>
    <w:next w:val="Index1"/>
    <w:rsid w:val="00CE0229"/>
  </w:style>
  <w:style w:type="paragraph" w:customStyle="1" w:styleId="BodyTextIndentTableSource">
    <w:name w:val="Body Text Indent.(Table Source)"/>
    <w:basedOn w:val="Normal"/>
    <w:rsid w:val="00CE0229"/>
    <w:pPr>
      <w:ind w:firstLine="540"/>
    </w:pPr>
    <w:rPr>
      <w:rFonts w:ascii="Times LatArm" w:hAnsi="Times LatArm"/>
      <w:szCs w:val="20"/>
    </w:rPr>
  </w:style>
  <w:style w:type="character" w:customStyle="1" w:styleId="TableTitleCharCharCharCharCharCharCharCharCharCharChar">
    <w:name w:val="(Table Title) Char Char Char Char Char Char Char Char Char Char Char"/>
    <w:aliases w:val="Caption1,(Table Title)1"/>
    <w:rsid w:val="00CE0229"/>
    <w:rPr>
      <w:rFonts w:ascii="Arial Armenian" w:hAnsi="Arial Armenian"/>
      <w:b/>
      <w:noProof w:val="0"/>
      <w:lang w:val="en-GB" w:eastAsia="en-US" w:bidi="ar-SA"/>
    </w:rPr>
  </w:style>
  <w:style w:type="paragraph" w:customStyle="1" w:styleId="xl26">
    <w:name w:val="xl26"/>
    <w:basedOn w:val="Normal"/>
    <w:rsid w:val="00CE0229"/>
    <w:pPr>
      <w:pBdr>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27">
    <w:name w:val="xl27"/>
    <w:basedOn w:val="Normal"/>
    <w:rsid w:val="00CE0229"/>
    <w:pPr>
      <w:pBdr>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29">
    <w:name w:val="xl29"/>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Times Armenian" w:eastAsia="Arial Unicode MS" w:hAnsi="Times Armenian" w:cs="Arial Unicode MS"/>
      <w:b/>
      <w:bCs/>
      <w:sz w:val="16"/>
      <w:szCs w:val="16"/>
    </w:rPr>
  </w:style>
  <w:style w:type="paragraph" w:customStyle="1" w:styleId="xl30">
    <w:name w:val="xl30"/>
    <w:basedOn w:val="Normal"/>
    <w:rsid w:val="00CE0229"/>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31">
    <w:name w:val="xl31"/>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Armenian" w:eastAsia="Arial Unicode MS" w:hAnsi="Times Armenian" w:cs="Arial Unicode MS"/>
      <w:sz w:val="16"/>
      <w:szCs w:val="16"/>
    </w:rPr>
  </w:style>
  <w:style w:type="paragraph" w:customStyle="1" w:styleId="xl43">
    <w:name w:val="xl43"/>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16"/>
      <w:szCs w:val="16"/>
    </w:rPr>
  </w:style>
  <w:style w:type="paragraph" w:customStyle="1" w:styleId="BoxText">
    <w:name w:val="Box Text"/>
    <w:basedOn w:val="BodyText"/>
    <w:rsid w:val="00CE0229"/>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ind w:firstLine="652"/>
      <w:suppressOverlap/>
    </w:pPr>
    <w:rPr>
      <w:rFonts w:ascii="Arial Armenian" w:hAnsi="Arial Armenian"/>
      <w:noProof/>
      <w:sz w:val="20"/>
      <w:szCs w:val="20"/>
      <w:lang w:val="it-IT"/>
    </w:rPr>
  </w:style>
  <w:style w:type="paragraph" w:customStyle="1" w:styleId="BulletAB1">
    <w:name w:val="Bullet AB1"/>
    <w:basedOn w:val="Normal"/>
    <w:rsid w:val="00CE0229"/>
    <w:pPr>
      <w:tabs>
        <w:tab w:val="num" w:pos="360"/>
        <w:tab w:val="left" w:pos="1008"/>
      </w:tabs>
      <w:spacing w:after="60"/>
      <w:ind w:left="360" w:hanging="360"/>
    </w:pPr>
    <w:rPr>
      <w:sz w:val="21"/>
      <w:szCs w:val="20"/>
      <w:lang w:val="en-GB"/>
    </w:rPr>
  </w:style>
  <w:style w:type="paragraph" w:customStyle="1" w:styleId="Style1">
    <w:name w:val="Style1"/>
    <w:basedOn w:val="BodyText"/>
    <w:rsid w:val="00CE0229"/>
    <w:pPr>
      <w:tabs>
        <w:tab w:val="left" w:pos="360"/>
        <w:tab w:val="num" w:pos="720"/>
        <w:tab w:val="left" w:pos="900"/>
        <w:tab w:val="left" w:pos="9029"/>
      </w:tabs>
      <w:spacing w:after="0"/>
      <w:ind w:left="720" w:hanging="360"/>
    </w:pPr>
    <w:rPr>
      <w:rFonts w:ascii="Arial Armenian" w:hAnsi="Arial Armenian"/>
      <w:i/>
      <w:szCs w:val="20"/>
      <w:lang w:val="af-ZA"/>
    </w:rPr>
  </w:style>
  <w:style w:type="paragraph" w:customStyle="1" w:styleId="Tables">
    <w:name w:val="Tables"/>
    <w:basedOn w:val="BodyText2"/>
    <w:rsid w:val="00CE0229"/>
    <w:pPr>
      <w:spacing w:after="0" w:line="240" w:lineRule="auto"/>
    </w:pPr>
    <w:rPr>
      <w:b/>
      <w:bCs/>
      <w:iCs/>
      <w:sz w:val="22"/>
      <w:szCs w:val="24"/>
      <w:lang w:val="en-US" w:eastAsia="en-US"/>
    </w:rPr>
  </w:style>
  <w:style w:type="paragraph" w:customStyle="1" w:styleId="wolort">
    <w:name w:val="wolort"/>
    <w:basedOn w:val="Normal"/>
    <w:rsid w:val="00CE0229"/>
    <w:pPr>
      <w:jc w:val="center"/>
    </w:pPr>
    <w:rPr>
      <w:rFonts w:ascii="Arial Armenian" w:hAnsi="Arial Armenian"/>
      <w:b/>
    </w:rPr>
  </w:style>
  <w:style w:type="character" w:customStyle="1" w:styleId="CentredChar">
    <w:name w:val="Centred Char"/>
    <w:aliases w:val="Heading 42,Heading 4 Char1,Heading 4 Char"/>
    <w:rsid w:val="00CE0229"/>
    <w:rPr>
      <w:rFonts w:ascii="Times Armenian" w:hAnsi="Times Armenian"/>
      <w:b/>
      <w:noProof w:val="0"/>
      <w:spacing w:val="-5"/>
      <w:sz w:val="22"/>
      <w:lang w:val="en-GB" w:eastAsia="en-US" w:bidi="ar-SA"/>
    </w:rPr>
  </w:style>
  <w:style w:type="paragraph" w:customStyle="1" w:styleId="Tabletext0">
    <w:name w:val="Table text"/>
    <w:basedOn w:val="Normal"/>
    <w:rsid w:val="00CE0229"/>
    <w:pPr>
      <w:overflowPunct w:val="0"/>
      <w:autoSpaceDE w:val="0"/>
      <w:autoSpaceDN w:val="0"/>
      <w:adjustRightInd w:val="0"/>
      <w:spacing w:before="60" w:after="60" w:line="240" w:lineRule="atLeast"/>
      <w:textAlignment w:val="baseline"/>
    </w:pPr>
    <w:rPr>
      <w:sz w:val="18"/>
      <w:szCs w:val="20"/>
      <w:lang w:val="en-GB"/>
    </w:rPr>
  </w:style>
  <w:style w:type="paragraph" w:customStyle="1" w:styleId="MessageText">
    <w:name w:val="Message Text"/>
    <w:basedOn w:val="BodyText"/>
    <w:rsid w:val="00CE0229"/>
    <w:pPr>
      <w:widowControl w:val="0"/>
      <w:ind w:firstLine="652"/>
    </w:pPr>
    <w:rPr>
      <w:rFonts w:ascii="Arial Armenian" w:hAnsi="Arial Armenian"/>
      <w:szCs w:val="20"/>
      <w:lang w:val="en-GB"/>
    </w:rPr>
  </w:style>
  <w:style w:type="paragraph" w:customStyle="1" w:styleId="Heading41">
    <w:name w:val="Heading 41"/>
    <w:aliases w:val="Centred1"/>
    <w:basedOn w:val="Normal"/>
    <w:rsid w:val="00CE0229"/>
    <w:pPr>
      <w:widowControl w:val="0"/>
      <w:tabs>
        <w:tab w:val="num" w:pos="1080"/>
      </w:tabs>
      <w:ind w:left="737" w:hanging="737"/>
    </w:pPr>
    <w:rPr>
      <w:rFonts w:ascii="Arial Armenian" w:hAnsi="Arial Armenian"/>
      <w:sz w:val="20"/>
      <w:szCs w:val="20"/>
      <w:lang w:val="en-GB"/>
    </w:rPr>
  </w:style>
  <w:style w:type="paragraph" w:customStyle="1" w:styleId="PRAMO">
    <w:name w:val="PRAMO"/>
    <w:basedOn w:val="Normal"/>
    <w:rsid w:val="00CE0229"/>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pPr>
    <w:rPr>
      <w:rFonts w:ascii="Arial" w:hAnsi="Arial"/>
      <w:lang w:val="en-GB"/>
    </w:rPr>
  </w:style>
  <w:style w:type="paragraph" w:customStyle="1" w:styleId="bullet1">
    <w:name w:val="bullet1"/>
    <w:basedOn w:val="NormalIndent"/>
    <w:rsid w:val="00CE0229"/>
    <w:pPr>
      <w:tabs>
        <w:tab w:val="clear" w:pos="1134"/>
        <w:tab w:val="clear" w:pos="1701"/>
        <w:tab w:val="left" w:pos="1418"/>
      </w:tabs>
      <w:ind w:left="0"/>
      <w:jc w:val="left"/>
    </w:pPr>
  </w:style>
  <w:style w:type="paragraph" w:styleId="NormalIndent">
    <w:name w:val="Normal Indent"/>
    <w:basedOn w:val="Normal"/>
    <w:rsid w:val="00CE0229"/>
    <w:pPr>
      <w:tabs>
        <w:tab w:val="left" w:pos="1134"/>
        <w:tab w:val="left" w:pos="1701"/>
        <w:tab w:val="left" w:pos="2835"/>
        <w:tab w:val="left" w:pos="5103"/>
        <w:tab w:val="left" w:pos="7371"/>
        <w:tab w:val="right" w:pos="9639"/>
      </w:tabs>
      <w:ind w:left="1134"/>
    </w:pPr>
    <w:rPr>
      <w:lang w:val="en-GB"/>
    </w:rPr>
  </w:style>
  <w:style w:type="paragraph" w:customStyle="1" w:styleId="a4">
    <w:name w:val="????????"/>
    <w:basedOn w:val="Normal"/>
    <w:rsid w:val="00CE0229"/>
    <w:pPr>
      <w:jc w:val="center"/>
    </w:pPr>
    <w:rPr>
      <w:rFonts w:ascii="Times Armenian" w:hAnsi="Times Armenian"/>
      <w:i/>
      <w:sz w:val="28"/>
      <w:szCs w:val="20"/>
      <w:lang w:eastAsia="ru-RU"/>
    </w:rPr>
  </w:style>
  <w:style w:type="paragraph" w:customStyle="1" w:styleId="12">
    <w:name w:val="???????? ????? ? ????????1"/>
    <w:basedOn w:val="2"/>
    <w:rsid w:val="00CE0229"/>
    <w:pPr>
      <w:spacing w:line="360" w:lineRule="auto"/>
      <w:ind w:firstLine="720"/>
      <w:jc w:val="both"/>
    </w:pPr>
    <w:rPr>
      <w:sz w:val="28"/>
    </w:rPr>
  </w:style>
  <w:style w:type="paragraph" w:customStyle="1" w:styleId="BodyTextIndentTableSource1">
    <w:name w:val="Body Text Indent.(Table Source)1"/>
    <w:basedOn w:val="Normal"/>
    <w:rsid w:val="00CE0229"/>
    <w:pPr>
      <w:ind w:firstLine="3"/>
    </w:pPr>
    <w:rPr>
      <w:rFonts w:ascii="Times Armenian" w:hAnsi="Times Armenian"/>
      <w:szCs w:val="20"/>
      <w:lang w:val="fr-FR"/>
    </w:rPr>
  </w:style>
  <w:style w:type="paragraph" w:customStyle="1" w:styleId="xl33">
    <w:name w:val="xl33"/>
    <w:basedOn w:val="Normal"/>
    <w:rsid w:val="00CE0229"/>
    <w:pPr>
      <w:pBdr>
        <w:top w:val="single" w:sz="4" w:space="0" w:color="auto"/>
        <w:left w:val="single" w:sz="4" w:space="0" w:color="auto"/>
        <w:bottom w:val="single" w:sz="4" w:space="0" w:color="auto"/>
        <w:right w:val="single" w:sz="4" w:space="0" w:color="auto"/>
      </w:pBdr>
      <w:spacing w:before="100" w:after="100"/>
    </w:pPr>
    <w:rPr>
      <w:rFonts w:ascii="Arial Armenian" w:eastAsia="Arial Unicode MS" w:hAnsi="Arial Armenian"/>
      <w:b/>
      <w:i/>
      <w:sz w:val="16"/>
      <w:szCs w:val="20"/>
    </w:rPr>
  </w:style>
  <w:style w:type="paragraph" w:customStyle="1" w:styleId="xl35">
    <w:name w:val="xl35"/>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i/>
      <w:sz w:val="16"/>
      <w:szCs w:val="20"/>
    </w:rPr>
  </w:style>
  <w:style w:type="paragraph" w:customStyle="1" w:styleId="xl36">
    <w:name w:val="xl36"/>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sz w:val="16"/>
      <w:szCs w:val="20"/>
    </w:rPr>
  </w:style>
  <w:style w:type="paragraph" w:customStyle="1" w:styleId="xl37">
    <w:name w:val="xl37"/>
    <w:basedOn w:val="Normal"/>
    <w:rsid w:val="00CE0229"/>
    <w:pPr>
      <w:pBdr>
        <w:top w:val="single" w:sz="4" w:space="0" w:color="auto"/>
        <w:left w:val="single" w:sz="4" w:space="0" w:color="auto"/>
        <w:bottom w:val="single" w:sz="4" w:space="0" w:color="auto"/>
        <w:right w:val="single" w:sz="4" w:space="0" w:color="auto"/>
      </w:pBdr>
      <w:spacing w:before="100" w:after="100"/>
      <w:textAlignment w:val="center"/>
    </w:pPr>
    <w:rPr>
      <w:rFonts w:ascii="Arial Armenian" w:eastAsia="Arial Unicode MS" w:hAnsi="Arial Armenian"/>
      <w:b/>
      <w:sz w:val="16"/>
      <w:szCs w:val="20"/>
    </w:rPr>
  </w:style>
  <w:style w:type="paragraph" w:customStyle="1" w:styleId="xl38">
    <w:name w:val="xl38"/>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b/>
      <w:sz w:val="16"/>
      <w:szCs w:val="20"/>
    </w:rPr>
  </w:style>
  <w:style w:type="paragraph" w:customStyle="1" w:styleId="xl39">
    <w:name w:val="xl39"/>
    <w:basedOn w:val="Normal"/>
    <w:rsid w:val="00CE0229"/>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Armenian" w:eastAsia="Arial Unicode MS" w:hAnsi="Arial Armenian"/>
      <w:b/>
      <w:sz w:val="16"/>
      <w:szCs w:val="20"/>
    </w:rPr>
  </w:style>
  <w:style w:type="paragraph" w:customStyle="1" w:styleId="xl40">
    <w:name w:val="xl40"/>
    <w:basedOn w:val="Normal"/>
    <w:rsid w:val="00CE0229"/>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Armenian" w:eastAsia="Arial Unicode MS" w:hAnsi="Arial Armenian"/>
      <w:b/>
      <w:sz w:val="16"/>
      <w:szCs w:val="20"/>
    </w:rPr>
  </w:style>
  <w:style w:type="paragraph" w:customStyle="1" w:styleId="xl41">
    <w:name w:val="xl41"/>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sz w:val="16"/>
      <w:szCs w:val="20"/>
    </w:rPr>
  </w:style>
  <w:style w:type="paragraph" w:customStyle="1" w:styleId="xl42">
    <w:name w:val="xl42"/>
    <w:basedOn w:val="Normal"/>
    <w:rsid w:val="00CE0229"/>
    <w:pPr>
      <w:pBdr>
        <w:bottom w:val="single" w:sz="4" w:space="0" w:color="auto"/>
        <w:right w:val="single" w:sz="4" w:space="0" w:color="auto"/>
      </w:pBdr>
      <w:shd w:val="clear" w:color="auto" w:fill="00FF00"/>
      <w:spacing w:before="100" w:after="100"/>
      <w:jc w:val="center"/>
      <w:textAlignment w:val="top"/>
    </w:pPr>
    <w:rPr>
      <w:rFonts w:ascii="Arial Armenian" w:eastAsia="Arial Unicode MS" w:hAnsi="Arial Armenian"/>
      <w:i/>
      <w:sz w:val="16"/>
      <w:szCs w:val="20"/>
    </w:rPr>
  </w:style>
  <w:style w:type="paragraph" w:customStyle="1" w:styleId="xl45">
    <w:name w:val="xl45"/>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i/>
      <w:sz w:val="16"/>
      <w:szCs w:val="20"/>
    </w:rPr>
  </w:style>
  <w:style w:type="paragraph" w:customStyle="1" w:styleId="xl46">
    <w:name w:val="xl46"/>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i/>
      <w:sz w:val="16"/>
      <w:szCs w:val="20"/>
    </w:rPr>
  </w:style>
  <w:style w:type="paragraph" w:customStyle="1" w:styleId="xl47">
    <w:name w:val="xl47"/>
    <w:basedOn w:val="Normal"/>
    <w:rsid w:val="00CE0229"/>
    <w:pPr>
      <w:pBdr>
        <w:bottom w:val="single" w:sz="4" w:space="0" w:color="auto"/>
        <w:right w:val="single" w:sz="4" w:space="0" w:color="auto"/>
      </w:pBdr>
      <w:shd w:val="clear" w:color="auto" w:fill="FFFFFF"/>
      <w:spacing w:before="100" w:after="100"/>
      <w:textAlignment w:val="top"/>
    </w:pPr>
    <w:rPr>
      <w:rFonts w:ascii="Arial Armenian" w:eastAsia="Arial Unicode MS" w:hAnsi="Arial Armenian"/>
      <w:i/>
      <w:sz w:val="16"/>
      <w:szCs w:val="20"/>
    </w:rPr>
  </w:style>
  <w:style w:type="paragraph" w:customStyle="1" w:styleId="xl48">
    <w:name w:val="xl48"/>
    <w:basedOn w:val="Normal"/>
    <w:rsid w:val="00CE0229"/>
    <w:pPr>
      <w:pBdr>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6"/>
      <w:szCs w:val="20"/>
    </w:rPr>
  </w:style>
  <w:style w:type="paragraph" w:customStyle="1" w:styleId="xl49">
    <w:name w:val="xl49"/>
    <w:basedOn w:val="Normal"/>
    <w:rsid w:val="00CE0229"/>
    <w:pPr>
      <w:pBdr>
        <w:top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8"/>
      <w:szCs w:val="20"/>
    </w:rPr>
  </w:style>
  <w:style w:type="paragraph" w:customStyle="1" w:styleId="xl50">
    <w:name w:val="xl50"/>
    <w:basedOn w:val="Normal"/>
    <w:rsid w:val="00CE0229"/>
    <w:pPr>
      <w:pBdr>
        <w:top w:val="single" w:sz="4" w:space="0" w:color="auto"/>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51">
    <w:name w:val="xl51"/>
    <w:basedOn w:val="Normal"/>
    <w:rsid w:val="00CE0229"/>
    <w:pPr>
      <w:pBdr>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52">
    <w:name w:val="xl52"/>
    <w:basedOn w:val="Normal"/>
    <w:rsid w:val="00CE0229"/>
    <w:pPr>
      <w:pBdr>
        <w:top w:val="single" w:sz="4" w:space="0" w:color="auto"/>
        <w:lef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3">
    <w:name w:val="xl53"/>
    <w:basedOn w:val="Normal"/>
    <w:rsid w:val="00CE0229"/>
    <w:pPr>
      <w:pBdr>
        <w:top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4">
    <w:name w:val="xl54"/>
    <w:basedOn w:val="Normal"/>
    <w:rsid w:val="00CE0229"/>
    <w:pPr>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55">
    <w:name w:val="xl55"/>
    <w:basedOn w:val="Normal"/>
    <w:rsid w:val="00CE0229"/>
    <w:pPr>
      <w:pBdr>
        <w:left w:val="single" w:sz="4" w:space="0" w:color="auto"/>
        <w:bottom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6">
    <w:name w:val="xl56"/>
    <w:basedOn w:val="Normal"/>
    <w:rsid w:val="00CE0229"/>
    <w:pPr>
      <w:pBdr>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8">
    <w:name w:val="xl58"/>
    <w:basedOn w:val="Normal"/>
    <w:rsid w:val="00CE0229"/>
    <w:pPr>
      <w:pBdr>
        <w:left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4"/>
      <w:szCs w:val="20"/>
    </w:rPr>
  </w:style>
  <w:style w:type="paragraph" w:customStyle="1" w:styleId="xl59">
    <w:name w:val="xl59"/>
    <w:basedOn w:val="Normal"/>
    <w:rsid w:val="00CE0229"/>
    <w:pPr>
      <w:pBdr>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4"/>
      <w:szCs w:val="20"/>
    </w:rPr>
  </w:style>
  <w:style w:type="paragraph" w:customStyle="1" w:styleId="xl60">
    <w:name w:val="xl60"/>
    <w:basedOn w:val="Normal"/>
    <w:rsid w:val="00CE0229"/>
    <w:pPr>
      <w:pBdr>
        <w:top w:val="single" w:sz="4" w:space="0" w:color="auto"/>
        <w:lef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1">
    <w:name w:val="xl61"/>
    <w:basedOn w:val="Normal"/>
    <w:rsid w:val="00CE0229"/>
    <w:pPr>
      <w:pBdr>
        <w:top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2">
    <w:name w:val="xl62"/>
    <w:basedOn w:val="Normal"/>
    <w:rsid w:val="00CE0229"/>
    <w:pPr>
      <w:pBdr>
        <w:left w:val="single" w:sz="4" w:space="0" w:color="auto"/>
        <w:bottom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3">
    <w:name w:val="xl63"/>
    <w:basedOn w:val="Normal"/>
    <w:rsid w:val="00CE0229"/>
    <w:pPr>
      <w:pBdr>
        <w:bottom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4">
    <w:name w:val="xl64"/>
    <w:basedOn w:val="Normal"/>
    <w:rsid w:val="00CE0229"/>
    <w:pPr>
      <w:pBdr>
        <w:top w:val="single" w:sz="4" w:space="0" w:color="auto"/>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sz w:val="14"/>
      <w:szCs w:val="20"/>
    </w:rPr>
  </w:style>
  <w:style w:type="paragraph" w:customStyle="1" w:styleId="xl65">
    <w:name w:val="xl65"/>
    <w:basedOn w:val="Normal"/>
    <w:rsid w:val="00CE0229"/>
    <w:pPr>
      <w:pBdr>
        <w:left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66">
    <w:name w:val="xl66"/>
    <w:basedOn w:val="Normal"/>
    <w:rsid w:val="00CE0229"/>
    <w:pPr>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67">
    <w:name w:val="xl67"/>
    <w:basedOn w:val="Normal"/>
    <w:rsid w:val="00CE0229"/>
    <w:pPr>
      <w:pBdr>
        <w:top w:val="single" w:sz="4" w:space="0" w:color="auto"/>
        <w:left w:val="single" w:sz="4" w:space="0" w:color="auto"/>
        <w:bottom w:val="single" w:sz="4" w:space="0" w:color="auto"/>
      </w:pBdr>
      <w:shd w:val="clear" w:color="auto" w:fill="FFFFFF"/>
      <w:spacing w:before="100" w:after="100"/>
      <w:jc w:val="center"/>
      <w:textAlignment w:val="top"/>
    </w:pPr>
    <w:rPr>
      <w:rFonts w:ascii="Arial Armenian" w:eastAsia="Arial Unicode MS" w:hAnsi="Arial Armenian"/>
      <w:b/>
      <w:sz w:val="18"/>
      <w:szCs w:val="20"/>
    </w:rPr>
  </w:style>
  <w:style w:type="paragraph" w:customStyle="1" w:styleId="xl68">
    <w:name w:val="xl68"/>
    <w:basedOn w:val="Normal"/>
    <w:rsid w:val="00CE0229"/>
    <w:pPr>
      <w:pBdr>
        <w:top w:val="single" w:sz="4" w:space="0" w:color="auto"/>
        <w:left w:val="single" w:sz="4" w:space="0" w:color="auto"/>
        <w:bottom w:val="single" w:sz="4" w:space="0" w:color="auto"/>
        <w:right w:val="single" w:sz="4" w:space="0" w:color="auto"/>
      </w:pBdr>
      <w:spacing w:before="100" w:after="100"/>
      <w:textAlignment w:val="center"/>
    </w:pPr>
    <w:rPr>
      <w:rFonts w:ascii="Arial Armenian" w:eastAsia="Arial Unicode MS" w:hAnsi="Arial Armenian"/>
      <w:i/>
      <w:sz w:val="14"/>
      <w:szCs w:val="20"/>
    </w:rPr>
  </w:style>
  <w:style w:type="paragraph" w:customStyle="1" w:styleId="xl69">
    <w:name w:val="xl69"/>
    <w:basedOn w:val="Normal"/>
    <w:rsid w:val="00CE02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Armenian" w:eastAsia="Arial Unicode MS" w:hAnsi="Arial Armenian" w:cs="Arial Unicode MS"/>
    </w:rPr>
  </w:style>
  <w:style w:type="paragraph" w:customStyle="1" w:styleId="xl70">
    <w:name w:val="xl70"/>
    <w:basedOn w:val="Normal"/>
    <w:rsid w:val="00CE0229"/>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71">
    <w:name w:val="xl71"/>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72">
    <w:name w:val="xl72"/>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Armenian" w:eastAsia="Arial Unicode MS" w:hAnsi="Arial Armenian" w:cs="Arial Unicode MS"/>
      <w:i/>
      <w:iCs/>
    </w:rPr>
  </w:style>
  <w:style w:type="paragraph" w:customStyle="1" w:styleId="xl73">
    <w:name w:val="xl73"/>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rPr>
  </w:style>
  <w:style w:type="paragraph" w:customStyle="1" w:styleId="xl74">
    <w:name w:val="xl74"/>
    <w:basedOn w:val="Normal"/>
    <w:rsid w:val="00CE0229"/>
    <w:pPr>
      <w:pBdr>
        <w:left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75">
    <w:name w:val="xl75"/>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b/>
      <w:bCs/>
      <w:i/>
      <w:iCs/>
    </w:rPr>
  </w:style>
  <w:style w:type="paragraph" w:customStyle="1" w:styleId="xl76">
    <w:name w:val="xl76"/>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77">
    <w:name w:val="xl77"/>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rPr>
  </w:style>
  <w:style w:type="paragraph" w:customStyle="1" w:styleId="xl78">
    <w:name w:val="xl78"/>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i/>
      <w:iCs/>
    </w:rPr>
  </w:style>
  <w:style w:type="paragraph" w:customStyle="1" w:styleId="xl79">
    <w:name w:val="xl79"/>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i/>
      <w:iCs/>
    </w:rPr>
  </w:style>
  <w:style w:type="paragraph" w:customStyle="1" w:styleId="xl80">
    <w:name w:val="xl80"/>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rPr>
  </w:style>
  <w:style w:type="paragraph" w:customStyle="1" w:styleId="xl81">
    <w:name w:val="xl81"/>
    <w:basedOn w:val="Normal"/>
    <w:rsid w:val="00CE0229"/>
    <w:pPr>
      <w:pBdr>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82">
    <w:name w:val="xl82"/>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83">
    <w:name w:val="xl83"/>
    <w:basedOn w:val="Normal"/>
    <w:rsid w:val="00CE0229"/>
    <w:pPr>
      <w:pBdr>
        <w:top w:val="single" w:sz="4" w:space="0" w:color="auto"/>
        <w:left w:val="single" w:sz="8" w:space="0" w:color="auto"/>
        <w:bottom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84">
    <w:name w:val="xl84"/>
    <w:basedOn w:val="Normal"/>
    <w:rsid w:val="00CE0229"/>
    <w:pPr>
      <w:pBdr>
        <w:top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85">
    <w:name w:val="xl85"/>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86">
    <w:name w:val="xl86"/>
    <w:basedOn w:val="Normal"/>
    <w:rsid w:val="00CE0229"/>
    <w:pPr>
      <w:pBdr>
        <w:left w:val="single" w:sz="4" w:space="0" w:color="auto"/>
        <w:bottom w:val="single" w:sz="4"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87">
    <w:name w:val="xl87"/>
    <w:basedOn w:val="Normal"/>
    <w:rsid w:val="00CE0229"/>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b/>
      <w:bCs/>
    </w:rPr>
  </w:style>
  <w:style w:type="paragraph" w:customStyle="1" w:styleId="xl88">
    <w:name w:val="xl88"/>
    <w:basedOn w:val="Normal"/>
    <w:rsid w:val="00CE0229"/>
    <w:pPr>
      <w:pBdr>
        <w:bottom w:val="single" w:sz="4" w:space="0" w:color="auto"/>
      </w:pBdr>
      <w:shd w:val="clear" w:color="auto" w:fill="FFFFFF"/>
      <w:spacing w:before="100" w:beforeAutospacing="1" w:after="100" w:afterAutospacing="1"/>
    </w:pPr>
    <w:rPr>
      <w:rFonts w:ascii="Arial Armenian" w:eastAsia="Arial Unicode MS" w:hAnsi="Arial Armenian" w:cs="Arial Unicode MS"/>
    </w:rPr>
  </w:style>
  <w:style w:type="paragraph" w:customStyle="1" w:styleId="xl89">
    <w:name w:val="xl89"/>
    <w:basedOn w:val="Normal"/>
    <w:rsid w:val="00CE022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Armenian" w:eastAsia="Arial Unicode MS" w:hAnsi="Arial Armenian" w:cs="Arial Unicode MS"/>
      <w:b/>
      <w:bCs/>
    </w:rPr>
  </w:style>
  <w:style w:type="paragraph" w:customStyle="1" w:styleId="xl90">
    <w:name w:val="xl90"/>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1">
    <w:name w:val="xl91"/>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2">
    <w:name w:val="xl92"/>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3">
    <w:name w:val="xl93"/>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u w:val="single"/>
    </w:rPr>
  </w:style>
  <w:style w:type="paragraph" w:customStyle="1" w:styleId="xl94">
    <w:name w:val="xl94"/>
    <w:basedOn w:val="Normal"/>
    <w:rsid w:val="00CE0229"/>
    <w:pPr>
      <w:pBdr>
        <w:left w:val="single" w:sz="4" w:space="0" w:color="auto"/>
        <w:bottom w:val="single" w:sz="4" w:space="0" w:color="auto"/>
        <w:right w:val="single" w:sz="8" w:space="0" w:color="auto"/>
      </w:pBdr>
      <w:spacing w:before="100" w:beforeAutospacing="1" w:after="100" w:afterAutospacing="1"/>
    </w:pPr>
    <w:rPr>
      <w:rFonts w:ascii="Arial Armenian" w:eastAsia="Arial Unicode MS" w:hAnsi="Arial Armenian" w:cs="Arial Unicode MS"/>
    </w:rPr>
  </w:style>
  <w:style w:type="paragraph" w:customStyle="1" w:styleId="xl95">
    <w:name w:val="xl95"/>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6">
    <w:name w:val="xl96"/>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rPr>
  </w:style>
  <w:style w:type="paragraph" w:customStyle="1" w:styleId="xl97">
    <w:name w:val="xl97"/>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Armenian" w:eastAsia="Arial Unicode MS" w:hAnsi="Arial Armenian" w:cs="Arial Unicode MS"/>
    </w:rPr>
  </w:style>
  <w:style w:type="paragraph" w:customStyle="1" w:styleId="xl98">
    <w:name w:val="xl98"/>
    <w:basedOn w:val="Normal"/>
    <w:rsid w:val="00CE0229"/>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textAlignment w:val="center"/>
    </w:pPr>
    <w:rPr>
      <w:rFonts w:ascii="Arial Armenian" w:eastAsia="Arial Unicode MS" w:hAnsi="Arial Armenian" w:cs="Arial Unicode MS"/>
    </w:rPr>
  </w:style>
  <w:style w:type="paragraph" w:customStyle="1" w:styleId="xl99">
    <w:name w:val="xl99"/>
    <w:basedOn w:val="Normal"/>
    <w:rsid w:val="00CE0229"/>
    <w:pPr>
      <w:pBdr>
        <w:right w:val="single" w:sz="8" w:space="0" w:color="auto"/>
      </w:pBdr>
      <w:shd w:val="clear" w:color="auto" w:fill="FFFFFF"/>
      <w:spacing w:before="100" w:beforeAutospacing="1" w:after="100" w:afterAutospacing="1"/>
      <w:jc w:val="right"/>
    </w:pPr>
    <w:rPr>
      <w:rFonts w:ascii="Arial Armenian" w:eastAsia="Arial Unicode MS" w:hAnsi="Arial Armenian" w:cs="Arial Unicode MS"/>
      <w:b/>
      <w:bCs/>
    </w:rPr>
  </w:style>
  <w:style w:type="paragraph" w:customStyle="1" w:styleId="xl100">
    <w:name w:val="xl100"/>
    <w:basedOn w:val="Normal"/>
    <w:rsid w:val="00CE0229"/>
    <w:pPr>
      <w:pBdr>
        <w:right w:val="single" w:sz="8" w:space="0" w:color="auto"/>
      </w:pBdr>
      <w:shd w:val="clear" w:color="auto" w:fill="CCFFFF"/>
      <w:spacing w:before="100" w:beforeAutospacing="1" w:after="100" w:afterAutospacing="1"/>
      <w:jc w:val="right"/>
    </w:pPr>
    <w:rPr>
      <w:rFonts w:ascii="Arial Armenian" w:eastAsia="Arial Unicode MS" w:hAnsi="Arial Armenian" w:cs="Arial Unicode MS"/>
    </w:rPr>
  </w:style>
  <w:style w:type="paragraph" w:customStyle="1" w:styleId="xl101">
    <w:name w:val="xl101"/>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Armenian" w:eastAsia="Arial Unicode MS" w:hAnsi="Arial Armenian" w:cs="Arial Unicode MS"/>
      <w:b/>
      <w:bCs/>
      <w:i/>
      <w:iCs/>
    </w:rPr>
  </w:style>
  <w:style w:type="paragraph" w:customStyle="1" w:styleId="xl102">
    <w:name w:val="xl102"/>
    <w:basedOn w:val="Normal"/>
    <w:rsid w:val="00CE0229"/>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pPr>
    <w:rPr>
      <w:rFonts w:ascii="Arial Armenian" w:eastAsia="Arial Unicode MS" w:hAnsi="Arial Armenian" w:cs="Arial Unicode MS"/>
    </w:rPr>
  </w:style>
  <w:style w:type="paragraph" w:customStyle="1" w:styleId="xl103">
    <w:name w:val="xl103"/>
    <w:basedOn w:val="Normal"/>
    <w:rsid w:val="00CE0229"/>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pPr>
    <w:rPr>
      <w:rFonts w:ascii="Arial Armenian" w:eastAsia="Arial Unicode MS" w:hAnsi="Arial Armenian" w:cs="Arial Unicode MS"/>
      <w:i/>
      <w:iCs/>
    </w:rPr>
  </w:style>
  <w:style w:type="paragraph" w:customStyle="1" w:styleId="xl104">
    <w:name w:val="xl104"/>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Armenian" w:eastAsia="Arial Unicode MS" w:hAnsi="Arial Armenian" w:cs="Arial Unicode MS"/>
    </w:rPr>
  </w:style>
  <w:style w:type="paragraph" w:customStyle="1" w:styleId="xl105">
    <w:name w:val="xl105"/>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106">
    <w:name w:val="xl106"/>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Armenian" w:eastAsia="Arial Unicode MS" w:hAnsi="Arial Armenian" w:cs="Arial Unicode MS"/>
    </w:rPr>
  </w:style>
  <w:style w:type="paragraph" w:customStyle="1" w:styleId="xl107">
    <w:name w:val="xl107"/>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eastAsia="Arial Unicode MS" w:hAnsi="Arial Armenian" w:cs="Arial Unicode MS"/>
      <w:b/>
      <w:bCs/>
    </w:rPr>
  </w:style>
  <w:style w:type="paragraph" w:customStyle="1" w:styleId="xl108">
    <w:name w:val="xl108"/>
    <w:basedOn w:val="Normal"/>
    <w:rsid w:val="00CE022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109">
    <w:name w:val="xl109"/>
    <w:basedOn w:val="Normal"/>
    <w:rsid w:val="00CE022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110">
    <w:name w:val="xl110"/>
    <w:basedOn w:val="Normal"/>
    <w:rsid w:val="00CE0229"/>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111">
    <w:name w:val="xl111"/>
    <w:basedOn w:val="Normal"/>
    <w:rsid w:val="00CE0229"/>
    <w:pPr>
      <w:pBdr>
        <w:top w:val="single" w:sz="4" w:space="0" w:color="auto"/>
        <w:left w:val="single" w:sz="8" w:space="0" w:color="auto"/>
        <w:bottom w:val="single" w:sz="4" w:space="0" w:color="auto"/>
      </w:pBdr>
      <w:spacing w:before="100" w:beforeAutospacing="1" w:after="100" w:afterAutospacing="1"/>
      <w:jc w:val="center"/>
    </w:pPr>
    <w:rPr>
      <w:rFonts w:ascii="Arial Armenian" w:eastAsia="Arial Unicode MS" w:hAnsi="Arial Armenian" w:cs="Arial Unicode MS"/>
      <w:b/>
      <w:bCs/>
    </w:rPr>
  </w:style>
  <w:style w:type="paragraph" w:customStyle="1" w:styleId="xl112">
    <w:name w:val="xl112"/>
    <w:basedOn w:val="Normal"/>
    <w:rsid w:val="00CE022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13">
    <w:name w:val="xl113"/>
    <w:basedOn w:val="Normal"/>
    <w:rsid w:val="00CE0229"/>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ascii="Arial Armenian" w:eastAsia="Arial Unicode MS" w:hAnsi="Arial Armenian" w:cs="Arial Unicode MS"/>
      <w:b/>
      <w:bCs/>
    </w:rPr>
  </w:style>
  <w:style w:type="paragraph" w:customStyle="1" w:styleId="xl114">
    <w:name w:val="xl114"/>
    <w:basedOn w:val="Normal"/>
    <w:rsid w:val="00CE0229"/>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115">
    <w:name w:val="xl115"/>
    <w:basedOn w:val="Normal"/>
    <w:rsid w:val="00CE022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Armenian" w:eastAsia="Arial Unicode MS" w:hAnsi="Arial Armenian" w:cs="Arial Unicode MS"/>
      <w:b/>
      <w:bCs/>
    </w:rPr>
  </w:style>
  <w:style w:type="character" w:customStyle="1" w:styleId="Heading3Char">
    <w:name w:val="Heading 3 Char"/>
    <w:rsid w:val="003A0BBB"/>
    <w:rPr>
      <w:rFonts w:ascii="Sylfaen" w:hAnsi="Sylfaen" w:cs="Arial"/>
      <w:b/>
      <w:bCs/>
      <w:sz w:val="24"/>
      <w:szCs w:val="26"/>
      <w:lang w:val="en-GB" w:eastAsia="en-US" w:bidi="ar-SA"/>
    </w:rPr>
  </w:style>
  <w:style w:type="paragraph" w:customStyle="1" w:styleId="KLegalHeading3">
    <w:name w:val="KLegal Heading 3"/>
    <w:basedOn w:val="Normal"/>
    <w:next w:val="Heading2"/>
    <w:rsid w:val="00CE0229"/>
    <w:pPr>
      <w:keepNext/>
      <w:overflowPunct w:val="0"/>
      <w:autoSpaceDE w:val="0"/>
      <w:autoSpaceDN w:val="0"/>
      <w:adjustRightInd w:val="0"/>
      <w:spacing w:after="220"/>
      <w:ind w:left="1440" w:hanging="720"/>
      <w:textAlignment w:val="baseline"/>
    </w:pPr>
    <w:rPr>
      <w:b/>
      <w:szCs w:val="20"/>
      <w:lang w:val="en-GB"/>
    </w:rPr>
  </w:style>
  <w:style w:type="paragraph" w:customStyle="1" w:styleId="KLegalHeading4">
    <w:name w:val="KLegal Heading 4"/>
    <w:basedOn w:val="Normal"/>
    <w:next w:val="Heading2"/>
    <w:rsid w:val="00CE0229"/>
    <w:pPr>
      <w:keepNext/>
      <w:overflowPunct w:val="0"/>
      <w:autoSpaceDE w:val="0"/>
      <w:autoSpaceDN w:val="0"/>
      <w:adjustRightInd w:val="0"/>
      <w:spacing w:after="220"/>
      <w:ind w:left="2160" w:hanging="720"/>
      <w:textAlignment w:val="baseline"/>
    </w:pPr>
    <w:rPr>
      <w:b/>
      <w:i/>
      <w:szCs w:val="20"/>
      <w:lang w:val="en-GB"/>
    </w:rPr>
  </w:style>
  <w:style w:type="paragraph" w:customStyle="1" w:styleId="KLegalHeading1">
    <w:name w:val="KLegal Heading 1"/>
    <w:basedOn w:val="Normal"/>
    <w:next w:val="KLegalHeading2"/>
    <w:rsid w:val="00CE0229"/>
    <w:pPr>
      <w:keepNext/>
      <w:pageBreakBefore/>
      <w:overflowPunct w:val="0"/>
      <w:autoSpaceDE w:val="0"/>
      <w:autoSpaceDN w:val="0"/>
      <w:adjustRightInd w:val="0"/>
      <w:spacing w:after="440"/>
      <w:ind w:left="851" w:hanging="851"/>
      <w:textAlignment w:val="baseline"/>
      <w:outlineLvl w:val="0"/>
    </w:pPr>
    <w:rPr>
      <w:b/>
      <w:sz w:val="32"/>
      <w:szCs w:val="20"/>
      <w:lang w:val="en-GB"/>
    </w:rPr>
  </w:style>
  <w:style w:type="paragraph" w:customStyle="1" w:styleId="KLegalHeading2">
    <w:name w:val="KLegal Heading 2"/>
    <w:basedOn w:val="Normal"/>
    <w:next w:val="KLegalHeading3"/>
    <w:rsid w:val="00CE0229"/>
    <w:pPr>
      <w:keepNext/>
      <w:overflowPunct w:val="0"/>
      <w:autoSpaceDE w:val="0"/>
      <w:autoSpaceDN w:val="0"/>
      <w:adjustRightInd w:val="0"/>
      <w:spacing w:after="220"/>
      <w:ind w:left="851" w:hanging="851"/>
      <w:textAlignment w:val="baseline"/>
      <w:outlineLvl w:val="1"/>
    </w:pPr>
    <w:rPr>
      <w:b/>
      <w:sz w:val="28"/>
      <w:szCs w:val="20"/>
      <w:lang w:val="en-GB"/>
    </w:rPr>
  </w:style>
  <w:style w:type="character" w:customStyle="1" w:styleId="Normal1">
    <w:name w:val="Normal1"/>
    <w:rsid w:val="00CE0229"/>
    <w:rPr>
      <w:rFonts w:ascii="Arial" w:hAnsi="Arial"/>
      <w:sz w:val="24"/>
      <w:szCs w:val="24"/>
    </w:rPr>
  </w:style>
  <w:style w:type="paragraph" w:customStyle="1" w:styleId="BulletblBulletL1bl1">
    <w:name w:val="Bullet.bl.Bullet L1.bl1"/>
    <w:basedOn w:val="Normal"/>
    <w:rsid w:val="00CE0229"/>
    <w:pPr>
      <w:tabs>
        <w:tab w:val="num" w:pos="360"/>
      </w:tabs>
      <w:autoSpaceDE w:val="0"/>
      <w:autoSpaceDN w:val="0"/>
      <w:spacing w:after="130"/>
      <w:ind w:left="360" w:hanging="360"/>
    </w:pPr>
    <w:rPr>
      <w:rFonts w:ascii="Times Armenian" w:hAnsi="Times Armenian"/>
      <w:lang w:val="en-GB" w:eastAsia="ru-RU"/>
    </w:rPr>
  </w:style>
  <w:style w:type="paragraph" w:customStyle="1" w:styleId="Heading3Centeredtext">
    <w:name w:val="Heading 3.Centered.(text)"/>
    <w:basedOn w:val="Normal"/>
    <w:next w:val="Heading2"/>
    <w:rsid w:val="00CE0229"/>
    <w:pPr>
      <w:keepNext/>
      <w:autoSpaceDE w:val="0"/>
      <w:autoSpaceDN w:val="0"/>
      <w:spacing w:after="220"/>
      <w:outlineLvl w:val="2"/>
    </w:pPr>
    <w:rPr>
      <w:rFonts w:ascii="Times Armenian" w:hAnsi="Times Armenian"/>
      <w:b/>
      <w:bCs/>
      <w:lang w:val="en-GB" w:eastAsia="ru-RU"/>
    </w:rPr>
  </w:style>
  <w:style w:type="paragraph" w:customStyle="1" w:styleId="13">
    <w:name w:val="çàãîëîâîê 1"/>
    <w:basedOn w:val="Normal"/>
    <w:next w:val="Normal"/>
    <w:rsid w:val="00CE0229"/>
    <w:pPr>
      <w:keepNext/>
      <w:overflowPunct w:val="0"/>
      <w:autoSpaceDE w:val="0"/>
      <w:autoSpaceDN w:val="0"/>
      <w:adjustRightInd w:val="0"/>
      <w:jc w:val="center"/>
    </w:pPr>
    <w:rPr>
      <w:rFonts w:ascii="Arial Armenian" w:hAnsi="Arial Armenian"/>
      <w:szCs w:val="20"/>
    </w:rPr>
  </w:style>
  <w:style w:type="paragraph" w:customStyle="1" w:styleId="BalloonText2">
    <w:name w:val="Balloon Text2"/>
    <w:basedOn w:val="Normal"/>
    <w:semiHidden/>
    <w:rsid w:val="00CE0229"/>
    <w:pPr>
      <w:ind w:left="2157" w:hanging="180"/>
    </w:pPr>
    <w:rPr>
      <w:rFonts w:ascii="Tahoma" w:hAnsi="Tahoma" w:cs="Tahoma"/>
      <w:sz w:val="16"/>
      <w:szCs w:val="16"/>
    </w:rPr>
  </w:style>
  <w:style w:type="character" w:customStyle="1" w:styleId="Heading3CharCharCharCharCharCharChar">
    <w:name w:val="Heading 3 Char Char Char Char Char Char Char"/>
    <w:rsid w:val="00CE0229"/>
    <w:rPr>
      <w:rFonts w:ascii="Times Armenian" w:hAnsi="Times Armenian"/>
      <w:b/>
      <w:bCs/>
      <w:sz w:val="24"/>
      <w:szCs w:val="24"/>
      <w:lang w:val="en-GB" w:eastAsia="en-US" w:bidi="ar-SA"/>
    </w:rPr>
  </w:style>
  <w:style w:type="paragraph" w:customStyle="1" w:styleId="WW-BodyText3">
    <w:name w:val="WW-Body Text 3"/>
    <w:basedOn w:val="Normal"/>
    <w:rsid w:val="00CE0229"/>
    <w:pPr>
      <w:suppressAutoHyphens/>
    </w:pPr>
    <w:rPr>
      <w:rFonts w:ascii="Times Armenian" w:hAnsi="Times Armenian"/>
      <w:lang w:eastAsia="ar-SA"/>
    </w:rPr>
  </w:style>
  <w:style w:type="paragraph" w:customStyle="1" w:styleId="WW-BodyTextIndent2">
    <w:name w:val="WW-Body Text Indent 2"/>
    <w:basedOn w:val="Normal"/>
    <w:rsid w:val="00CE0229"/>
    <w:pPr>
      <w:suppressAutoHyphens/>
      <w:ind w:firstLine="720"/>
    </w:pPr>
    <w:rPr>
      <w:rFonts w:ascii="Times LatArm" w:hAnsi="Times LatArm"/>
      <w:i/>
      <w:iCs/>
      <w:lang w:eastAsia="ar-SA"/>
    </w:rPr>
  </w:style>
  <w:style w:type="paragraph" w:customStyle="1" w:styleId="BalloonText1">
    <w:name w:val="Balloon Text1"/>
    <w:basedOn w:val="Normal"/>
    <w:semiHidden/>
    <w:rsid w:val="00CE0229"/>
    <w:rPr>
      <w:rFonts w:ascii="Tahoma" w:hAnsi="Tahoma" w:cs="Tahoma"/>
      <w:sz w:val="16"/>
      <w:szCs w:val="16"/>
    </w:rPr>
  </w:style>
  <w:style w:type="paragraph" w:customStyle="1" w:styleId="BalloonText3">
    <w:name w:val="Balloon Text3"/>
    <w:basedOn w:val="Normal"/>
    <w:semiHidden/>
    <w:rsid w:val="00CE0229"/>
    <w:rPr>
      <w:rFonts w:ascii="Tahoma" w:hAnsi="Tahoma" w:cs="Tahoma"/>
      <w:sz w:val="16"/>
      <w:szCs w:val="16"/>
    </w:rPr>
  </w:style>
  <w:style w:type="paragraph" w:customStyle="1" w:styleId="xl116">
    <w:name w:val="xl116"/>
    <w:basedOn w:val="Normal"/>
    <w:rsid w:val="00CE0229"/>
    <w:pPr>
      <w:pBdr>
        <w:top w:val="single" w:sz="4" w:space="0" w:color="auto"/>
        <w:right w:val="single" w:sz="4" w:space="0" w:color="auto"/>
      </w:pBdr>
      <w:spacing w:before="100" w:beforeAutospacing="1" w:after="100" w:afterAutospacing="1"/>
      <w:jc w:val="right"/>
      <w:textAlignment w:val="center"/>
    </w:pPr>
    <w:rPr>
      <w:rFonts w:ascii="Times Armenian" w:eastAsia="Arial Unicode MS" w:hAnsi="Times Armenian" w:cs="Arial Unicode MS"/>
    </w:rPr>
  </w:style>
  <w:style w:type="paragraph" w:customStyle="1" w:styleId="xl117">
    <w:name w:val="xl117"/>
    <w:basedOn w:val="Normal"/>
    <w:rsid w:val="00CE0229"/>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18">
    <w:name w:val="xl118"/>
    <w:basedOn w:val="Normal"/>
    <w:rsid w:val="00CE0229"/>
    <w:pPr>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119">
    <w:name w:val="xl119"/>
    <w:basedOn w:val="Normal"/>
    <w:rsid w:val="00CE0229"/>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20">
    <w:name w:val="xl120"/>
    <w:basedOn w:val="Normal"/>
    <w:rsid w:val="00CE0229"/>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Times Armenian" w:eastAsia="Arial Unicode MS" w:hAnsi="Times Armenian" w:cs="Arial Unicode MS"/>
      <w:b/>
      <w:bCs/>
    </w:rPr>
  </w:style>
  <w:style w:type="paragraph" w:customStyle="1" w:styleId="xl121">
    <w:name w:val="xl121"/>
    <w:basedOn w:val="Normal"/>
    <w:rsid w:val="00CE0229"/>
    <w:pPr>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jc w:val="right"/>
    </w:pPr>
    <w:rPr>
      <w:rFonts w:ascii="Times Armenian" w:eastAsia="Arial Unicode MS" w:hAnsi="Times Armenian" w:cs="Arial Unicode MS"/>
      <w:b/>
      <w:bCs/>
    </w:rPr>
  </w:style>
  <w:style w:type="paragraph" w:customStyle="1" w:styleId="xl122">
    <w:name w:val="xl122"/>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3">
    <w:name w:val="xl123"/>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4">
    <w:name w:val="xl124"/>
    <w:basedOn w:val="Normal"/>
    <w:rsid w:val="00CE022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Armenian" w:eastAsia="Arial Unicode MS" w:hAnsi="Times Armenian" w:cs="Arial Unicode MS"/>
      <w:b/>
      <w:bCs/>
      <w:i/>
      <w:iCs/>
    </w:rPr>
  </w:style>
  <w:style w:type="paragraph" w:customStyle="1" w:styleId="xl125">
    <w:name w:val="xl125"/>
    <w:basedOn w:val="Normal"/>
    <w:rsid w:val="00CE0229"/>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rPr>
  </w:style>
  <w:style w:type="paragraph" w:customStyle="1" w:styleId="xl126">
    <w:name w:val="xl126"/>
    <w:basedOn w:val="Normal"/>
    <w:rsid w:val="00CE0229"/>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7">
    <w:name w:val="xl127"/>
    <w:basedOn w:val="Normal"/>
    <w:rsid w:val="00CE0229"/>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8">
    <w:name w:val="xl128"/>
    <w:basedOn w:val="Normal"/>
    <w:rsid w:val="00CE0229"/>
    <w:pPr>
      <w:pBdr>
        <w:bottom w:val="single" w:sz="4" w:space="0" w:color="auto"/>
        <w:right w:val="single" w:sz="4" w:space="0" w:color="auto"/>
      </w:pBdr>
      <w:spacing w:before="100" w:beforeAutospacing="1" w:after="100" w:afterAutospacing="1"/>
    </w:pPr>
    <w:rPr>
      <w:rFonts w:ascii="Times Armenian" w:eastAsia="Arial Unicode MS" w:hAnsi="Times Armenian" w:cs="Arial Unicode MS"/>
    </w:rPr>
  </w:style>
  <w:style w:type="paragraph" w:customStyle="1" w:styleId="xl129">
    <w:name w:val="xl129"/>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30">
    <w:name w:val="xl130"/>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i/>
      <w:iCs/>
    </w:rPr>
  </w:style>
  <w:style w:type="paragraph" w:customStyle="1" w:styleId="xl131">
    <w:name w:val="xl131"/>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2">
    <w:name w:val="xl132"/>
    <w:basedOn w:val="Normal"/>
    <w:rsid w:val="00CE0229"/>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3">
    <w:name w:val="xl133"/>
    <w:basedOn w:val="Normal"/>
    <w:rsid w:val="00CE0229"/>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4">
    <w:name w:val="xl134"/>
    <w:basedOn w:val="Normal"/>
    <w:rsid w:val="00CE0229"/>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5">
    <w:name w:val="xl135"/>
    <w:basedOn w:val="Normal"/>
    <w:rsid w:val="00CE0229"/>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Times Armenian" w:eastAsia="Arial Unicode MS" w:hAnsi="Times Armenian" w:cs="Arial Unicode MS"/>
    </w:rPr>
  </w:style>
  <w:style w:type="paragraph" w:customStyle="1" w:styleId="xl136">
    <w:name w:val="xl136"/>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i/>
      <w:iCs/>
    </w:rPr>
  </w:style>
  <w:style w:type="paragraph" w:customStyle="1" w:styleId="xl137">
    <w:name w:val="xl137"/>
    <w:basedOn w:val="Normal"/>
    <w:rsid w:val="00CE0229"/>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Times Armenian" w:eastAsia="Arial Unicode MS" w:hAnsi="Times Armenian" w:cs="Arial Unicode MS"/>
      <w:b/>
      <w:bCs/>
    </w:rPr>
  </w:style>
  <w:style w:type="paragraph" w:customStyle="1" w:styleId="xl138">
    <w:name w:val="xl138"/>
    <w:basedOn w:val="Normal"/>
    <w:rsid w:val="00CE0229"/>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jc w:val="right"/>
    </w:pPr>
    <w:rPr>
      <w:rFonts w:ascii="Times Armenian" w:eastAsia="Arial Unicode MS" w:hAnsi="Times Armenian" w:cs="Arial Unicode MS"/>
      <w:b/>
      <w:bCs/>
    </w:rPr>
  </w:style>
  <w:style w:type="paragraph" w:customStyle="1" w:styleId="StyleHeading5SideItalic">
    <w:name w:val="Style Heading 5Side + Italic"/>
    <w:basedOn w:val="Heading5"/>
    <w:rsid w:val="00CE0229"/>
    <w:pPr>
      <w:keepNext/>
      <w:widowControl w:val="0"/>
      <w:tabs>
        <w:tab w:val="left" w:pos="1021"/>
      </w:tabs>
      <w:spacing w:before="0" w:after="120"/>
    </w:pPr>
    <w:rPr>
      <w:rFonts w:ascii="Times Armenian" w:hAnsi="Times Armenian"/>
      <w:bCs w:val="0"/>
      <w:sz w:val="20"/>
      <w:szCs w:val="20"/>
      <w:u w:val="single"/>
      <w:lang w:val="en-GB"/>
    </w:rPr>
  </w:style>
  <w:style w:type="character" w:styleId="CommentReference">
    <w:name w:val="annotation reference"/>
    <w:uiPriority w:val="99"/>
    <w:rsid w:val="009E1455"/>
    <w:rPr>
      <w:sz w:val="16"/>
    </w:r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
    <w:basedOn w:val="Normal"/>
    <w:link w:val="NormalWebChar"/>
    <w:qFormat/>
    <w:rsid w:val="009E1455"/>
    <w:pPr>
      <w:spacing w:before="100" w:after="100"/>
    </w:pPr>
    <w:rPr>
      <w:szCs w:val="20"/>
      <w:lang w:val="x-none" w:eastAsia="x-none"/>
    </w:rPr>
  </w:style>
  <w:style w:type="paragraph" w:customStyle="1" w:styleId="CaptionTableTitle">
    <w:name w:val="Caption.(Table Title)"/>
    <w:basedOn w:val="Normal"/>
    <w:next w:val="Normal"/>
    <w:rsid w:val="009E1455"/>
    <w:pPr>
      <w:keepNext/>
      <w:keepLines/>
      <w:spacing w:before="130" w:after="130"/>
    </w:pPr>
    <w:rPr>
      <w:b/>
      <w:szCs w:val="20"/>
      <w:lang w:val="en-GB"/>
    </w:rPr>
  </w:style>
  <w:style w:type="paragraph" w:styleId="NoSpacing">
    <w:name w:val="No Spacing"/>
    <w:link w:val="NoSpacingChar"/>
    <w:qFormat/>
    <w:rsid w:val="000F2396"/>
    <w:rPr>
      <w:rFonts w:ascii="Calibri" w:hAnsi="Calibri"/>
      <w:sz w:val="22"/>
      <w:szCs w:val="22"/>
    </w:rPr>
  </w:style>
  <w:style w:type="character" w:customStyle="1" w:styleId="NoSpacingChar">
    <w:name w:val="No Spacing Char"/>
    <w:link w:val="NoSpacing"/>
    <w:rsid w:val="000F2396"/>
    <w:rPr>
      <w:rFonts w:ascii="Calibri" w:hAnsi="Calibri"/>
      <w:sz w:val="22"/>
      <w:szCs w:val="22"/>
      <w:lang w:val="en-US" w:eastAsia="en-US" w:bidi="ar-SA"/>
    </w:rPr>
  </w:style>
  <w:style w:type="paragraph" w:customStyle="1" w:styleId="StyleHeading2ChapterParanumText10pt">
    <w:name w:val="Style Heading 2(Chapter)ParanumText + 10 pt"/>
    <w:basedOn w:val="Heading2"/>
    <w:rsid w:val="004A6E4A"/>
  </w:style>
  <w:style w:type="paragraph" w:customStyle="1" w:styleId="CharChar">
    <w:name w:val="Char Char"/>
    <w:basedOn w:val="Normal"/>
    <w:rsid w:val="00A9107F"/>
    <w:pPr>
      <w:spacing w:after="160" w:line="240" w:lineRule="exact"/>
    </w:pPr>
    <w:rPr>
      <w:rFonts w:ascii="Arial" w:hAnsi="Arial" w:cs="Arial"/>
      <w:sz w:val="20"/>
      <w:szCs w:val="20"/>
    </w:rPr>
  </w:style>
  <w:style w:type="paragraph" w:customStyle="1" w:styleId="CharCharChar">
    <w:name w:val="Char Char Char"/>
    <w:basedOn w:val="Normal"/>
    <w:rsid w:val="009B2442"/>
    <w:pPr>
      <w:spacing w:after="160" w:line="240" w:lineRule="exact"/>
    </w:pPr>
    <w:rPr>
      <w:rFonts w:ascii="Arial" w:hAnsi="Arial" w:cs="Arial"/>
      <w:sz w:val="20"/>
      <w:szCs w:val="20"/>
    </w:rPr>
  </w:style>
  <w:style w:type="paragraph" w:customStyle="1" w:styleId="BodyText1">
    <w:name w:val="Body Text1"/>
    <w:basedOn w:val="Normal"/>
    <w:rsid w:val="009B2442"/>
    <w:pPr>
      <w:numPr>
        <w:numId w:val="3"/>
      </w:numPr>
      <w:spacing w:after="240"/>
    </w:pPr>
    <w:rPr>
      <w:rFonts w:ascii="Times Armenian" w:hAnsi="Times Armenian"/>
      <w:lang w:eastAsia="ru-RU"/>
    </w:rPr>
  </w:style>
  <w:style w:type="paragraph" w:customStyle="1" w:styleId="Char0">
    <w:name w:val="Char"/>
    <w:basedOn w:val="Normal"/>
    <w:next w:val="Normal"/>
    <w:rsid w:val="003C1BB8"/>
    <w:pPr>
      <w:spacing w:after="160" w:line="240" w:lineRule="exact"/>
    </w:pPr>
    <w:rPr>
      <w:rFonts w:ascii="Tahoma" w:hAnsi="Tahoma"/>
      <w:szCs w:val="20"/>
    </w:rPr>
  </w:style>
  <w:style w:type="table" w:styleId="TableWeb2">
    <w:name w:val="Table Web 2"/>
    <w:basedOn w:val="TableNormal"/>
    <w:rsid w:val="00D861B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D861B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8E52F5"/>
    <w:pPr>
      <w:keepLines w:val="0"/>
      <w:widowControl/>
      <w:spacing w:after="60" w:line="240" w:lineRule="auto"/>
      <w:jc w:val="left"/>
    </w:pPr>
    <w:rPr>
      <w:bCs/>
      <w:sz w:val="22"/>
      <w:lang w:val="en-US" w:eastAsia="ru-RU"/>
    </w:rPr>
  </w:style>
  <w:style w:type="paragraph" w:customStyle="1" w:styleId="ConsNonformat">
    <w:name w:val="ConsNonformat"/>
    <w:rsid w:val="006A5F43"/>
    <w:pPr>
      <w:widowControl w:val="0"/>
      <w:autoSpaceDE w:val="0"/>
      <w:autoSpaceDN w:val="0"/>
      <w:adjustRightInd w:val="0"/>
    </w:pPr>
    <w:rPr>
      <w:rFonts w:ascii="Courier New" w:hAnsi="Courier New"/>
      <w:lang w:val="ru-RU"/>
    </w:rPr>
  </w:style>
  <w:style w:type="paragraph" w:customStyle="1" w:styleId="Znak">
    <w:name w:val="Znak"/>
    <w:basedOn w:val="Normal"/>
    <w:rsid w:val="00C21466"/>
    <w:pPr>
      <w:tabs>
        <w:tab w:val="left" w:pos="709"/>
      </w:tabs>
    </w:pPr>
    <w:rPr>
      <w:rFonts w:ascii="Tahoma" w:hAnsi="Tahoma"/>
      <w:lang w:val="pl-PL" w:eastAsia="pl-PL"/>
    </w:rPr>
  </w:style>
  <w:style w:type="character" w:customStyle="1" w:styleId="BodyTextChar">
    <w:name w:val="Body Text Char"/>
    <w:aliases w:val="Body Text (Main text) Char"/>
    <w:rsid w:val="00481CAA"/>
    <w:rPr>
      <w:rFonts w:ascii="Times Armenian" w:hAnsi="Times Armenian"/>
      <w:sz w:val="24"/>
      <w:lang w:val="en-AU" w:eastAsia="en-US" w:bidi="ar-SA"/>
    </w:rPr>
  </w:style>
  <w:style w:type="paragraph" w:customStyle="1" w:styleId="Char1">
    <w:name w:val="Char"/>
    <w:basedOn w:val="Normal"/>
    <w:rsid w:val="00481CAA"/>
    <w:pPr>
      <w:spacing w:after="160" w:line="240" w:lineRule="exact"/>
    </w:pPr>
    <w:rPr>
      <w:rFonts w:ascii="Arial" w:hAnsi="Arial" w:cs="Arial"/>
      <w:sz w:val="20"/>
      <w:szCs w:val="20"/>
    </w:rPr>
  </w:style>
  <w:style w:type="paragraph" w:customStyle="1" w:styleId="a5">
    <w:name w:val="Знак Знак"/>
    <w:basedOn w:val="Normal"/>
    <w:link w:val="Char2"/>
    <w:rsid w:val="00481CAA"/>
    <w:pPr>
      <w:spacing w:after="160" w:line="240" w:lineRule="exact"/>
    </w:pPr>
    <w:rPr>
      <w:rFonts w:ascii="Arial" w:hAnsi="Arial" w:cs="Arial"/>
      <w:sz w:val="20"/>
      <w:szCs w:val="20"/>
      <w:lang w:val="en-GB"/>
    </w:rPr>
  </w:style>
  <w:style w:type="character" w:customStyle="1" w:styleId="Char2">
    <w:name w:val="Знак Знак Char"/>
    <w:link w:val="a5"/>
    <w:locked/>
    <w:rsid w:val="004E3CFA"/>
    <w:rPr>
      <w:rFonts w:ascii="Arial" w:hAnsi="Arial" w:cs="Arial"/>
      <w:lang w:val="en-GB" w:eastAsia="en-US" w:bidi="ar-SA"/>
    </w:rPr>
  </w:style>
  <w:style w:type="paragraph" w:customStyle="1" w:styleId="CharCharCharCharCharCharCharCharCharCharCharChar">
    <w:name w:val="Char Char Char Char Char Char Char Char Char Char Char Char"/>
    <w:basedOn w:val="Normal"/>
    <w:rsid w:val="00481CAA"/>
    <w:pPr>
      <w:spacing w:after="160" w:line="240" w:lineRule="exact"/>
    </w:pPr>
    <w:rPr>
      <w:rFonts w:ascii="Arial" w:hAnsi="Arial" w:cs="Arial"/>
      <w:sz w:val="20"/>
      <w:szCs w:val="20"/>
    </w:rPr>
  </w:style>
  <w:style w:type="character" w:customStyle="1" w:styleId="ParanumCharChar">
    <w:name w:val="Paranum Char Char"/>
    <w:rsid w:val="005500EA"/>
    <w:rPr>
      <w:rFonts w:ascii="Arial" w:hAnsi="Arial" w:cs="Arial"/>
      <w:b/>
      <w:bCs/>
      <w:i/>
      <w:iCs/>
      <w:sz w:val="28"/>
      <w:szCs w:val="28"/>
      <w:lang w:val="en-US" w:eastAsia="en-US" w:bidi="ar-SA"/>
    </w:rPr>
  </w:style>
  <w:style w:type="character" w:customStyle="1" w:styleId="textinfo1">
    <w:name w:val="textinfo1"/>
    <w:rsid w:val="005500EA"/>
    <w:rPr>
      <w:rFonts w:ascii="Arial AM" w:hAnsi="Arial AM" w:hint="default"/>
      <w:color w:val="000000"/>
      <w:sz w:val="18"/>
      <w:szCs w:val="18"/>
    </w:rPr>
  </w:style>
  <w:style w:type="paragraph" w:customStyle="1" w:styleId="CharCharCharCharCharCharCharChar">
    <w:name w:val="Char Char Char Char Char Char Char Char"/>
    <w:basedOn w:val="Normal"/>
    <w:rsid w:val="005500EA"/>
    <w:pPr>
      <w:spacing w:after="160" w:line="240" w:lineRule="exact"/>
    </w:pPr>
    <w:rPr>
      <w:rFonts w:ascii="Arial" w:hAnsi="Arial" w:cs="Arial"/>
      <w:sz w:val="20"/>
      <w:szCs w:val="20"/>
    </w:rPr>
  </w:style>
  <w:style w:type="paragraph" w:customStyle="1" w:styleId="CharCharCharCharCharCharCharCharCharCharCharCharCharCharChar">
    <w:name w:val="Char Char Char Char Знак Char Знак Char Char Char Char Char Char Char Char Char Char"/>
    <w:basedOn w:val="Normal"/>
    <w:rsid w:val="005500EA"/>
    <w:pPr>
      <w:tabs>
        <w:tab w:val="left" w:pos="709"/>
      </w:tabs>
    </w:pPr>
    <w:rPr>
      <w:rFonts w:ascii="Tahoma" w:hAnsi="Tahoma"/>
      <w:lang w:val="pl-PL" w:eastAsia="pl-PL"/>
    </w:rPr>
  </w:style>
  <w:style w:type="paragraph" w:customStyle="1" w:styleId="Report-Title">
    <w:name w:val="Report-Title"/>
    <w:rsid w:val="005500EA"/>
    <w:pPr>
      <w:spacing w:after="240"/>
    </w:pPr>
    <w:rPr>
      <w:rFonts w:ascii="Arial" w:eastAsia="MS Mincho" w:hAnsi="Arial" w:cs="Arial"/>
      <w:b/>
      <w:bCs/>
      <w:sz w:val="36"/>
      <w:szCs w:val="36"/>
    </w:rPr>
  </w:style>
  <w:style w:type="paragraph" w:customStyle="1" w:styleId="msonormalcxspmiddle">
    <w:name w:val="msonormalcxspmiddle"/>
    <w:basedOn w:val="Normal"/>
    <w:rsid w:val="005500EA"/>
    <w:pPr>
      <w:spacing w:before="100" w:beforeAutospacing="1" w:after="100" w:afterAutospacing="1"/>
    </w:pPr>
  </w:style>
  <w:style w:type="paragraph" w:customStyle="1" w:styleId="BodyText21">
    <w:name w:val="Body Text 21"/>
    <w:basedOn w:val="Normal"/>
    <w:rsid w:val="005500EA"/>
    <w:pPr>
      <w:overflowPunct w:val="0"/>
      <w:autoSpaceDE w:val="0"/>
      <w:autoSpaceDN w:val="0"/>
      <w:adjustRightInd w:val="0"/>
      <w:ind w:firstLine="720"/>
      <w:textAlignment w:val="baseline"/>
    </w:pPr>
    <w:rPr>
      <w:rFonts w:ascii="Times Armenian" w:hAnsi="Times Armenian"/>
    </w:rPr>
  </w:style>
  <w:style w:type="paragraph" w:customStyle="1" w:styleId="a">
    <w:name w:val="Стиль"/>
    <w:rsid w:val="005500EA"/>
    <w:pPr>
      <w:numPr>
        <w:numId w:val="7"/>
      </w:numPr>
      <w:tabs>
        <w:tab w:val="clear" w:pos="360"/>
      </w:tabs>
    </w:pPr>
    <w:rPr>
      <w:rFonts w:ascii="Baltica" w:hAnsi="Baltica"/>
      <w:lang w:eastAsia="ru-RU"/>
    </w:rPr>
  </w:style>
  <w:style w:type="paragraph" w:customStyle="1" w:styleId="ConsNormal">
    <w:name w:val="ConsNormal"/>
    <w:rsid w:val="005500EA"/>
    <w:pPr>
      <w:widowControl w:val="0"/>
      <w:autoSpaceDE w:val="0"/>
      <w:autoSpaceDN w:val="0"/>
      <w:adjustRightInd w:val="0"/>
      <w:ind w:firstLine="720"/>
    </w:pPr>
    <w:rPr>
      <w:rFonts w:ascii="Arial" w:hAnsi="Arial"/>
      <w:lang w:val="ru-RU"/>
    </w:rPr>
  </w:style>
  <w:style w:type="paragraph" w:customStyle="1" w:styleId="ListDash">
    <w:name w:val="List Dash"/>
    <w:basedOn w:val="Normal"/>
    <w:rsid w:val="005500EA"/>
    <w:pPr>
      <w:numPr>
        <w:numId w:val="5"/>
      </w:numPr>
      <w:spacing w:before="120" w:after="120"/>
    </w:pPr>
    <w:rPr>
      <w:szCs w:val="20"/>
      <w:lang w:val="en-GB"/>
    </w:rPr>
  </w:style>
  <w:style w:type="paragraph" w:customStyle="1" w:styleId="CharCharCharCharCharCharChar">
    <w:name w:val="Char Char Char Char Char Char Char"/>
    <w:basedOn w:val="Normal"/>
    <w:rsid w:val="005500EA"/>
    <w:pPr>
      <w:spacing w:after="160" w:line="240" w:lineRule="exact"/>
    </w:pPr>
    <w:rPr>
      <w:rFonts w:ascii="Arial" w:hAnsi="Arial" w:cs="Arial"/>
      <w:sz w:val="20"/>
      <w:szCs w:val="20"/>
    </w:rPr>
  </w:style>
  <w:style w:type="paragraph" w:customStyle="1" w:styleId="Default">
    <w:name w:val="Default"/>
    <w:rsid w:val="005500EA"/>
    <w:pPr>
      <w:widowControl w:val="0"/>
      <w:autoSpaceDE w:val="0"/>
      <w:autoSpaceDN w:val="0"/>
      <w:adjustRightInd w:val="0"/>
    </w:pPr>
    <w:rPr>
      <w:rFonts w:ascii="Times Armenian" w:hAnsi="Times Armenian" w:cs="Times Armenian"/>
      <w:color w:val="000000"/>
      <w:sz w:val="24"/>
      <w:szCs w:val="24"/>
      <w:lang w:val="ru-RU" w:eastAsia="ru-RU"/>
    </w:rPr>
  </w:style>
  <w:style w:type="paragraph" w:customStyle="1" w:styleId="2ndheading">
    <w:name w:val="2nd heading"/>
    <w:basedOn w:val="Normal"/>
    <w:next w:val="Normal"/>
    <w:rsid w:val="005500EA"/>
    <w:pPr>
      <w:numPr>
        <w:numId w:val="8"/>
      </w:numPr>
      <w:tabs>
        <w:tab w:val="clear" w:pos="643"/>
      </w:tabs>
      <w:ind w:left="0" w:firstLine="0"/>
    </w:pPr>
    <w:rPr>
      <w:rFonts w:ascii="Univers" w:hAnsi="Univers"/>
      <w:bCs/>
      <w:sz w:val="28"/>
      <w:szCs w:val="20"/>
      <w:lang w:val="en-GB"/>
    </w:rPr>
  </w:style>
  <w:style w:type="paragraph" w:styleId="ListBullet2">
    <w:name w:val="List Bullet 2"/>
    <w:basedOn w:val="Normal"/>
    <w:autoRedefine/>
    <w:rsid w:val="005500EA"/>
    <w:pPr>
      <w:numPr>
        <w:numId w:val="6"/>
      </w:numPr>
    </w:pPr>
  </w:style>
  <w:style w:type="paragraph" w:styleId="BodyTextFirstIndent">
    <w:name w:val="Body Text First Indent"/>
    <w:basedOn w:val="BodyText"/>
    <w:link w:val="BodyTextFirstIndentChar2"/>
    <w:rsid w:val="005500EA"/>
    <w:pPr>
      <w:ind w:firstLine="210"/>
    </w:pPr>
    <w:rPr>
      <w:lang w:val="ru-RU" w:eastAsia="ru-RU"/>
    </w:rPr>
  </w:style>
  <w:style w:type="character" w:customStyle="1" w:styleId="BodyTextFirstIndentChar2">
    <w:name w:val="Body Text First Indent Char2"/>
    <w:link w:val="BodyTextFirstIndent"/>
    <w:rsid w:val="005500EA"/>
    <w:rPr>
      <w:sz w:val="24"/>
      <w:szCs w:val="24"/>
      <w:lang w:val="ru-RU" w:eastAsia="ru-RU" w:bidi="ar-SA"/>
    </w:rPr>
  </w:style>
  <w:style w:type="paragraph" w:styleId="CommentSubject">
    <w:name w:val="annotation subject"/>
    <w:basedOn w:val="CommentText"/>
    <w:next w:val="CommentText"/>
    <w:link w:val="CommentSubjectChar2"/>
    <w:rsid w:val="005500EA"/>
    <w:rPr>
      <w:rFonts w:ascii="Courier New" w:hAnsi="Courier New"/>
      <w:b/>
      <w:bCs/>
      <w:lang w:val="en-US" w:eastAsia="en-US"/>
    </w:rPr>
  </w:style>
  <w:style w:type="character" w:customStyle="1" w:styleId="CommentSubjectChar2">
    <w:name w:val="Comment Subject Char2"/>
    <w:link w:val="CommentSubject"/>
    <w:rsid w:val="005500EA"/>
    <w:rPr>
      <w:rFonts w:ascii="Courier New" w:hAnsi="Courier New"/>
      <w:b/>
      <w:bCs/>
      <w:lang w:val="en-US" w:eastAsia="en-US" w:bidi="ar-SA"/>
    </w:rPr>
  </w:style>
  <w:style w:type="table" w:styleId="TableGrid8">
    <w:name w:val="Table Grid 8"/>
    <w:basedOn w:val="TableNormal"/>
    <w:rsid w:val="000540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0540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basedOn w:val="DefaultParagraphFont"/>
    <w:rsid w:val="004A76FF"/>
  </w:style>
  <w:style w:type="paragraph" w:customStyle="1" w:styleId="CharCharCharChar">
    <w:name w:val="Char Char Char Char"/>
    <w:basedOn w:val="Normal"/>
    <w:rsid w:val="004A76FF"/>
    <w:pPr>
      <w:tabs>
        <w:tab w:val="num" w:pos="840"/>
      </w:tabs>
      <w:spacing w:after="160" w:line="240" w:lineRule="exact"/>
      <w:ind w:left="840" w:hanging="360"/>
    </w:pPr>
    <w:rPr>
      <w:rFonts w:ascii="Verdana" w:hAnsi="Verdana"/>
      <w:sz w:val="20"/>
      <w:szCs w:val="20"/>
      <w:lang w:val="ru-RU"/>
    </w:rPr>
  </w:style>
  <w:style w:type="paragraph" w:customStyle="1" w:styleId="a6">
    <w:name w:val="Знак Знак"/>
    <w:basedOn w:val="Normal"/>
    <w:link w:val="Char3"/>
    <w:rsid w:val="008E55EF"/>
    <w:pPr>
      <w:spacing w:after="160" w:line="240" w:lineRule="exact"/>
    </w:pPr>
    <w:rPr>
      <w:rFonts w:ascii="Arial" w:hAnsi="Arial" w:cs="Arial"/>
      <w:sz w:val="20"/>
      <w:szCs w:val="20"/>
      <w:lang w:val="en-GB"/>
    </w:rPr>
  </w:style>
  <w:style w:type="character" w:customStyle="1" w:styleId="Char3">
    <w:name w:val="Знак Знак Char"/>
    <w:link w:val="a6"/>
    <w:rsid w:val="00C35731"/>
    <w:rPr>
      <w:rFonts w:ascii="Arial" w:hAnsi="Arial" w:cs="Arial"/>
      <w:lang w:val="en-GB" w:eastAsia="en-US" w:bidi="ar-SA"/>
    </w:rPr>
  </w:style>
  <w:style w:type="paragraph" w:customStyle="1" w:styleId="a7">
    <w:name w:val="Заголовок таблицы"/>
    <w:basedOn w:val="a8"/>
    <w:rsid w:val="008E55EF"/>
    <w:pPr>
      <w:jc w:val="center"/>
    </w:pPr>
    <w:rPr>
      <w:b/>
    </w:rPr>
  </w:style>
  <w:style w:type="paragraph" w:customStyle="1" w:styleId="a8">
    <w:name w:val="Содержимое таблицы"/>
    <w:basedOn w:val="Normal"/>
    <w:rsid w:val="008E55EF"/>
    <w:pPr>
      <w:suppressLineNumbers/>
      <w:suppressAutoHyphens/>
    </w:pPr>
    <w:rPr>
      <w:szCs w:val="20"/>
    </w:rPr>
  </w:style>
  <w:style w:type="paragraph" w:customStyle="1" w:styleId="norm">
    <w:name w:val="norm"/>
    <w:basedOn w:val="Normal"/>
    <w:link w:val="normChar"/>
    <w:rsid w:val="008E55EF"/>
    <w:pPr>
      <w:spacing w:line="480" w:lineRule="auto"/>
      <w:ind w:firstLine="709"/>
    </w:pPr>
    <w:rPr>
      <w:rFonts w:ascii="Arial Armenian" w:hAnsi="Arial Armenian"/>
      <w:szCs w:val="20"/>
      <w:lang w:eastAsia="ru-RU"/>
    </w:rPr>
  </w:style>
  <w:style w:type="character" w:customStyle="1" w:styleId="normChar">
    <w:name w:val="norm Char"/>
    <w:link w:val="norm"/>
    <w:rsid w:val="008E55EF"/>
    <w:rPr>
      <w:rFonts w:ascii="Arial Armenian" w:hAnsi="Arial Armenian"/>
      <w:sz w:val="22"/>
      <w:lang w:val="en-US" w:eastAsia="ru-RU" w:bidi="ar-SA"/>
    </w:rPr>
  </w:style>
  <w:style w:type="paragraph" w:customStyle="1" w:styleId="a9">
    <w:name w:val="??????? ??????????"/>
    <w:basedOn w:val="a1"/>
    <w:rsid w:val="0029274A"/>
    <w:pPr>
      <w:tabs>
        <w:tab w:val="center" w:pos="4320"/>
        <w:tab w:val="right" w:pos="8640"/>
      </w:tabs>
    </w:pPr>
    <w:rPr>
      <w:rFonts w:ascii="Times Armenian" w:hAnsi="Times Armenian"/>
      <w:sz w:val="24"/>
      <w:lang w:val="en-US"/>
    </w:rPr>
  </w:style>
  <w:style w:type="paragraph" w:customStyle="1" w:styleId="BodyText22">
    <w:name w:val="Body Text 22"/>
    <w:basedOn w:val="Normal"/>
    <w:rsid w:val="0029274A"/>
    <w:pPr>
      <w:overflowPunct w:val="0"/>
      <w:autoSpaceDE w:val="0"/>
      <w:autoSpaceDN w:val="0"/>
      <w:adjustRightInd w:val="0"/>
      <w:textAlignment w:val="baseline"/>
    </w:pPr>
    <w:rPr>
      <w:rFonts w:ascii="Times LatArm" w:hAnsi="Times LatArm"/>
      <w:szCs w:val="20"/>
      <w:lang w:val="en-GB" w:eastAsia="ru-RU"/>
    </w:rPr>
  </w:style>
  <w:style w:type="paragraph" w:styleId="DocumentMap">
    <w:name w:val="Document Map"/>
    <w:basedOn w:val="Normal"/>
    <w:link w:val="DocumentMapChar1"/>
    <w:uiPriority w:val="99"/>
    <w:rsid w:val="0029274A"/>
    <w:pPr>
      <w:shd w:val="clear" w:color="auto" w:fill="000080"/>
      <w:overflowPunct w:val="0"/>
      <w:autoSpaceDE w:val="0"/>
      <w:autoSpaceDN w:val="0"/>
      <w:adjustRightInd w:val="0"/>
      <w:textAlignment w:val="baseline"/>
    </w:pPr>
    <w:rPr>
      <w:rFonts w:ascii="Tahoma" w:hAnsi="Tahoma"/>
      <w:szCs w:val="20"/>
      <w:lang w:val="en-GB" w:eastAsia="ru-RU"/>
    </w:rPr>
  </w:style>
  <w:style w:type="paragraph" w:customStyle="1" w:styleId="CharCharChar0">
    <w:name w:val="Char Char Char Знак Знак"/>
    <w:basedOn w:val="Normal"/>
    <w:rsid w:val="0029274A"/>
    <w:pPr>
      <w:spacing w:after="160" w:line="240" w:lineRule="exact"/>
    </w:pPr>
    <w:rPr>
      <w:rFonts w:ascii="Arial" w:hAnsi="Arial" w:cs="Arial"/>
      <w:sz w:val="20"/>
      <w:szCs w:val="20"/>
    </w:rPr>
  </w:style>
  <w:style w:type="paragraph" w:customStyle="1" w:styleId="CharChar0">
    <w:name w:val="Char Char"/>
    <w:basedOn w:val="Normal"/>
    <w:rsid w:val="0029274A"/>
    <w:pPr>
      <w:spacing w:after="160" w:line="240" w:lineRule="exact"/>
    </w:pPr>
    <w:rPr>
      <w:rFonts w:ascii="Arial" w:hAnsi="Arial" w:cs="Arial"/>
      <w:sz w:val="20"/>
      <w:szCs w:val="20"/>
    </w:rPr>
  </w:style>
  <w:style w:type="paragraph" w:customStyle="1" w:styleId="CharCharChar1">
    <w:name w:val="Char Char Char"/>
    <w:basedOn w:val="Normal"/>
    <w:rsid w:val="0029274A"/>
    <w:pPr>
      <w:spacing w:after="160" w:line="240" w:lineRule="exact"/>
    </w:pPr>
    <w:rPr>
      <w:rFonts w:ascii="Arial" w:hAnsi="Arial" w:cs="Arial"/>
      <w:sz w:val="20"/>
      <w:szCs w:val="20"/>
    </w:rPr>
  </w:style>
  <w:style w:type="paragraph" w:customStyle="1" w:styleId="Znak0">
    <w:name w:val="Znak"/>
    <w:basedOn w:val="Normal"/>
    <w:rsid w:val="0029274A"/>
    <w:pPr>
      <w:tabs>
        <w:tab w:val="left" w:pos="709"/>
      </w:tabs>
    </w:pPr>
    <w:rPr>
      <w:rFonts w:ascii="Tahoma" w:hAnsi="Tahoma"/>
      <w:lang w:val="pl-PL" w:eastAsia="pl-PL"/>
    </w:rPr>
  </w:style>
  <w:style w:type="paragraph" w:customStyle="1" w:styleId="CM31">
    <w:name w:val="CM31"/>
    <w:basedOn w:val="Default"/>
    <w:next w:val="Default"/>
    <w:rsid w:val="00B777C1"/>
    <w:pPr>
      <w:numPr>
        <w:numId w:val="4"/>
      </w:numPr>
      <w:spacing w:after="228"/>
      <w:ind w:left="0" w:firstLine="0"/>
    </w:pPr>
    <w:rPr>
      <w:rFonts w:ascii="Arial-Armenian" w:hAnsi="Arial-Armenian" w:cs="Arial-Armenian"/>
      <w:color w:val="auto"/>
    </w:rPr>
  </w:style>
  <w:style w:type="paragraph" w:customStyle="1" w:styleId="StyleCaptionTimesArmenian11pt">
    <w:name w:val="Style Caption + Times Armenian 11 pt"/>
    <w:basedOn w:val="Caption"/>
    <w:link w:val="StyleCaptionTimesArmenian11ptChar"/>
    <w:rsid w:val="00CC24F0"/>
    <w:pPr>
      <w:keepNext w:val="0"/>
      <w:keepLines w:val="0"/>
      <w:widowControl/>
      <w:overflowPunct w:val="0"/>
      <w:autoSpaceDE w:val="0"/>
      <w:autoSpaceDN w:val="0"/>
      <w:adjustRightInd w:val="0"/>
      <w:spacing w:after="120" w:line="240" w:lineRule="auto"/>
      <w:jc w:val="left"/>
      <w:textAlignment w:val="baseline"/>
    </w:pPr>
    <w:rPr>
      <w:rFonts w:ascii="Arial Armenian" w:hAnsi="Arial Armenian" w:cs="Times New Roman"/>
      <w:b/>
      <w:bCs/>
      <w:sz w:val="26"/>
      <w:szCs w:val="26"/>
      <w:lang w:val="en-US"/>
    </w:rPr>
  </w:style>
  <w:style w:type="character" w:customStyle="1" w:styleId="StyleCaptionTimesArmenian11ptChar">
    <w:name w:val="Style Caption + Times Armenian 11 pt Char"/>
    <w:link w:val="StyleCaptionTimesArmenian11pt"/>
    <w:rsid w:val="00CC24F0"/>
    <w:rPr>
      <w:rFonts w:ascii="Arial Armenian" w:hAnsi="Arial Armenian"/>
      <w:b/>
      <w:bCs/>
      <w:sz w:val="26"/>
      <w:szCs w:val="26"/>
      <w:lang w:val="en-US" w:eastAsia="en-US" w:bidi="ar-SA"/>
    </w:rPr>
  </w:style>
  <w:style w:type="paragraph" w:customStyle="1" w:styleId="StyleHeading120ptBlue">
    <w:name w:val="Style Heading 1 + 20 pt Blue"/>
    <w:basedOn w:val="Heading1"/>
    <w:rsid w:val="009E53F4"/>
    <w:pPr>
      <w:ind w:firstLine="720"/>
    </w:pPr>
    <w:rPr>
      <w:sz w:val="40"/>
      <w:szCs w:val="40"/>
      <w:lang w:val="en-GB"/>
    </w:rPr>
  </w:style>
  <w:style w:type="paragraph" w:customStyle="1" w:styleId="StyleHeading1TimesArmenian10ptNotBoldUnderline1">
    <w:name w:val="Style Heading 1 + Times Armenian 10 pt Not Bold Underline1"/>
    <w:basedOn w:val="Heading1"/>
    <w:autoRedefine/>
    <w:rsid w:val="001505CB"/>
    <w:pPr>
      <w:tabs>
        <w:tab w:val="center" w:pos="-180"/>
        <w:tab w:val="left" w:pos="450"/>
      </w:tabs>
    </w:pPr>
    <w:rPr>
      <w:rFonts w:cs="Sylfaen"/>
      <w:b w:val="0"/>
      <w:bCs w:val="0"/>
      <w:kern w:val="0"/>
      <w:sz w:val="24"/>
      <w:szCs w:val="24"/>
    </w:rPr>
  </w:style>
  <w:style w:type="paragraph" w:customStyle="1" w:styleId="CharCharCharCharCharCharCharCharCharChar">
    <w:name w:val="Char Char Char Char Char Char Char Char Char Char"/>
    <w:basedOn w:val="Normal"/>
    <w:rsid w:val="009E53F4"/>
    <w:pPr>
      <w:spacing w:after="160" w:line="240" w:lineRule="exact"/>
    </w:pPr>
    <w:rPr>
      <w:rFonts w:ascii="Arial" w:hAnsi="Arial" w:cs="Arial"/>
      <w:sz w:val="20"/>
      <w:szCs w:val="20"/>
    </w:rPr>
  </w:style>
  <w:style w:type="paragraph" w:customStyle="1" w:styleId="Titlechart">
    <w:name w:val="Title_chart"/>
    <w:basedOn w:val="Caption"/>
    <w:rsid w:val="004F7042"/>
    <w:pPr>
      <w:keepLines w:val="0"/>
      <w:widowControl/>
      <w:spacing w:after="60" w:line="240" w:lineRule="auto"/>
      <w:jc w:val="left"/>
    </w:pPr>
    <w:rPr>
      <w:bCs/>
      <w:sz w:val="22"/>
      <w:lang w:val="en-US" w:eastAsia="ru-RU"/>
    </w:rPr>
  </w:style>
  <w:style w:type="paragraph" w:customStyle="1" w:styleId="CharCharCharCharCharCharCharCharCharCharCharCharChar">
    <w:name w:val="Char Char Char Char Char Char Char Char Char Char Char Char Char"/>
    <w:basedOn w:val="Normal"/>
    <w:rsid w:val="004F7042"/>
    <w:pPr>
      <w:spacing w:after="160" w:line="240" w:lineRule="exact"/>
    </w:pPr>
    <w:rPr>
      <w:rFonts w:ascii="Arial" w:hAnsi="Arial" w:cs="Arial"/>
      <w:sz w:val="20"/>
      <w:szCs w:val="20"/>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3B3657"/>
    <w:pPr>
      <w:spacing w:before="0" w:after="0"/>
    </w:pPr>
    <w:rPr>
      <w:rFonts w:cs="Times New Roman"/>
      <w:szCs w:val="28"/>
      <w:lang w:val="es-ES" w:eastAsia="x-none"/>
    </w:rPr>
  </w:style>
  <w:style w:type="character" w:customStyle="1" w:styleId="StyleHeading1SectionSectionHeadingText11Chapterhead3Char">
    <w:name w:val="Style Heading 1(Section)Section Heading(Text)1 1Chapterhead3... Char"/>
    <w:link w:val="StyleHeading1SectionSectionHeadingText11Chapterhead3"/>
    <w:rsid w:val="003B3657"/>
    <w:rPr>
      <w:rFonts w:ascii="GHEA Grapalat" w:hAnsi="GHEA Grapalat"/>
      <w:b/>
      <w:bCs/>
      <w:kern w:val="32"/>
      <w:sz w:val="28"/>
      <w:szCs w:val="28"/>
      <w:lang w:val="es-ES" w:eastAsia="x-none"/>
    </w:rPr>
  </w:style>
  <w:style w:type="paragraph" w:customStyle="1" w:styleId="StyleHeading2ChapterParanumTextSylfaen">
    <w:name w:val="Style Heading 2.(Chapter).Paranum.Text + Sylfaen"/>
    <w:basedOn w:val="Heading2ChapterParanumText"/>
    <w:link w:val="StyleHeading2ChapterParanumTextSylfaenChar"/>
    <w:autoRedefine/>
    <w:rsid w:val="000278B1"/>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278B1"/>
    <w:rPr>
      <w:rFonts w:ascii="Sylfaen" w:hAnsi="Sylfaen"/>
      <w:b/>
      <w:bCs/>
      <w:spacing w:val="24"/>
      <w:kern w:val="28"/>
      <w:sz w:val="24"/>
      <w:szCs w:val="24"/>
      <w:lang w:val="it-IT" w:eastAsia="en-US" w:bidi="ar-SA"/>
    </w:rPr>
  </w:style>
  <w:style w:type="paragraph" w:customStyle="1" w:styleId="StyleHeading3Sub-ChapterCenteredtextHeading3CharCharC">
    <w:name w:val="Style Heading 3(Sub-Chapter)Centered(text)Heading 3 Char Char C..."/>
    <w:basedOn w:val="Heading3"/>
    <w:autoRedefine/>
    <w:rsid w:val="004F0A98"/>
    <w:pPr>
      <w:spacing w:after="120"/>
      <w:ind w:right="302" w:firstLine="567"/>
    </w:pPr>
    <w:rPr>
      <w:bCs w:val="0"/>
      <w:color w:val="auto"/>
      <w:lang w:val="af-ZA" w:eastAsia="en-US"/>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A57DA1"/>
  </w:style>
  <w:style w:type="character" w:customStyle="1" w:styleId="StyleStyleHeading1SectionSectionHeadingText11Chapterhead3Char">
    <w:name w:val="Style Style Heading 1(Section)Section Heading(Text)1 1Chapterhead3.... Char"/>
    <w:basedOn w:val="StyleHeading1SectionSectionHeadingText11Chapterhead3Char"/>
    <w:link w:val="StyleStyleHeading1SectionSectionHeadingText11Chapterhead3"/>
    <w:rsid w:val="00A57DA1"/>
    <w:rPr>
      <w:rFonts w:ascii="GHEA Grapalat" w:hAnsi="GHEA Grapalat"/>
      <w:b/>
      <w:bCs/>
      <w:kern w:val="32"/>
      <w:sz w:val="28"/>
      <w:szCs w:val="28"/>
      <w:lang w:val="es-ES" w:eastAsia="x-none"/>
    </w:rPr>
  </w:style>
  <w:style w:type="paragraph" w:customStyle="1" w:styleId="211">
    <w:name w:val="???????? ????? 21"/>
    <w:basedOn w:val="2"/>
    <w:rsid w:val="009E5A59"/>
    <w:pPr>
      <w:jc w:val="center"/>
    </w:pPr>
    <w:rPr>
      <w:b/>
      <w:sz w:val="28"/>
    </w:rPr>
  </w:style>
  <w:style w:type="paragraph" w:customStyle="1" w:styleId="aa">
    <w:name w:val="Абзац списка"/>
    <w:basedOn w:val="Normal"/>
    <w:qFormat/>
    <w:rsid w:val="00C35731"/>
    <w:pPr>
      <w:spacing w:after="200" w:line="276" w:lineRule="auto"/>
      <w:ind w:left="720"/>
      <w:contextualSpacing/>
    </w:pPr>
    <w:rPr>
      <w:rFonts w:ascii="Calibri" w:hAnsi="Calibri"/>
      <w:lang w:val="ru-RU" w:eastAsia="ru-RU"/>
    </w:rPr>
  </w:style>
  <w:style w:type="character" w:customStyle="1" w:styleId="apple-style-span">
    <w:name w:val="apple-style-span"/>
    <w:basedOn w:val="DefaultParagraphFont"/>
    <w:rsid w:val="00C35731"/>
  </w:style>
  <w:style w:type="paragraph" w:customStyle="1" w:styleId="mechtex">
    <w:name w:val="mechtex"/>
    <w:basedOn w:val="Normal"/>
    <w:link w:val="mechtexChar"/>
    <w:rsid w:val="00C35731"/>
    <w:pPr>
      <w:jc w:val="center"/>
    </w:pPr>
  </w:style>
  <w:style w:type="character" w:customStyle="1" w:styleId="mechtexChar">
    <w:name w:val="mechtex Char"/>
    <w:link w:val="mechtex"/>
    <w:locked/>
    <w:rsid w:val="00C35731"/>
    <w:rPr>
      <w:sz w:val="22"/>
      <w:szCs w:val="24"/>
      <w:lang w:val="en-US" w:eastAsia="en-US" w:bidi="ar-SA"/>
    </w:rPr>
  </w:style>
  <w:style w:type="paragraph" w:customStyle="1" w:styleId="Style15">
    <w:name w:val="Style1.5"/>
    <w:basedOn w:val="Normal"/>
    <w:rsid w:val="00C35731"/>
    <w:pPr>
      <w:ind w:firstLine="709"/>
    </w:pPr>
    <w:rPr>
      <w:rFonts w:ascii="Arial Armenian" w:hAnsi="Arial Armenian"/>
    </w:rPr>
  </w:style>
  <w:style w:type="paragraph" w:customStyle="1" w:styleId="russtyle">
    <w:name w:val="russtyle"/>
    <w:basedOn w:val="Normal"/>
    <w:rsid w:val="00C35731"/>
    <w:rPr>
      <w:rFonts w:ascii="Russian Baltica" w:hAnsi="Russian Baltica"/>
    </w:rPr>
  </w:style>
  <w:style w:type="paragraph" w:customStyle="1" w:styleId="Style2">
    <w:name w:val="Style2"/>
    <w:basedOn w:val="mechtex"/>
    <w:rsid w:val="00C35731"/>
    <w:rPr>
      <w:w w:val="90"/>
    </w:rPr>
  </w:style>
  <w:style w:type="paragraph" w:customStyle="1" w:styleId="Style3">
    <w:name w:val="Style3"/>
    <w:basedOn w:val="mechtex"/>
    <w:rsid w:val="00C35731"/>
    <w:rPr>
      <w:w w:val="90"/>
    </w:rPr>
  </w:style>
  <w:style w:type="paragraph" w:customStyle="1" w:styleId="Style6">
    <w:name w:val="Style6"/>
    <w:basedOn w:val="mechtex"/>
    <w:rsid w:val="00C35731"/>
  </w:style>
  <w:style w:type="paragraph" w:customStyle="1" w:styleId="1CharChar">
    <w:name w:val="Знак Знак1 Char Char Знак Знак"/>
    <w:basedOn w:val="Normal"/>
    <w:rsid w:val="00C35731"/>
    <w:pPr>
      <w:tabs>
        <w:tab w:val="num" w:pos="840"/>
      </w:tabs>
      <w:spacing w:after="160" w:line="240" w:lineRule="exact"/>
      <w:ind w:left="840" w:hanging="360"/>
    </w:pPr>
    <w:rPr>
      <w:rFonts w:ascii="Verdana" w:hAnsi="Verdana"/>
      <w:sz w:val="20"/>
      <w:szCs w:val="20"/>
      <w:lang w:val="ru-RU"/>
    </w:rPr>
  </w:style>
  <w:style w:type="paragraph" w:customStyle="1" w:styleId="CharCharCharChar0">
    <w:name w:val="Знак Знак Char Char Знак Знак Char Char Знак Знак"/>
    <w:basedOn w:val="Normal"/>
    <w:autoRedefine/>
    <w:rsid w:val="00C35731"/>
    <w:pPr>
      <w:spacing w:after="160" w:line="240" w:lineRule="exact"/>
    </w:pPr>
    <w:rPr>
      <w:sz w:val="28"/>
      <w:szCs w:val="20"/>
    </w:rPr>
  </w:style>
  <w:style w:type="paragraph" w:customStyle="1" w:styleId="CharCharCharCharCharCharCharCharCharCharCharCharChar0">
    <w:name w:val="Char Char Char Char Char Char Char Char Char Char Char Char Char"/>
    <w:basedOn w:val="Normal"/>
    <w:rsid w:val="00C35731"/>
    <w:pPr>
      <w:spacing w:after="160" w:line="240" w:lineRule="exact"/>
    </w:pPr>
    <w:rPr>
      <w:rFonts w:ascii="Arial" w:hAnsi="Arial" w:cs="Arial"/>
      <w:sz w:val="20"/>
      <w:szCs w:val="20"/>
    </w:rPr>
  </w:style>
  <w:style w:type="paragraph" w:customStyle="1" w:styleId="ab">
    <w:name w:val="Обычный"/>
    <w:rsid w:val="00C35731"/>
    <w:pPr>
      <w:autoSpaceDE w:val="0"/>
      <w:autoSpaceDN w:val="0"/>
    </w:pPr>
    <w:rPr>
      <w:lang w:val="ru-RU" w:eastAsia="ru-RU"/>
    </w:rPr>
  </w:style>
  <w:style w:type="paragraph" w:customStyle="1" w:styleId="Char4">
    <w:name w:val="Знак Знак Знак Знак Знак Знак Знак Знак Знак Знак Знак Знак Знак Знак Знак Знак Знак Знак Char Знак Знак"/>
    <w:basedOn w:val="Normal"/>
    <w:autoRedefine/>
    <w:rsid w:val="00C35731"/>
    <w:pPr>
      <w:spacing w:after="160" w:line="240" w:lineRule="exact"/>
    </w:pPr>
    <w:rPr>
      <w:sz w:val="28"/>
      <w:szCs w:val="20"/>
    </w:rPr>
  </w:style>
  <w:style w:type="paragraph" w:customStyle="1" w:styleId="TitlePageHeader">
    <w:name w:val="TitlePage_Header"/>
    <w:basedOn w:val="Normal"/>
    <w:rsid w:val="00C35731"/>
    <w:pPr>
      <w:spacing w:before="240" w:after="240" w:line="288" w:lineRule="auto"/>
      <w:ind w:left="3240"/>
    </w:pPr>
    <w:rPr>
      <w:rFonts w:ascii="Verdana" w:hAnsi="Verdana"/>
      <w:b/>
      <w:sz w:val="32"/>
      <w:szCs w:val="20"/>
      <w:lang w:eastAsia="fr-FR"/>
    </w:rPr>
  </w:style>
  <w:style w:type="character" w:customStyle="1" w:styleId="t101">
    <w:name w:val="t101"/>
    <w:rsid w:val="00C35731"/>
    <w:rPr>
      <w:b/>
      <w:bCs/>
      <w:color w:val="0000FF"/>
    </w:rPr>
  </w:style>
  <w:style w:type="paragraph" w:customStyle="1" w:styleId="Char5">
    <w:name w:val="Знак Знак Знак Знак Знак Знак Знак Знак Знак Знак Знак Знак Знак Знак Знак Знак Знак Знак Char Знак Знак"/>
    <w:basedOn w:val="Normal"/>
    <w:autoRedefine/>
    <w:rsid w:val="00C35731"/>
    <w:pPr>
      <w:spacing w:after="160" w:line="240" w:lineRule="exact"/>
    </w:pPr>
    <w:rPr>
      <w:sz w:val="28"/>
      <w:szCs w:val="20"/>
    </w:rPr>
  </w:style>
  <w:style w:type="paragraph" w:customStyle="1" w:styleId="Char1CharCharCharCharCharCharCharCharCharCharCharChar">
    <w:name w:val="Char1 Char Char Char Char Char Char Char Char Char Char Char Char"/>
    <w:basedOn w:val="Normal"/>
    <w:rsid w:val="00C35731"/>
    <w:pPr>
      <w:widowControl w:val="0"/>
      <w:autoSpaceDE w:val="0"/>
      <w:autoSpaceDN w:val="0"/>
      <w:adjustRightInd w:val="0"/>
      <w:spacing w:after="160" w:line="240" w:lineRule="exact"/>
    </w:pPr>
    <w:rPr>
      <w:rFonts w:ascii="Arial" w:eastAsia="MS Mincho" w:hAnsi="Arial" w:cs="Arial"/>
      <w:sz w:val="20"/>
      <w:szCs w:val="2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C35731"/>
    <w:pPr>
      <w:spacing w:after="160" w:line="240" w:lineRule="exact"/>
    </w:pPr>
    <w:rPr>
      <w:rFonts w:ascii="Arial" w:hAnsi="Arial" w:cs="Arial"/>
      <w:sz w:val="20"/>
      <w:szCs w:val="20"/>
    </w:rPr>
  </w:style>
  <w:style w:type="paragraph" w:customStyle="1" w:styleId="Style4">
    <w:name w:val="Style 4"/>
    <w:basedOn w:val="Normal"/>
    <w:rsid w:val="00C35731"/>
    <w:pPr>
      <w:numPr>
        <w:numId w:val="2"/>
      </w:numPr>
      <w:spacing w:after="240" w:line="240" w:lineRule="atLeast"/>
    </w:pPr>
    <w:rPr>
      <w:rFonts w:ascii="Garamond" w:hAnsi="Garamond"/>
      <w:szCs w:val="20"/>
    </w:rPr>
  </w:style>
  <w:style w:type="paragraph" w:customStyle="1" w:styleId="NormalWeb1">
    <w:name w:val="Normal (Web)1"/>
    <w:basedOn w:val="Normal"/>
    <w:rsid w:val="00C35731"/>
    <w:pPr>
      <w:spacing w:before="100" w:beforeAutospacing="1" w:after="100" w:afterAutospacing="1"/>
    </w:pPr>
    <w:rPr>
      <w:lang w:val="ru-RU" w:eastAsia="ru-RU"/>
    </w:rPr>
  </w:style>
  <w:style w:type="paragraph" w:customStyle="1" w:styleId="CharCharChar2">
    <w:name w:val="Char Char Char Знак"/>
    <w:basedOn w:val="Normal"/>
    <w:next w:val="Normal"/>
    <w:rsid w:val="00C35731"/>
    <w:pPr>
      <w:spacing w:after="160" w:line="240" w:lineRule="exact"/>
    </w:pPr>
    <w:rPr>
      <w:rFonts w:ascii="Tahoma" w:hAnsi="Tahoma"/>
      <w:szCs w:val="20"/>
    </w:rPr>
  </w:style>
  <w:style w:type="paragraph" w:customStyle="1" w:styleId="CharCharChar1Char">
    <w:name w:val="Char Char Char1 Char"/>
    <w:basedOn w:val="Normal"/>
    <w:rsid w:val="00C35731"/>
    <w:pPr>
      <w:spacing w:after="160" w:line="240" w:lineRule="exact"/>
    </w:pPr>
    <w:rPr>
      <w:rFonts w:ascii="Arial" w:hAnsi="Arial" w:cs="Arial"/>
      <w:sz w:val="20"/>
      <w:szCs w:val="20"/>
    </w:rPr>
  </w:style>
  <w:style w:type="paragraph" w:customStyle="1" w:styleId="CharCharChar3">
    <w:name w:val="Char Char Char Знак"/>
    <w:basedOn w:val="Normal"/>
    <w:next w:val="Normal"/>
    <w:rsid w:val="00C35731"/>
    <w:pPr>
      <w:spacing w:after="160" w:line="240" w:lineRule="exact"/>
    </w:pPr>
    <w:rPr>
      <w:rFonts w:ascii="Tahoma" w:hAnsi="Tahoma"/>
      <w:szCs w:val="20"/>
    </w:rPr>
  </w:style>
  <w:style w:type="paragraph" w:customStyle="1" w:styleId="14">
    <w:name w:val="Знак Знак1"/>
    <w:basedOn w:val="Normal"/>
    <w:rsid w:val="00C35731"/>
    <w:pPr>
      <w:spacing w:after="160" w:line="240" w:lineRule="exact"/>
    </w:pPr>
    <w:rPr>
      <w:rFonts w:ascii="Arial" w:eastAsia="MS Mincho" w:hAnsi="Arial" w:cs="Arial"/>
      <w:sz w:val="20"/>
      <w:szCs w:val="20"/>
    </w:rPr>
  </w:style>
  <w:style w:type="paragraph" w:customStyle="1" w:styleId="Graphic">
    <w:name w:val="Graphic"/>
    <w:basedOn w:val="Heading2"/>
    <w:rsid w:val="00CE3E93"/>
    <w:pPr>
      <w:widowControl/>
      <w:tabs>
        <w:tab w:val="clear" w:pos="993"/>
      </w:tabs>
      <w:overflowPunct w:val="0"/>
      <w:autoSpaceDE w:val="0"/>
      <w:autoSpaceDN w:val="0"/>
      <w:adjustRightInd w:val="0"/>
      <w:spacing w:after="130"/>
      <w:ind w:firstLine="0"/>
      <w:contextualSpacing w:val="0"/>
      <w:jc w:val="center"/>
      <w:textAlignment w:val="baseline"/>
      <w:outlineLvl w:val="9"/>
    </w:pPr>
    <w:rPr>
      <w:rFonts w:ascii="Times New Roman" w:hAnsi="Times New Roman" w:cs="Times New Roman"/>
      <w:bCs/>
      <w:iCs/>
      <w:sz w:val="22"/>
      <w:lang w:val="en-GB" w:eastAsia="en-US"/>
    </w:rPr>
  </w:style>
  <w:style w:type="paragraph" w:styleId="ListContinue2">
    <w:name w:val="List Continue 2"/>
    <w:basedOn w:val="Normal"/>
    <w:rsid w:val="00CE3E93"/>
    <w:pPr>
      <w:spacing w:after="120"/>
      <w:ind w:left="720"/>
    </w:pPr>
  </w:style>
  <w:style w:type="paragraph" w:customStyle="1" w:styleId="GlossaryHeader">
    <w:name w:val="Glossary Header"/>
    <w:next w:val="Normal"/>
    <w:rsid w:val="00CE3E93"/>
    <w:pPr>
      <w:pageBreakBefore/>
      <w:overflowPunct w:val="0"/>
      <w:autoSpaceDE w:val="0"/>
      <w:autoSpaceDN w:val="0"/>
      <w:adjustRightInd w:val="0"/>
      <w:textAlignment w:val="baseline"/>
    </w:pPr>
    <w:rPr>
      <w:noProof/>
      <w:sz w:val="36"/>
      <w:lang w:val="en-GB"/>
    </w:rPr>
  </w:style>
  <w:style w:type="paragraph" w:customStyle="1" w:styleId="font5">
    <w:name w:val="font5"/>
    <w:basedOn w:val="Normal"/>
    <w:rsid w:val="00CE3E93"/>
    <w:pPr>
      <w:spacing w:before="100" w:beforeAutospacing="1" w:after="100" w:afterAutospacing="1"/>
    </w:pPr>
    <w:rPr>
      <w:rFonts w:ascii="Times Armenian" w:hAnsi="Times Armenian"/>
      <w:color w:val="000000"/>
      <w:sz w:val="16"/>
      <w:szCs w:val="16"/>
    </w:rPr>
  </w:style>
  <w:style w:type="paragraph" w:customStyle="1" w:styleId="font6">
    <w:name w:val="font6"/>
    <w:basedOn w:val="Normal"/>
    <w:rsid w:val="00CE3E93"/>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rsid w:val="00CE3E93"/>
    <w:pPr>
      <w:spacing w:before="100" w:beforeAutospacing="1" w:after="100" w:afterAutospacing="1"/>
    </w:pPr>
    <w:rPr>
      <w:rFonts w:ascii="Times Armenian" w:hAnsi="Times Armenian"/>
      <w:color w:val="000000"/>
      <w:sz w:val="20"/>
      <w:szCs w:val="20"/>
    </w:rPr>
  </w:style>
  <w:style w:type="paragraph" w:customStyle="1" w:styleId="font8">
    <w:name w:val="font8"/>
    <w:basedOn w:val="Normal"/>
    <w:rsid w:val="00CE3E93"/>
    <w:pPr>
      <w:spacing w:before="100" w:beforeAutospacing="1" w:after="100" w:afterAutospacing="1"/>
    </w:pPr>
    <w:rPr>
      <w:rFonts w:ascii="Times Armenian" w:hAnsi="Times Armenian"/>
      <w:color w:val="000000"/>
      <w:sz w:val="16"/>
      <w:szCs w:val="16"/>
    </w:rPr>
  </w:style>
  <w:style w:type="paragraph" w:customStyle="1" w:styleId="font9">
    <w:name w:val="font9"/>
    <w:basedOn w:val="Normal"/>
    <w:rsid w:val="00CE3E93"/>
    <w:pPr>
      <w:spacing w:before="100" w:beforeAutospacing="1" w:after="100" w:afterAutospacing="1"/>
    </w:pPr>
    <w:rPr>
      <w:rFonts w:ascii="Times Armenian" w:hAnsi="Times Armenian"/>
      <w:color w:val="000000"/>
    </w:rPr>
  </w:style>
  <w:style w:type="paragraph" w:customStyle="1" w:styleId="font10">
    <w:name w:val="font10"/>
    <w:basedOn w:val="Normal"/>
    <w:rsid w:val="00CE3E93"/>
    <w:pPr>
      <w:spacing w:before="100" w:beforeAutospacing="1" w:after="100" w:afterAutospacing="1"/>
    </w:pPr>
    <w:rPr>
      <w:rFonts w:ascii="Times Armenian" w:hAnsi="Times Armenian"/>
      <w:b/>
      <w:bCs/>
      <w:color w:val="000000"/>
      <w:sz w:val="16"/>
      <w:szCs w:val="16"/>
    </w:rPr>
  </w:style>
  <w:style w:type="paragraph" w:customStyle="1" w:styleId="xl139">
    <w:name w:val="xl139"/>
    <w:basedOn w:val="Normal"/>
    <w:rsid w:val="00CE3E93"/>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rsid w:val="00CE3E93"/>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rsid w:val="00CE3E93"/>
    <w:pPr>
      <w:pBdr>
        <w:left w:val="single" w:sz="8" w:space="0" w:color="auto"/>
        <w:bottom w:val="single" w:sz="8" w:space="0" w:color="auto"/>
        <w:right w:val="single" w:sz="8" w:space="0" w:color="auto"/>
      </w:pBdr>
      <w:spacing w:before="100" w:beforeAutospacing="1" w:after="100" w:afterAutospacing="1"/>
      <w:textAlignment w:val="center"/>
    </w:pPr>
    <w:rPr>
      <w:rFonts w:ascii="Times Armenian" w:hAnsi="Times Armenian"/>
      <w:sz w:val="16"/>
      <w:szCs w:val="16"/>
    </w:rPr>
  </w:style>
  <w:style w:type="paragraph" w:customStyle="1" w:styleId="xl142">
    <w:name w:val="xl142"/>
    <w:basedOn w:val="Normal"/>
    <w:rsid w:val="00CE3E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rsid w:val="00CE3E93"/>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rsid w:val="00CE3E93"/>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rsid w:val="00CE3E93"/>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rsid w:val="00CE3E93"/>
    <w:pPr>
      <w:pBdr>
        <w:left w:val="single" w:sz="8" w:space="0" w:color="auto"/>
        <w:bottom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147">
    <w:name w:val="xl147"/>
    <w:basedOn w:val="Normal"/>
    <w:rsid w:val="00CE3E93"/>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rsid w:val="00CE3E93"/>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rsid w:val="00CE3E93"/>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rsid w:val="00CE3E93"/>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rsid w:val="00CE3E93"/>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rsid w:val="00CE3E93"/>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rsid w:val="00CE3E93"/>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rsid w:val="00CE3E93"/>
    <w:pPr>
      <w:spacing w:before="100" w:beforeAutospacing="1" w:after="100" w:afterAutospacing="1"/>
      <w:jc w:val="center"/>
      <w:textAlignment w:val="center"/>
    </w:pPr>
    <w:rPr>
      <w:rFonts w:ascii="Calibri" w:hAnsi="Calibri"/>
    </w:rPr>
  </w:style>
  <w:style w:type="paragraph" w:customStyle="1" w:styleId="xl155">
    <w:name w:val="xl155"/>
    <w:basedOn w:val="Normal"/>
    <w:rsid w:val="00CE3E93"/>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rsid w:val="00CE3E93"/>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rsid w:val="00CE3E93"/>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rsid w:val="00CE3E93"/>
    <w:pPr>
      <w:pBdr>
        <w:top w:val="double" w:sz="6" w:space="0" w:color="auto"/>
        <w:left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59">
    <w:name w:val="xl159"/>
    <w:basedOn w:val="Normal"/>
    <w:rsid w:val="00CE3E93"/>
    <w:pPr>
      <w:pBdr>
        <w:left w:val="single" w:sz="8" w:space="0" w:color="auto"/>
        <w:bottom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60">
    <w:name w:val="xl160"/>
    <w:basedOn w:val="Normal"/>
    <w:rsid w:val="00CE3E93"/>
    <w:pPr>
      <w:pBdr>
        <w:top w:val="single" w:sz="8" w:space="0" w:color="auto"/>
        <w:left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61">
    <w:name w:val="xl161"/>
    <w:basedOn w:val="Normal"/>
    <w:rsid w:val="00CE3E93"/>
    <w:pPr>
      <w:spacing w:before="100" w:beforeAutospacing="1" w:after="100" w:afterAutospacing="1"/>
      <w:textAlignment w:val="center"/>
    </w:pPr>
    <w:rPr>
      <w:rFonts w:ascii="Times Armenian" w:hAnsi="Times Armenian"/>
      <w:b/>
      <w:bCs/>
      <w:sz w:val="18"/>
      <w:szCs w:val="18"/>
      <w:u w:val="single"/>
    </w:rPr>
  </w:style>
  <w:style w:type="paragraph" w:customStyle="1" w:styleId="xl23">
    <w:name w:val="xl23"/>
    <w:basedOn w:val="Normal"/>
    <w:rsid w:val="00CE3E93"/>
    <w:pPr>
      <w:spacing w:before="100" w:beforeAutospacing="1" w:after="100" w:afterAutospacing="1"/>
      <w:jc w:val="center"/>
      <w:textAlignment w:val="center"/>
    </w:pPr>
    <w:rPr>
      <w:rFonts w:ascii="Times Armenian" w:hAnsi="Times Armenian"/>
    </w:rPr>
  </w:style>
  <w:style w:type="paragraph" w:customStyle="1" w:styleId="StyleBodyTextArialAMChar">
    <w:name w:val="Style Body Text + Arial AM Char"/>
    <w:basedOn w:val="BodyText"/>
    <w:rsid w:val="00CE3E93"/>
    <w:pPr>
      <w:spacing w:after="240"/>
    </w:pPr>
    <w:rPr>
      <w:rFonts w:ascii="Arial AM" w:hAnsi="Arial AM"/>
      <w:spacing w:val="-5"/>
      <w:szCs w:val="20"/>
      <w:lang w:val="en-GB"/>
    </w:rPr>
  </w:style>
  <w:style w:type="character" w:customStyle="1" w:styleId="FooterChar">
    <w:name w:val="Footer Char"/>
    <w:uiPriority w:val="99"/>
    <w:rsid w:val="00CE3E93"/>
    <w:rPr>
      <w:sz w:val="24"/>
      <w:szCs w:val="24"/>
    </w:rPr>
  </w:style>
  <w:style w:type="paragraph" w:customStyle="1" w:styleId="CharCharCharCharChar">
    <w:name w:val="Char Char Char Char Char Знак Знак"/>
    <w:basedOn w:val="Normal"/>
    <w:rsid w:val="00CE3E93"/>
    <w:pPr>
      <w:spacing w:after="160" w:line="240" w:lineRule="exact"/>
    </w:pPr>
    <w:rPr>
      <w:rFonts w:ascii="Arial" w:hAnsi="Arial" w:cs="Arial"/>
      <w:sz w:val="20"/>
      <w:szCs w:val="20"/>
    </w:rPr>
  </w:style>
  <w:style w:type="paragraph" w:customStyle="1" w:styleId="CharChar1CharCharChar1Char">
    <w:name w:val="Char Char1 Char Char Char1 Char"/>
    <w:basedOn w:val="Normal"/>
    <w:autoRedefine/>
    <w:rsid w:val="00CE3E93"/>
    <w:rPr>
      <w:rFonts w:eastAsia="SimSun"/>
      <w:sz w:val="20"/>
      <w:szCs w:val="20"/>
      <w:lang w:eastAsia="ru-RU"/>
    </w:rPr>
  </w:style>
  <w:style w:type="character" w:styleId="Emphasis">
    <w:name w:val="Emphasis"/>
    <w:qFormat/>
    <w:rsid w:val="00CE3E93"/>
    <w:rPr>
      <w:i/>
      <w:iCs/>
    </w:rPr>
  </w:style>
  <w:style w:type="paragraph" w:customStyle="1" w:styleId="4">
    <w:name w:val="Знак Знак4"/>
    <w:basedOn w:val="Normal"/>
    <w:rsid w:val="00CE3E93"/>
    <w:pPr>
      <w:tabs>
        <w:tab w:val="left" w:pos="709"/>
      </w:tabs>
    </w:pPr>
    <w:rPr>
      <w:rFonts w:ascii="Tahoma" w:hAnsi="Tahoma"/>
      <w:lang w:val="pl-PL" w:eastAsia="pl-PL"/>
    </w:rPr>
  </w:style>
  <w:style w:type="paragraph" w:customStyle="1" w:styleId="CharCharCharCharCharChar1CharCharCharCharCharCharCharCharChar">
    <w:name w:val="Char Char Char Char Char Char1 Char Char Char Char Char Char Char Char Char Знак Знак"/>
    <w:basedOn w:val="Normal"/>
    <w:rsid w:val="00011E91"/>
    <w:pPr>
      <w:spacing w:after="160" w:line="240" w:lineRule="exact"/>
    </w:pPr>
    <w:rPr>
      <w:rFonts w:ascii="Arial" w:hAnsi="Arial" w:cs="Arial"/>
      <w:sz w:val="20"/>
      <w:szCs w:val="20"/>
    </w:rPr>
  </w:style>
  <w:style w:type="character" w:customStyle="1" w:styleId="BodyTextFirstIndentChar">
    <w:name w:val="Body Text First Indent Char"/>
    <w:rsid w:val="00011E91"/>
    <w:rPr>
      <w:rFonts w:ascii="Times Armenian" w:hAnsi="Times Armenian"/>
      <w:sz w:val="24"/>
      <w:szCs w:val="24"/>
      <w:lang w:val="ru-RU" w:eastAsia="ru-RU" w:bidi="ar-SA"/>
    </w:rPr>
  </w:style>
  <w:style w:type="character" w:customStyle="1" w:styleId="CommentSubjectChar">
    <w:name w:val="Comment Subject Char"/>
    <w:uiPriority w:val="99"/>
    <w:rsid w:val="00011E91"/>
    <w:rPr>
      <w:rFonts w:ascii="Courier New" w:hAnsi="Courier New"/>
      <w:b/>
      <w:bCs/>
      <w:sz w:val="24"/>
      <w:szCs w:val="24"/>
      <w:lang w:val="en-US" w:eastAsia="en-US" w:bidi="ar-SA"/>
    </w:rPr>
  </w:style>
  <w:style w:type="paragraph" w:customStyle="1" w:styleId="Char6">
    <w:name w:val="Знак Char Знак"/>
    <w:basedOn w:val="Normal"/>
    <w:rsid w:val="00011E91"/>
    <w:pPr>
      <w:spacing w:after="160" w:line="240" w:lineRule="exact"/>
    </w:pPr>
    <w:rPr>
      <w:rFonts w:ascii="Arial" w:eastAsia="Batang" w:hAnsi="Arial" w:cs="Arial"/>
      <w:sz w:val="20"/>
      <w:szCs w:val="20"/>
    </w:rPr>
  </w:style>
  <w:style w:type="paragraph" w:customStyle="1" w:styleId="CharCharCharCharCharChar">
    <w:name w:val="Знак Знак Char Char Знак Знак Char Char Знак Знак Char Char"/>
    <w:basedOn w:val="Normal"/>
    <w:autoRedefine/>
    <w:rsid w:val="00011E91"/>
    <w:pPr>
      <w:spacing w:after="160" w:line="240" w:lineRule="exact"/>
    </w:pPr>
    <w:rPr>
      <w:sz w:val="28"/>
      <w:szCs w:val="20"/>
    </w:rPr>
  </w:style>
  <w:style w:type="character" w:customStyle="1" w:styleId="longtext">
    <w:name w:val="long_text"/>
    <w:basedOn w:val="DefaultParagraphFont"/>
    <w:rsid w:val="00201348"/>
  </w:style>
  <w:style w:type="paragraph" w:customStyle="1" w:styleId="hodvats">
    <w:name w:val="hodvats"/>
    <w:basedOn w:val="Normal"/>
    <w:rsid w:val="00201348"/>
    <w:pPr>
      <w:tabs>
        <w:tab w:val="left" w:pos="993"/>
        <w:tab w:val="left" w:pos="1985"/>
      </w:tabs>
      <w:spacing w:before="113" w:after="57" w:line="220" w:lineRule="exact"/>
      <w:ind w:firstLine="397"/>
    </w:pPr>
    <w:rPr>
      <w:rFonts w:ascii="Dallak Helv" w:hAnsi="Dallak Helv"/>
      <w:b/>
      <w:noProof/>
      <w:sz w:val="18"/>
      <w:szCs w:val="20"/>
    </w:rPr>
  </w:style>
  <w:style w:type="character" w:customStyle="1" w:styleId="FooterChar1">
    <w:name w:val="Footer Char1"/>
    <w:locked/>
    <w:rsid w:val="00201348"/>
    <w:rPr>
      <w:sz w:val="22"/>
      <w:lang w:val="en-GB" w:eastAsia="en-US" w:bidi="ar-SA"/>
    </w:rPr>
  </w:style>
  <w:style w:type="character" w:customStyle="1" w:styleId="CharChar15">
    <w:name w:val="Char Char15"/>
    <w:locked/>
    <w:rsid w:val="00201348"/>
    <w:rPr>
      <w:rFonts w:ascii="Cambria" w:hAnsi="Cambria"/>
      <w:b/>
      <w:bCs/>
      <w:kern w:val="32"/>
      <w:sz w:val="32"/>
      <w:szCs w:val="32"/>
      <w:lang w:val="fr-FR" w:eastAsia="en-US" w:bidi="ar-SA"/>
    </w:rPr>
  </w:style>
  <w:style w:type="paragraph" w:customStyle="1" w:styleId="24">
    <w:name w:val="Знак Знак2"/>
    <w:basedOn w:val="Normal"/>
    <w:rsid w:val="00201348"/>
    <w:pPr>
      <w:spacing w:after="160" w:line="240" w:lineRule="exact"/>
    </w:pPr>
    <w:rPr>
      <w:rFonts w:ascii="Arial" w:hAnsi="Arial" w:cs="Arial"/>
      <w:sz w:val="20"/>
      <w:szCs w:val="20"/>
    </w:rPr>
  </w:style>
  <w:style w:type="paragraph" w:customStyle="1" w:styleId="CharCharCharCharChar0">
    <w:name w:val="Char Char Char Char Char"/>
    <w:basedOn w:val="Normal"/>
    <w:rsid w:val="00201348"/>
    <w:pPr>
      <w:spacing w:after="160" w:line="240" w:lineRule="exact"/>
    </w:pPr>
    <w:rPr>
      <w:rFonts w:ascii="Arial" w:hAnsi="Arial" w:cs="Arial"/>
      <w:sz w:val="20"/>
      <w:szCs w:val="20"/>
    </w:rPr>
  </w:style>
  <w:style w:type="paragraph" w:customStyle="1" w:styleId="CharCharCharCharCharCharCharCharCharCharChar">
    <w:name w:val="Char Char Char Знак Char Char Char Char Char Знак Char Char Char"/>
    <w:basedOn w:val="Normal"/>
    <w:rsid w:val="00C32F85"/>
    <w:pPr>
      <w:spacing w:after="160" w:line="240" w:lineRule="exact"/>
    </w:pPr>
    <w:rPr>
      <w:rFonts w:ascii="Arial" w:hAnsi="Arial" w:cs="Arial"/>
      <w:sz w:val="20"/>
      <w:szCs w:val="20"/>
    </w:rPr>
  </w:style>
  <w:style w:type="character" w:customStyle="1" w:styleId="CharChar10">
    <w:name w:val="Char Char10"/>
    <w:locked/>
    <w:rsid w:val="00EA5436"/>
    <w:rPr>
      <w:rFonts w:ascii="Arial Armenian" w:hAnsi="Arial Armenian" w:cs="Sylfaen"/>
      <w:sz w:val="24"/>
      <w:szCs w:val="24"/>
      <w:lang w:val="ru-RU" w:eastAsia="ru-RU" w:bidi="ar-SA"/>
    </w:rPr>
  </w:style>
  <w:style w:type="paragraph" w:customStyle="1" w:styleId="StyleHeading4CentredArialUnicode105pt">
    <w:name w:val="Style Heading 4Centred + Arial Unicode 10.5 pt"/>
    <w:basedOn w:val="Heading4"/>
    <w:link w:val="StyleHeading4CentredArialUnicode105ptChar"/>
    <w:autoRedefine/>
    <w:rsid w:val="00D868AF"/>
    <w:pPr>
      <w:spacing w:before="120" w:after="120"/>
    </w:pPr>
    <w:rPr>
      <w:rFonts w:ascii="Arial Unicode" w:hAnsi="Arial Unicode"/>
      <w:lang w:eastAsia="en-US"/>
    </w:rPr>
  </w:style>
  <w:style w:type="character" w:customStyle="1" w:styleId="StyleHeading4CentredArialUnicode105ptChar">
    <w:name w:val="Style Heading 4Centred + Arial Unicode 10.5 pt Char"/>
    <w:link w:val="StyleHeading4CentredArialUnicode105pt"/>
    <w:rsid w:val="00D868AF"/>
    <w:rPr>
      <w:rFonts w:ascii="Arial Unicode" w:hAnsi="Arial Unicode"/>
      <w:b/>
      <w:bCs/>
      <w:sz w:val="22"/>
      <w:szCs w:val="22"/>
      <w:lang w:val="af-ZA" w:eastAsia="en-US" w:bidi="ar-S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C85162"/>
    <w:pPr>
      <w:tabs>
        <w:tab w:val="clear" w:pos="624"/>
        <w:tab w:val="left" w:pos="360"/>
      </w:tabs>
      <w:spacing w:before="240" w:after="240"/>
      <w:ind w:right="0"/>
    </w:pPr>
    <w:rPr>
      <w:rFonts w:cs="Times New Roman"/>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BA094A"/>
    <w:pPr>
      <w:spacing w:before="120"/>
    </w:pPr>
    <w:rPr>
      <w:bCs/>
      <w:iCs w:val="0"/>
      <w:spacing w:val="24"/>
      <w:kern w:val="28"/>
      <w:sz w:val="24"/>
      <w:szCs w:val="24"/>
      <w:lang w:eastAsia="x-none"/>
    </w:rPr>
  </w:style>
  <w:style w:type="character" w:customStyle="1" w:styleId="StyleStyleHeading2ChapterParanumTextSylfaen1ArialUniChar">
    <w:name w:val="Style Style Heading 2.(Chapter).Paranum.Text + Sylfaen1 + Arial Uni... Char"/>
    <w:link w:val="StyleStyleHeading2ChapterParanumTextSylfaen1ArialUni"/>
    <w:rsid w:val="00BA094A"/>
    <w:rPr>
      <w:rFonts w:ascii="GHEA Grapalat" w:hAnsi="GHEA Grapalat"/>
      <w:b/>
      <w:bCs/>
      <w:spacing w:val="24"/>
      <w:kern w:val="28"/>
      <w:sz w:val="24"/>
      <w:szCs w:val="24"/>
      <w:lang w:val="af-ZA" w:eastAsia="x-none"/>
    </w:rPr>
  </w:style>
  <w:style w:type="paragraph" w:customStyle="1" w:styleId="StyleBodyTextMainTextdateBodyTextMaintextGHEAGrapa">
    <w:name w:val="Style Body Text(Main Text)dateBody Text (Main text) + GHEA Grapa..."/>
    <w:basedOn w:val="BodyText"/>
    <w:autoRedefine/>
    <w:rsid w:val="00D868AF"/>
  </w:style>
  <w:style w:type="paragraph" w:customStyle="1" w:styleId="StyleStyleHeading2ChapterParanumTextSylfaen1ArialUni1">
    <w:name w:val="Style Style Heading 2.(Chapter).Paranum.Text + Sylfaen1 + Arial Uni...1"/>
    <w:basedOn w:val="StyleHeading2ChapterParanumTextSylfaen1"/>
    <w:autoRedefine/>
    <w:rsid w:val="00A46D7C"/>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C2389E"/>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E927DD"/>
    <w:rPr>
      <w:bCs/>
      <w:iCs w:val="0"/>
      <w:spacing w:val="24"/>
      <w:kern w:val="28"/>
      <w:lang w:val="pt-BR" w:eastAsia="en-US"/>
    </w:rPr>
  </w:style>
  <w:style w:type="character" w:customStyle="1" w:styleId="StyleStyleHeading2ChapterParanumTextSylfaen1GHEAGrapChar">
    <w:name w:val="Style Style Heading 2.(Chapter).Paranum.Text + Sylfaen1 + GHEA Grap... Char"/>
    <w:link w:val="StyleStyleHeading2ChapterParanumTextSylfaen1GHEAGrap"/>
    <w:rsid w:val="00E927DD"/>
    <w:rPr>
      <w:rFonts w:ascii="GHEA Grapalat" w:hAnsi="GHEA Grapalat"/>
      <w:b/>
      <w:bCs/>
      <w:spacing w:val="24"/>
      <w:kern w:val="28"/>
      <w:sz w:val="22"/>
      <w:szCs w:val="22"/>
      <w:lang w:val="pt-BR" w:eastAsia="en-US" w:bidi="ar-SA"/>
    </w:rPr>
  </w:style>
  <w:style w:type="character" w:customStyle="1" w:styleId="CharChar18">
    <w:name w:val="Char Char18"/>
    <w:rsid w:val="009027D1"/>
    <w:rPr>
      <w:rFonts w:ascii="Arial Armenian" w:eastAsia="Times New Roman" w:hAnsi="Arial Armenian"/>
      <w:i/>
      <w:sz w:val="22"/>
      <w:u w:val="single"/>
      <w:lang w:val="en-GB"/>
    </w:rPr>
  </w:style>
  <w:style w:type="character" w:customStyle="1" w:styleId="FontStyle29">
    <w:name w:val="Font Style29"/>
    <w:rsid w:val="009027D1"/>
    <w:rPr>
      <w:rFonts w:ascii="Tahoma" w:hAnsi="Tahoma" w:cs="Tahoma"/>
      <w:color w:val="000000"/>
      <w:sz w:val="16"/>
      <w:szCs w:val="16"/>
    </w:rPr>
  </w:style>
  <w:style w:type="character" w:customStyle="1" w:styleId="CharChar19">
    <w:name w:val="Char Char19"/>
    <w:rsid w:val="00DE74C4"/>
    <w:rPr>
      <w:b/>
      <w:sz w:val="32"/>
      <w:lang w:val="en-GB" w:eastAsia="en-US" w:bidi="ar-SA"/>
    </w:rPr>
  </w:style>
  <w:style w:type="paragraph" w:customStyle="1" w:styleId="rmcptlkhmsonormal">
    <w:name w:val="rmcptlkh msonormal"/>
    <w:basedOn w:val="Normal"/>
    <w:rsid w:val="00DE74C4"/>
    <w:pPr>
      <w:spacing w:before="100" w:beforeAutospacing="1" w:after="100" w:afterAutospacing="1"/>
    </w:pPr>
    <w:rPr>
      <w:rFonts w:eastAsia="Batang"/>
      <w:lang w:val="ru-RU" w:eastAsia="ko-KR"/>
    </w:rPr>
  </w:style>
  <w:style w:type="character" w:customStyle="1" w:styleId="CharChar21">
    <w:name w:val="Char Char21"/>
    <w:rsid w:val="00DE74C4"/>
    <w:rPr>
      <w:rFonts w:ascii="Arial Armenian" w:hAnsi="Arial Armenian"/>
      <w:i/>
      <w:sz w:val="22"/>
      <w:u w:val="single"/>
      <w:lang w:val="en-GB" w:eastAsia="en-US" w:bidi="ar-SA"/>
    </w:rPr>
  </w:style>
  <w:style w:type="character" w:customStyle="1" w:styleId="CharChar20">
    <w:name w:val="Char Char20"/>
    <w:rsid w:val="00DE74C4"/>
    <w:rPr>
      <w:rFonts w:ascii="Garamond" w:hAnsi="Garamond"/>
      <w:i/>
      <w:spacing w:val="-5"/>
      <w:sz w:val="28"/>
      <w:lang w:val="en-GB" w:eastAsia="en-US" w:bidi="ar-SA"/>
    </w:rPr>
  </w:style>
  <w:style w:type="paragraph" w:styleId="Revision">
    <w:name w:val="Revision"/>
    <w:hidden/>
    <w:uiPriority w:val="99"/>
    <w:semiHidden/>
    <w:rsid w:val="00A6758D"/>
    <w:rPr>
      <w:rFonts w:ascii="Arial Armenian" w:hAnsi="Arial Armenian" w:cs="Sylfaen"/>
      <w:sz w:val="24"/>
      <w:szCs w:val="24"/>
      <w:lang w:val="ru-RU" w:eastAsia="ru-RU"/>
    </w:rPr>
  </w:style>
  <w:style w:type="paragraph" w:customStyle="1" w:styleId="CM33">
    <w:name w:val="CM33"/>
    <w:basedOn w:val="Normal"/>
    <w:next w:val="Normal"/>
    <w:rsid w:val="00A6758D"/>
    <w:pPr>
      <w:widowControl w:val="0"/>
      <w:autoSpaceDE w:val="0"/>
      <w:autoSpaceDN w:val="0"/>
      <w:adjustRightInd w:val="0"/>
      <w:spacing w:after="343"/>
    </w:pPr>
    <w:rPr>
      <w:rFonts w:ascii="Arial Armenian" w:hAnsi="Arial Armenian" w:cs="Arial Armenian"/>
    </w:rPr>
  </w:style>
  <w:style w:type="paragraph" w:customStyle="1" w:styleId="CharCharCharCharCharCharCharChar0">
    <w:name w:val="Char Char Char Char Char Char Char Char"/>
    <w:basedOn w:val="Normal"/>
    <w:rsid w:val="004E3CFA"/>
    <w:pPr>
      <w:spacing w:after="160" w:line="240" w:lineRule="exact"/>
    </w:pPr>
    <w:rPr>
      <w:rFonts w:ascii="Arial" w:hAnsi="Arial" w:cs="Arial"/>
      <w:sz w:val="20"/>
      <w:szCs w:val="20"/>
    </w:rPr>
  </w:style>
  <w:style w:type="paragraph" w:customStyle="1" w:styleId="CharCharCharCharCharCharCharCharCharCharCharCharCharCharChar0">
    <w:name w:val="Char Char Char Char Знак Char Знак Char Char Char Char Char Char Char Char Char Char"/>
    <w:basedOn w:val="Normal"/>
    <w:rsid w:val="004E3CFA"/>
    <w:pPr>
      <w:tabs>
        <w:tab w:val="left" w:pos="709"/>
      </w:tabs>
    </w:pPr>
    <w:rPr>
      <w:rFonts w:ascii="Tahoma" w:hAnsi="Tahoma"/>
      <w:lang w:val="pl-PL" w:eastAsia="pl-PL"/>
    </w:rPr>
  </w:style>
  <w:style w:type="paragraph" w:customStyle="1" w:styleId="CharCharCharCharCharCharChar0">
    <w:name w:val="Char Char Char Char Char Char Char"/>
    <w:basedOn w:val="Normal"/>
    <w:rsid w:val="004E3CFA"/>
    <w:pPr>
      <w:spacing w:after="160" w:line="240" w:lineRule="exact"/>
    </w:pPr>
    <w:rPr>
      <w:rFonts w:ascii="Arial" w:hAnsi="Arial" w:cs="Arial"/>
      <w:sz w:val="20"/>
      <w:szCs w:val="20"/>
    </w:rPr>
  </w:style>
  <w:style w:type="paragraph" w:customStyle="1" w:styleId="CharCharChar4">
    <w:name w:val="Char Char Char Знак Знак"/>
    <w:basedOn w:val="Normal"/>
    <w:rsid w:val="004E3CFA"/>
    <w:pPr>
      <w:spacing w:after="160" w:line="240" w:lineRule="exact"/>
    </w:pPr>
    <w:rPr>
      <w:rFonts w:ascii="Arial" w:hAnsi="Arial" w:cs="Arial"/>
      <w:sz w:val="20"/>
      <w:szCs w:val="20"/>
    </w:rPr>
  </w:style>
  <w:style w:type="paragraph" w:customStyle="1" w:styleId="CharCharCharCharCharCharCharCharCharChar0">
    <w:name w:val="Char Char Char Char Char Char Char Char Char Char"/>
    <w:basedOn w:val="Normal"/>
    <w:rsid w:val="004E3CFA"/>
    <w:pPr>
      <w:spacing w:after="160" w:line="240" w:lineRule="exact"/>
    </w:pPr>
    <w:rPr>
      <w:rFonts w:ascii="Arial" w:hAnsi="Arial" w:cs="Arial"/>
      <w:sz w:val="20"/>
      <w:szCs w:val="20"/>
    </w:rPr>
  </w:style>
  <w:style w:type="paragraph" w:customStyle="1" w:styleId="1CharChar0">
    <w:name w:val="Знак Знак1 Char Char Знак Знак"/>
    <w:basedOn w:val="Normal"/>
    <w:rsid w:val="004E3CFA"/>
    <w:pPr>
      <w:tabs>
        <w:tab w:val="num" w:pos="840"/>
      </w:tabs>
      <w:spacing w:after="160" w:line="240" w:lineRule="exact"/>
      <w:ind w:left="840" w:hanging="360"/>
    </w:pPr>
    <w:rPr>
      <w:rFonts w:ascii="Verdana" w:hAnsi="Verdana"/>
      <w:sz w:val="20"/>
      <w:szCs w:val="20"/>
      <w:lang w:val="ru-RU"/>
    </w:rPr>
  </w:style>
  <w:style w:type="paragraph" w:customStyle="1" w:styleId="CharCharCharChar1">
    <w:name w:val="Знак Знак Char Char Знак Знак Char Char Знак Знак"/>
    <w:basedOn w:val="Normal"/>
    <w:autoRedefine/>
    <w:rsid w:val="004E3CFA"/>
    <w:pPr>
      <w:spacing w:after="160" w:line="240" w:lineRule="exact"/>
    </w:pPr>
    <w:rPr>
      <w:sz w:val="28"/>
      <w:szCs w:val="20"/>
    </w:rPr>
  </w:style>
  <w:style w:type="paragraph" w:customStyle="1" w:styleId="CharCharChar1Char0">
    <w:name w:val="Char Char Char1 Char"/>
    <w:basedOn w:val="Normal"/>
    <w:rsid w:val="004E3CFA"/>
    <w:pPr>
      <w:spacing w:after="160" w:line="240" w:lineRule="exact"/>
    </w:pPr>
    <w:rPr>
      <w:rFonts w:ascii="Arial" w:hAnsi="Arial" w:cs="Arial"/>
      <w:sz w:val="20"/>
      <w:szCs w:val="20"/>
    </w:rPr>
  </w:style>
  <w:style w:type="paragraph" w:customStyle="1" w:styleId="15">
    <w:name w:val="Знак Знак1"/>
    <w:basedOn w:val="Normal"/>
    <w:rsid w:val="004E3CFA"/>
    <w:pPr>
      <w:spacing w:after="160" w:line="240" w:lineRule="exact"/>
    </w:pPr>
    <w:rPr>
      <w:rFonts w:ascii="Arial" w:eastAsia="MS Mincho" w:hAnsi="Arial" w:cs="Arial"/>
      <w:sz w:val="20"/>
      <w:szCs w:val="20"/>
    </w:rPr>
  </w:style>
  <w:style w:type="paragraph" w:customStyle="1" w:styleId="CharCharCharCharChar1">
    <w:name w:val="Char Char Char Char Char Знак Знак"/>
    <w:basedOn w:val="Normal"/>
    <w:rsid w:val="004E3CFA"/>
    <w:pPr>
      <w:spacing w:after="160" w:line="240" w:lineRule="exact"/>
    </w:pPr>
    <w:rPr>
      <w:rFonts w:ascii="Arial" w:hAnsi="Arial" w:cs="Arial"/>
      <w:sz w:val="20"/>
      <w:szCs w:val="20"/>
    </w:rPr>
  </w:style>
  <w:style w:type="paragraph" w:customStyle="1" w:styleId="CharChar1CharCharChar1Char0">
    <w:name w:val="Char Char1 Char Char Char1 Char"/>
    <w:basedOn w:val="Normal"/>
    <w:autoRedefine/>
    <w:rsid w:val="004E3CFA"/>
    <w:rPr>
      <w:rFonts w:eastAsia="SimSun"/>
      <w:sz w:val="20"/>
      <w:szCs w:val="20"/>
      <w:lang w:eastAsia="ru-RU"/>
    </w:rPr>
  </w:style>
  <w:style w:type="paragraph" w:customStyle="1" w:styleId="40">
    <w:name w:val="Знак Знак4"/>
    <w:basedOn w:val="Normal"/>
    <w:rsid w:val="004E3CFA"/>
    <w:pPr>
      <w:tabs>
        <w:tab w:val="left" w:pos="709"/>
      </w:tabs>
    </w:pPr>
    <w:rPr>
      <w:rFonts w:ascii="Tahoma" w:hAnsi="Tahoma"/>
      <w:lang w:val="pl-PL" w:eastAsia="pl-PL"/>
    </w:rPr>
  </w:style>
  <w:style w:type="paragraph" w:customStyle="1" w:styleId="Char7">
    <w:name w:val="Знак Char Знак"/>
    <w:basedOn w:val="Normal"/>
    <w:rsid w:val="004E3CFA"/>
    <w:pPr>
      <w:spacing w:after="160" w:line="240" w:lineRule="exact"/>
    </w:pPr>
    <w:rPr>
      <w:rFonts w:ascii="Arial" w:eastAsia="Batang" w:hAnsi="Arial" w:cs="Arial"/>
      <w:sz w:val="20"/>
      <w:szCs w:val="20"/>
    </w:rPr>
  </w:style>
  <w:style w:type="paragraph" w:customStyle="1" w:styleId="CharCharCharCharCharChar0">
    <w:name w:val="Знак Знак Char Char Знак Знак Char Char Знак Знак Char Char"/>
    <w:basedOn w:val="Normal"/>
    <w:autoRedefine/>
    <w:rsid w:val="004E3CFA"/>
    <w:pPr>
      <w:spacing w:after="160" w:line="240" w:lineRule="exact"/>
    </w:pPr>
    <w:rPr>
      <w:sz w:val="28"/>
      <w:szCs w:val="20"/>
    </w:rPr>
  </w:style>
  <w:style w:type="paragraph" w:customStyle="1" w:styleId="25">
    <w:name w:val="Знак Знак2"/>
    <w:basedOn w:val="Normal"/>
    <w:rsid w:val="004E3CFA"/>
    <w:pPr>
      <w:spacing w:after="160" w:line="240" w:lineRule="exact"/>
    </w:pPr>
    <w:rPr>
      <w:rFonts w:ascii="Arial" w:hAnsi="Arial" w:cs="Arial"/>
      <w:sz w:val="20"/>
      <w:szCs w:val="20"/>
    </w:rPr>
  </w:style>
  <w:style w:type="paragraph" w:customStyle="1" w:styleId="CharCharCharCharChar2">
    <w:name w:val="Char Char Char Char Char"/>
    <w:basedOn w:val="Normal"/>
    <w:rsid w:val="004E3CFA"/>
    <w:pPr>
      <w:spacing w:after="160" w:line="240" w:lineRule="exact"/>
    </w:pPr>
    <w:rPr>
      <w:rFonts w:ascii="Arial" w:hAnsi="Arial" w:cs="Arial"/>
      <w:sz w:val="20"/>
      <w:szCs w:val="20"/>
    </w:rPr>
  </w:style>
  <w:style w:type="paragraph" w:customStyle="1" w:styleId="listparagraphcxspmiddle">
    <w:name w:val="listparagraphcxspmiddle"/>
    <w:basedOn w:val="Normal"/>
    <w:rsid w:val="004E3CFA"/>
    <w:pPr>
      <w:spacing w:before="100" w:beforeAutospacing="1" w:after="100" w:afterAutospacing="1"/>
    </w:pPr>
  </w:style>
  <w:style w:type="paragraph" w:customStyle="1" w:styleId="listparagraphcxsplast">
    <w:name w:val="listparagraphcxsplast"/>
    <w:basedOn w:val="Normal"/>
    <w:rsid w:val="004E3CFA"/>
    <w:pPr>
      <w:spacing w:before="100" w:beforeAutospacing="1" w:after="100" w:afterAutospacing="1"/>
    </w:pPr>
  </w:style>
  <w:style w:type="paragraph" w:customStyle="1" w:styleId="CharCharCharCharChar3">
    <w:name w:val="Знак Char Char Знак Char Char Char"/>
    <w:aliases w:val=" Знак Char Char Знак Char Char1 Знак"/>
    <w:basedOn w:val="Normal"/>
    <w:next w:val="Normal"/>
    <w:semiHidden/>
    <w:rsid w:val="00D90861"/>
    <w:pPr>
      <w:spacing w:after="160" w:line="240" w:lineRule="exact"/>
    </w:pPr>
    <w:rPr>
      <w:rFonts w:ascii="Arial" w:hAnsi="Arial" w:cs="Arial"/>
      <w:b/>
      <w:sz w:val="20"/>
      <w:szCs w:val="20"/>
      <w:lang w:val="en-GB"/>
    </w:rPr>
  </w:style>
  <w:style w:type="character" w:customStyle="1" w:styleId="BodyTextFirstIndentChar1">
    <w:name w:val="Body Text First Indent Char1"/>
    <w:rsid w:val="00D90861"/>
    <w:rPr>
      <w:rFonts w:ascii="Times Armenian" w:hAnsi="Times Armenian"/>
      <w:sz w:val="24"/>
      <w:szCs w:val="24"/>
      <w:lang w:val="ru-RU" w:eastAsia="ru-RU" w:bidi="ar-SA"/>
    </w:rPr>
  </w:style>
  <w:style w:type="character" w:customStyle="1" w:styleId="CommentSubjectChar1">
    <w:name w:val="Comment Subject Char1"/>
    <w:rsid w:val="00D90861"/>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D90861"/>
    <w:pPr>
      <w:spacing w:after="160" w:line="240" w:lineRule="exact"/>
    </w:pPr>
    <w:rPr>
      <w:rFonts w:ascii="Verdana" w:eastAsia="MS Mincho" w:hAnsi="Verdana"/>
      <w:sz w:val="20"/>
      <w:szCs w:val="20"/>
      <w:lang w:val="en-GB"/>
    </w:rPr>
  </w:style>
  <w:style w:type="numbering" w:customStyle="1" w:styleId="NoList1">
    <w:name w:val="No List1"/>
    <w:next w:val="NoList"/>
    <w:semiHidden/>
    <w:unhideWhenUsed/>
    <w:rsid w:val="00D90861"/>
  </w:style>
  <w:style w:type="character" w:customStyle="1" w:styleId="apple-converted-space">
    <w:name w:val="apple-converted-space"/>
    <w:rsid w:val="00D90861"/>
  </w:style>
  <w:style w:type="paragraph" w:customStyle="1" w:styleId="ListParagraph10">
    <w:name w:val="List Paragraph1"/>
    <w:aliases w:val="OBC Bullet,Normal numbered,List Paragraph12"/>
    <w:basedOn w:val="Normal"/>
    <w:uiPriority w:val="34"/>
    <w:qFormat/>
    <w:rsid w:val="00D90861"/>
    <w:pPr>
      <w:ind w:left="720" w:right="201" w:firstLine="900"/>
      <w:contextualSpacing/>
    </w:pPr>
    <w:rPr>
      <w:rFonts w:ascii="Times Armenian" w:hAnsi="Times Armenian"/>
      <w:sz w:val="28"/>
      <w:szCs w:val="28"/>
      <w:lang w:eastAsia="ru-RU"/>
    </w:rPr>
  </w:style>
  <w:style w:type="character" w:customStyle="1" w:styleId="ListParagraphChar">
    <w:name w:val="List Paragraph Char"/>
    <w:aliases w:val="Akapit z listą BS Char,List Paragraph 1 Char,List_Paragraph Char,Multilevel para_II Char,List Paragraph1 Char,Bullet1 Char,Bullets Char,References Char,List Paragraph (numbered (a)) Char,IBL List Paragraph Char,OBC Bullet Char"/>
    <w:link w:val="ListParagraph1"/>
    <w:uiPriority w:val="34"/>
    <w:rsid w:val="00D90861"/>
    <w:rPr>
      <w:sz w:val="24"/>
      <w:szCs w:val="24"/>
      <w:lang w:val="en-US" w:eastAsia="en-US" w:bidi="ar-SA"/>
    </w:rPr>
  </w:style>
  <w:style w:type="numbering" w:customStyle="1" w:styleId="NoList2">
    <w:name w:val="No List2"/>
    <w:next w:val="NoList"/>
    <w:semiHidden/>
    <w:unhideWhenUsed/>
    <w:rsid w:val="00D90861"/>
  </w:style>
  <w:style w:type="numbering" w:customStyle="1" w:styleId="NoList3">
    <w:name w:val="No List3"/>
    <w:next w:val="NoList"/>
    <w:semiHidden/>
    <w:unhideWhenUsed/>
    <w:rsid w:val="00D90861"/>
  </w:style>
  <w:style w:type="character" w:customStyle="1" w:styleId="textexposedshow">
    <w:name w:val="text_exposed_show"/>
    <w:rsid w:val="00D90861"/>
    <w:rPr>
      <w:rFonts w:cs="Times New Roman"/>
    </w:rPr>
  </w:style>
  <w:style w:type="paragraph" w:customStyle="1" w:styleId="formtext">
    <w:name w:val="formtext"/>
    <w:basedOn w:val="Normal"/>
    <w:rsid w:val="00D90861"/>
    <w:pPr>
      <w:spacing w:before="120" w:after="120" w:line="240" w:lineRule="exact"/>
    </w:pPr>
    <w:rPr>
      <w:rFonts w:ascii="Arial" w:eastAsia="SimSun" w:hAnsi="Arial"/>
      <w:lang w:eastAsia="fr-FR"/>
    </w:rPr>
  </w:style>
  <w:style w:type="paragraph" w:customStyle="1" w:styleId="italic">
    <w:name w:val="italic"/>
    <w:basedOn w:val="Normal"/>
    <w:rsid w:val="00D90861"/>
    <w:pPr>
      <w:spacing w:before="100" w:beforeAutospacing="1" w:after="100" w:afterAutospacing="1"/>
    </w:pPr>
    <w:rPr>
      <w:rFonts w:ascii="Calibri" w:hAnsi="Calibri" w:cs="Calibri"/>
    </w:rPr>
  </w:style>
  <w:style w:type="paragraph" w:customStyle="1" w:styleId="ecxmsonormal">
    <w:name w:val="ecxmsonormal"/>
    <w:basedOn w:val="Normal"/>
    <w:rsid w:val="00D90861"/>
    <w:pPr>
      <w:spacing w:before="100" w:beforeAutospacing="1" w:after="100" w:afterAutospacing="1"/>
    </w:pPr>
    <w:rPr>
      <w:rFonts w:ascii="Calibri" w:hAnsi="Calibri" w:cs="Calibri"/>
    </w:rPr>
  </w:style>
  <w:style w:type="paragraph" w:customStyle="1" w:styleId="CharCharChar5">
    <w:name w:val="Char Char Char Знак Знак Знак Знак Знак"/>
    <w:basedOn w:val="Normal"/>
    <w:rsid w:val="00D90861"/>
    <w:pPr>
      <w:spacing w:after="160" w:line="240" w:lineRule="exact"/>
    </w:pPr>
    <w:rPr>
      <w:rFonts w:ascii="Arial" w:hAnsi="Arial" w:cs="Arial"/>
      <w:color w:val="000000"/>
      <w:sz w:val="20"/>
      <w:szCs w:val="20"/>
      <w:lang w:val="en-GB"/>
    </w:rPr>
  </w:style>
  <w:style w:type="character" w:customStyle="1" w:styleId="title1">
    <w:name w:val="title1"/>
    <w:rsid w:val="00D90861"/>
    <w:rPr>
      <w:rFonts w:ascii="Verdana" w:hAnsi="Verdana"/>
      <w:b/>
      <w:color w:val="000000"/>
      <w:sz w:val="12"/>
      <w:u w:val="none"/>
      <w:effect w:val="none"/>
    </w:rPr>
  </w:style>
  <w:style w:type="character" w:customStyle="1" w:styleId="hps">
    <w:name w:val="hps"/>
    <w:rsid w:val="00D90861"/>
    <w:rPr>
      <w:rFonts w:cs="Times New Roman"/>
    </w:rPr>
  </w:style>
  <w:style w:type="character" w:customStyle="1" w:styleId="st">
    <w:name w:val="st"/>
    <w:rsid w:val="00D90861"/>
    <w:rPr>
      <w:rFonts w:cs="Times New Roman"/>
    </w:rPr>
  </w:style>
  <w:style w:type="paragraph" w:customStyle="1" w:styleId="bodytext0">
    <w:name w:val="bodytext"/>
    <w:basedOn w:val="Normal"/>
    <w:rsid w:val="00D90861"/>
    <w:pPr>
      <w:spacing w:before="100" w:beforeAutospacing="1" w:after="100" w:afterAutospacing="1"/>
    </w:pPr>
    <w:rPr>
      <w:rFonts w:ascii="Calibri" w:hAnsi="Calibri" w:cs="Calibri"/>
    </w:rPr>
  </w:style>
  <w:style w:type="character" w:customStyle="1" w:styleId="CharChar4">
    <w:name w:val="Char Char4"/>
    <w:rsid w:val="00D90861"/>
    <w:rPr>
      <w:rFonts w:ascii="Cambria" w:hAnsi="Cambria" w:cs="Cambria"/>
      <w:b/>
      <w:bCs/>
      <w:sz w:val="26"/>
      <w:szCs w:val="26"/>
    </w:rPr>
  </w:style>
  <w:style w:type="character" w:customStyle="1" w:styleId="CharChar2">
    <w:name w:val="Char Char2"/>
    <w:rsid w:val="00D90861"/>
    <w:rPr>
      <w:rFonts w:ascii="Calibri" w:hAnsi="Calibri" w:cs="Calibri"/>
      <w:sz w:val="22"/>
      <w:szCs w:val="22"/>
      <w:lang w:val="en-US" w:eastAsia="en-US"/>
    </w:rPr>
  </w:style>
  <w:style w:type="character" w:customStyle="1" w:styleId="CharChar1">
    <w:name w:val="Char Char1"/>
    <w:rsid w:val="00D90861"/>
    <w:rPr>
      <w:rFonts w:ascii="Calibri" w:hAnsi="Calibri" w:cs="Calibri"/>
      <w:sz w:val="22"/>
      <w:szCs w:val="22"/>
      <w:lang w:val="en-US" w:eastAsia="en-US"/>
    </w:rPr>
  </w:style>
  <w:style w:type="paragraph" w:customStyle="1" w:styleId="num02">
    <w:name w:val="Énum02"/>
    <w:basedOn w:val="Normal"/>
    <w:rsid w:val="00D90861"/>
    <w:pPr>
      <w:numPr>
        <w:numId w:val="9"/>
      </w:numPr>
      <w:spacing w:after="120" w:line="260" w:lineRule="exact"/>
    </w:pPr>
    <w:rPr>
      <w:rFonts w:ascii="Arial" w:hAnsi="Arial" w:cs="Arial"/>
      <w:lang w:eastAsia="fr-FR"/>
    </w:rPr>
  </w:style>
  <w:style w:type="character" w:customStyle="1" w:styleId="arg">
    <w:name w:val="arg"/>
    <w:rsid w:val="00D90861"/>
    <w:rPr>
      <w:rFonts w:cs="Times New Roman"/>
    </w:rPr>
  </w:style>
  <w:style w:type="character" w:customStyle="1" w:styleId="fulltext">
    <w:name w:val="fulltext"/>
    <w:rsid w:val="00D90861"/>
    <w:rPr>
      <w:rFonts w:cs="Times New Roman"/>
    </w:rPr>
  </w:style>
  <w:style w:type="paragraph" w:customStyle="1" w:styleId="innewsdate">
    <w:name w:val="in_news_date"/>
    <w:basedOn w:val="Normal"/>
    <w:rsid w:val="00D90861"/>
    <w:pPr>
      <w:spacing w:before="100" w:beforeAutospacing="1" w:after="100" w:afterAutospacing="1"/>
    </w:pPr>
  </w:style>
  <w:style w:type="character" w:customStyle="1" w:styleId="gr">
    <w:name w:val="gr"/>
    <w:rsid w:val="00D90861"/>
    <w:rPr>
      <w:rFonts w:cs="Times New Roman"/>
    </w:rPr>
  </w:style>
  <w:style w:type="character" w:customStyle="1" w:styleId="opennewstext">
    <w:name w:val="opennewstext"/>
    <w:rsid w:val="00D90861"/>
    <w:rPr>
      <w:rFonts w:cs="Times New Roman"/>
    </w:rPr>
  </w:style>
  <w:style w:type="paragraph" w:customStyle="1" w:styleId="CharCharCharCharCharCharCharCharCharCharCharCharCharCharChar1">
    <w:name w:val="Char Char Char Char Знак Char Знак Char Char Char Char Char Char Char Char Char Char1"/>
    <w:basedOn w:val="Normal"/>
    <w:rsid w:val="00D90861"/>
    <w:pPr>
      <w:tabs>
        <w:tab w:val="left" w:pos="709"/>
      </w:tabs>
    </w:pPr>
    <w:rPr>
      <w:rFonts w:ascii="Tahoma" w:hAnsi="Tahoma" w:cs="Tahoma"/>
      <w:lang w:val="pl-PL" w:eastAsia="pl-PL"/>
    </w:rPr>
  </w:style>
  <w:style w:type="character" w:customStyle="1" w:styleId="fulltext0">
    <w:name w:val="full_text"/>
    <w:rsid w:val="00D90861"/>
    <w:rPr>
      <w:rFonts w:cs="Times New Roman"/>
    </w:rPr>
  </w:style>
  <w:style w:type="character" w:customStyle="1" w:styleId="wrc116">
    <w:name w:val="wrc116"/>
    <w:rsid w:val="00D90861"/>
    <w:rPr>
      <w:rFonts w:cs="Times New Roman"/>
      <w:vanish/>
    </w:rPr>
  </w:style>
  <w:style w:type="character" w:customStyle="1" w:styleId="editsection">
    <w:name w:val="editsection"/>
    <w:rsid w:val="00D90861"/>
    <w:rPr>
      <w:rFonts w:cs="Times New Roman"/>
    </w:rPr>
  </w:style>
  <w:style w:type="character" w:customStyle="1" w:styleId="mw-headline">
    <w:name w:val="mw-headline"/>
    <w:rsid w:val="00D90861"/>
    <w:rPr>
      <w:rFonts w:cs="Times New Roman"/>
    </w:rPr>
  </w:style>
  <w:style w:type="paragraph" w:styleId="ListNumber">
    <w:name w:val="List Number"/>
    <w:basedOn w:val="Normal"/>
    <w:rsid w:val="00763A57"/>
    <w:pPr>
      <w:numPr>
        <w:numId w:val="12"/>
      </w:numPr>
    </w:pPr>
  </w:style>
  <w:style w:type="character" w:customStyle="1" w:styleId="il">
    <w:name w:val="il"/>
    <w:basedOn w:val="DefaultParagraphFont"/>
    <w:rsid w:val="00763A57"/>
  </w:style>
  <w:style w:type="character" w:customStyle="1" w:styleId="Heading5Char">
    <w:name w:val="Heading 5 Char"/>
    <w:aliases w:val="Side Char"/>
    <w:locked/>
    <w:rsid w:val="00763A57"/>
    <w:rPr>
      <w:sz w:val="22"/>
      <w:lang w:val="en-GB" w:eastAsia="en-US" w:bidi="ar-SA"/>
    </w:rPr>
  </w:style>
  <w:style w:type="character" w:customStyle="1" w:styleId="Heading6Char">
    <w:name w:val="Heading 6 Char"/>
    <w:locked/>
    <w:rsid w:val="00763A57"/>
    <w:rPr>
      <w:sz w:val="36"/>
      <w:lang w:val="en-GB" w:eastAsia="en-US" w:bidi="ar-SA"/>
    </w:rPr>
  </w:style>
  <w:style w:type="character" w:customStyle="1" w:styleId="Heading7Char">
    <w:name w:val="Heading 7 Char"/>
    <w:locked/>
    <w:rsid w:val="00763A57"/>
    <w:rPr>
      <w:sz w:val="22"/>
      <w:lang w:val="en-GB" w:eastAsia="en-US" w:bidi="ar-SA"/>
    </w:rPr>
  </w:style>
  <w:style w:type="character" w:customStyle="1" w:styleId="Heading8Char">
    <w:name w:val="Heading 8 Char"/>
    <w:locked/>
    <w:rsid w:val="00763A57"/>
    <w:rPr>
      <w:sz w:val="22"/>
      <w:lang w:val="en-GB" w:eastAsia="en-US" w:bidi="ar-SA"/>
    </w:rPr>
  </w:style>
  <w:style w:type="character" w:customStyle="1" w:styleId="Heading9Char">
    <w:name w:val="Heading 9 Char"/>
    <w:locked/>
    <w:rsid w:val="00763A57"/>
    <w:rPr>
      <w:sz w:val="22"/>
      <w:lang w:val="en-GB" w:eastAsia="en-US" w:bidi="ar-SA"/>
    </w:rPr>
  </w:style>
  <w:style w:type="character" w:customStyle="1" w:styleId="BodyText2Char">
    <w:name w:val="Body Text 2 Char"/>
    <w:uiPriority w:val="99"/>
    <w:locked/>
    <w:rsid w:val="00763A57"/>
    <w:rPr>
      <w:rFonts w:ascii="Times Armenian" w:hAnsi="Times Armenian" w:cs="Times New Roman"/>
      <w:b/>
      <w:sz w:val="24"/>
      <w:lang w:val="fr-FR" w:eastAsia="x-none"/>
    </w:rPr>
  </w:style>
  <w:style w:type="character" w:customStyle="1" w:styleId="BodyTextIndent2Char">
    <w:name w:val="Body Text Indent 2 Char"/>
    <w:locked/>
    <w:rsid w:val="00763A57"/>
    <w:rPr>
      <w:rFonts w:ascii="Times LatArm" w:hAnsi="Times LatArm" w:cs="Times New Roman"/>
      <w:sz w:val="22"/>
      <w:lang w:val="fr-FR" w:eastAsia="x-none"/>
    </w:rPr>
  </w:style>
  <w:style w:type="character" w:customStyle="1" w:styleId="HeaderChar">
    <w:name w:val="Header Char"/>
    <w:aliases w:val="Header Char Char Char Char Char Char Char Char Char Char Char1,Header Char Char Char Char Char Char Char Char Char Char Char Char Char1"/>
    <w:uiPriority w:val="99"/>
    <w:locked/>
    <w:rsid w:val="00763A57"/>
    <w:rPr>
      <w:rFonts w:cs="Times New Roman"/>
      <w:sz w:val="22"/>
      <w:lang w:val="en-GB" w:eastAsia="x-none"/>
    </w:rPr>
  </w:style>
  <w:style w:type="character" w:customStyle="1" w:styleId="TitleChar">
    <w:name w:val="Title Char"/>
    <w:locked/>
    <w:rsid w:val="00763A57"/>
    <w:rPr>
      <w:rFonts w:ascii="Cambria" w:hAnsi="Cambria" w:cs="Times New Roman"/>
      <w:b/>
      <w:bCs/>
      <w:kern w:val="28"/>
      <w:sz w:val="32"/>
      <w:szCs w:val="32"/>
    </w:rPr>
  </w:style>
  <w:style w:type="character" w:customStyle="1" w:styleId="BodyText3Char">
    <w:name w:val="Body Text 3 Char"/>
    <w:uiPriority w:val="99"/>
    <w:locked/>
    <w:rsid w:val="00763A57"/>
    <w:rPr>
      <w:rFonts w:ascii="Times Armenian" w:hAnsi="Times Armenian" w:cs="Times New Roman"/>
      <w:sz w:val="24"/>
      <w:lang w:val="it-IT" w:eastAsia="x-none"/>
    </w:rPr>
  </w:style>
  <w:style w:type="paragraph" w:customStyle="1" w:styleId="Listenabsatz">
    <w:name w:val="Listenabsatz"/>
    <w:basedOn w:val="Normal"/>
    <w:rsid w:val="00763A57"/>
    <w:pPr>
      <w:ind w:left="720"/>
      <w:contextualSpacing/>
    </w:pPr>
    <w:rPr>
      <w:rFonts w:ascii="Cambria" w:hAnsi="Cambria"/>
      <w:lang w:val="de-DE"/>
    </w:rPr>
  </w:style>
  <w:style w:type="paragraph" w:customStyle="1" w:styleId="Style40">
    <w:name w:val="Style4"/>
    <w:basedOn w:val="TOC3"/>
    <w:autoRedefine/>
    <w:rsid w:val="00E37271"/>
    <w:rPr>
      <w:bCs/>
      <w:noProof/>
      <w:color w:val="000000"/>
      <w:lang w:val="es-ES"/>
    </w:rPr>
  </w:style>
  <w:style w:type="paragraph" w:customStyle="1" w:styleId="Style5">
    <w:name w:val="Style5"/>
    <w:basedOn w:val="TOC3"/>
    <w:autoRedefine/>
    <w:rsid w:val="00E37271"/>
    <w:rPr>
      <w:rFonts w:cs="Sylfaen"/>
      <w:noProof/>
    </w:rPr>
  </w:style>
  <w:style w:type="paragraph" w:customStyle="1" w:styleId="Style7">
    <w:name w:val="Style7"/>
    <w:basedOn w:val="TOC3"/>
    <w:autoRedefine/>
    <w:rsid w:val="00E37271"/>
    <w:rPr>
      <w:rFonts w:cs="Sylfaen"/>
      <w:noProof/>
    </w:rPr>
  </w:style>
  <w:style w:type="paragraph" w:customStyle="1" w:styleId="Style8">
    <w:name w:val="Style8"/>
    <w:basedOn w:val="TOC1"/>
    <w:autoRedefine/>
    <w:rsid w:val="00E37271"/>
    <w:rPr>
      <w:i/>
    </w:rPr>
  </w:style>
  <w:style w:type="paragraph" w:customStyle="1" w:styleId="Style9">
    <w:name w:val="Style9"/>
    <w:basedOn w:val="TOC1"/>
    <w:autoRedefine/>
    <w:rsid w:val="00E37271"/>
  </w:style>
  <w:style w:type="character" w:customStyle="1" w:styleId="CharChar14">
    <w:name w:val="Char Char14"/>
    <w:rsid w:val="00B142B8"/>
    <w:rPr>
      <w:sz w:val="36"/>
      <w:lang w:val="en-GB"/>
    </w:rPr>
  </w:style>
  <w:style w:type="character" w:customStyle="1" w:styleId="CharChar5">
    <w:name w:val="Char Char5"/>
    <w:rsid w:val="00B142B8"/>
    <w:rPr>
      <w:rFonts w:ascii="Arial Armenian" w:hAnsi="Arial Armenian" w:cs="Sylfaen"/>
      <w:sz w:val="24"/>
      <w:szCs w:val="24"/>
      <w:lang w:val="ru-RU" w:eastAsia="ru-RU"/>
    </w:rPr>
  </w:style>
  <w:style w:type="character" w:customStyle="1" w:styleId="CharChar16">
    <w:name w:val="Char Char16"/>
    <w:rsid w:val="00B142B8"/>
    <w:rPr>
      <w:rFonts w:ascii="Times New Roman" w:hAnsi="Times New Roman"/>
      <w:b/>
      <w:sz w:val="32"/>
      <w:lang w:val="en-GB"/>
    </w:rPr>
  </w:style>
  <w:style w:type="character" w:customStyle="1" w:styleId="CharChar17">
    <w:name w:val="Char Char17"/>
    <w:rsid w:val="00B142B8"/>
    <w:rPr>
      <w:rFonts w:ascii="Arial Armenian" w:hAnsi="Arial Armenian"/>
      <w:i/>
      <w:sz w:val="22"/>
      <w:u w:val="single"/>
      <w:lang w:val="en-GB" w:eastAsia="en-US" w:bidi="ar-SA"/>
    </w:rPr>
  </w:style>
  <w:style w:type="paragraph" w:customStyle="1" w:styleId="text">
    <w:name w:val="text"/>
    <w:basedOn w:val="Normal"/>
    <w:link w:val="textChar"/>
    <w:rsid w:val="00B142B8"/>
    <w:pPr>
      <w:ind w:firstLine="454"/>
    </w:pPr>
    <w:rPr>
      <w:rFonts w:ascii="GHEA Mariam" w:hAnsi="GHEA Mariam"/>
      <w:sz w:val="20"/>
      <w:szCs w:val="20"/>
      <w:lang w:val="en-GB" w:eastAsia="ru-RU"/>
    </w:rPr>
  </w:style>
  <w:style w:type="character" w:customStyle="1" w:styleId="textChar">
    <w:name w:val="text Char"/>
    <w:link w:val="text"/>
    <w:rsid w:val="00B142B8"/>
    <w:rPr>
      <w:rFonts w:ascii="GHEA Mariam" w:hAnsi="GHEA Mariam" w:cs="GHEA Mariam"/>
      <w:lang w:val="en-GB" w:eastAsia="ru-RU"/>
    </w:rPr>
  </w:style>
  <w:style w:type="paragraph" w:customStyle="1" w:styleId="Char40">
    <w:name w:val="Char4"/>
    <w:basedOn w:val="Normal"/>
    <w:rsid w:val="00B142B8"/>
    <w:pPr>
      <w:spacing w:after="160" w:line="240" w:lineRule="exact"/>
    </w:pPr>
    <w:rPr>
      <w:rFonts w:ascii="Arial" w:eastAsia="Calibri" w:hAnsi="Arial" w:cs="Arial"/>
      <w:sz w:val="20"/>
      <w:szCs w:val="20"/>
    </w:rPr>
  </w:style>
  <w:style w:type="paragraph" w:customStyle="1" w:styleId="p2">
    <w:name w:val="p2"/>
    <w:basedOn w:val="Normal"/>
    <w:rsid w:val="00B142B8"/>
    <w:pPr>
      <w:spacing w:before="100" w:beforeAutospacing="1" w:after="100" w:afterAutospacing="1"/>
    </w:pPr>
    <w:rPr>
      <w:rFonts w:eastAsia="Calibri"/>
    </w:rPr>
  </w:style>
  <w:style w:type="paragraph" w:customStyle="1" w:styleId="Char30">
    <w:name w:val="Char3"/>
    <w:basedOn w:val="Normal"/>
    <w:rsid w:val="00B142B8"/>
    <w:pPr>
      <w:spacing w:after="160" w:line="240" w:lineRule="exact"/>
    </w:pPr>
    <w:rPr>
      <w:rFonts w:ascii="Arial" w:eastAsia="Calibri" w:hAnsi="Arial" w:cs="Arial"/>
      <w:sz w:val="20"/>
      <w:szCs w:val="20"/>
    </w:rPr>
  </w:style>
  <w:style w:type="paragraph" w:customStyle="1" w:styleId="Char20">
    <w:name w:val="Char2"/>
    <w:basedOn w:val="Normal"/>
    <w:rsid w:val="00B142B8"/>
    <w:pPr>
      <w:spacing w:after="160" w:line="240" w:lineRule="exact"/>
    </w:pPr>
    <w:rPr>
      <w:rFonts w:ascii="Arial" w:eastAsia="Calibri" w:hAnsi="Arial" w:cs="Arial"/>
      <w:sz w:val="20"/>
      <w:szCs w:val="20"/>
    </w:rPr>
  </w:style>
  <w:style w:type="paragraph" w:customStyle="1" w:styleId="Char10">
    <w:name w:val="Char1"/>
    <w:basedOn w:val="Normal"/>
    <w:uiPriority w:val="99"/>
    <w:rsid w:val="00B142B8"/>
    <w:pPr>
      <w:spacing w:after="160" w:line="240" w:lineRule="exact"/>
    </w:pPr>
    <w:rPr>
      <w:rFonts w:ascii="Arial" w:eastAsia="Calibri" w:hAnsi="Arial" w:cs="Arial"/>
      <w:sz w:val="20"/>
      <w:szCs w:val="20"/>
    </w:rPr>
  </w:style>
  <w:style w:type="character" w:customStyle="1" w:styleId="32ptExact">
    <w:name w:val="Основной текст (3) + Интервал 2 pt Exact"/>
    <w:rsid w:val="00B142B8"/>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B142B8"/>
    <w:pPr>
      <w:spacing w:after="160" w:line="240" w:lineRule="exact"/>
    </w:pPr>
    <w:rPr>
      <w:rFonts w:ascii="Arial" w:hAnsi="Arial" w:cs="Arial"/>
      <w:sz w:val="20"/>
      <w:szCs w:val="20"/>
    </w:rPr>
  </w:style>
  <w:style w:type="paragraph" w:customStyle="1" w:styleId="CharCharCharCharCharChar1">
    <w:name w:val="Char Char Char Char Char Char"/>
    <w:basedOn w:val="Normal"/>
    <w:rsid w:val="00B142B8"/>
    <w:pPr>
      <w:spacing w:after="160" w:line="240" w:lineRule="exact"/>
    </w:pPr>
    <w:rPr>
      <w:rFonts w:ascii="Arial" w:hAnsi="Arial" w:cs="Arial"/>
      <w:sz w:val="20"/>
      <w:szCs w:val="20"/>
    </w:rPr>
  </w:style>
  <w:style w:type="paragraph" w:customStyle="1" w:styleId="CharChar11">
    <w:name w:val="Char Char1"/>
    <w:basedOn w:val="Normal"/>
    <w:rsid w:val="00B142B8"/>
    <w:pPr>
      <w:spacing w:after="160" w:line="240" w:lineRule="exact"/>
    </w:pPr>
    <w:rPr>
      <w:rFonts w:ascii="Arial" w:hAnsi="Arial" w:cs="Arial"/>
      <w:sz w:val="20"/>
      <w:szCs w:val="20"/>
    </w:rPr>
  </w:style>
  <w:style w:type="character" w:customStyle="1" w:styleId="Heading1Char1">
    <w:name w:val="Heading 1 Char1"/>
    <w:aliases w:val="(Section) Char1,Section Heading Char1,(Text) Char1,1 Char1,Chapter Char1,head3 Char1"/>
    <w:uiPriority w:val="99"/>
    <w:locked/>
    <w:rsid w:val="00794E72"/>
    <w:rPr>
      <w:rFonts w:ascii="Arial" w:hAnsi="Arial"/>
      <w:b/>
      <w:kern w:val="32"/>
      <w:sz w:val="32"/>
    </w:rPr>
  </w:style>
  <w:style w:type="character" w:customStyle="1" w:styleId="BodyTextIndent3Char1">
    <w:name w:val="Body Text Indent 3 Char1"/>
    <w:uiPriority w:val="99"/>
    <w:locked/>
    <w:rsid w:val="00794E72"/>
    <w:rPr>
      <w:rFonts w:ascii="Times New Roman" w:hAnsi="Times New Roman"/>
      <w:sz w:val="16"/>
    </w:rPr>
  </w:style>
  <w:style w:type="character" w:customStyle="1" w:styleId="PlainTextChar1">
    <w:name w:val="Plain Text Char1"/>
    <w:uiPriority w:val="99"/>
    <w:locked/>
    <w:rsid w:val="00794E72"/>
    <w:rPr>
      <w:rFonts w:ascii="Courier New" w:hAnsi="Courier New"/>
      <w:sz w:val="20"/>
    </w:rPr>
  </w:style>
  <w:style w:type="character" w:customStyle="1" w:styleId="CommentTextChar1">
    <w:name w:val="Comment Text Char1"/>
    <w:uiPriority w:val="99"/>
    <w:locked/>
    <w:rsid w:val="00794E72"/>
    <w:rPr>
      <w:rFonts w:ascii="Times New Roman" w:hAnsi="Times New Roman"/>
      <w:sz w:val="20"/>
      <w:lang w:val="en-GB"/>
    </w:rPr>
  </w:style>
  <w:style w:type="character" w:customStyle="1" w:styleId="SubtitleChar1">
    <w:name w:val="Subtitle Char1"/>
    <w:uiPriority w:val="99"/>
    <w:locked/>
    <w:rsid w:val="00794E72"/>
    <w:rPr>
      <w:rFonts w:ascii="Times LatArm" w:hAnsi="Times LatArm"/>
      <w:b/>
      <w:sz w:val="24"/>
    </w:rPr>
  </w:style>
  <w:style w:type="character" w:customStyle="1" w:styleId="BalloonTextChar1">
    <w:name w:val="Balloon Text Char1"/>
    <w:uiPriority w:val="99"/>
    <w:locked/>
    <w:rsid w:val="00794E72"/>
    <w:rPr>
      <w:rFonts w:ascii="Tahoma" w:hAnsi="Tahoma"/>
      <w:sz w:val="16"/>
    </w:rPr>
  </w:style>
  <w:style w:type="character" w:customStyle="1" w:styleId="CharChar160">
    <w:name w:val="Char Char16"/>
    <w:uiPriority w:val="99"/>
    <w:rsid w:val="00794E72"/>
    <w:rPr>
      <w:rFonts w:ascii="Times New Roman" w:hAnsi="Times New Roman"/>
      <w:b/>
      <w:sz w:val="20"/>
      <w:lang w:val="en-GB"/>
    </w:rPr>
  </w:style>
  <w:style w:type="character" w:customStyle="1" w:styleId="CharChar140">
    <w:name w:val="Char Char14"/>
    <w:uiPriority w:val="99"/>
    <w:rsid w:val="00794E72"/>
    <w:rPr>
      <w:rFonts w:ascii="Times New Roman" w:hAnsi="Times New Roman"/>
      <w:sz w:val="20"/>
      <w:lang w:val="en-GB"/>
    </w:rPr>
  </w:style>
  <w:style w:type="character" w:customStyle="1" w:styleId="CharChar50">
    <w:name w:val="Char Char5"/>
    <w:uiPriority w:val="99"/>
    <w:rsid w:val="00794E72"/>
    <w:rPr>
      <w:rFonts w:ascii="Times New Roman" w:hAnsi="Times New Roman"/>
      <w:sz w:val="20"/>
      <w:lang w:val="en-GB"/>
    </w:rPr>
  </w:style>
  <w:style w:type="character" w:customStyle="1" w:styleId="EndnoteTextChar1">
    <w:name w:val="Endnote Text Char1"/>
    <w:uiPriority w:val="99"/>
    <w:semiHidden/>
    <w:locked/>
    <w:rsid w:val="00794E72"/>
    <w:rPr>
      <w:rFonts w:ascii="Times New Roman" w:hAnsi="Times New Roman"/>
      <w:sz w:val="20"/>
      <w:lang w:val="en-GB"/>
    </w:rPr>
  </w:style>
  <w:style w:type="character" w:customStyle="1" w:styleId="estilo2">
    <w:name w:val="estilo2"/>
    <w:uiPriority w:val="99"/>
    <w:rsid w:val="00794E72"/>
  </w:style>
  <w:style w:type="character" w:customStyle="1" w:styleId="CharChar3">
    <w:name w:val="Char Char3"/>
    <w:uiPriority w:val="99"/>
    <w:locked/>
    <w:rsid w:val="00794E72"/>
    <w:rPr>
      <w:rFonts w:cs="Times New Roman"/>
      <w:sz w:val="22"/>
      <w:lang w:val="en-GB" w:eastAsia="en-US" w:bidi="ar-SA"/>
    </w:rPr>
  </w:style>
  <w:style w:type="character" w:customStyle="1" w:styleId="CharChar110">
    <w:name w:val="Char Char11"/>
    <w:uiPriority w:val="99"/>
    <w:locked/>
    <w:rsid w:val="00794E72"/>
    <w:rPr>
      <w:rFonts w:ascii="Times Armenian" w:hAnsi="Times Armenian" w:cs="Times New Roman"/>
      <w:b/>
      <w:bCs/>
      <w:sz w:val="24"/>
      <w:szCs w:val="24"/>
      <w:lang w:val="en-US" w:eastAsia="en-US" w:bidi="ar-SA"/>
    </w:rPr>
  </w:style>
  <w:style w:type="character" w:customStyle="1" w:styleId="CharChar51">
    <w:name w:val="Char Char51"/>
    <w:uiPriority w:val="99"/>
    <w:locked/>
    <w:rsid w:val="00794E72"/>
    <w:rPr>
      <w:sz w:val="22"/>
      <w:lang w:val="en-GB" w:eastAsia="en-US"/>
    </w:rPr>
  </w:style>
  <w:style w:type="paragraph" w:customStyle="1" w:styleId="Numberedtext">
    <w:name w:val="Numbered text"/>
    <w:basedOn w:val="BodyText"/>
    <w:uiPriority w:val="99"/>
    <w:rsid w:val="00794E72"/>
    <w:pPr>
      <w:numPr>
        <w:numId w:val="13"/>
      </w:numPr>
      <w:tabs>
        <w:tab w:val="clear" w:pos="1004"/>
        <w:tab w:val="num" w:pos="360"/>
      </w:tabs>
      <w:ind w:left="0" w:firstLine="0"/>
    </w:pPr>
    <w:rPr>
      <w:rFonts w:ascii="Calibri" w:hAnsi="Calibri" w:cs="Calibri"/>
      <w:lang w:eastAsia="en-NZ"/>
    </w:rPr>
  </w:style>
  <w:style w:type="character" w:customStyle="1" w:styleId="DocumentMapChar">
    <w:name w:val="Document Map Char"/>
    <w:rsid w:val="00794E72"/>
    <w:rPr>
      <w:rFonts w:ascii="Times New Roman" w:eastAsia="Times New Roman" w:hAnsi="Times New Roman"/>
      <w:sz w:val="0"/>
      <w:szCs w:val="0"/>
    </w:rPr>
  </w:style>
  <w:style w:type="character" w:customStyle="1" w:styleId="DocumentMapChar1">
    <w:name w:val="Document Map Char1"/>
    <w:link w:val="DocumentMap"/>
    <w:uiPriority w:val="99"/>
    <w:locked/>
    <w:rsid w:val="00794E72"/>
    <w:rPr>
      <w:rFonts w:ascii="Tahoma" w:hAnsi="Tahoma"/>
      <w:sz w:val="24"/>
      <w:shd w:val="clear" w:color="auto" w:fill="000080"/>
      <w:lang w:val="en-GB" w:eastAsia="ru-RU"/>
    </w:rPr>
  </w:style>
  <w:style w:type="paragraph" w:styleId="TOCHeading">
    <w:name w:val="TOC Heading"/>
    <w:basedOn w:val="Heading1"/>
    <w:next w:val="Normal"/>
    <w:uiPriority w:val="39"/>
    <w:qFormat/>
    <w:rsid w:val="009E276C"/>
    <w:pPr>
      <w:keepLines/>
      <w:spacing w:before="480" w:after="0" w:line="276" w:lineRule="auto"/>
      <w:outlineLvl w:val="9"/>
    </w:pPr>
    <w:rPr>
      <w:rFonts w:ascii="Cambria" w:hAnsi="Cambria" w:cs="Times New Roman"/>
      <w:color w:val="365F91"/>
      <w:kern w:val="0"/>
      <w:szCs w:val="28"/>
    </w:rPr>
  </w:style>
  <w:style w:type="character" w:customStyle="1" w:styleId="StyleGHEAGrapalatJustifiedBefore12ptChar">
    <w:name w:val="Style GHEA Grapalat Justified Before:  12 pt Char"/>
    <w:link w:val="StyleGHEAGrapalatJustifiedBefore12pt"/>
    <w:locked/>
    <w:rsid w:val="00F6409E"/>
    <w:rPr>
      <w:rFonts w:ascii="GHEA Grapalat" w:hAnsi="GHEA Grapalat"/>
      <w:sz w:val="24"/>
      <w:lang w:val="ru-RU" w:eastAsia="ru-RU"/>
    </w:rPr>
  </w:style>
  <w:style w:type="paragraph" w:customStyle="1" w:styleId="StyleGHEAGrapalatJustifiedBefore12pt">
    <w:name w:val="Style GHEA Grapalat Justified Before:  12 pt"/>
    <w:basedOn w:val="Normal"/>
    <w:link w:val="StyleGHEAGrapalatJustifiedBefore12ptChar"/>
    <w:rsid w:val="00F6409E"/>
    <w:pPr>
      <w:numPr>
        <w:numId w:val="14"/>
      </w:numPr>
      <w:spacing w:before="240" w:after="240"/>
    </w:pPr>
    <w:rPr>
      <w:szCs w:val="20"/>
      <w:lang w:val="ru-RU" w:eastAsia="ru-RU"/>
    </w:rPr>
  </w:style>
  <w:style w:type="character" w:customStyle="1" w:styleId="FontStyle32">
    <w:name w:val="Font Style32"/>
    <w:uiPriority w:val="99"/>
    <w:rsid w:val="00F6409E"/>
    <w:rPr>
      <w:rFonts w:ascii="Tahoma" w:hAnsi="Tahoma" w:cs="Tahoma"/>
      <w:sz w:val="20"/>
      <w:szCs w:val="20"/>
    </w:rPr>
  </w:style>
  <w:style w:type="paragraph" w:customStyle="1" w:styleId="Text2">
    <w:name w:val="Text 2"/>
    <w:basedOn w:val="Normal"/>
    <w:rsid w:val="00F6409E"/>
    <w:pPr>
      <w:spacing w:before="120" w:after="120"/>
      <w:ind w:left="850"/>
    </w:pPr>
    <w:rPr>
      <w:lang w:val="en-GB" w:eastAsia="zh-CN"/>
    </w:rPr>
  </w:style>
  <w:style w:type="character" w:customStyle="1" w:styleId="fnChar2">
    <w:name w:val="fn Char2"/>
    <w:aliases w:val="ADB Char2,single space Char1,footnote text Char Char1,fn Char Char1,ADB Char Char1,single space Char Char Char1,footnote text Char2,FOOTNOTES Char Char1,FOOTNOTES Char Char Char Char1,FOOTNOTES Char2,Footnote Text Char2,fn Char3,ADB Char3"/>
    <w:locked/>
    <w:rsid w:val="00F6409E"/>
    <w:rPr>
      <w:lang w:val="ru-RU" w:eastAsia="ru-RU"/>
    </w:rPr>
  </w:style>
  <w:style w:type="paragraph" w:customStyle="1" w:styleId="article-type">
    <w:name w:val="article-type"/>
    <w:basedOn w:val="Normal"/>
    <w:rsid w:val="00F6409E"/>
    <w:pPr>
      <w:spacing w:before="100" w:beforeAutospacing="1" w:after="100" w:afterAutospacing="1"/>
    </w:pPr>
    <w:rPr>
      <w:lang w:val="ru-RU" w:eastAsia="ru-RU"/>
    </w:rPr>
  </w:style>
  <w:style w:type="paragraph" w:customStyle="1" w:styleId="wpn-byline">
    <w:name w:val="wpn-byline"/>
    <w:basedOn w:val="Normal"/>
    <w:rsid w:val="00F6409E"/>
    <w:pPr>
      <w:spacing w:before="100" w:beforeAutospacing="1" w:after="100" w:afterAutospacing="1"/>
    </w:pPr>
    <w:rPr>
      <w:lang w:val="ru-RU" w:eastAsia="ru-RU"/>
    </w:rPr>
  </w:style>
  <w:style w:type="paragraph" w:customStyle="1" w:styleId="headline10margin-bottom-20">
    <w:name w:val="headline10 margin-bottom-20"/>
    <w:basedOn w:val="Normal"/>
    <w:rsid w:val="00F6409E"/>
    <w:pPr>
      <w:spacing w:before="100" w:beforeAutospacing="1" w:after="100" w:afterAutospacing="1"/>
    </w:pPr>
    <w:rPr>
      <w:lang w:val="ru-RU" w:eastAsia="ru-RU"/>
    </w:rPr>
  </w:style>
  <w:style w:type="character" w:customStyle="1" w:styleId="published">
    <w:name w:val="published"/>
    <w:rsid w:val="00F6409E"/>
  </w:style>
  <w:style w:type="character" w:customStyle="1" w:styleId="divider">
    <w:name w:val="divider"/>
    <w:rsid w:val="00F6409E"/>
  </w:style>
  <w:style w:type="character" w:customStyle="1" w:styleId="authorvcard">
    <w:name w:val="author vcard"/>
    <w:rsid w:val="00F6409E"/>
  </w:style>
  <w:style w:type="character" w:customStyle="1" w:styleId="category">
    <w:name w:val="category"/>
    <w:rsid w:val="00F6409E"/>
  </w:style>
  <w:style w:type="character" w:customStyle="1" w:styleId="before">
    <w:name w:val="before"/>
    <w:rsid w:val="00F6409E"/>
  </w:style>
  <w:style w:type="character" w:customStyle="1" w:styleId="aqj">
    <w:name w:val="aqj"/>
    <w:rsid w:val="00F6409E"/>
  </w:style>
  <w:style w:type="character" w:customStyle="1" w:styleId="gd">
    <w:name w:val="gd"/>
    <w:rsid w:val="00F6409E"/>
  </w:style>
  <w:style w:type="character" w:customStyle="1" w:styleId="g3">
    <w:name w:val="g3"/>
    <w:rsid w:val="00F6409E"/>
  </w:style>
  <w:style w:type="character" w:customStyle="1" w:styleId="goa1h">
    <w:name w:val="go a1h"/>
    <w:rsid w:val="00F6409E"/>
  </w:style>
  <w:style w:type="character" w:customStyle="1" w:styleId="hb">
    <w:name w:val="hb"/>
    <w:rsid w:val="00F6409E"/>
  </w:style>
  <w:style w:type="character" w:customStyle="1" w:styleId="g2">
    <w:name w:val="g2"/>
    <w:rsid w:val="00F6409E"/>
  </w:style>
  <w:style w:type="character" w:customStyle="1" w:styleId="sizzle">
    <w:name w:val="sizzle"/>
    <w:basedOn w:val="DefaultParagraphFont"/>
    <w:rsid w:val="00DA22A9"/>
  </w:style>
  <w:style w:type="paragraph" w:customStyle="1" w:styleId="16">
    <w:name w:val="Абзац списка1"/>
    <w:basedOn w:val="Normal"/>
    <w:qFormat/>
    <w:rsid w:val="00DA22A9"/>
    <w:pPr>
      <w:ind w:left="720"/>
    </w:pPr>
  </w:style>
  <w:style w:type="character" w:customStyle="1" w:styleId="CharChar111">
    <w:name w:val="Char Char11"/>
    <w:rsid w:val="00DA22A9"/>
    <w:rPr>
      <w:rFonts w:ascii="Arial Armenian" w:hAnsi="Arial Armenian"/>
      <w:lang w:val="ru-RU" w:eastAsia="ru-RU" w:bidi="ar-SA"/>
    </w:rPr>
  </w:style>
  <w:style w:type="paragraph" w:customStyle="1" w:styleId="ac">
    <w:name w:val="Знак"/>
    <w:basedOn w:val="Normal"/>
    <w:rsid w:val="00DA22A9"/>
    <w:pPr>
      <w:spacing w:after="160" w:line="240" w:lineRule="exact"/>
    </w:pPr>
    <w:rPr>
      <w:rFonts w:ascii="Arial" w:hAnsi="Arial" w:cs="Arial"/>
      <w:sz w:val="20"/>
      <w:szCs w:val="20"/>
      <w:lang w:val="en-GB"/>
    </w:rPr>
  </w:style>
  <w:style w:type="paragraph" w:customStyle="1" w:styleId="StyleGHEAGrapalatJustifiedAfter6ptLinespacingMultip">
    <w:name w:val="Style GHEA Grapalat Justified After:  6 pt Line spacing:  Multip..."/>
    <w:basedOn w:val="Normal"/>
    <w:rsid w:val="002911BC"/>
    <w:pPr>
      <w:numPr>
        <w:numId w:val="15"/>
      </w:numPr>
      <w:spacing w:before="240" w:after="240"/>
    </w:pPr>
    <w:rPr>
      <w:szCs w:val="20"/>
      <w:lang w:eastAsia="ru-RU"/>
    </w:rPr>
  </w:style>
  <w:style w:type="paragraph" w:customStyle="1" w:styleId="StyleStyleHeading2ChapterParanumTextSylfaenGHEAGrapa">
    <w:name w:val="Style Style Heading 2.(Chapter).Paranum.Text + Sylfaen + GHEA Grapa..."/>
    <w:basedOn w:val="StyleHeading2ChapterParanumTextSylfaen"/>
    <w:qFormat/>
    <w:rsid w:val="008A4855"/>
    <w:rPr>
      <w:rFonts w:ascii="GHEA Grapalat" w:hAnsi="GHEA Grapalat"/>
    </w:rPr>
  </w:style>
  <w:style w:type="paragraph" w:customStyle="1" w:styleId="ad">
    <w:name w:val="Без интервала"/>
    <w:link w:val="ae"/>
    <w:uiPriority w:val="1"/>
    <w:qFormat/>
    <w:rsid w:val="00E46197"/>
    <w:rPr>
      <w:rFonts w:ascii="Calibri" w:hAnsi="Calibri"/>
      <w:sz w:val="22"/>
      <w:szCs w:val="22"/>
    </w:rPr>
  </w:style>
  <w:style w:type="character" w:customStyle="1" w:styleId="ae">
    <w:name w:val="Без интервала Знак"/>
    <w:link w:val="ad"/>
    <w:uiPriority w:val="1"/>
    <w:rsid w:val="00E46197"/>
    <w:rPr>
      <w:rFonts w:ascii="Calibri" w:hAnsi="Calibri"/>
      <w:sz w:val="22"/>
      <w:szCs w:val="22"/>
      <w:lang w:bidi="ar-SA"/>
    </w:rPr>
  </w:style>
  <w:style w:type="paragraph" w:customStyle="1" w:styleId="17">
    <w:name w:val="Обычный1"/>
    <w:rsid w:val="00E46197"/>
    <w:pPr>
      <w:autoSpaceDE w:val="0"/>
      <w:autoSpaceDN w:val="0"/>
    </w:pPr>
    <w:rPr>
      <w:lang w:val="ru-RU" w:eastAsia="ru-RU"/>
    </w:rPr>
  </w:style>
  <w:style w:type="paragraph" w:customStyle="1" w:styleId="af">
    <w:name w:val="Рецензия"/>
    <w:hidden/>
    <w:semiHidden/>
    <w:rsid w:val="00E46197"/>
    <w:rPr>
      <w:rFonts w:ascii="Arial Armenian" w:hAnsi="Arial Armenian" w:cs="Sylfaen"/>
      <w:sz w:val="24"/>
      <w:szCs w:val="24"/>
      <w:lang w:val="ru-RU" w:eastAsia="ru-RU"/>
    </w:rPr>
  </w:style>
  <w:style w:type="paragraph" w:customStyle="1" w:styleId="32">
    <w:name w:val="???????? ????? ? ???????? 3"/>
    <w:basedOn w:val="a1"/>
    <w:uiPriority w:val="99"/>
    <w:rsid w:val="00F32F60"/>
    <w:pPr>
      <w:ind w:firstLine="360"/>
      <w:jc w:val="both"/>
    </w:pPr>
    <w:rPr>
      <w:rFonts w:ascii="Times Armenian" w:hAnsi="Times Armenian"/>
      <w:sz w:val="24"/>
      <w:lang w:val="af-ZA"/>
    </w:rPr>
  </w:style>
  <w:style w:type="paragraph" w:customStyle="1" w:styleId="6">
    <w:name w:val="????????? 6"/>
    <w:basedOn w:val="a1"/>
    <w:next w:val="a1"/>
    <w:uiPriority w:val="99"/>
    <w:rsid w:val="00F32F60"/>
    <w:pPr>
      <w:keepNext/>
      <w:jc w:val="center"/>
      <w:outlineLvl w:val="5"/>
    </w:pPr>
    <w:rPr>
      <w:rFonts w:ascii="Times Armenian" w:hAnsi="Times Armenian"/>
      <w:i/>
      <w:lang w:val="en-US"/>
    </w:rPr>
  </w:style>
  <w:style w:type="paragraph" w:customStyle="1" w:styleId="310">
    <w:name w:val="???????? ????? 31"/>
    <w:basedOn w:val="a1"/>
    <w:uiPriority w:val="99"/>
    <w:rsid w:val="00F32F60"/>
    <w:pPr>
      <w:jc w:val="center"/>
    </w:pPr>
    <w:rPr>
      <w:rFonts w:ascii="Arial Armenian" w:hAnsi="Arial Armenian"/>
      <w:sz w:val="24"/>
      <w:lang w:val="en-AU"/>
    </w:rPr>
  </w:style>
  <w:style w:type="paragraph" w:customStyle="1" w:styleId="26">
    <w:name w:val="????????? 2"/>
    <w:basedOn w:val="a1"/>
    <w:next w:val="a1"/>
    <w:uiPriority w:val="99"/>
    <w:rsid w:val="00F32F60"/>
    <w:pPr>
      <w:keepNext/>
      <w:ind w:firstLine="720"/>
      <w:outlineLvl w:val="1"/>
    </w:pPr>
    <w:rPr>
      <w:rFonts w:ascii="Times LatArm" w:hAnsi="Times LatArm"/>
      <w:b/>
      <w:i/>
      <w:sz w:val="28"/>
      <w:lang w:val="en-US"/>
    </w:rPr>
  </w:style>
  <w:style w:type="paragraph" w:customStyle="1" w:styleId="41">
    <w:name w:val="????????? 4"/>
    <w:basedOn w:val="a1"/>
    <w:next w:val="a1"/>
    <w:uiPriority w:val="99"/>
    <w:rsid w:val="00F32F60"/>
    <w:pPr>
      <w:keepNext/>
      <w:spacing w:line="360" w:lineRule="auto"/>
      <w:ind w:firstLine="360"/>
      <w:jc w:val="both"/>
      <w:outlineLvl w:val="3"/>
    </w:pPr>
    <w:rPr>
      <w:rFonts w:ascii="Times LatArm" w:hAnsi="Times LatArm"/>
      <w:i/>
      <w:noProof/>
      <w:sz w:val="24"/>
    </w:rPr>
  </w:style>
  <w:style w:type="paragraph" w:customStyle="1" w:styleId="18">
    <w:name w:val="????????? 1"/>
    <w:basedOn w:val="Normal"/>
    <w:next w:val="Normal"/>
    <w:rsid w:val="00F32F60"/>
    <w:pPr>
      <w:keepNext/>
      <w:outlineLvl w:val="0"/>
    </w:pPr>
    <w:rPr>
      <w:rFonts w:ascii="Times Armenian" w:hAnsi="Times Armenian"/>
      <w:i/>
      <w:szCs w:val="20"/>
      <w:lang w:eastAsia="ru-RU"/>
    </w:rPr>
  </w:style>
  <w:style w:type="paragraph" w:customStyle="1" w:styleId="CharChar6">
    <w:name w:val="Знак Знак Char Char"/>
    <w:basedOn w:val="Normal"/>
    <w:rsid w:val="00F32F60"/>
    <w:pPr>
      <w:spacing w:after="160" w:line="240" w:lineRule="exact"/>
    </w:pPr>
    <w:rPr>
      <w:rFonts w:ascii="Arial" w:hAnsi="Arial" w:cs="Arial"/>
      <w:sz w:val="20"/>
      <w:szCs w:val="20"/>
    </w:rPr>
  </w:style>
  <w:style w:type="paragraph" w:customStyle="1" w:styleId="CharChar7">
    <w:name w:val="Знак Знак Char Char Знак Знак"/>
    <w:basedOn w:val="Normal"/>
    <w:rsid w:val="00F32F60"/>
    <w:pPr>
      <w:spacing w:after="160" w:line="240" w:lineRule="exact"/>
    </w:pPr>
    <w:rPr>
      <w:rFonts w:ascii="Arial" w:hAnsi="Arial" w:cs="Arial"/>
      <w:sz w:val="20"/>
      <w:szCs w:val="20"/>
    </w:rPr>
  </w:style>
  <w:style w:type="paragraph" w:customStyle="1" w:styleId="Para">
    <w:name w:val="Para"/>
    <w:basedOn w:val="Normal"/>
    <w:autoRedefine/>
    <w:rsid w:val="00F32F60"/>
    <w:pPr>
      <w:suppressAutoHyphens/>
    </w:pPr>
    <w:rPr>
      <w:rFonts w:eastAsia="Calibri" w:cs="Sylfaen"/>
      <w:bCs/>
      <w:kern w:val="1"/>
    </w:rPr>
  </w:style>
  <w:style w:type="paragraph" w:customStyle="1" w:styleId="ModelNrmlSingle">
    <w:name w:val="ModelNrmlSingle"/>
    <w:basedOn w:val="Normal"/>
    <w:rsid w:val="00F32F60"/>
    <w:pPr>
      <w:spacing w:after="240"/>
      <w:ind w:firstLine="720"/>
    </w:pPr>
    <w:rPr>
      <w:szCs w:val="20"/>
    </w:rPr>
  </w:style>
  <w:style w:type="paragraph" w:customStyle="1" w:styleId="Char50">
    <w:name w:val="Char5"/>
    <w:basedOn w:val="Normal"/>
    <w:rsid w:val="008568FE"/>
    <w:pPr>
      <w:spacing w:after="160" w:line="240" w:lineRule="exact"/>
    </w:pPr>
    <w:rPr>
      <w:rFonts w:ascii="Arial" w:eastAsia="Calibri" w:hAnsi="Arial" w:cs="Arial"/>
      <w:sz w:val="20"/>
      <w:szCs w:val="20"/>
    </w:rPr>
  </w:style>
  <w:style w:type="paragraph" w:customStyle="1" w:styleId="33">
    <w:name w:val="Знак Знак3"/>
    <w:basedOn w:val="Normal"/>
    <w:link w:val="Char11"/>
    <w:rsid w:val="008568FE"/>
    <w:pPr>
      <w:spacing w:after="160" w:line="240" w:lineRule="exact"/>
    </w:pPr>
    <w:rPr>
      <w:rFonts w:ascii="Arial" w:eastAsia="Calibri" w:hAnsi="Arial"/>
      <w:sz w:val="20"/>
      <w:szCs w:val="20"/>
      <w:lang w:val="en-GB" w:eastAsia="x-none"/>
    </w:rPr>
  </w:style>
  <w:style w:type="character" w:customStyle="1" w:styleId="Char11">
    <w:name w:val="Знак Знак Char1"/>
    <w:link w:val="33"/>
    <w:locked/>
    <w:rsid w:val="008568FE"/>
    <w:rPr>
      <w:rFonts w:ascii="Arial" w:eastAsia="Calibri" w:hAnsi="Arial"/>
      <w:lang w:val="en-GB"/>
    </w:rPr>
  </w:style>
  <w:style w:type="paragraph" w:customStyle="1" w:styleId="CharChar60">
    <w:name w:val="Char Char6"/>
    <w:basedOn w:val="Normal"/>
    <w:rsid w:val="008568FE"/>
    <w:pPr>
      <w:spacing w:after="160" w:line="240" w:lineRule="exact"/>
    </w:pPr>
    <w:rPr>
      <w:rFonts w:ascii="Arial" w:eastAsia="Calibri" w:hAnsi="Arial" w:cs="Arial"/>
      <w:sz w:val="20"/>
      <w:szCs w:val="20"/>
    </w:rPr>
  </w:style>
  <w:style w:type="paragraph" w:customStyle="1" w:styleId="CharCharChar10">
    <w:name w:val="Char Char Char1"/>
    <w:basedOn w:val="Normal"/>
    <w:rsid w:val="008568FE"/>
    <w:pPr>
      <w:spacing w:after="160" w:line="240" w:lineRule="exact"/>
    </w:pPr>
    <w:rPr>
      <w:rFonts w:ascii="Arial" w:eastAsia="Calibri" w:hAnsi="Arial" w:cs="Arial"/>
      <w:sz w:val="20"/>
      <w:szCs w:val="20"/>
    </w:rPr>
  </w:style>
  <w:style w:type="paragraph" w:customStyle="1" w:styleId="Znak1">
    <w:name w:val="Znak1"/>
    <w:basedOn w:val="Normal"/>
    <w:rsid w:val="008568FE"/>
    <w:pPr>
      <w:tabs>
        <w:tab w:val="left" w:pos="709"/>
      </w:tabs>
    </w:pPr>
    <w:rPr>
      <w:rFonts w:ascii="Tahoma" w:eastAsia="Calibri" w:hAnsi="Tahoma"/>
      <w:lang w:val="pl-PL" w:eastAsia="pl-PL"/>
    </w:rPr>
  </w:style>
  <w:style w:type="paragraph" w:customStyle="1" w:styleId="CharCharCharCharCharCharCharCharCharCharCharCharChar1">
    <w:name w:val="Char Char Char Char Char Char Char Char Char Char Char Char Char1"/>
    <w:basedOn w:val="Normal"/>
    <w:rsid w:val="008568FE"/>
    <w:pPr>
      <w:spacing w:after="160" w:line="240" w:lineRule="exact"/>
    </w:pPr>
    <w:rPr>
      <w:rFonts w:ascii="Arial" w:eastAsia="Calibri" w:hAnsi="Arial" w:cs="Arial"/>
      <w:sz w:val="20"/>
      <w:szCs w:val="20"/>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8568FE"/>
    <w:pPr>
      <w:spacing w:after="160" w:line="240" w:lineRule="exact"/>
    </w:pPr>
    <w:rPr>
      <w:rFonts w:eastAsia="Calibri"/>
      <w:sz w:val="28"/>
      <w:szCs w:val="20"/>
    </w:rPr>
  </w:style>
  <w:style w:type="paragraph" w:customStyle="1" w:styleId="CharCharChar11">
    <w:name w:val="Char Char Char Знак1"/>
    <w:basedOn w:val="Normal"/>
    <w:next w:val="Normal"/>
    <w:rsid w:val="008568FE"/>
    <w:pPr>
      <w:spacing w:after="160" w:line="240" w:lineRule="exact"/>
    </w:pPr>
    <w:rPr>
      <w:rFonts w:ascii="Tahoma" w:eastAsia="Calibri" w:hAnsi="Tahoma"/>
      <w:szCs w:val="20"/>
    </w:rPr>
  </w:style>
  <w:style w:type="paragraph" w:customStyle="1" w:styleId="CharCharCharCharCharCharCharChar1">
    <w:name w:val="Char Char Char Char Char Char Char Char1"/>
    <w:basedOn w:val="Normal"/>
    <w:rsid w:val="008568FE"/>
    <w:pPr>
      <w:spacing w:after="160" w:line="240" w:lineRule="exact"/>
    </w:pPr>
    <w:rPr>
      <w:rFonts w:ascii="Arial" w:eastAsia="Calibri" w:hAnsi="Arial" w:cs="Arial"/>
      <w:sz w:val="20"/>
      <w:szCs w:val="20"/>
    </w:rPr>
  </w:style>
  <w:style w:type="paragraph" w:customStyle="1" w:styleId="CharCharCharCharCharCharCharCharCharCharCharCharCharCharChar2">
    <w:name w:val="Char Char Char Char Знак Char Знак Char Char Char Char Char Char Char Char Char Char2"/>
    <w:basedOn w:val="Normal"/>
    <w:rsid w:val="008568FE"/>
    <w:pPr>
      <w:tabs>
        <w:tab w:val="left" w:pos="709"/>
      </w:tabs>
    </w:pPr>
    <w:rPr>
      <w:rFonts w:ascii="Tahoma" w:eastAsia="Calibri" w:hAnsi="Tahoma"/>
      <w:lang w:val="pl-PL" w:eastAsia="pl-PL"/>
    </w:rPr>
  </w:style>
  <w:style w:type="paragraph" w:customStyle="1" w:styleId="CharCharCharCharCharCharChar1">
    <w:name w:val="Char Char Char Char Char Char Char1"/>
    <w:basedOn w:val="Normal"/>
    <w:rsid w:val="008568FE"/>
    <w:pPr>
      <w:spacing w:after="160" w:line="240" w:lineRule="exact"/>
    </w:pPr>
    <w:rPr>
      <w:rFonts w:ascii="Arial" w:eastAsia="Calibri" w:hAnsi="Arial" w:cs="Arial"/>
      <w:sz w:val="20"/>
      <w:szCs w:val="20"/>
    </w:rPr>
  </w:style>
  <w:style w:type="paragraph" w:customStyle="1" w:styleId="CharCharChar12">
    <w:name w:val="Char Char Char Знак Знак1"/>
    <w:basedOn w:val="Normal"/>
    <w:rsid w:val="008568FE"/>
    <w:pPr>
      <w:spacing w:after="160" w:line="240" w:lineRule="exact"/>
    </w:pPr>
    <w:rPr>
      <w:rFonts w:ascii="Arial" w:eastAsia="Calibri" w:hAnsi="Arial" w:cs="Arial"/>
      <w:sz w:val="20"/>
      <w:szCs w:val="20"/>
    </w:rPr>
  </w:style>
  <w:style w:type="paragraph" w:customStyle="1" w:styleId="CharCharCharCharCharCharCharCharCharChar1">
    <w:name w:val="Char Char Char Char Char Char Char Char Char Char1"/>
    <w:basedOn w:val="Normal"/>
    <w:rsid w:val="008568FE"/>
    <w:pPr>
      <w:spacing w:after="160" w:line="240" w:lineRule="exact"/>
    </w:pPr>
    <w:rPr>
      <w:rFonts w:ascii="Arial" w:eastAsia="Calibri" w:hAnsi="Arial" w:cs="Arial"/>
      <w:sz w:val="20"/>
      <w:szCs w:val="20"/>
    </w:rPr>
  </w:style>
  <w:style w:type="paragraph" w:customStyle="1" w:styleId="1CharChar1">
    <w:name w:val="Знак Знак1 Char Char Знак Знак1"/>
    <w:basedOn w:val="Normal"/>
    <w:rsid w:val="008568FE"/>
    <w:pPr>
      <w:tabs>
        <w:tab w:val="num" w:pos="840"/>
      </w:tabs>
      <w:spacing w:after="160" w:line="240" w:lineRule="exact"/>
      <w:ind w:left="840" w:hanging="360"/>
    </w:pPr>
    <w:rPr>
      <w:rFonts w:ascii="Verdana" w:eastAsia="Calibri" w:hAnsi="Verdana"/>
      <w:sz w:val="20"/>
      <w:szCs w:val="20"/>
      <w:lang w:val="ru-RU"/>
    </w:rPr>
  </w:style>
  <w:style w:type="paragraph" w:customStyle="1" w:styleId="CharCharCharChar10">
    <w:name w:val="Знак Знак Char Char Знак Знак Char Char Знак Знак1"/>
    <w:basedOn w:val="Normal"/>
    <w:autoRedefine/>
    <w:rsid w:val="008568FE"/>
    <w:pPr>
      <w:spacing w:after="160" w:line="240" w:lineRule="exact"/>
    </w:pPr>
    <w:rPr>
      <w:rFonts w:eastAsia="Calibri"/>
      <w:sz w:val="28"/>
      <w:szCs w:val="20"/>
    </w:rPr>
  </w:style>
  <w:style w:type="paragraph" w:customStyle="1" w:styleId="CharCharChar1Char1">
    <w:name w:val="Char Char Char1 Char1"/>
    <w:basedOn w:val="Normal"/>
    <w:rsid w:val="008568FE"/>
    <w:pPr>
      <w:spacing w:after="160" w:line="240" w:lineRule="exact"/>
    </w:pPr>
    <w:rPr>
      <w:rFonts w:ascii="Arial" w:eastAsia="Calibri" w:hAnsi="Arial" w:cs="Arial"/>
      <w:sz w:val="20"/>
      <w:szCs w:val="20"/>
    </w:rPr>
  </w:style>
  <w:style w:type="paragraph" w:customStyle="1" w:styleId="110">
    <w:name w:val="Знак Знак11"/>
    <w:basedOn w:val="Normal"/>
    <w:rsid w:val="008568FE"/>
    <w:pPr>
      <w:spacing w:after="160" w:line="240" w:lineRule="exact"/>
    </w:pPr>
    <w:rPr>
      <w:rFonts w:ascii="Arial" w:eastAsia="MS Mincho" w:hAnsi="Arial" w:cs="Arial"/>
      <w:sz w:val="20"/>
      <w:szCs w:val="20"/>
    </w:rPr>
  </w:style>
  <w:style w:type="paragraph" w:customStyle="1" w:styleId="CharCharCharCharChar10">
    <w:name w:val="Char Char Char Char Char Знак Знак1"/>
    <w:basedOn w:val="Normal"/>
    <w:rsid w:val="008568FE"/>
    <w:pPr>
      <w:spacing w:after="160" w:line="240" w:lineRule="exact"/>
    </w:pPr>
    <w:rPr>
      <w:rFonts w:ascii="Arial" w:eastAsia="Calibri" w:hAnsi="Arial" w:cs="Arial"/>
      <w:sz w:val="20"/>
      <w:szCs w:val="20"/>
    </w:rPr>
  </w:style>
  <w:style w:type="paragraph" w:customStyle="1" w:styleId="CharChar1CharCharChar1Char1">
    <w:name w:val="Char Char1 Char Char Char1 Char1"/>
    <w:basedOn w:val="Normal"/>
    <w:autoRedefine/>
    <w:rsid w:val="008568FE"/>
    <w:rPr>
      <w:rFonts w:eastAsia="SimSun"/>
      <w:sz w:val="20"/>
      <w:szCs w:val="20"/>
      <w:lang w:eastAsia="ru-RU"/>
    </w:rPr>
  </w:style>
  <w:style w:type="paragraph" w:customStyle="1" w:styleId="410">
    <w:name w:val="Знак Знак41"/>
    <w:basedOn w:val="Normal"/>
    <w:rsid w:val="008568FE"/>
    <w:pPr>
      <w:tabs>
        <w:tab w:val="left" w:pos="709"/>
      </w:tabs>
    </w:pPr>
    <w:rPr>
      <w:rFonts w:ascii="Tahoma" w:eastAsia="Calibri" w:hAnsi="Tahoma"/>
      <w:lang w:val="pl-PL" w:eastAsia="pl-PL"/>
    </w:rPr>
  </w:style>
  <w:style w:type="paragraph" w:customStyle="1" w:styleId="Char13">
    <w:name w:val="Знак Char Знак1"/>
    <w:basedOn w:val="Normal"/>
    <w:rsid w:val="008568FE"/>
    <w:pPr>
      <w:spacing w:after="160" w:line="240" w:lineRule="exact"/>
    </w:pPr>
    <w:rPr>
      <w:rFonts w:ascii="Arial" w:eastAsia="Batang" w:hAnsi="Arial" w:cs="Arial"/>
      <w:sz w:val="20"/>
      <w:szCs w:val="20"/>
    </w:rPr>
  </w:style>
  <w:style w:type="paragraph" w:customStyle="1" w:styleId="CharCharCharCharCharChar10">
    <w:name w:val="Знак Знак Char Char Знак Знак Char Char Знак Знак Char Char1"/>
    <w:basedOn w:val="Normal"/>
    <w:autoRedefine/>
    <w:rsid w:val="008568FE"/>
    <w:pPr>
      <w:spacing w:after="160" w:line="240" w:lineRule="exact"/>
    </w:pPr>
    <w:rPr>
      <w:rFonts w:eastAsia="Calibri"/>
      <w:sz w:val="28"/>
      <w:szCs w:val="20"/>
    </w:rPr>
  </w:style>
  <w:style w:type="paragraph" w:customStyle="1" w:styleId="212">
    <w:name w:val="Знак Знак21"/>
    <w:basedOn w:val="Normal"/>
    <w:rsid w:val="008568FE"/>
    <w:pPr>
      <w:spacing w:after="160" w:line="240" w:lineRule="exact"/>
    </w:pPr>
    <w:rPr>
      <w:rFonts w:ascii="Arial" w:eastAsia="Calibri" w:hAnsi="Arial" w:cs="Arial"/>
      <w:sz w:val="20"/>
      <w:szCs w:val="20"/>
    </w:rPr>
  </w:style>
  <w:style w:type="paragraph" w:customStyle="1" w:styleId="CharCharCharCharChar11">
    <w:name w:val="Char Char Char Char Char1"/>
    <w:basedOn w:val="Normal"/>
    <w:rsid w:val="008568FE"/>
    <w:pPr>
      <w:spacing w:after="160" w:line="240" w:lineRule="exact"/>
    </w:pPr>
    <w:rPr>
      <w:rFonts w:ascii="Arial" w:eastAsia="Calibri" w:hAnsi="Arial" w:cs="Arial"/>
      <w:sz w:val="20"/>
      <w:szCs w:val="20"/>
    </w:rPr>
  </w:style>
  <w:style w:type="paragraph" w:customStyle="1" w:styleId="CharCharCharCharChar5">
    <w:name w:val="Знак Char Char Знак Char Char Char"/>
    <w:aliases w:val="Знак Char Char Знак Char Char1 Знак"/>
    <w:basedOn w:val="Normal"/>
    <w:next w:val="Normal"/>
    <w:semiHidden/>
    <w:rsid w:val="008568FE"/>
    <w:pPr>
      <w:spacing w:after="160" w:line="240" w:lineRule="exact"/>
    </w:pPr>
    <w:rPr>
      <w:rFonts w:ascii="Arial" w:eastAsia="Calibri" w:hAnsi="Arial" w:cs="Arial"/>
      <w:b/>
      <w:sz w:val="20"/>
      <w:szCs w:val="20"/>
      <w:lang w:val="en-GB"/>
    </w:rPr>
  </w:style>
  <w:style w:type="paragraph" w:customStyle="1" w:styleId="ListParagraph11">
    <w:name w:val="List Paragraph11"/>
    <w:basedOn w:val="Normal"/>
    <w:rsid w:val="008568FE"/>
    <w:pPr>
      <w:ind w:left="720" w:right="201" w:firstLine="900"/>
      <w:contextualSpacing/>
    </w:pPr>
    <w:rPr>
      <w:rFonts w:ascii="Times Armenian" w:eastAsia="Calibri" w:hAnsi="Times Armenian"/>
      <w:sz w:val="28"/>
      <w:szCs w:val="28"/>
      <w:lang w:eastAsia="ru-RU"/>
    </w:rPr>
  </w:style>
  <w:style w:type="paragraph" w:customStyle="1" w:styleId="CharCharCharCharCharChar2">
    <w:name w:val="Char Char Char Char Char Char"/>
    <w:basedOn w:val="Normal"/>
    <w:rsid w:val="008568FE"/>
    <w:pPr>
      <w:spacing w:after="160" w:line="240" w:lineRule="exact"/>
    </w:pPr>
    <w:rPr>
      <w:rFonts w:ascii="Arial" w:eastAsia="Calibri" w:hAnsi="Arial" w:cs="Arial"/>
      <w:sz w:val="20"/>
      <w:szCs w:val="20"/>
    </w:rPr>
  </w:style>
  <w:style w:type="paragraph" w:customStyle="1" w:styleId="CharChar12">
    <w:name w:val="Char Char12"/>
    <w:basedOn w:val="Normal"/>
    <w:rsid w:val="008568FE"/>
    <w:pPr>
      <w:spacing w:after="160" w:line="240" w:lineRule="exact"/>
    </w:pPr>
    <w:rPr>
      <w:rFonts w:ascii="Arial" w:eastAsia="Calibri" w:hAnsi="Arial" w:cs="Arial"/>
      <w:sz w:val="20"/>
      <w:szCs w:val="20"/>
    </w:rPr>
  </w:style>
  <w:style w:type="paragraph" w:customStyle="1" w:styleId="af0">
    <w:name w:val="Знак"/>
    <w:basedOn w:val="Normal"/>
    <w:rsid w:val="008568FE"/>
    <w:pPr>
      <w:spacing w:after="160" w:line="240" w:lineRule="exact"/>
    </w:pPr>
    <w:rPr>
      <w:rFonts w:ascii="Arial" w:eastAsia="Calibri" w:hAnsi="Arial" w:cs="Arial"/>
      <w:sz w:val="20"/>
      <w:szCs w:val="20"/>
      <w:lang w:val="en-GB"/>
    </w:rPr>
  </w:style>
  <w:style w:type="paragraph" w:customStyle="1" w:styleId="BodyText10">
    <w:name w:val="Body Text1"/>
    <w:basedOn w:val="Normal"/>
    <w:rsid w:val="0088001C"/>
    <w:pPr>
      <w:tabs>
        <w:tab w:val="num" w:pos="0"/>
      </w:tabs>
      <w:spacing w:after="240"/>
    </w:pPr>
    <w:rPr>
      <w:rFonts w:ascii="Times Armenian" w:hAnsi="Times Armenian"/>
      <w:lang w:eastAsia="ru-RU"/>
    </w:rPr>
  </w:style>
  <w:style w:type="paragraph" w:styleId="Quote">
    <w:name w:val="Quote"/>
    <w:basedOn w:val="Normal"/>
    <w:next w:val="Normal"/>
    <w:link w:val="QuoteChar"/>
    <w:uiPriority w:val="29"/>
    <w:qFormat/>
    <w:rsid w:val="0088001C"/>
    <w:rPr>
      <w:i/>
      <w:iCs/>
      <w:color w:val="000000"/>
      <w:lang w:val="x-none" w:eastAsia="x-none"/>
    </w:rPr>
  </w:style>
  <w:style w:type="character" w:customStyle="1" w:styleId="QuoteChar">
    <w:name w:val="Quote Char"/>
    <w:link w:val="Quote"/>
    <w:uiPriority w:val="29"/>
    <w:rsid w:val="0088001C"/>
    <w:rPr>
      <w:i/>
      <w:iCs/>
      <w:color w:val="000000"/>
      <w:sz w:val="24"/>
      <w:szCs w:val="24"/>
      <w:lang w:val="x-none" w:eastAsia="x-none"/>
    </w:rPr>
  </w:style>
  <w:style w:type="character" w:styleId="IntenseEmphasis">
    <w:name w:val="Intense Emphasis"/>
    <w:uiPriority w:val="21"/>
    <w:qFormat/>
    <w:rsid w:val="0088001C"/>
    <w:rPr>
      <w:b/>
      <w:bCs/>
      <w:i/>
      <w:iCs/>
      <w:color w:val="4F81BD"/>
    </w:rPr>
  </w:style>
  <w:style w:type="table" w:styleId="LightList-Accent1">
    <w:name w:val="Light List Accent 1"/>
    <w:basedOn w:val="TableNormal"/>
    <w:uiPriority w:val="61"/>
    <w:rsid w:val="0088001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rsid w:val="0088001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88001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88001C"/>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rsid w:val="0088001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rsid w:val="0088001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88001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8800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rsid w:val="0088001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qFormat/>
    <w:rsid w:val="000E2224"/>
    <w:pPr>
      <w:ind w:left="720"/>
      <w:contextualSpacing/>
    </w:pPr>
    <w:rPr>
      <w:lang w:val="ru-RU" w:eastAsia="ru-RU"/>
    </w:rPr>
  </w:style>
  <w:style w:type="character" w:customStyle="1" w:styleId="A00">
    <w:name w:val="A0"/>
    <w:rsid w:val="000E2224"/>
    <w:rPr>
      <w:color w:val="000000"/>
      <w:sz w:val="56"/>
      <w:szCs w:val="56"/>
    </w:rPr>
  </w:style>
  <w:style w:type="paragraph" w:customStyle="1" w:styleId="19">
    <w:name w:val="Знак1"/>
    <w:basedOn w:val="Normal"/>
    <w:rsid w:val="000E2224"/>
    <w:pPr>
      <w:spacing w:after="160" w:line="240" w:lineRule="exact"/>
    </w:pPr>
    <w:rPr>
      <w:rFonts w:ascii="Arial" w:hAnsi="Arial" w:cs="Arial"/>
      <w:sz w:val="20"/>
      <w:szCs w:val="20"/>
      <w:lang w:val="en-GB"/>
    </w:rPr>
  </w:style>
  <w:style w:type="character" w:customStyle="1" w:styleId="1a">
    <w:name w:val="Текст сноски Знак1"/>
    <w:semiHidden/>
    <w:rsid w:val="000E2224"/>
    <w:rPr>
      <w:sz w:val="20"/>
      <w:szCs w:val="20"/>
    </w:rPr>
  </w:style>
  <w:style w:type="character" w:customStyle="1" w:styleId="CharChar28">
    <w:name w:val="Char Char28"/>
    <w:rsid w:val="000E2224"/>
    <w:rPr>
      <w:rFonts w:ascii="Arial Armenian" w:hAnsi="Arial Armenian"/>
      <w:i/>
      <w:sz w:val="22"/>
      <w:u w:val="single"/>
      <w:lang w:val="en-GB"/>
    </w:rPr>
  </w:style>
  <w:style w:type="character" w:customStyle="1" w:styleId="CharChar27">
    <w:name w:val="Char Char27"/>
    <w:rsid w:val="000E2224"/>
    <w:rPr>
      <w:rFonts w:ascii="Garamond" w:hAnsi="Garamond"/>
      <w:i/>
      <w:spacing w:val="-5"/>
      <w:sz w:val="28"/>
      <w:shd w:val="pct5" w:color="auto" w:fill="auto"/>
      <w:lang w:val="en-GB"/>
    </w:rPr>
  </w:style>
  <w:style w:type="character" w:customStyle="1" w:styleId="CharChar26">
    <w:name w:val="Char Char26"/>
    <w:rsid w:val="000E2224"/>
    <w:rPr>
      <w:rFonts w:ascii="Arial Black" w:hAnsi="Arial Black"/>
      <w:caps/>
      <w:spacing w:val="60"/>
      <w:position w:val="4"/>
      <w:sz w:val="14"/>
      <w:lang w:val="en-GB"/>
    </w:rPr>
  </w:style>
  <w:style w:type="character" w:customStyle="1" w:styleId="CharChar25">
    <w:name w:val="Char Char25"/>
    <w:rsid w:val="000E2224"/>
    <w:rPr>
      <w:rFonts w:ascii="Garamond" w:hAnsi="Garamond"/>
      <w:b/>
      <w:i/>
      <w:kern w:val="28"/>
      <w:lang w:val="en-GB"/>
    </w:rPr>
  </w:style>
  <w:style w:type="character" w:customStyle="1" w:styleId="CharChar24">
    <w:name w:val="Char Char24"/>
    <w:rsid w:val="000E2224"/>
    <w:rPr>
      <w:rFonts w:ascii="Arial Armenian" w:hAnsi="Arial Armenian"/>
      <w:noProof/>
      <w:lang w:val="en-US" w:eastAsia="en-US" w:bidi="ar-SA"/>
    </w:rPr>
  </w:style>
  <w:style w:type="character" w:customStyle="1" w:styleId="CharChar23">
    <w:name w:val="Char Char23"/>
    <w:rsid w:val="000E2224"/>
    <w:rPr>
      <w:rFonts w:ascii="Arial Armenian" w:hAnsi="Arial Armenian"/>
      <w:lang w:val="en-GB" w:eastAsia="en-US" w:bidi="ar-SA"/>
    </w:rPr>
  </w:style>
  <w:style w:type="character" w:customStyle="1" w:styleId="CharChar22">
    <w:name w:val="Char Char22"/>
    <w:rsid w:val="000E2224"/>
    <w:rPr>
      <w:rFonts w:ascii="Arial Armenian" w:hAnsi="Arial Armenian"/>
      <w:lang w:val="ru-RU" w:eastAsia="ru-RU" w:bidi="ar-SA"/>
    </w:rPr>
  </w:style>
  <w:style w:type="paragraph" w:customStyle="1" w:styleId="Outline">
    <w:name w:val="Outline"/>
    <w:basedOn w:val="Normal"/>
    <w:rsid w:val="000E2224"/>
    <w:pPr>
      <w:spacing w:before="240"/>
    </w:pPr>
    <w:rPr>
      <w:kern w:val="28"/>
      <w:szCs w:val="20"/>
    </w:rPr>
  </w:style>
  <w:style w:type="paragraph" w:customStyle="1" w:styleId="af1">
    <w:name w:val="Îáû÷íûé"/>
    <w:rsid w:val="000E2224"/>
    <w:rPr>
      <w:rFonts w:ascii="Times Armenian" w:hAnsi="Times Armenian"/>
      <w:sz w:val="24"/>
    </w:rPr>
  </w:style>
  <w:style w:type="paragraph" w:customStyle="1" w:styleId="Style13">
    <w:name w:val="Style13"/>
    <w:basedOn w:val="Normal"/>
    <w:rsid w:val="000E2224"/>
    <w:pPr>
      <w:widowControl w:val="0"/>
      <w:autoSpaceDE w:val="0"/>
      <w:autoSpaceDN w:val="0"/>
      <w:adjustRightInd w:val="0"/>
    </w:pPr>
    <w:rPr>
      <w:rFonts w:ascii="Tahoma" w:eastAsia="SimSun" w:hAnsi="Tahoma" w:cs="Tahoma"/>
    </w:rPr>
  </w:style>
  <w:style w:type="character" w:customStyle="1" w:styleId="FontStyle27">
    <w:name w:val="Font Style27"/>
    <w:rsid w:val="000E2224"/>
    <w:rPr>
      <w:rFonts w:ascii="Tahoma" w:hAnsi="Tahoma" w:cs="Tahoma" w:hint="default"/>
      <w:sz w:val="14"/>
      <w:szCs w:val="14"/>
    </w:rPr>
  </w:style>
  <w:style w:type="paragraph" w:customStyle="1" w:styleId="Style14">
    <w:name w:val="Style14"/>
    <w:basedOn w:val="Normal"/>
    <w:rsid w:val="000E2224"/>
    <w:pPr>
      <w:widowControl w:val="0"/>
      <w:autoSpaceDE w:val="0"/>
      <w:autoSpaceDN w:val="0"/>
      <w:adjustRightInd w:val="0"/>
      <w:spacing w:line="211" w:lineRule="exact"/>
    </w:pPr>
    <w:rPr>
      <w:rFonts w:ascii="Tahoma" w:eastAsia="SimSun" w:hAnsi="Tahoma" w:cs="Tahoma"/>
    </w:rPr>
  </w:style>
  <w:style w:type="character" w:customStyle="1" w:styleId="FontStyle26">
    <w:name w:val="Font Style26"/>
    <w:rsid w:val="000E2224"/>
    <w:rPr>
      <w:rFonts w:ascii="Tahoma" w:hAnsi="Tahoma" w:cs="Tahoma" w:hint="default"/>
      <w:i/>
      <w:iCs/>
      <w:spacing w:val="10"/>
      <w:sz w:val="16"/>
      <w:szCs w:val="16"/>
    </w:rPr>
  </w:style>
  <w:style w:type="character" w:customStyle="1" w:styleId="FontStyle53">
    <w:name w:val="Font Style53"/>
    <w:rsid w:val="000E2224"/>
    <w:rPr>
      <w:rFonts w:ascii="Sylfaen" w:hAnsi="Sylfaen"/>
      <w:sz w:val="18"/>
    </w:rPr>
  </w:style>
  <w:style w:type="character" w:customStyle="1" w:styleId="shorttext">
    <w:name w:val="short_text"/>
    <w:rsid w:val="000E2224"/>
    <w:rPr>
      <w:rFonts w:cs="Times New Roman"/>
    </w:rPr>
  </w:style>
  <w:style w:type="table" w:customStyle="1" w:styleId="LightList-Accent11">
    <w:name w:val="Light List - Accent 11"/>
    <w:basedOn w:val="TableNormal"/>
    <w:uiPriority w:val="61"/>
    <w:rsid w:val="005F077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b">
    <w:name w:val="Нет списка1"/>
    <w:next w:val="NoList"/>
    <w:semiHidden/>
    <w:unhideWhenUsed/>
    <w:rsid w:val="00E563B1"/>
  </w:style>
  <w:style w:type="paragraph" w:customStyle="1" w:styleId="NoSpacing1">
    <w:name w:val="No Spacing1"/>
    <w:qFormat/>
    <w:rsid w:val="00E563B1"/>
    <w:rPr>
      <w:rFonts w:ascii="Calibri" w:hAnsi="Calibri"/>
      <w:sz w:val="22"/>
      <w:szCs w:val="22"/>
    </w:rPr>
  </w:style>
  <w:style w:type="paragraph" w:customStyle="1" w:styleId="27">
    <w:name w:val="Обычный2"/>
    <w:rsid w:val="00E563B1"/>
    <w:pPr>
      <w:autoSpaceDE w:val="0"/>
      <w:autoSpaceDN w:val="0"/>
    </w:pPr>
    <w:rPr>
      <w:lang w:val="ru-RU" w:eastAsia="ru-RU"/>
    </w:rPr>
  </w:style>
  <w:style w:type="paragraph" w:customStyle="1" w:styleId="Revision1">
    <w:name w:val="Revision1"/>
    <w:hidden/>
    <w:semiHidden/>
    <w:rsid w:val="00E563B1"/>
    <w:rPr>
      <w:rFonts w:ascii="Arial Armenian" w:hAnsi="Arial Armenian" w:cs="Sylfaen"/>
      <w:sz w:val="24"/>
      <w:szCs w:val="24"/>
      <w:lang w:val="ru-RU" w:eastAsia="ru-RU"/>
    </w:rPr>
  </w:style>
  <w:style w:type="paragraph" w:customStyle="1" w:styleId="TOCHeading1">
    <w:name w:val="TOC Heading1"/>
    <w:basedOn w:val="Heading1"/>
    <w:next w:val="Normal"/>
    <w:qFormat/>
    <w:rsid w:val="00E563B1"/>
    <w:pPr>
      <w:keepLines/>
      <w:spacing w:before="480" w:after="0" w:line="276" w:lineRule="auto"/>
      <w:outlineLvl w:val="9"/>
    </w:pPr>
    <w:rPr>
      <w:rFonts w:ascii="Cambria" w:hAnsi="Cambria" w:cs="Times New Roman"/>
      <w:color w:val="365F91"/>
      <w:kern w:val="0"/>
      <w:szCs w:val="28"/>
    </w:rPr>
  </w:style>
  <w:style w:type="character" w:customStyle="1" w:styleId="NoSpacingChar1">
    <w:name w:val="No Spacing Char1"/>
    <w:rsid w:val="00E563B1"/>
    <w:rPr>
      <w:rFonts w:ascii="Calibri" w:eastAsia="Times New Roman" w:hAnsi="Calibri" w:cs="Times New Roman"/>
      <w:lang w:val="en-US"/>
    </w:rPr>
  </w:style>
  <w:style w:type="paragraph" w:customStyle="1" w:styleId="Quote1">
    <w:name w:val="Quote1"/>
    <w:basedOn w:val="Normal"/>
    <w:next w:val="Normal"/>
    <w:qFormat/>
    <w:rsid w:val="00E563B1"/>
    <w:rPr>
      <w:i/>
      <w:iCs/>
      <w:color w:val="000000"/>
      <w:lang w:val="x-none" w:eastAsia="x-none"/>
    </w:rPr>
  </w:style>
  <w:style w:type="character" w:customStyle="1" w:styleId="IntenseEmphasis1">
    <w:name w:val="Intense Emphasis1"/>
    <w:qFormat/>
    <w:rsid w:val="00E563B1"/>
    <w:rPr>
      <w:b/>
      <w:bCs/>
      <w:i/>
      <w:iCs/>
      <w:color w:val="4F81BD"/>
    </w:rPr>
  </w:style>
  <w:style w:type="table" w:customStyle="1" w:styleId="ColorfulGrid-Accent11">
    <w:name w:val="Colorful Grid - Accent 11"/>
    <w:basedOn w:val="TableNormal"/>
    <w:rsid w:val="00E563B1"/>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E563B1"/>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CE125F"/>
    <w:pPr>
      <w:widowControl w:val="0"/>
      <w:suppressAutoHyphens/>
      <w:autoSpaceDN w:val="0"/>
      <w:textAlignment w:val="baseline"/>
    </w:pPr>
    <w:rPr>
      <w:rFonts w:ascii="Calibri" w:hAnsi="Calibri"/>
      <w:kern w:val="3"/>
      <w:sz w:val="24"/>
      <w:szCs w:val="24"/>
    </w:rPr>
  </w:style>
  <w:style w:type="character" w:customStyle="1" w:styleId="PageNumber1">
    <w:name w:val="Page Number1"/>
    <w:rsid w:val="00CE125F"/>
    <w:rPr>
      <w:rFonts w:cs="Times New Roman"/>
    </w:rPr>
  </w:style>
  <w:style w:type="character" w:customStyle="1" w:styleId="af2">
    <w:name w:val="Основной текст_"/>
    <w:rsid w:val="00CE125F"/>
    <w:rPr>
      <w:rFonts w:ascii="Sylfaen" w:hAnsi="Sylfaen" w:cs="Sylfaen"/>
      <w:spacing w:val="20"/>
      <w:w w:val="80"/>
      <w:shd w:val="clear" w:color="auto" w:fill="FFFFFF"/>
    </w:rPr>
  </w:style>
  <w:style w:type="character" w:customStyle="1" w:styleId="28">
    <w:name w:val="Основной текст (2)_"/>
    <w:rsid w:val="00CE125F"/>
    <w:rPr>
      <w:rFonts w:ascii="Sylfaen" w:hAnsi="Sylfaen" w:cs="Sylfaen"/>
      <w:i/>
      <w:iCs/>
      <w:shd w:val="clear" w:color="auto" w:fill="FFFFFF"/>
    </w:rPr>
  </w:style>
  <w:style w:type="character" w:customStyle="1" w:styleId="34">
    <w:name w:val="Основной текст (3)_"/>
    <w:rsid w:val="00CE125F"/>
    <w:rPr>
      <w:rFonts w:ascii="Sylfaen" w:hAnsi="Sylfaen" w:cs="Sylfaen"/>
      <w:spacing w:val="20"/>
      <w:w w:val="80"/>
      <w:sz w:val="21"/>
      <w:szCs w:val="21"/>
      <w:shd w:val="clear" w:color="auto" w:fill="FFFFFF"/>
    </w:rPr>
  </w:style>
  <w:style w:type="character" w:customStyle="1" w:styleId="311pt">
    <w:name w:val="Основной текст (3) + 11 pt"/>
    <w:rsid w:val="00CE125F"/>
    <w:rPr>
      <w:rFonts w:ascii="Sylfaen" w:hAnsi="Sylfaen" w:cs="Sylfaen"/>
      <w:i/>
      <w:iCs/>
      <w:spacing w:val="0"/>
      <w:w w:val="100"/>
      <w:sz w:val="22"/>
      <w:szCs w:val="22"/>
      <w:shd w:val="clear" w:color="auto" w:fill="FFFFFF"/>
    </w:rPr>
  </w:style>
  <w:style w:type="character" w:customStyle="1" w:styleId="311pt1">
    <w:name w:val="Основной текст (3) + 11 pt1"/>
    <w:rsid w:val="00CE125F"/>
    <w:rPr>
      <w:rFonts w:ascii="Sylfaen" w:hAnsi="Sylfaen" w:cs="Sylfaen"/>
      <w:spacing w:val="0"/>
      <w:w w:val="100"/>
      <w:sz w:val="22"/>
      <w:szCs w:val="22"/>
      <w:shd w:val="clear" w:color="auto" w:fill="FFFFFF"/>
    </w:rPr>
  </w:style>
  <w:style w:type="character" w:customStyle="1" w:styleId="29">
    <w:name w:val="Основной текст2"/>
    <w:rsid w:val="00CE125F"/>
  </w:style>
  <w:style w:type="character" w:customStyle="1" w:styleId="42">
    <w:name w:val="Основной текст (4)_"/>
    <w:rsid w:val="00CE125F"/>
    <w:rPr>
      <w:rFonts w:ascii="Sylfaen" w:hAnsi="Sylfaen" w:cs="Sylfaen"/>
      <w:spacing w:val="20"/>
      <w:w w:val="80"/>
      <w:shd w:val="clear" w:color="auto" w:fill="FFFFFF"/>
    </w:rPr>
  </w:style>
  <w:style w:type="character" w:customStyle="1" w:styleId="4pt">
    <w:name w:val="Основной текст + 4 pt"/>
    <w:rsid w:val="00CE125F"/>
    <w:rPr>
      <w:rFonts w:ascii="Sylfaen" w:hAnsi="Sylfaen" w:cs="Sylfaen"/>
      <w:i/>
      <w:iCs/>
      <w:spacing w:val="0"/>
      <w:w w:val="100"/>
      <w:sz w:val="8"/>
      <w:szCs w:val="8"/>
      <w:shd w:val="clear" w:color="auto" w:fill="FFFFFF"/>
    </w:rPr>
  </w:style>
  <w:style w:type="character" w:customStyle="1" w:styleId="1c">
    <w:name w:val="Заголовок №1_"/>
    <w:rsid w:val="00CE125F"/>
    <w:rPr>
      <w:rFonts w:ascii="Sylfaen" w:hAnsi="Sylfaen" w:cs="Sylfaen"/>
      <w:i/>
      <w:iCs/>
      <w:spacing w:val="-30"/>
      <w:sz w:val="31"/>
      <w:szCs w:val="31"/>
      <w:shd w:val="clear" w:color="auto" w:fill="FFFFFF"/>
    </w:rPr>
  </w:style>
  <w:style w:type="character" w:customStyle="1" w:styleId="111">
    <w:name w:val="Заголовок №1 + 11"/>
    <w:rsid w:val="00CE125F"/>
    <w:rPr>
      <w:rFonts w:ascii="Sylfaen" w:hAnsi="Sylfaen" w:cs="Sylfaen"/>
      <w:i/>
      <w:iCs/>
      <w:spacing w:val="-20"/>
      <w:sz w:val="23"/>
      <w:szCs w:val="23"/>
      <w:shd w:val="clear" w:color="auto" w:fill="FFFFFF"/>
    </w:rPr>
  </w:style>
  <w:style w:type="character" w:customStyle="1" w:styleId="Sylfaen2">
    <w:name w:val="Основной текст + Sylfaen2"/>
    <w:rsid w:val="00CE125F"/>
    <w:rPr>
      <w:rFonts w:ascii="Sylfaen" w:hAnsi="Sylfaen" w:cs="Sylfaen"/>
      <w:spacing w:val="20"/>
      <w:w w:val="80"/>
      <w:sz w:val="22"/>
      <w:szCs w:val="22"/>
      <w:u w:val="none"/>
      <w:shd w:val="clear" w:color="auto" w:fill="FFFFFF"/>
    </w:rPr>
  </w:style>
  <w:style w:type="character" w:customStyle="1" w:styleId="Sylfaen1">
    <w:name w:val="Основной текст + Sylfaen1"/>
    <w:rsid w:val="00CE125F"/>
    <w:rPr>
      <w:rFonts w:ascii="Sylfaen" w:hAnsi="Sylfaen" w:cs="Sylfaen"/>
      <w:spacing w:val="20"/>
      <w:w w:val="80"/>
      <w:sz w:val="20"/>
      <w:szCs w:val="20"/>
      <w:u w:val="none"/>
      <w:shd w:val="clear" w:color="auto" w:fill="FFFFFF"/>
    </w:rPr>
  </w:style>
  <w:style w:type="character" w:customStyle="1" w:styleId="af3">
    <w:name w:val="Основной текст + Полужирный"/>
    <w:rsid w:val="00CE125F"/>
    <w:rPr>
      <w:rFonts w:ascii="Sylfaen" w:hAnsi="Sylfaen" w:cs="Sylfaen"/>
      <w:b/>
      <w:bCs/>
      <w:spacing w:val="20"/>
      <w:w w:val="80"/>
      <w:sz w:val="21"/>
      <w:szCs w:val="21"/>
      <w:u w:val="none"/>
      <w:shd w:val="clear" w:color="auto" w:fill="FFFFFF"/>
    </w:rPr>
  </w:style>
  <w:style w:type="character" w:customStyle="1" w:styleId="ListLabel1">
    <w:name w:val="ListLabel 1"/>
    <w:rsid w:val="00CE125F"/>
    <w:rPr>
      <w:rFonts w:eastAsia="Times New Roman"/>
      <w:color w:val="000000"/>
    </w:rPr>
  </w:style>
  <w:style w:type="character" w:customStyle="1" w:styleId="ListLabel2">
    <w:name w:val="ListLabel 2"/>
    <w:rsid w:val="00CE125F"/>
  </w:style>
  <w:style w:type="character" w:customStyle="1" w:styleId="ListLabel3">
    <w:name w:val="ListLabel 3"/>
    <w:rsid w:val="00CE125F"/>
  </w:style>
  <w:style w:type="character" w:customStyle="1" w:styleId="ListLabel4">
    <w:name w:val="ListLabel 4"/>
    <w:rsid w:val="00CE125F"/>
  </w:style>
  <w:style w:type="character" w:customStyle="1" w:styleId="ListLabel5">
    <w:name w:val="ListLabel 5"/>
    <w:rsid w:val="00CE125F"/>
    <w:rPr>
      <w:color w:val="auto"/>
    </w:rPr>
  </w:style>
  <w:style w:type="character" w:customStyle="1" w:styleId="ListLabel6">
    <w:name w:val="ListLabel 6"/>
    <w:rsid w:val="00CE125F"/>
    <w:rPr>
      <w:b/>
      <w:i/>
    </w:rPr>
  </w:style>
  <w:style w:type="character" w:customStyle="1" w:styleId="ListLabel7">
    <w:name w:val="ListLabel 7"/>
    <w:rsid w:val="00CE125F"/>
    <w:rPr>
      <w:sz w:val="24"/>
    </w:rPr>
  </w:style>
  <w:style w:type="character" w:customStyle="1" w:styleId="ListLabel8">
    <w:name w:val="ListLabel 8"/>
    <w:rsid w:val="00CE125F"/>
    <w:rPr>
      <w:rFonts w:eastAsia="Times New Roman"/>
    </w:rPr>
  </w:style>
  <w:style w:type="paragraph" w:customStyle="1" w:styleId="Heading">
    <w:name w:val="Heading"/>
    <w:basedOn w:val="Normal"/>
    <w:next w:val="BodyText"/>
    <w:rsid w:val="00CE125F"/>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rsid w:val="00CE125F"/>
    <w:pPr>
      <w:suppressAutoHyphens/>
      <w:spacing w:line="288" w:lineRule="auto"/>
    </w:pPr>
    <w:rPr>
      <w:rFonts w:cs="GHEA Grapalat"/>
      <w:kern w:val="1"/>
    </w:rPr>
  </w:style>
  <w:style w:type="paragraph" w:customStyle="1" w:styleId="Index">
    <w:name w:val="Index"/>
    <w:basedOn w:val="Normal"/>
    <w:rsid w:val="00CE125F"/>
    <w:pPr>
      <w:suppressLineNumbers/>
      <w:suppressAutoHyphens/>
      <w:spacing w:after="200" w:line="276" w:lineRule="auto"/>
    </w:pPr>
    <w:rPr>
      <w:rFonts w:ascii="Calibri" w:hAnsi="Calibri" w:cs="Calibri"/>
      <w:kern w:val="1"/>
    </w:rPr>
  </w:style>
  <w:style w:type="paragraph" w:customStyle="1" w:styleId="af4">
    <w:name w:val="Стиль Знак"/>
    <w:basedOn w:val="Normal"/>
    <w:rsid w:val="00CE125F"/>
    <w:pPr>
      <w:suppressAutoHyphens/>
      <w:spacing w:after="160" w:line="240" w:lineRule="exact"/>
    </w:pPr>
    <w:rPr>
      <w:rFonts w:ascii="Arial" w:hAnsi="Arial" w:cs="Arial"/>
      <w:kern w:val="1"/>
      <w:sz w:val="20"/>
      <w:szCs w:val="20"/>
    </w:rPr>
  </w:style>
  <w:style w:type="paragraph" w:customStyle="1" w:styleId="1d">
    <w:name w:val="Без интервала1"/>
    <w:qFormat/>
    <w:rsid w:val="00CE125F"/>
    <w:pPr>
      <w:suppressAutoHyphens/>
    </w:pPr>
    <w:rPr>
      <w:rFonts w:ascii="GHEA Grapalat" w:hAnsi="GHEA Grapalat" w:cs="GHEA Grapalat"/>
      <w:kern w:val="1"/>
      <w:sz w:val="22"/>
      <w:szCs w:val="22"/>
    </w:rPr>
  </w:style>
  <w:style w:type="paragraph" w:customStyle="1" w:styleId="Iacaaiea">
    <w:name w:val="Iacaaiea"/>
    <w:basedOn w:val="Normal"/>
    <w:rsid w:val="00CE125F"/>
    <w:pPr>
      <w:widowControl w:val="0"/>
      <w:suppressAutoHyphens/>
      <w:jc w:val="center"/>
    </w:pPr>
    <w:rPr>
      <w:rFonts w:ascii="Times LatArm" w:hAnsi="Times LatArm" w:cs="Times LatArm"/>
      <w:kern w:val="1"/>
    </w:rPr>
  </w:style>
  <w:style w:type="paragraph" w:customStyle="1" w:styleId="1e">
    <w:name w:val="Основной текст1"/>
    <w:basedOn w:val="Normal"/>
    <w:rsid w:val="00CE125F"/>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2a">
    <w:name w:val="Основной текст (2)"/>
    <w:basedOn w:val="Normal"/>
    <w:rsid w:val="00CE125F"/>
    <w:pPr>
      <w:suppressAutoHyphens/>
      <w:spacing w:after="200" w:line="276" w:lineRule="auto"/>
    </w:pPr>
    <w:rPr>
      <w:rFonts w:ascii="Sylfaen" w:hAnsi="Sylfaen" w:cs="Sylfaen"/>
      <w:i/>
      <w:iCs/>
      <w:kern w:val="1"/>
      <w:sz w:val="20"/>
      <w:szCs w:val="20"/>
      <w:shd w:val="clear" w:color="auto" w:fill="FFFFFF"/>
      <w:lang w:val="ru-RU" w:eastAsia="ru-RU"/>
    </w:rPr>
  </w:style>
  <w:style w:type="paragraph" w:customStyle="1" w:styleId="35">
    <w:name w:val="Основной текст (3)"/>
    <w:basedOn w:val="Normal"/>
    <w:rsid w:val="00CE125F"/>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3">
    <w:name w:val="Основной текст (4)"/>
    <w:basedOn w:val="Normal"/>
    <w:rsid w:val="00CE125F"/>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1f">
    <w:name w:val="Заголовок №1"/>
    <w:basedOn w:val="Normal"/>
    <w:rsid w:val="00CE125F"/>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CharChar12">
    <w:name w:val="Char Char Char Знак Знак Char Char Знак Знак1"/>
    <w:basedOn w:val="Normal"/>
    <w:rsid w:val="00CE125F"/>
    <w:pPr>
      <w:suppressAutoHyphens/>
      <w:spacing w:after="160" w:line="240" w:lineRule="exact"/>
    </w:pPr>
    <w:rPr>
      <w:rFonts w:ascii="Arial" w:hAnsi="Arial" w:cs="Arial"/>
      <w:kern w:val="1"/>
      <w:sz w:val="20"/>
      <w:szCs w:val="20"/>
    </w:rPr>
  </w:style>
  <w:style w:type="paragraph" w:customStyle="1" w:styleId="FrameContents">
    <w:name w:val="Frame Contents"/>
    <w:basedOn w:val="Normal"/>
    <w:rsid w:val="00CE125F"/>
    <w:pPr>
      <w:suppressAutoHyphens/>
      <w:spacing w:after="200" w:line="276" w:lineRule="auto"/>
    </w:pPr>
    <w:rPr>
      <w:rFonts w:ascii="Calibri" w:hAnsi="Calibri" w:cs="Calibri"/>
      <w:kern w:val="1"/>
    </w:rPr>
  </w:style>
  <w:style w:type="paragraph" w:customStyle="1" w:styleId="NoSpacing2">
    <w:name w:val="No Spacing2"/>
    <w:rsid w:val="00CE125F"/>
    <w:rPr>
      <w:rFonts w:ascii="Arial Armenian" w:hAnsi="Arial Armenian" w:cs="Arial Armenian"/>
      <w:sz w:val="24"/>
      <w:szCs w:val="24"/>
      <w:lang w:val="ru-RU"/>
    </w:rPr>
  </w:style>
  <w:style w:type="character" w:customStyle="1" w:styleId="user-name">
    <w:name w:val="user-name"/>
    <w:rsid w:val="00CE125F"/>
    <w:rPr>
      <w:rFonts w:cs="Times New Roman"/>
    </w:rPr>
  </w:style>
  <w:style w:type="paragraph" w:customStyle="1" w:styleId="ModelSingleNoIndent">
    <w:name w:val="ModelSingleNoIndent"/>
    <w:basedOn w:val="Normal"/>
    <w:rsid w:val="00DF5F07"/>
    <w:pPr>
      <w:spacing w:after="240"/>
    </w:pPr>
    <w:rPr>
      <w:szCs w:val="20"/>
    </w:rPr>
  </w:style>
  <w:style w:type="paragraph" w:customStyle="1" w:styleId="Char1CharCharCharCharCharCharCharCharCharCharCharChar0">
    <w:name w:val="Char1 Char Char Char Char Char Char Char Char Char Char Char Char"/>
    <w:basedOn w:val="Normal"/>
    <w:rsid w:val="00DF5F07"/>
    <w:pPr>
      <w:spacing w:after="160" w:line="240" w:lineRule="exact"/>
    </w:pPr>
    <w:rPr>
      <w:rFonts w:ascii="Arial" w:hAnsi="Arial" w:cs="Arial"/>
      <w:sz w:val="20"/>
      <w:szCs w:val="20"/>
    </w:rPr>
  </w:style>
  <w:style w:type="paragraph" w:customStyle="1" w:styleId="ModelNrmlDouble">
    <w:name w:val="ModelNrmlDouble"/>
    <w:basedOn w:val="Normal"/>
    <w:rsid w:val="00DF5F07"/>
    <w:pPr>
      <w:overflowPunct w:val="0"/>
      <w:autoSpaceDE w:val="0"/>
      <w:autoSpaceDN w:val="0"/>
      <w:adjustRightInd w:val="0"/>
      <w:spacing w:after="360" w:line="480" w:lineRule="auto"/>
      <w:ind w:firstLine="720"/>
      <w:textAlignment w:val="baseline"/>
    </w:pPr>
    <w:rPr>
      <w:szCs w:val="20"/>
    </w:rPr>
  </w:style>
  <w:style w:type="paragraph" w:customStyle="1" w:styleId="subhead3">
    <w:name w:val="sub_head3"/>
    <w:basedOn w:val="Normal"/>
    <w:rsid w:val="00DF5F07"/>
    <w:pPr>
      <w:spacing w:after="120"/>
    </w:pPr>
    <w:rPr>
      <w:rFonts w:ascii="Times Armenian" w:hAnsi="Times Armenian"/>
      <w:i/>
      <w:u w:val="single"/>
      <w:lang w:eastAsia="ru-RU"/>
    </w:rPr>
  </w:style>
  <w:style w:type="paragraph" w:customStyle="1" w:styleId="StyleHeading2ParanumTextLeft">
    <w:name w:val="Style Heading 2ParanumText + Left"/>
    <w:basedOn w:val="Heading2"/>
    <w:rsid w:val="00DF5F07"/>
    <w:pPr>
      <w:numPr>
        <w:ilvl w:val="0"/>
        <w:numId w:val="0"/>
      </w:numPr>
      <w:tabs>
        <w:tab w:val="clear" w:pos="993"/>
        <w:tab w:val="clear" w:pos="10208"/>
        <w:tab w:val="num" w:pos="360"/>
        <w:tab w:val="num" w:pos="1440"/>
      </w:tabs>
      <w:spacing w:before="120" w:after="120"/>
      <w:ind w:left="1440"/>
      <w:contextualSpacing w:val="0"/>
    </w:pPr>
    <w:rPr>
      <w:rFonts w:ascii="Times Armenian" w:hAnsi="Times Armenian" w:cs="Times New Roman"/>
      <w:b w:val="0"/>
      <w:bCs/>
      <w:kern w:val="28"/>
      <w:sz w:val="28"/>
      <w:szCs w:val="20"/>
      <w:lang w:val="en-GB" w:eastAsia="en-US"/>
    </w:rPr>
  </w:style>
  <w:style w:type="paragraph" w:customStyle="1" w:styleId="annexedhead">
    <w:name w:val="annexed head"/>
    <w:basedOn w:val="Heading2"/>
    <w:rsid w:val="00DF5F07"/>
    <w:pPr>
      <w:numPr>
        <w:numId w:val="2"/>
      </w:numPr>
      <w:tabs>
        <w:tab w:val="clear" w:pos="993"/>
        <w:tab w:val="clear" w:pos="10208"/>
      </w:tabs>
      <w:spacing w:before="120" w:after="120"/>
      <w:contextualSpacing w:val="0"/>
    </w:pPr>
    <w:rPr>
      <w:rFonts w:ascii="Times Armenian" w:hAnsi="Times Armenian" w:cs="Times New Roman"/>
      <w:b w:val="0"/>
      <w:kern w:val="28"/>
      <w:sz w:val="28"/>
      <w:szCs w:val="20"/>
      <w:lang w:val="en-GB" w:eastAsia="en-US"/>
    </w:rPr>
  </w:style>
  <w:style w:type="paragraph" w:customStyle="1" w:styleId="Tabletitle">
    <w:name w:val="Table_title"/>
    <w:basedOn w:val="Normal"/>
    <w:rsid w:val="00DF5F07"/>
    <w:pPr>
      <w:tabs>
        <w:tab w:val="left" w:pos="9626"/>
        <w:tab w:val="left" w:pos="10916"/>
        <w:tab w:val="left" w:pos="12206"/>
        <w:tab w:val="left" w:pos="13496"/>
      </w:tabs>
      <w:ind w:left="108"/>
    </w:pPr>
    <w:rPr>
      <w:rFonts w:ascii="Times Armenian" w:hAnsi="Times Armenian" w:cs="Arial"/>
      <w:b/>
      <w:bCs/>
      <w:lang w:eastAsia="ru-RU"/>
    </w:rPr>
  </w:style>
  <w:style w:type="paragraph" w:customStyle="1" w:styleId="StyleHeading3CenteredtextLinespacingsingle">
    <w:name w:val="Style Heading 3Centered(text) + Line spacing:  single"/>
    <w:basedOn w:val="Heading3"/>
    <w:rsid w:val="00DF5F07"/>
    <w:pPr>
      <w:numPr>
        <w:ilvl w:val="2"/>
        <w:numId w:val="2"/>
      </w:numPr>
      <w:tabs>
        <w:tab w:val="clear" w:pos="624"/>
      </w:tabs>
      <w:spacing w:before="0" w:after="120" w:line="240" w:lineRule="auto"/>
      <w:ind w:right="0"/>
    </w:pPr>
    <w:rPr>
      <w:rFonts w:ascii="Times Armenian" w:hAnsi="Times Armenian" w:cs="Times New Roman"/>
      <w:bCs w:val="0"/>
      <w:i/>
      <w:iCs/>
      <w:color w:val="auto"/>
      <w:spacing w:val="-5"/>
      <w:lang w:val="en-GB"/>
    </w:rPr>
  </w:style>
  <w:style w:type="paragraph" w:customStyle="1" w:styleId="Titlefigure">
    <w:name w:val="Title_figure"/>
    <w:basedOn w:val="Caption"/>
    <w:next w:val="Normal"/>
    <w:rsid w:val="00DF5F07"/>
    <w:pPr>
      <w:keepLines w:val="0"/>
      <w:widowControl/>
      <w:spacing w:after="60"/>
      <w:jc w:val="left"/>
    </w:pPr>
    <w:rPr>
      <w:rFonts w:ascii="Times Armenian" w:hAnsi="Times Armenian" w:cs="Times New Roman"/>
      <w:b/>
      <w:bCs/>
      <w:sz w:val="22"/>
      <w:lang w:val="en-US" w:eastAsia="ru-RU"/>
    </w:rPr>
  </w:style>
  <w:style w:type="character" w:customStyle="1" w:styleId="CharChar150">
    <w:name w:val="Char Char15"/>
    <w:rsid w:val="00DF5F07"/>
    <w:rPr>
      <w:sz w:val="36"/>
      <w:lang w:val="en-GB" w:eastAsia="en-US" w:bidi="ar-SA"/>
    </w:rPr>
  </w:style>
  <w:style w:type="character" w:customStyle="1" w:styleId="CharChar13">
    <w:name w:val="Char Char13"/>
    <w:rsid w:val="00DF5F07"/>
    <w:rPr>
      <w:sz w:val="22"/>
      <w:lang w:val="en-GB" w:eastAsia="en-US" w:bidi="ar-SA"/>
    </w:rPr>
  </w:style>
  <w:style w:type="character" w:customStyle="1" w:styleId="CharChar120">
    <w:name w:val="Char Char12"/>
    <w:rsid w:val="00DF5F07"/>
    <w:rPr>
      <w:sz w:val="22"/>
      <w:lang w:val="en-GB" w:eastAsia="en-US" w:bidi="ar-SA"/>
    </w:rPr>
  </w:style>
  <w:style w:type="character" w:customStyle="1" w:styleId="CharChar100">
    <w:name w:val="Char Char10"/>
    <w:rsid w:val="00DF5F07"/>
    <w:rPr>
      <w:rFonts w:ascii="Times Armenian" w:hAnsi="Times Armenian"/>
      <w:color w:val="993300"/>
      <w:sz w:val="22"/>
      <w:szCs w:val="24"/>
      <w:lang w:val="hy-AM" w:eastAsia="en-US" w:bidi="ar-SA"/>
    </w:rPr>
  </w:style>
  <w:style w:type="character" w:customStyle="1" w:styleId="CharChar9">
    <w:name w:val="Char Char9"/>
    <w:rsid w:val="00DF5F07"/>
    <w:rPr>
      <w:rFonts w:ascii="Times Armenian" w:hAnsi="Times Armenian"/>
      <w:b/>
      <w:i/>
      <w:sz w:val="24"/>
      <w:u w:val="single"/>
      <w:lang w:val="hy-AM" w:eastAsia="en-US" w:bidi="ar-SA"/>
    </w:rPr>
  </w:style>
  <w:style w:type="character" w:customStyle="1" w:styleId="BodyTextIndentChar2">
    <w:name w:val="Body Text Indent Char2"/>
    <w:aliases w:val="(Table Source)1 Char1"/>
    <w:locked/>
    <w:rsid w:val="00DF5F07"/>
    <w:rPr>
      <w:rFonts w:ascii="Times New Roman" w:hAnsi="Times New Roman" w:cs="Times New Roman"/>
      <w:sz w:val="20"/>
      <w:szCs w:val="20"/>
      <w:lang w:val="en-GB"/>
    </w:rPr>
  </w:style>
  <w:style w:type="character" w:customStyle="1" w:styleId="CharChar130">
    <w:name w:val="Char Char13"/>
    <w:rsid w:val="00DF5F07"/>
    <w:rPr>
      <w:sz w:val="22"/>
      <w:lang w:val="en-GB" w:eastAsia="en-US"/>
    </w:rPr>
  </w:style>
  <w:style w:type="character" w:customStyle="1" w:styleId="CharChar90">
    <w:name w:val="Char Char9"/>
    <w:rsid w:val="00DF5F07"/>
    <w:rPr>
      <w:rFonts w:ascii="Times Armenian" w:hAnsi="Times Armenian"/>
      <w:b/>
      <w:i/>
      <w:sz w:val="24"/>
      <w:u w:val="single"/>
      <w:lang w:val="hy-AM" w:eastAsia="en-US"/>
    </w:rPr>
  </w:style>
  <w:style w:type="paragraph" w:customStyle="1" w:styleId="font11">
    <w:name w:val="font11"/>
    <w:basedOn w:val="Normal"/>
    <w:rsid w:val="00DF5F07"/>
    <w:pPr>
      <w:spacing w:before="100" w:after="100"/>
    </w:pPr>
    <w:rPr>
      <w:rFonts w:eastAsia="SimSun"/>
      <w:color w:val="000000"/>
      <w:sz w:val="16"/>
      <w:szCs w:val="16"/>
    </w:rPr>
  </w:style>
  <w:style w:type="paragraph" w:customStyle="1" w:styleId="font12">
    <w:name w:val="font12"/>
    <w:basedOn w:val="Normal"/>
    <w:rsid w:val="00DF5F07"/>
    <w:pPr>
      <w:spacing w:before="100" w:after="100"/>
    </w:pPr>
    <w:rPr>
      <w:rFonts w:eastAsia="SimSun"/>
      <w:color w:val="000000"/>
      <w:sz w:val="16"/>
      <w:szCs w:val="16"/>
    </w:rPr>
  </w:style>
  <w:style w:type="paragraph" w:customStyle="1" w:styleId="font13">
    <w:name w:val="font13"/>
    <w:basedOn w:val="Normal"/>
    <w:rsid w:val="00DF5F07"/>
    <w:pPr>
      <w:spacing w:before="100" w:after="100"/>
    </w:pPr>
    <w:rPr>
      <w:rFonts w:eastAsia="SimSun"/>
      <w:b/>
      <w:bCs/>
      <w:color w:val="000000"/>
      <w:sz w:val="16"/>
      <w:szCs w:val="16"/>
    </w:rPr>
  </w:style>
  <w:style w:type="paragraph" w:customStyle="1" w:styleId="font14">
    <w:name w:val="font14"/>
    <w:basedOn w:val="Normal"/>
    <w:rsid w:val="00DF5F07"/>
    <w:pPr>
      <w:spacing w:before="100" w:after="100"/>
    </w:pPr>
    <w:rPr>
      <w:rFonts w:eastAsia="SimSun"/>
      <w:i/>
      <w:iCs/>
      <w:sz w:val="20"/>
      <w:szCs w:val="20"/>
    </w:rPr>
  </w:style>
  <w:style w:type="paragraph" w:customStyle="1" w:styleId="font15">
    <w:name w:val="font15"/>
    <w:basedOn w:val="Normal"/>
    <w:rsid w:val="00DF5F07"/>
    <w:pPr>
      <w:spacing w:before="100" w:after="100"/>
    </w:pPr>
    <w:rPr>
      <w:rFonts w:eastAsia="SimSun"/>
      <w:i/>
      <w:iCs/>
      <w:sz w:val="28"/>
      <w:szCs w:val="28"/>
    </w:rPr>
  </w:style>
  <w:style w:type="character" w:customStyle="1" w:styleId="Heading2Char2">
    <w:name w:val="Heading 2 Char2"/>
    <w:aliases w:val="Paranum Char2,(Chapter) Char2,(Chapter) Char Char"/>
    <w:locked/>
    <w:rsid w:val="00C3321E"/>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C3321E"/>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C3321E"/>
    <w:rPr>
      <w:rFonts w:ascii="Times New Roman" w:hAnsi="Times New Roman" w:cs="Times New Roman"/>
      <w:sz w:val="24"/>
    </w:rPr>
  </w:style>
  <w:style w:type="character" w:customStyle="1" w:styleId="fsl">
    <w:name w:val="fsl"/>
    <w:rsid w:val="00C3321E"/>
  </w:style>
  <w:style w:type="paragraph" w:styleId="IntenseQuote">
    <w:name w:val="Intense Quote"/>
    <w:basedOn w:val="Normal"/>
    <w:next w:val="Normal"/>
    <w:link w:val="IntenseQuoteChar"/>
    <w:qFormat/>
    <w:rsid w:val="00C3321E"/>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rsid w:val="00C3321E"/>
    <w:rPr>
      <w:b/>
      <w:bCs/>
      <w:i/>
      <w:iCs/>
      <w:color w:val="4F81BD"/>
      <w:sz w:val="24"/>
      <w:szCs w:val="24"/>
    </w:rPr>
  </w:style>
  <w:style w:type="character" w:styleId="SubtleEmphasis">
    <w:name w:val="Subtle Emphasis"/>
    <w:qFormat/>
    <w:rsid w:val="00C3321E"/>
    <w:rPr>
      <w:rFonts w:cs="Times New Roman"/>
      <w:i/>
      <w:iCs/>
      <w:color w:val="808080"/>
    </w:rPr>
  </w:style>
  <w:style w:type="character" w:styleId="SubtleReference">
    <w:name w:val="Subtle Reference"/>
    <w:qFormat/>
    <w:rsid w:val="00C3321E"/>
    <w:rPr>
      <w:rFonts w:cs="Times New Roman"/>
      <w:smallCaps/>
      <w:color w:val="C0504D"/>
      <w:u w:val="single"/>
    </w:rPr>
  </w:style>
  <w:style w:type="character" w:styleId="IntenseReference">
    <w:name w:val="Intense Reference"/>
    <w:qFormat/>
    <w:rsid w:val="00C3321E"/>
    <w:rPr>
      <w:rFonts w:cs="Times New Roman"/>
      <w:b/>
      <w:bCs/>
      <w:smallCaps/>
      <w:color w:val="C0504D"/>
      <w:spacing w:val="5"/>
      <w:u w:val="single"/>
    </w:rPr>
  </w:style>
  <w:style w:type="character" w:styleId="BookTitle">
    <w:name w:val="Book Title"/>
    <w:qFormat/>
    <w:rsid w:val="00C3321E"/>
    <w:rPr>
      <w:rFonts w:cs="Times New Roman"/>
      <w:b/>
      <w:bCs/>
      <w:smallCaps/>
      <w:spacing w:val="5"/>
    </w:rPr>
  </w:style>
  <w:style w:type="paragraph" w:customStyle="1" w:styleId="ColorfulList-Accent11">
    <w:name w:val="Colorful List - Accent 11"/>
    <w:basedOn w:val="Normal"/>
    <w:qFormat/>
    <w:rsid w:val="00C3321E"/>
    <w:pPr>
      <w:spacing w:after="200" w:line="276" w:lineRule="auto"/>
      <w:ind w:left="720"/>
      <w:contextualSpacing/>
    </w:pPr>
    <w:rPr>
      <w:rFonts w:ascii="Calibri" w:eastAsia="Calibri" w:hAnsi="Calibri"/>
      <w:lang w:val="ru-RU"/>
    </w:rPr>
  </w:style>
  <w:style w:type="character" w:customStyle="1" w:styleId="spellingerror">
    <w:name w:val="spellingerror"/>
    <w:rsid w:val="00C3321E"/>
  </w:style>
  <w:style w:type="character" w:customStyle="1" w:styleId="CharChar31">
    <w:name w:val="Char Char31"/>
    <w:locked/>
    <w:rsid w:val="00C3321E"/>
    <w:rPr>
      <w:sz w:val="22"/>
      <w:lang w:val="en-GB" w:eastAsia="en-US"/>
    </w:rPr>
  </w:style>
  <w:style w:type="character" w:customStyle="1" w:styleId="CharChar210">
    <w:name w:val="Char Char21"/>
    <w:locked/>
    <w:rsid w:val="00C3321E"/>
    <w:rPr>
      <w:sz w:val="22"/>
      <w:lang w:val="en-GB" w:eastAsia="en-US"/>
    </w:rPr>
  </w:style>
  <w:style w:type="character" w:customStyle="1" w:styleId="red-block">
    <w:name w:val="red-block"/>
    <w:rsid w:val="00C3321E"/>
    <w:rPr>
      <w:rFonts w:cs="Times New Roman"/>
    </w:rPr>
  </w:style>
  <w:style w:type="character" w:customStyle="1" w:styleId="accent">
    <w:name w:val="accent"/>
    <w:rsid w:val="00C3321E"/>
    <w:rPr>
      <w:rFonts w:cs="Times New Roman"/>
    </w:rPr>
  </w:style>
  <w:style w:type="character" w:customStyle="1" w:styleId="CharChar220">
    <w:name w:val="Char Char22"/>
    <w:rsid w:val="00C3321E"/>
    <w:rPr>
      <w:rFonts w:cs="Times New Roman"/>
      <w:lang w:val="ru-RU" w:eastAsia="ru-RU" w:bidi="ar-SA"/>
    </w:rPr>
  </w:style>
  <w:style w:type="character" w:customStyle="1" w:styleId="FontStyle37">
    <w:name w:val="Font Style37"/>
    <w:rsid w:val="00C3321E"/>
    <w:rPr>
      <w:rFonts w:ascii="Sylfaen" w:hAnsi="Sylfaen"/>
      <w:sz w:val="22"/>
    </w:rPr>
  </w:style>
  <w:style w:type="character" w:customStyle="1" w:styleId="CharChar161">
    <w:name w:val="Char Char161"/>
    <w:locked/>
    <w:rsid w:val="00C3321E"/>
    <w:rPr>
      <w:rFonts w:ascii="Cambria" w:hAnsi="Cambria"/>
      <w:b/>
      <w:kern w:val="32"/>
      <w:sz w:val="32"/>
      <w:lang w:val="fr-FR" w:eastAsia="en-US"/>
    </w:rPr>
  </w:style>
  <w:style w:type="numbering" w:customStyle="1" w:styleId="NoList4">
    <w:name w:val="No List4"/>
    <w:next w:val="NoList"/>
    <w:semiHidden/>
    <w:rsid w:val="00C524BD"/>
  </w:style>
  <w:style w:type="paragraph" w:customStyle="1" w:styleId="StyleHeading3Sub-ChapterCenteredtextHeading3CharCharC1">
    <w:name w:val="Style Heading 3(Sub-Chapter)Centered(text)Heading 3 Char Char C...1"/>
    <w:basedOn w:val="Heading3"/>
    <w:rsid w:val="00040B73"/>
    <w:rPr>
      <w:u w:val="single"/>
    </w:rPr>
  </w:style>
  <w:style w:type="paragraph" w:customStyle="1" w:styleId="1MTEF">
    <w:name w:val="1. MTEF"/>
    <w:basedOn w:val="StyleStyleHeading1SectionSectionHeadingText11Chapterhead31"/>
    <w:rsid w:val="00A6653E"/>
    <w:rPr>
      <w:b/>
      <w:bCs/>
    </w:rPr>
  </w:style>
  <w:style w:type="character" w:customStyle="1" w:styleId="CharChar180">
    <w:name w:val="Char Char18"/>
    <w:rsid w:val="004A19C3"/>
    <w:rPr>
      <w:rFonts w:ascii="Arial Armenian" w:eastAsia="Times New Roman" w:hAnsi="Arial Armenian"/>
      <w:i/>
      <w:sz w:val="22"/>
      <w:u w:val="single"/>
      <w:lang w:val="en-GB"/>
    </w:rPr>
  </w:style>
  <w:style w:type="character" w:customStyle="1" w:styleId="CharChar190">
    <w:name w:val="Char Char19"/>
    <w:rsid w:val="004A19C3"/>
    <w:rPr>
      <w:b/>
      <w:sz w:val="32"/>
      <w:lang w:val="en-GB" w:eastAsia="en-US" w:bidi="ar-SA"/>
    </w:rPr>
  </w:style>
  <w:style w:type="character" w:customStyle="1" w:styleId="CharChar200">
    <w:name w:val="Char Char20"/>
    <w:rsid w:val="004A19C3"/>
    <w:rPr>
      <w:rFonts w:ascii="Garamond" w:hAnsi="Garamond"/>
      <w:i/>
      <w:spacing w:val="-5"/>
      <w:sz w:val="28"/>
      <w:lang w:val="en-GB" w:eastAsia="en-US" w:bidi="ar-SA"/>
    </w:rPr>
  </w:style>
  <w:style w:type="numbering" w:customStyle="1" w:styleId="NoList11">
    <w:name w:val="No List11"/>
    <w:next w:val="NoList"/>
    <w:semiHidden/>
    <w:unhideWhenUsed/>
    <w:rsid w:val="004A19C3"/>
  </w:style>
  <w:style w:type="character" w:customStyle="1" w:styleId="CharChar170">
    <w:name w:val="Char Char17"/>
    <w:rsid w:val="004A19C3"/>
    <w:rPr>
      <w:rFonts w:ascii="Arial Armenian" w:hAnsi="Arial Armenian"/>
      <w:i/>
      <w:sz w:val="22"/>
      <w:u w:val="single"/>
      <w:lang w:val="en-GB" w:eastAsia="en-US" w:bidi="ar-SA"/>
    </w:rPr>
  </w:style>
  <w:style w:type="character" w:customStyle="1" w:styleId="CharChar280">
    <w:name w:val="Char Char28"/>
    <w:rsid w:val="004A19C3"/>
    <w:rPr>
      <w:rFonts w:ascii="Arial Armenian" w:hAnsi="Arial Armenian"/>
      <w:i/>
      <w:sz w:val="22"/>
      <w:u w:val="single"/>
      <w:lang w:val="en-GB"/>
    </w:rPr>
  </w:style>
  <w:style w:type="character" w:customStyle="1" w:styleId="CharChar270">
    <w:name w:val="Char Char27"/>
    <w:rsid w:val="004A19C3"/>
    <w:rPr>
      <w:rFonts w:ascii="Garamond" w:hAnsi="Garamond"/>
      <w:i/>
      <w:spacing w:val="-5"/>
      <w:sz w:val="28"/>
      <w:shd w:val="pct5" w:color="auto" w:fill="auto"/>
      <w:lang w:val="en-GB"/>
    </w:rPr>
  </w:style>
  <w:style w:type="character" w:customStyle="1" w:styleId="CharChar260">
    <w:name w:val="Char Char26"/>
    <w:rsid w:val="004A19C3"/>
    <w:rPr>
      <w:rFonts w:ascii="Arial Black" w:hAnsi="Arial Black"/>
      <w:caps/>
      <w:spacing w:val="60"/>
      <w:position w:val="4"/>
      <w:sz w:val="14"/>
      <w:lang w:val="en-GB"/>
    </w:rPr>
  </w:style>
  <w:style w:type="character" w:customStyle="1" w:styleId="CharChar250">
    <w:name w:val="Char Char25"/>
    <w:rsid w:val="004A19C3"/>
    <w:rPr>
      <w:rFonts w:ascii="Garamond" w:hAnsi="Garamond"/>
      <w:b/>
      <w:i/>
      <w:kern w:val="28"/>
      <w:lang w:val="en-GB"/>
    </w:rPr>
  </w:style>
  <w:style w:type="character" w:customStyle="1" w:styleId="CharChar240">
    <w:name w:val="Char Char24"/>
    <w:rsid w:val="004A19C3"/>
    <w:rPr>
      <w:rFonts w:ascii="Arial Armenian" w:hAnsi="Arial Armenian"/>
      <w:noProof/>
      <w:lang w:val="en-US" w:eastAsia="en-US" w:bidi="ar-SA"/>
    </w:rPr>
  </w:style>
  <w:style w:type="character" w:customStyle="1" w:styleId="CharChar230">
    <w:name w:val="Char Char23"/>
    <w:rsid w:val="004A19C3"/>
    <w:rPr>
      <w:rFonts w:ascii="Arial Armenian" w:hAnsi="Arial Armenian"/>
      <w:lang w:val="en-GB" w:eastAsia="en-US" w:bidi="ar-SA"/>
    </w:rPr>
  </w:style>
  <w:style w:type="character" w:customStyle="1" w:styleId="CharChar35">
    <w:name w:val="Char Char35"/>
    <w:rsid w:val="004A19C3"/>
    <w:rPr>
      <w:rFonts w:ascii="Arial Armenian" w:hAnsi="Arial Armenian"/>
      <w:i/>
      <w:sz w:val="22"/>
      <w:u w:val="single"/>
      <w:lang w:val="en-GB" w:eastAsia="x-none"/>
    </w:rPr>
  </w:style>
  <w:style w:type="character" w:customStyle="1" w:styleId="CharChar34">
    <w:name w:val="Char Char34"/>
    <w:rsid w:val="004A19C3"/>
    <w:rPr>
      <w:rFonts w:ascii="Garamond" w:hAnsi="Garamond"/>
      <w:i/>
      <w:spacing w:val="-5"/>
      <w:sz w:val="28"/>
      <w:shd w:val="pct5" w:color="auto" w:fill="auto"/>
      <w:lang w:val="en-GB" w:eastAsia="x-none"/>
    </w:rPr>
  </w:style>
  <w:style w:type="character" w:customStyle="1" w:styleId="CharChar33">
    <w:name w:val="Char Char33"/>
    <w:rsid w:val="004A19C3"/>
    <w:rPr>
      <w:rFonts w:ascii="Arial Black" w:hAnsi="Arial Black"/>
      <w:caps/>
      <w:spacing w:val="60"/>
      <w:position w:val="4"/>
      <w:sz w:val="14"/>
      <w:lang w:val="en-GB" w:eastAsia="x-none"/>
    </w:rPr>
  </w:style>
  <w:style w:type="character" w:customStyle="1" w:styleId="CharChar32">
    <w:name w:val="Char Char32"/>
    <w:rsid w:val="004A19C3"/>
    <w:rPr>
      <w:rFonts w:ascii="Garamond" w:hAnsi="Garamond"/>
      <w:b/>
      <w:i/>
      <w:kern w:val="28"/>
      <w:lang w:val="en-GB" w:eastAsia="x-none"/>
    </w:rPr>
  </w:style>
  <w:style w:type="character" w:customStyle="1" w:styleId="CharChar310">
    <w:name w:val="Char Char31"/>
    <w:rsid w:val="004A19C3"/>
    <w:rPr>
      <w:rFonts w:ascii="Arial Armenian" w:hAnsi="Arial Armenian"/>
      <w:noProof/>
      <w:lang w:val="en-US" w:eastAsia="en-US" w:bidi="ar-SA"/>
    </w:rPr>
  </w:style>
  <w:style w:type="character" w:customStyle="1" w:styleId="CharChar30">
    <w:name w:val="Char Char30"/>
    <w:rsid w:val="004A19C3"/>
    <w:rPr>
      <w:rFonts w:ascii="Arial Armenian" w:hAnsi="Arial Armenian"/>
      <w:lang w:val="en-GB" w:eastAsia="en-US" w:bidi="ar-SA"/>
    </w:rPr>
  </w:style>
  <w:style w:type="character" w:customStyle="1" w:styleId="CharChar29">
    <w:name w:val="Char Char29"/>
    <w:rsid w:val="004A19C3"/>
    <w:rPr>
      <w:rFonts w:ascii="Arial Armenian" w:hAnsi="Arial Armenian"/>
      <w:lang w:val="ru-RU" w:eastAsia="ru-RU" w:bidi="ar-SA"/>
    </w:rPr>
  </w:style>
  <w:style w:type="paragraph" w:customStyle="1" w:styleId="CharChar5CharCharCharCharCharChar">
    <w:name w:val="Char Char5 Char Char Char Char Char Char"/>
    <w:basedOn w:val="Normal"/>
    <w:rsid w:val="009E559A"/>
    <w:pPr>
      <w:tabs>
        <w:tab w:val="left" w:pos="709"/>
      </w:tabs>
    </w:pPr>
    <w:rPr>
      <w:rFonts w:ascii="Tahoma" w:hAnsi="Tahoma"/>
      <w:lang w:val="pl-PL" w:eastAsia="pl-PL"/>
    </w:rPr>
  </w:style>
  <w:style w:type="paragraph" w:customStyle="1" w:styleId="CharChar5CharCharCharChar">
    <w:name w:val="Char Char5 Char Char Char Char"/>
    <w:basedOn w:val="Normal"/>
    <w:rsid w:val="009E559A"/>
    <w:pPr>
      <w:tabs>
        <w:tab w:val="left" w:pos="709"/>
      </w:tabs>
    </w:pPr>
    <w:rPr>
      <w:rFonts w:ascii="Tahoma" w:hAnsi="Tahoma"/>
      <w:lang w:val="pl-PL" w:eastAsia="pl-PL"/>
    </w:rPr>
  </w:style>
  <w:style w:type="table" w:styleId="Table3Deffects3">
    <w:name w:val="Table 3D effects 3"/>
    <w:basedOn w:val="TableNormal"/>
    <w:rsid w:val="009E559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9E559A"/>
    <w:pPr>
      <w:tabs>
        <w:tab w:val="left" w:pos="709"/>
      </w:tabs>
    </w:pPr>
    <w:rPr>
      <w:rFonts w:ascii="Tahoma" w:hAnsi="Tahoma"/>
      <w:lang w:val="pl-PL" w:eastAsia="pl-PL"/>
    </w:rPr>
  </w:style>
  <w:style w:type="character" w:customStyle="1" w:styleId="tocnumber">
    <w:name w:val="tocnumber"/>
    <w:rsid w:val="009E559A"/>
  </w:style>
  <w:style w:type="character" w:customStyle="1" w:styleId="toctext">
    <w:name w:val="toctext"/>
    <w:rsid w:val="009E559A"/>
  </w:style>
  <w:style w:type="character" w:customStyle="1" w:styleId="mw-editsection">
    <w:name w:val="mw-editsection"/>
    <w:rsid w:val="009E559A"/>
  </w:style>
  <w:style w:type="character" w:customStyle="1" w:styleId="mw-editsection-bracket">
    <w:name w:val="mw-editsection-bracket"/>
    <w:rsid w:val="009E559A"/>
  </w:style>
  <w:style w:type="character" w:customStyle="1" w:styleId="mw-editsection-divider">
    <w:name w:val="mw-editsection-divider"/>
    <w:rsid w:val="009E559A"/>
  </w:style>
  <w:style w:type="character" w:customStyle="1" w:styleId="reference-text">
    <w:name w:val="reference-text"/>
    <w:rsid w:val="009E559A"/>
  </w:style>
  <w:style w:type="paragraph" w:styleId="z-TopofForm">
    <w:name w:val="HTML Top of Form"/>
    <w:basedOn w:val="Normal"/>
    <w:next w:val="Normal"/>
    <w:link w:val="z-TopofFormChar"/>
    <w:hidden/>
    <w:uiPriority w:val="99"/>
    <w:unhideWhenUsed/>
    <w:rsid w:val="009E559A"/>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rsid w:val="009E559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9E559A"/>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9E559A"/>
    <w:rPr>
      <w:rFonts w:ascii="Arial" w:hAnsi="Arial" w:cs="Arial"/>
      <w:vanish/>
      <w:sz w:val="16"/>
      <w:szCs w:val="16"/>
    </w:rPr>
  </w:style>
  <w:style w:type="character" w:customStyle="1" w:styleId="wb-langlinks-edit">
    <w:name w:val="wb-langlinks-edit"/>
    <w:rsid w:val="009E559A"/>
  </w:style>
  <w:style w:type="character" w:customStyle="1" w:styleId="noprint">
    <w:name w:val="noprint"/>
    <w:rsid w:val="009E559A"/>
  </w:style>
  <w:style w:type="character" w:customStyle="1" w:styleId="pg">
    <w:name w:val="pg"/>
    <w:rsid w:val="009E559A"/>
  </w:style>
  <w:style w:type="paragraph" w:customStyle="1" w:styleId="DecimalAligned">
    <w:name w:val="Decimal Aligned"/>
    <w:basedOn w:val="Normal"/>
    <w:uiPriority w:val="40"/>
    <w:qFormat/>
    <w:rsid w:val="009E559A"/>
    <w:pPr>
      <w:tabs>
        <w:tab w:val="decimal" w:pos="360"/>
      </w:tabs>
      <w:spacing w:after="200" w:line="276" w:lineRule="auto"/>
    </w:pPr>
    <w:rPr>
      <w:rFonts w:ascii="Calibri" w:eastAsia="Calibri" w:hAnsi="Calibri"/>
      <w:lang w:eastAsia="ja-JP"/>
    </w:rPr>
  </w:style>
  <w:style w:type="paragraph" w:styleId="HTMLPreformatted">
    <w:name w:val="HTML Preformatted"/>
    <w:basedOn w:val="Normal"/>
    <w:link w:val="HTMLPreformattedChar"/>
    <w:uiPriority w:val="99"/>
    <w:unhideWhenUsed/>
    <w:rsid w:val="009E5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w:hAnsi="Arial Unicode"/>
      <w:sz w:val="20"/>
      <w:szCs w:val="20"/>
      <w:lang w:val="x-none" w:eastAsia="x-none"/>
    </w:rPr>
  </w:style>
  <w:style w:type="character" w:customStyle="1" w:styleId="HTMLPreformattedChar">
    <w:name w:val="HTML Preformatted Char"/>
    <w:link w:val="HTMLPreformatted"/>
    <w:uiPriority w:val="99"/>
    <w:rsid w:val="009E559A"/>
    <w:rPr>
      <w:rFonts w:ascii="Arial Unicode" w:hAnsi="Arial Unicode" w:cs="Courier New"/>
    </w:rPr>
  </w:style>
  <w:style w:type="paragraph" w:customStyle="1" w:styleId="paragraph">
    <w:name w:val="paragraph"/>
    <w:basedOn w:val="Normal"/>
    <w:rsid w:val="009E559A"/>
    <w:pPr>
      <w:spacing w:before="100" w:beforeAutospacing="1" w:after="100" w:afterAutospacing="1"/>
    </w:pPr>
  </w:style>
  <w:style w:type="character" w:customStyle="1" w:styleId="normaltextrun">
    <w:name w:val="normaltextrun"/>
    <w:rsid w:val="009E559A"/>
  </w:style>
  <w:style w:type="paragraph" w:customStyle="1" w:styleId="StyleCaption11pt">
    <w:name w:val="Style Caption + 11 pt"/>
    <w:basedOn w:val="Caption"/>
    <w:link w:val="StyleCaption11ptChar"/>
    <w:rsid w:val="00850B5D"/>
    <w:pPr>
      <w:keepNext w:val="0"/>
      <w:keepLines w:val="0"/>
      <w:widowControl/>
      <w:spacing w:before="360" w:after="120"/>
      <w:ind w:left="1350" w:hanging="1350"/>
      <w:jc w:val="left"/>
    </w:pPr>
    <w:rPr>
      <w:rFonts w:cs="Times New Roman"/>
      <w:b/>
      <w:bCs/>
      <w:lang w:val="x-none" w:eastAsia="ru-RU"/>
    </w:rPr>
  </w:style>
  <w:style w:type="character" w:customStyle="1" w:styleId="StyleCaption11ptChar">
    <w:name w:val="Style Caption + 11 pt Char"/>
    <w:link w:val="StyleCaption11pt"/>
    <w:rsid w:val="00850B5D"/>
    <w:rPr>
      <w:rFonts w:ascii="GHEA Grapalat" w:hAnsi="GHEA Grapalat"/>
      <w:b/>
      <w:bCs/>
      <w:lang w:val="x-none" w:eastAsia="ru-RU"/>
    </w:rPr>
  </w:style>
  <w:style w:type="paragraph" w:customStyle="1" w:styleId="StyleHeading3GHEAGrapalatJustified">
    <w:name w:val="Style Heading 3 + GHEA Grapalat Justified"/>
    <w:basedOn w:val="Heading3"/>
    <w:rsid w:val="00850B5D"/>
    <w:pPr>
      <w:widowControl/>
      <w:numPr>
        <w:ilvl w:val="0"/>
        <w:numId w:val="0"/>
      </w:numPr>
      <w:tabs>
        <w:tab w:val="clear" w:pos="624"/>
        <w:tab w:val="num" w:pos="384"/>
        <w:tab w:val="num" w:pos="737"/>
      </w:tabs>
      <w:spacing w:before="360" w:after="240" w:line="240" w:lineRule="auto"/>
      <w:ind w:left="1248" w:right="0" w:hanging="708"/>
    </w:pPr>
    <w:rPr>
      <w:rFonts w:cs="Times New Roman"/>
      <w:color w:val="auto"/>
      <w:lang w:val="en-GB" w:eastAsia="ru-RU"/>
    </w:rPr>
  </w:style>
  <w:style w:type="paragraph" w:customStyle="1" w:styleId="TitleNew">
    <w:name w:val="Title New"/>
    <w:basedOn w:val="Normal"/>
    <w:rsid w:val="00850B5D"/>
    <w:pPr>
      <w:widowControl w:val="0"/>
      <w:spacing w:line="360" w:lineRule="atLeast"/>
    </w:pPr>
    <w:rPr>
      <w:rFonts w:eastAsia="ヒラギノ角ゴ Pro W3"/>
      <w:b/>
      <w:color w:val="000000"/>
      <w:sz w:val="44"/>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
    <w:link w:val="NormalWeb"/>
    <w:locked/>
    <w:rsid w:val="00850B5D"/>
    <w:rPr>
      <w:sz w:val="24"/>
    </w:rPr>
  </w:style>
  <w:style w:type="paragraph" w:customStyle="1" w:styleId="36">
    <w:name w:val="Абзац списка3"/>
    <w:basedOn w:val="Normal"/>
    <w:uiPriority w:val="99"/>
    <w:qFormat/>
    <w:rsid w:val="001716C4"/>
    <w:pPr>
      <w:ind w:left="720"/>
      <w:contextualSpacing/>
    </w:pPr>
    <w:rPr>
      <w:lang w:val="ru-RU" w:eastAsia="ru-RU"/>
    </w:rPr>
  </w:style>
  <w:style w:type="character" w:customStyle="1" w:styleId="af5">
    <w:name w:val="Основной текст"/>
    <w:rsid w:val="001716C4"/>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1716C4"/>
    <w:pPr>
      <w:autoSpaceDE w:val="0"/>
      <w:autoSpaceDN w:val="0"/>
      <w:adjustRightInd w:val="0"/>
      <w:ind w:firstLine="180"/>
    </w:pPr>
    <w:rPr>
      <w:b/>
      <w:i/>
      <w:lang w:eastAsia="ru-RU"/>
    </w:rPr>
  </w:style>
  <w:style w:type="character" w:customStyle="1" w:styleId="CommentTextChar2">
    <w:name w:val="Comment Text Char2"/>
    <w:rsid w:val="00EF35AD"/>
    <w:rPr>
      <w:rFonts w:ascii="Arial Armenian" w:hAnsi="Arial Armenian"/>
      <w:lang w:val="ru-RU" w:eastAsia="ru-RU" w:bidi="ar-SA"/>
    </w:rPr>
  </w:style>
  <w:style w:type="character" w:customStyle="1" w:styleId="BalloonTextChar2">
    <w:name w:val="Balloon Text Char2"/>
    <w:rsid w:val="00EF35AD"/>
    <w:rPr>
      <w:rFonts w:ascii="Tahoma" w:hAnsi="Tahoma"/>
      <w:sz w:val="16"/>
      <w:szCs w:val="16"/>
      <w:lang w:bidi="ar-SA"/>
    </w:rPr>
  </w:style>
  <w:style w:type="character" w:customStyle="1" w:styleId="Bodytext20">
    <w:name w:val="Body text (2)_"/>
    <w:link w:val="Bodytext23"/>
    <w:uiPriority w:val="99"/>
    <w:locked/>
    <w:rsid w:val="00EF35AD"/>
    <w:rPr>
      <w:rFonts w:ascii="Tahoma" w:hAnsi="Tahoma" w:cs="Tahoma"/>
      <w:sz w:val="21"/>
      <w:szCs w:val="21"/>
      <w:shd w:val="clear" w:color="auto" w:fill="FFFFFF"/>
    </w:rPr>
  </w:style>
  <w:style w:type="paragraph" w:customStyle="1" w:styleId="Bodytext23">
    <w:name w:val="Body text (2)"/>
    <w:basedOn w:val="Normal"/>
    <w:link w:val="Bodytext20"/>
    <w:uiPriority w:val="99"/>
    <w:rsid w:val="00EF35AD"/>
    <w:pPr>
      <w:widowControl w:val="0"/>
      <w:shd w:val="clear" w:color="auto" w:fill="FFFFFF"/>
      <w:spacing w:before="720" w:line="485" w:lineRule="exact"/>
    </w:pPr>
    <w:rPr>
      <w:rFonts w:ascii="Tahoma" w:hAnsi="Tahoma"/>
      <w:sz w:val="21"/>
      <w:szCs w:val="21"/>
      <w:lang w:val="x-none" w:eastAsia="x-none"/>
    </w:rPr>
  </w:style>
  <w:style w:type="paragraph" w:customStyle="1" w:styleId="Appendix">
    <w:name w:val="Appendix"/>
    <w:basedOn w:val="Normal"/>
    <w:next w:val="Normal"/>
    <w:uiPriority w:val="6"/>
    <w:qFormat/>
    <w:rsid w:val="00BC4108"/>
    <w:pPr>
      <w:spacing w:after="240" w:line="264" w:lineRule="auto"/>
      <w:jc w:val="center"/>
    </w:pPr>
    <w:rPr>
      <w:rFonts w:ascii="Segoe UI" w:eastAsia="SimSun" w:hAnsi="Segoe UI"/>
      <w:b/>
      <w:color w:val="C45911"/>
      <w:sz w:val="32"/>
      <w:szCs w:val="20"/>
    </w:rPr>
  </w:style>
  <w:style w:type="paragraph" w:customStyle="1" w:styleId="dec-date">
    <w:name w:val="dec-date"/>
    <w:basedOn w:val="Normal"/>
    <w:uiPriority w:val="99"/>
    <w:rsid w:val="00BC4108"/>
    <w:pPr>
      <w:spacing w:before="100" w:beforeAutospacing="1" w:after="100" w:afterAutospacing="1"/>
    </w:pPr>
  </w:style>
  <w:style w:type="paragraph" w:customStyle="1" w:styleId="37">
    <w:name w:val="Обычный3"/>
    <w:rsid w:val="006842D6"/>
    <w:pPr>
      <w:autoSpaceDE w:val="0"/>
      <w:autoSpaceDN w:val="0"/>
    </w:pPr>
    <w:rPr>
      <w:lang w:val="ru-RU" w:eastAsia="ru-RU"/>
    </w:rPr>
  </w:style>
  <w:style w:type="paragraph" w:customStyle="1" w:styleId="1f0">
    <w:name w:val="Рецензия1"/>
    <w:hidden/>
    <w:uiPriority w:val="99"/>
    <w:semiHidden/>
    <w:rsid w:val="006842D6"/>
    <w:rPr>
      <w:rFonts w:ascii="Arial Armenian" w:hAnsi="Arial Armenian" w:cs="Sylfaen"/>
      <w:sz w:val="24"/>
      <w:szCs w:val="24"/>
      <w:lang w:val="ru-RU" w:eastAsia="ru-RU"/>
    </w:rPr>
  </w:style>
  <w:style w:type="paragraph" w:customStyle="1" w:styleId="1f1">
    <w:name w:val="Заголовок оглавления1"/>
    <w:basedOn w:val="Heading1"/>
    <w:next w:val="Normal"/>
    <w:uiPriority w:val="39"/>
    <w:unhideWhenUsed/>
    <w:qFormat/>
    <w:rsid w:val="006842D6"/>
    <w:pPr>
      <w:keepLines/>
      <w:spacing w:before="480" w:after="0" w:line="276" w:lineRule="auto"/>
      <w:outlineLvl w:val="9"/>
    </w:pPr>
    <w:rPr>
      <w:rFonts w:ascii="Cambria" w:hAnsi="Cambria" w:cs="Times New Roman"/>
      <w:color w:val="365F91"/>
      <w:kern w:val="0"/>
      <w:szCs w:val="28"/>
    </w:rPr>
  </w:style>
  <w:style w:type="paragraph" w:customStyle="1" w:styleId="213">
    <w:name w:val="Цитата 21"/>
    <w:basedOn w:val="Normal"/>
    <w:next w:val="Normal"/>
    <w:uiPriority w:val="29"/>
    <w:qFormat/>
    <w:rsid w:val="006842D6"/>
    <w:rPr>
      <w:i/>
      <w:iCs/>
      <w:color w:val="000000"/>
      <w:lang w:val="x-none" w:eastAsia="x-none"/>
    </w:rPr>
  </w:style>
  <w:style w:type="character" w:customStyle="1" w:styleId="1f2">
    <w:name w:val="Сильное выделение1"/>
    <w:uiPriority w:val="21"/>
    <w:qFormat/>
    <w:rsid w:val="006842D6"/>
    <w:rPr>
      <w:b/>
      <w:bCs/>
      <w:i/>
      <w:iCs/>
      <w:color w:val="4F81BD"/>
    </w:rPr>
  </w:style>
  <w:style w:type="numbering" w:customStyle="1" w:styleId="112">
    <w:name w:val="Нет списка11"/>
    <w:next w:val="NoList"/>
    <w:semiHidden/>
    <w:unhideWhenUsed/>
    <w:rsid w:val="006842D6"/>
  </w:style>
  <w:style w:type="paragraph" w:customStyle="1" w:styleId="1f3">
    <w:name w:val="Выделенная цитата1"/>
    <w:basedOn w:val="Normal"/>
    <w:next w:val="Normal"/>
    <w:qFormat/>
    <w:rsid w:val="006842D6"/>
    <w:pPr>
      <w:pBdr>
        <w:bottom w:val="single" w:sz="4" w:space="4" w:color="4F81BD"/>
      </w:pBdr>
      <w:spacing w:before="200" w:after="280"/>
      <w:ind w:left="936" w:right="936"/>
    </w:pPr>
    <w:rPr>
      <w:b/>
      <w:bCs/>
      <w:i/>
      <w:iCs/>
      <w:color w:val="4F81BD"/>
      <w:lang w:val="x-none" w:eastAsia="x-none"/>
    </w:rPr>
  </w:style>
  <w:style w:type="character" w:customStyle="1" w:styleId="1f4">
    <w:name w:val="Слабое выделение1"/>
    <w:qFormat/>
    <w:rsid w:val="006842D6"/>
    <w:rPr>
      <w:rFonts w:cs="Times New Roman"/>
      <w:i/>
      <w:iCs/>
      <w:color w:val="808080"/>
    </w:rPr>
  </w:style>
  <w:style w:type="character" w:customStyle="1" w:styleId="1f5">
    <w:name w:val="Слабая ссылка1"/>
    <w:qFormat/>
    <w:rsid w:val="006842D6"/>
    <w:rPr>
      <w:rFonts w:cs="Times New Roman"/>
      <w:smallCaps/>
      <w:color w:val="C0504D"/>
      <w:u w:val="single"/>
    </w:rPr>
  </w:style>
  <w:style w:type="character" w:customStyle="1" w:styleId="1f6">
    <w:name w:val="Сильная ссылка1"/>
    <w:qFormat/>
    <w:rsid w:val="006842D6"/>
    <w:rPr>
      <w:rFonts w:cs="Times New Roman"/>
      <w:b/>
      <w:bCs/>
      <w:smallCaps/>
      <w:color w:val="C0504D"/>
      <w:spacing w:val="5"/>
      <w:u w:val="single"/>
    </w:rPr>
  </w:style>
  <w:style w:type="character" w:customStyle="1" w:styleId="1f7">
    <w:name w:val="Название книги1"/>
    <w:qFormat/>
    <w:rsid w:val="006842D6"/>
    <w:rPr>
      <w:rFonts w:cs="Times New Roman"/>
      <w:b/>
      <w:bCs/>
      <w:smallCaps/>
      <w:spacing w:val="5"/>
    </w:rPr>
  </w:style>
  <w:style w:type="character" w:customStyle="1" w:styleId="CharChar350">
    <w:name w:val="Char Char35"/>
    <w:rsid w:val="006842D6"/>
    <w:rPr>
      <w:rFonts w:ascii="Arial Armenian" w:hAnsi="Arial Armenian"/>
      <w:i/>
      <w:sz w:val="22"/>
      <w:u w:val="single"/>
      <w:lang w:val="en-GB" w:eastAsia="x-none"/>
    </w:rPr>
  </w:style>
  <w:style w:type="character" w:customStyle="1" w:styleId="CharChar340">
    <w:name w:val="Char Char34"/>
    <w:rsid w:val="006842D6"/>
    <w:rPr>
      <w:rFonts w:ascii="Garamond" w:hAnsi="Garamond"/>
      <w:i/>
      <w:spacing w:val="-5"/>
      <w:sz w:val="28"/>
      <w:shd w:val="pct5" w:color="auto" w:fill="auto"/>
      <w:lang w:val="en-GB" w:eastAsia="x-none"/>
    </w:rPr>
  </w:style>
  <w:style w:type="character" w:customStyle="1" w:styleId="CharChar330">
    <w:name w:val="Char Char33"/>
    <w:rsid w:val="006842D6"/>
    <w:rPr>
      <w:rFonts w:ascii="Arial Black" w:hAnsi="Arial Black"/>
      <w:caps/>
      <w:spacing w:val="60"/>
      <w:position w:val="4"/>
      <w:sz w:val="14"/>
      <w:lang w:val="en-GB" w:eastAsia="x-none"/>
    </w:rPr>
  </w:style>
  <w:style w:type="character" w:customStyle="1" w:styleId="CharChar320">
    <w:name w:val="Char Char32"/>
    <w:rsid w:val="006842D6"/>
    <w:rPr>
      <w:rFonts w:ascii="Garamond" w:hAnsi="Garamond"/>
      <w:b/>
      <w:i/>
      <w:kern w:val="28"/>
      <w:lang w:val="en-GB" w:eastAsia="x-none"/>
    </w:rPr>
  </w:style>
  <w:style w:type="character" w:customStyle="1" w:styleId="CharChar300">
    <w:name w:val="Char Char30"/>
    <w:rsid w:val="006842D6"/>
    <w:rPr>
      <w:rFonts w:ascii="Arial Armenian" w:hAnsi="Arial Armenian"/>
      <w:lang w:val="en-GB" w:eastAsia="en-US" w:bidi="ar-SA"/>
    </w:rPr>
  </w:style>
  <w:style w:type="character" w:customStyle="1" w:styleId="CharChar290">
    <w:name w:val="Char Char29"/>
    <w:rsid w:val="006842D6"/>
    <w:rPr>
      <w:rFonts w:ascii="Arial Armenian" w:hAnsi="Arial Armenian"/>
      <w:lang w:val="ru-RU" w:eastAsia="ru-RU" w:bidi="ar-SA"/>
    </w:rPr>
  </w:style>
  <w:style w:type="character" w:customStyle="1" w:styleId="SubtitleChar2">
    <w:name w:val="Subtitle Char2"/>
    <w:rsid w:val="007B4497"/>
    <w:rPr>
      <w:rFonts w:ascii="Times Armenian" w:hAnsi="Times Armenian"/>
      <w:b/>
      <w:sz w:val="28"/>
      <w:szCs w:val="24"/>
      <w:lang w:eastAsia="ru-RU"/>
    </w:rPr>
  </w:style>
  <w:style w:type="paragraph" w:customStyle="1" w:styleId="msonormal0">
    <w:name w:val="msonormal"/>
    <w:basedOn w:val="Normal"/>
    <w:rsid w:val="00C6712C"/>
    <w:pPr>
      <w:spacing w:before="100" w:beforeAutospacing="1" w:after="100" w:afterAutospacing="1"/>
    </w:pPr>
  </w:style>
  <w:style w:type="paragraph" w:customStyle="1" w:styleId="textbox">
    <w:name w:val="textbox"/>
    <w:basedOn w:val="Normal"/>
    <w:rsid w:val="00C6712C"/>
    <w:pPr>
      <w:spacing w:line="160" w:lineRule="exact"/>
    </w:pPr>
    <w:rPr>
      <w:smallCaps/>
      <w:sz w:val="16"/>
      <w:szCs w:val="20"/>
    </w:rPr>
  </w:style>
  <w:style w:type="character" w:customStyle="1" w:styleId="t121">
    <w:name w:val="t121"/>
    <w:rsid w:val="00C6712C"/>
    <w:rPr>
      <w:b/>
      <w:bCs/>
      <w:color w:val="191970"/>
    </w:rPr>
  </w:style>
  <w:style w:type="character" w:customStyle="1" w:styleId="t61">
    <w:name w:val="t61"/>
    <w:rsid w:val="00C6712C"/>
    <w:rPr>
      <w:b/>
      <w:bCs/>
      <w:color w:val="191970"/>
    </w:rPr>
  </w:style>
  <w:style w:type="table" w:customStyle="1" w:styleId="TableGrid10">
    <w:name w:val="Table Grid1"/>
    <w:basedOn w:val="TableNormal"/>
    <w:next w:val="TableGrid"/>
    <w:rsid w:val="00C671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Char3">
    <w:name w:val="Char Char Char Char Знак Char Знак Char Char Char Char Char Char Char Char Char Char3"/>
    <w:basedOn w:val="Normal"/>
    <w:rsid w:val="00C6712C"/>
    <w:pPr>
      <w:tabs>
        <w:tab w:val="left" w:pos="709"/>
      </w:tabs>
    </w:pPr>
    <w:rPr>
      <w:rFonts w:ascii="Tahoma" w:hAnsi="Tahoma" w:cs="Tahoma"/>
      <w:lang w:val="pl-PL" w:eastAsia="pl-PL"/>
    </w:rPr>
  </w:style>
  <w:style w:type="paragraph" w:customStyle="1" w:styleId="CharCharCharCharCharCharCharCharCharCharCharCharCharCharChar4">
    <w:name w:val="Char Char Char Char Знак Char Знак Char Char Char Char Char Char Char Char Char Char4"/>
    <w:basedOn w:val="Normal"/>
    <w:rsid w:val="00C6712C"/>
    <w:pPr>
      <w:tabs>
        <w:tab w:val="left" w:pos="709"/>
      </w:tabs>
    </w:pPr>
    <w:rPr>
      <w:rFonts w:ascii="Tahoma" w:hAnsi="Tahoma" w:cs="Tahoma"/>
      <w:lang w:val="pl-PL" w:eastAsia="pl-PL"/>
    </w:rPr>
  </w:style>
  <w:style w:type="character" w:customStyle="1" w:styleId="CharChar61">
    <w:name w:val="Char Char6"/>
    <w:locked/>
    <w:rsid w:val="00C6712C"/>
    <w:rPr>
      <w:rFonts w:ascii="Times LatArm" w:eastAsia="Calibri" w:hAnsi="Times LatArm" w:cs="Times LatArm"/>
      <w:sz w:val="22"/>
      <w:szCs w:val="22"/>
      <w:lang w:val="en-GB" w:eastAsia="en-US" w:bidi="ar-SA"/>
    </w:rPr>
  </w:style>
  <w:style w:type="character" w:customStyle="1" w:styleId="CentredCharChar">
    <w:name w:val="Centred Char Char"/>
    <w:locked/>
    <w:rsid w:val="00C6712C"/>
    <w:rPr>
      <w:rFonts w:eastAsia="Calibri"/>
      <w:b/>
      <w:bCs/>
      <w:i/>
      <w:iCs/>
      <w:sz w:val="24"/>
      <w:szCs w:val="24"/>
      <w:lang w:val="en-GB" w:eastAsia="en-US" w:bidi="ar-SA"/>
    </w:rPr>
  </w:style>
  <w:style w:type="character" w:customStyle="1" w:styleId="SideCharChar">
    <w:name w:val="Side Char Char"/>
    <w:locked/>
    <w:rsid w:val="00C6712C"/>
    <w:rPr>
      <w:rFonts w:eastAsia="Calibri"/>
      <w:sz w:val="22"/>
      <w:szCs w:val="22"/>
      <w:lang w:val="en-GB" w:eastAsia="en-US" w:bidi="ar-SA"/>
    </w:rPr>
  </w:style>
  <w:style w:type="character" w:customStyle="1" w:styleId="CharChar8">
    <w:name w:val="Char Char8"/>
    <w:locked/>
    <w:rsid w:val="00C6712C"/>
    <w:rPr>
      <w:rFonts w:ascii="Times Armenian" w:eastAsia="Calibri" w:hAnsi="Times Armenian" w:cs="Times Armenian"/>
      <w:color w:val="993300"/>
      <w:sz w:val="22"/>
      <w:szCs w:val="22"/>
      <w:lang w:val="hy-AM" w:eastAsia="en-US" w:bidi="ar-SA"/>
    </w:rPr>
  </w:style>
  <w:style w:type="character" w:customStyle="1" w:styleId="CharChar70">
    <w:name w:val="Char Char7"/>
    <w:locked/>
    <w:rsid w:val="00C6712C"/>
    <w:rPr>
      <w:rFonts w:ascii="Courier New" w:eastAsia="Calibri" w:hAnsi="Courier New" w:cs="Courier New"/>
      <w:lang w:val="en-US" w:eastAsia="en-US" w:bidi="ar-SA"/>
    </w:rPr>
  </w:style>
  <w:style w:type="character" w:customStyle="1" w:styleId="CharChar40">
    <w:name w:val="Char Char4"/>
    <w:locked/>
    <w:rsid w:val="00C6712C"/>
    <w:rPr>
      <w:rFonts w:eastAsia="Calibri"/>
      <w:sz w:val="22"/>
      <w:szCs w:val="22"/>
      <w:lang w:val="en-GB" w:eastAsia="en-US" w:bidi="ar-SA"/>
    </w:rPr>
  </w:style>
  <w:style w:type="character" w:customStyle="1" w:styleId="CharChar36">
    <w:name w:val="Char Char3"/>
    <w:locked/>
    <w:rsid w:val="00C6712C"/>
    <w:rPr>
      <w:rFonts w:eastAsia="Calibri"/>
      <w:sz w:val="22"/>
      <w:szCs w:val="22"/>
      <w:lang w:val="en-GB" w:eastAsia="en-US" w:bidi="ar-SA"/>
    </w:rPr>
  </w:style>
  <w:style w:type="character" w:customStyle="1" w:styleId="CharChar2a">
    <w:name w:val="Char Char2"/>
    <w:locked/>
    <w:rsid w:val="00C6712C"/>
    <w:rPr>
      <w:rFonts w:ascii="Times Armenian" w:eastAsia="Calibri" w:hAnsi="Times Armenian" w:cs="Times Armenian"/>
      <w:b/>
      <w:bCs/>
      <w:sz w:val="22"/>
      <w:szCs w:val="22"/>
      <w:lang w:val="en-US" w:eastAsia="en-US" w:bidi="ar-SA"/>
    </w:rPr>
  </w:style>
  <w:style w:type="numbering" w:customStyle="1" w:styleId="NoList5">
    <w:name w:val="No List5"/>
    <w:next w:val="NoList"/>
    <w:uiPriority w:val="99"/>
    <w:semiHidden/>
    <w:rsid w:val="00C6712C"/>
  </w:style>
  <w:style w:type="numbering" w:customStyle="1" w:styleId="NoList6">
    <w:name w:val="No List6"/>
    <w:next w:val="NoList"/>
    <w:uiPriority w:val="99"/>
    <w:semiHidden/>
    <w:unhideWhenUsed/>
    <w:rsid w:val="00B528FC"/>
  </w:style>
  <w:style w:type="table" w:customStyle="1" w:styleId="TableGrid2">
    <w:name w:val="Table Grid2"/>
    <w:basedOn w:val="TableNormal"/>
    <w:next w:val="TableGrid"/>
    <w:rsid w:val="00B528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ak">
    <w:name w:val="namak Знак"/>
    <w:link w:val="namak0"/>
    <w:locked/>
    <w:rsid w:val="00B528FC"/>
    <w:rPr>
      <w:rFonts w:ascii="GHEA Grapalat" w:hAnsi="GHEA Grapalat"/>
      <w:spacing w:val="-4"/>
      <w:sz w:val="24"/>
      <w:szCs w:val="24"/>
    </w:rPr>
  </w:style>
  <w:style w:type="paragraph" w:customStyle="1" w:styleId="namak0">
    <w:name w:val="namak"/>
    <w:basedOn w:val="Normal"/>
    <w:link w:val="namak"/>
    <w:rsid w:val="00B528FC"/>
    <w:pPr>
      <w:spacing w:line="400" w:lineRule="exact"/>
      <w:ind w:firstLine="397"/>
    </w:pPr>
    <w:rPr>
      <w:spacing w:val="-4"/>
      <w:lang w:val="x-none" w:eastAsia="x-none"/>
    </w:rPr>
  </w:style>
  <w:style w:type="numbering" w:customStyle="1" w:styleId="NoList7">
    <w:name w:val="No List7"/>
    <w:next w:val="NoList"/>
    <w:uiPriority w:val="99"/>
    <w:semiHidden/>
    <w:unhideWhenUsed/>
    <w:rsid w:val="00433F56"/>
  </w:style>
  <w:style w:type="numbering" w:customStyle="1" w:styleId="NoList12">
    <w:name w:val="No List12"/>
    <w:next w:val="NoList"/>
    <w:uiPriority w:val="99"/>
    <w:semiHidden/>
    <w:unhideWhenUsed/>
    <w:rsid w:val="00433F56"/>
  </w:style>
  <w:style w:type="table" w:customStyle="1" w:styleId="TableGrid30">
    <w:name w:val="Table Grid3"/>
    <w:basedOn w:val="TableNormal"/>
    <w:next w:val="TableGrid"/>
    <w:rsid w:val="00433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rsid w:val="00654F9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654F9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654F9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654F9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
    <w:name w:val="Colorful Grid - Accent 12"/>
    <w:basedOn w:val="TableNormal"/>
    <w:next w:val="ColorfulGrid-Accent1"/>
    <w:rsid w:val="00654F98"/>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rsid w:val="00654F9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ullet2">
    <w:name w:val="Bullet 2"/>
    <w:basedOn w:val="Normal"/>
    <w:autoRedefine/>
    <w:qFormat/>
    <w:rsid w:val="00654F98"/>
    <w:pPr>
      <w:widowControl w:val="0"/>
      <w:tabs>
        <w:tab w:val="left" w:pos="851"/>
        <w:tab w:val="left" w:pos="993"/>
      </w:tabs>
      <w:ind w:left="567"/>
      <w:contextualSpacing/>
    </w:pPr>
    <w:rPr>
      <w:rFonts w:cs="Sylfaen"/>
      <w:b/>
      <w:lang w:val="ro-RO" w:eastAsia="ru-RU"/>
    </w:rPr>
  </w:style>
  <w:style w:type="paragraph" w:customStyle="1" w:styleId="CharChar5CharCharCharCharCharChar0">
    <w:name w:val="Char Char5 Char Char Char Char Char Char"/>
    <w:basedOn w:val="Normal"/>
    <w:rsid w:val="0003671D"/>
    <w:pPr>
      <w:tabs>
        <w:tab w:val="left" w:pos="709"/>
      </w:tabs>
    </w:pPr>
    <w:rPr>
      <w:rFonts w:ascii="Tahoma" w:hAnsi="Tahoma"/>
      <w:lang w:val="pl-PL" w:eastAsia="pl-PL"/>
    </w:rPr>
  </w:style>
  <w:style w:type="paragraph" w:customStyle="1" w:styleId="CharChar5CharCharCharChar0">
    <w:name w:val="Char Char5 Char Char Char Char"/>
    <w:basedOn w:val="Normal"/>
    <w:rsid w:val="0003671D"/>
    <w:pPr>
      <w:tabs>
        <w:tab w:val="left" w:pos="709"/>
      </w:tabs>
    </w:pPr>
    <w:rPr>
      <w:rFonts w:ascii="Tahoma" w:hAnsi="Tahoma"/>
      <w:lang w:val="pl-PL" w:eastAsia="pl-PL"/>
    </w:rPr>
  </w:style>
  <w:style w:type="paragraph" w:customStyle="1" w:styleId="CharChar5CharChar0">
    <w:name w:val="Char Char5 Char Char"/>
    <w:basedOn w:val="Normal"/>
    <w:rsid w:val="0003671D"/>
    <w:pPr>
      <w:tabs>
        <w:tab w:val="left" w:pos="709"/>
      </w:tabs>
    </w:pPr>
    <w:rPr>
      <w:rFonts w:ascii="Tahoma" w:hAnsi="Tahoma"/>
      <w:lang w:val="pl-PL" w:eastAsia="pl-PL"/>
    </w:rPr>
  </w:style>
  <w:style w:type="numbering" w:customStyle="1" w:styleId="NoList8">
    <w:name w:val="No List8"/>
    <w:next w:val="NoList"/>
    <w:uiPriority w:val="99"/>
    <w:semiHidden/>
    <w:unhideWhenUsed/>
    <w:rsid w:val="004336B6"/>
  </w:style>
  <w:style w:type="numbering" w:customStyle="1" w:styleId="120">
    <w:name w:val="Нет списка12"/>
    <w:next w:val="NoList"/>
    <w:uiPriority w:val="99"/>
    <w:semiHidden/>
    <w:unhideWhenUsed/>
    <w:rsid w:val="004336B6"/>
  </w:style>
  <w:style w:type="paragraph" w:customStyle="1" w:styleId="2b">
    <w:name w:val="Абзац списка2"/>
    <w:basedOn w:val="Normal"/>
    <w:uiPriority w:val="99"/>
    <w:qFormat/>
    <w:rsid w:val="004336B6"/>
    <w:pPr>
      <w:spacing w:after="200" w:line="276" w:lineRule="auto"/>
      <w:ind w:left="720"/>
      <w:contextualSpacing/>
    </w:pPr>
    <w:rPr>
      <w:rFonts w:ascii="Calibri" w:hAnsi="Calibri"/>
      <w:lang w:val="ru-RU" w:eastAsia="ru-RU"/>
    </w:rPr>
  </w:style>
  <w:style w:type="paragraph" w:customStyle="1" w:styleId="44">
    <w:name w:val="Обычный4"/>
    <w:rsid w:val="004336B6"/>
    <w:pPr>
      <w:autoSpaceDE w:val="0"/>
      <w:autoSpaceDN w:val="0"/>
    </w:pPr>
    <w:rPr>
      <w:lang w:val="ru-RU" w:eastAsia="ru-RU"/>
    </w:rPr>
  </w:style>
  <w:style w:type="numbering" w:customStyle="1" w:styleId="NoList13">
    <w:name w:val="No List13"/>
    <w:next w:val="NoList"/>
    <w:semiHidden/>
    <w:unhideWhenUsed/>
    <w:rsid w:val="004336B6"/>
  </w:style>
  <w:style w:type="numbering" w:customStyle="1" w:styleId="NoList21">
    <w:name w:val="No List21"/>
    <w:next w:val="NoList"/>
    <w:semiHidden/>
    <w:unhideWhenUsed/>
    <w:rsid w:val="004336B6"/>
  </w:style>
  <w:style w:type="numbering" w:customStyle="1" w:styleId="NoList31">
    <w:name w:val="No List31"/>
    <w:next w:val="NoList"/>
    <w:semiHidden/>
    <w:unhideWhenUsed/>
    <w:rsid w:val="004336B6"/>
  </w:style>
  <w:style w:type="paragraph" w:customStyle="1" w:styleId="2c">
    <w:name w:val="Без интервала2"/>
    <w:uiPriority w:val="1"/>
    <w:qFormat/>
    <w:rsid w:val="004336B6"/>
    <w:rPr>
      <w:rFonts w:ascii="Calibri" w:hAnsi="Calibri"/>
      <w:sz w:val="22"/>
      <w:szCs w:val="22"/>
    </w:rPr>
  </w:style>
  <w:style w:type="paragraph" w:customStyle="1" w:styleId="2d">
    <w:name w:val="Рецензия2"/>
    <w:hidden/>
    <w:semiHidden/>
    <w:rsid w:val="004336B6"/>
    <w:rPr>
      <w:rFonts w:ascii="Arial Armenian" w:hAnsi="Arial Armenian" w:cs="Sylfaen"/>
      <w:sz w:val="24"/>
      <w:szCs w:val="24"/>
      <w:lang w:val="ru-RU" w:eastAsia="ru-RU"/>
    </w:rPr>
  </w:style>
  <w:style w:type="numbering" w:customStyle="1" w:styleId="1110">
    <w:name w:val="Нет списка111"/>
    <w:next w:val="NoList"/>
    <w:semiHidden/>
    <w:unhideWhenUsed/>
    <w:rsid w:val="004336B6"/>
  </w:style>
  <w:style w:type="numbering" w:customStyle="1" w:styleId="NoList41">
    <w:name w:val="No List41"/>
    <w:next w:val="NoList"/>
    <w:semiHidden/>
    <w:rsid w:val="004336B6"/>
  </w:style>
  <w:style w:type="numbering" w:customStyle="1" w:styleId="NoList111">
    <w:name w:val="No List111"/>
    <w:next w:val="NoList"/>
    <w:semiHidden/>
    <w:unhideWhenUsed/>
    <w:rsid w:val="004336B6"/>
  </w:style>
  <w:style w:type="character" w:customStyle="1" w:styleId="38">
    <w:name w:val="Основной текст3"/>
    <w:rsid w:val="004336B6"/>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numbering" w:customStyle="1" w:styleId="1111">
    <w:name w:val="Нет списка1111"/>
    <w:next w:val="NoList"/>
    <w:semiHidden/>
    <w:unhideWhenUsed/>
    <w:rsid w:val="004336B6"/>
  </w:style>
  <w:style w:type="character" w:customStyle="1" w:styleId="CharChar121">
    <w:name w:val="Char Char121"/>
    <w:rsid w:val="00BF7F3E"/>
    <w:rPr>
      <w:sz w:val="22"/>
      <w:lang w:val="en-GB" w:eastAsia="en-US" w:bidi="ar-SA"/>
    </w:rPr>
  </w:style>
  <w:style w:type="paragraph" w:styleId="ListParagraph">
    <w:name w:val="List Paragraph"/>
    <w:aliases w:val="List Paragraph4,List Paragraph41,List Paragraph5,Paragraphe de liste PBLH,PDP DOCUMENT SUBTITLE,Bullet Points,Table of contents numbered,List Paragraph in table,Liste 1,Варианты ответов,Table no. List Paragraph,List Paragraph111,Titulo 2"/>
    <w:basedOn w:val="Normal"/>
    <w:link w:val="ListParagraphChar1"/>
    <w:uiPriority w:val="34"/>
    <w:qFormat/>
    <w:rsid w:val="00F63CB1"/>
    <w:pPr>
      <w:spacing w:after="200" w:line="276" w:lineRule="auto"/>
      <w:ind w:left="720"/>
      <w:contextualSpacing/>
    </w:pPr>
    <w:rPr>
      <w:rFonts w:ascii="Calibri" w:eastAsia="Calibri" w:hAnsi="Calibri" w:cs="Times New Roman"/>
    </w:rPr>
  </w:style>
  <w:style w:type="paragraph" w:customStyle="1" w:styleId="af6">
    <w:name w:val="Աղյուսակ"/>
    <w:basedOn w:val="Normal"/>
    <w:qFormat/>
    <w:rsid w:val="000E387E"/>
    <w:pPr>
      <w:keepNext/>
      <w:spacing w:before="240" w:after="120" w:line="240" w:lineRule="auto"/>
      <w:ind w:firstLine="0"/>
      <w:jc w:val="left"/>
    </w:pPr>
    <w:rPr>
      <w:i/>
    </w:rPr>
  </w:style>
  <w:style w:type="paragraph" w:customStyle="1" w:styleId="af7">
    <w:name w:val="Գծապատկեր"/>
    <w:basedOn w:val="Heading5"/>
    <w:qFormat/>
    <w:rsid w:val="007901C3"/>
    <w:pPr>
      <w:keepNext/>
      <w:spacing w:after="120" w:line="240" w:lineRule="auto"/>
      <w:ind w:firstLine="0"/>
      <w:jc w:val="left"/>
    </w:pPr>
    <w:rPr>
      <w:sz w:val="24"/>
    </w:rPr>
  </w:style>
  <w:style w:type="paragraph" w:customStyle="1" w:styleId="af8">
    <w:name w:val="Ենթավերնագիր"/>
    <w:basedOn w:val="Normal"/>
    <w:qFormat/>
    <w:rsid w:val="001C7D73"/>
    <w:pPr>
      <w:keepNext/>
      <w:spacing w:before="480" w:after="120" w:line="240" w:lineRule="auto"/>
      <w:jc w:val="left"/>
    </w:pPr>
    <w:rPr>
      <w:b/>
      <w:i/>
    </w:rPr>
  </w:style>
  <w:style w:type="paragraph" w:customStyle="1" w:styleId="af9">
    <w:name w:val="Հղումներ"/>
    <w:basedOn w:val="Normal"/>
    <w:qFormat/>
    <w:rsid w:val="00F1016F"/>
    <w:pPr>
      <w:spacing w:before="60" w:after="40" w:line="240" w:lineRule="auto"/>
    </w:pPr>
    <w:rPr>
      <w:rFonts w:cs="Times New Roman"/>
      <w:sz w:val="20"/>
      <w:szCs w:val="20"/>
    </w:rPr>
  </w:style>
  <w:style w:type="character" w:customStyle="1" w:styleId="ListParagraphChar1">
    <w:name w:val="List Paragraph Char1"/>
    <w:aliases w:val="List Paragraph4 Char,List Paragraph41 Char,List Paragraph5 Char,Paragraphe de liste PBLH Char,PDP DOCUMENT SUBTITLE Char,Bullet Points Char,Table of contents numbered Char,List Paragraph in table Char,Liste 1 Char,Titulo 2 Char"/>
    <w:link w:val="ListParagraph"/>
    <w:uiPriority w:val="34"/>
    <w:qFormat/>
    <w:rsid w:val="00DE2E3D"/>
    <w:rPr>
      <w:rFonts w:ascii="Calibri" w:eastAsia="Calibri" w:hAnsi="Calibri"/>
      <w:sz w:val="22"/>
      <w:szCs w:val="22"/>
      <w:lang w:val="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95622">
      <w:bodyDiv w:val="1"/>
      <w:marLeft w:val="0"/>
      <w:marRight w:val="0"/>
      <w:marTop w:val="0"/>
      <w:marBottom w:val="0"/>
      <w:divBdr>
        <w:top w:val="none" w:sz="0" w:space="0" w:color="auto"/>
        <w:left w:val="none" w:sz="0" w:space="0" w:color="auto"/>
        <w:bottom w:val="none" w:sz="0" w:space="0" w:color="auto"/>
        <w:right w:val="none" w:sz="0" w:space="0" w:color="auto"/>
      </w:divBdr>
    </w:div>
    <w:div w:id="74788116">
      <w:bodyDiv w:val="1"/>
      <w:marLeft w:val="0"/>
      <w:marRight w:val="0"/>
      <w:marTop w:val="0"/>
      <w:marBottom w:val="0"/>
      <w:divBdr>
        <w:top w:val="none" w:sz="0" w:space="0" w:color="auto"/>
        <w:left w:val="none" w:sz="0" w:space="0" w:color="auto"/>
        <w:bottom w:val="none" w:sz="0" w:space="0" w:color="auto"/>
        <w:right w:val="none" w:sz="0" w:space="0" w:color="auto"/>
      </w:divBdr>
    </w:div>
    <w:div w:id="114564256">
      <w:bodyDiv w:val="1"/>
      <w:marLeft w:val="0"/>
      <w:marRight w:val="0"/>
      <w:marTop w:val="0"/>
      <w:marBottom w:val="0"/>
      <w:divBdr>
        <w:top w:val="none" w:sz="0" w:space="0" w:color="auto"/>
        <w:left w:val="none" w:sz="0" w:space="0" w:color="auto"/>
        <w:bottom w:val="none" w:sz="0" w:space="0" w:color="auto"/>
        <w:right w:val="none" w:sz="0" w:space="0" w:color="auto"/>
      </w:divBdr>
    </w:div>
    <w:div w:id="114567211">
      <w:bodyDiv w:val="1"/>
      <w:marLeft w:val="0"/>
      <w:marRight w:val="0"/>
      <w:marTop w:val="0"/>
      <w:marBottom w:val="0"/>
      <w:divBdr>
        <w:top w:val="none" w:sz="0" w:space="0" w:color="auto"/>
        <w:left w:val="none" w:sz="0" w:space="0" w:color="auto"/>
        <w:bottom w:val="none" w:sz="0" w:space="0" w:color="auto"/>
        <w:right w:val="none" w:sz="0" w:space="0" w:color="auto"/>
      </w:divBdr>
    </w:div>
    <w:div w:id="172648138">
      <w:bodyDiv w:val="1"/>
      <w:marLeft w:val="0"/>
      <w:marRight w:val="0"/>
      <w:marTop w:val="0"/>
      <w:marBottom w:val="0"/>
      <w:divBdr>
        <w:top w:val="none" w:sz="0" w:space="0" w:color="auto"/>
        <w:left w:val="none" w:sz="0" w:space="0" w:color="auto"/>
        <w:bottom w:val="none" w:sz="0" w:space="0" w:color="auto"/>
        <w:right w:val="none" w:sz="0" w:space="0" w:color="auto"/>
      </w:divBdr>
    </w:div>
    <w:div w:id="174198398">
      <w:bodyDiv w:val="1"/>
      <w:marLeft w:val="0"/>
      <w:marRight w:val="0"/>
      <w:marTop w:val="0"/>
      <w:marBottom w:val="0"/>
      <w:divBdr>
        <w:top w:val="none" w:sz="0" w:space="0" w:color="auto"/>
        <w:left w:val="none" w:sz="0" w:space="0" w:color="auto"/>
        <w:bottom w:val="none" w:sz="0" w:space="0" w:color="auto"/>
        <w:right w:val="none" w:sz="0" w:space="0" w:color="auto"/>
      </w:divBdr>
    </w:div>
    <w:div w:id="248124187">
      <w:bodyDiv w:val="1"/>
      <w:marLeft w:val="0"/>
      <w:marRight w:val="0"/>
      <w:marTop w:val="0"/>
      <w:marBottom w:val="0"/>
      <w:divBdr>
        <w:top w:val="none" w:sz="0" w:space="0" w:color="auto"/>
        <w:left w:val="none" w:sz="0" w:space="0" w:color="auto"/>
        <w:bottom w:val="none" w:sz="0" w:space="0" w:color="auto"/>
        <w:right w:val="none" w:sz="0" w:space="0" w:color="auto"/>
      </w:divBdr>
    </w:div>
    <w:div w:id="286815798">
      <w:bodyDiv w:val="1"/>
      <w:marLeft w:val="0"/>
      <w:marRight w:val="0"/>
      <w:marTop w:val="0"/>
      <w:marBottom w:val="0"/>
      <w:divBdr>
        <w:top w:val="none" w:sz="0" w:space="0" w:color="auto"/>
        <w:left w:val="none" w:sz="0" w:space="0" w:color="auto"/>
        <w:bottom w:val="none" w:sz="0" w:space="0" w:color="auto"/>
        <w:right w:val="none" w:sz="0" w:space="0" w:color="auto"/>
      </w:divBdr>
    </w:div>
    <w:div w:id="293294304">
      <w:bodyDiv w:val="1"/>
      <w:marLeft w:val="0"/>
      <w:marRight w:val="0"/>
      <w:marTop w:val="0"/>
      <w:marBottom w:val="0"/>
      <w:divBdr>
        <w:top w:val="none" w:sz="0" w:space="0" w:color="auto"/>
        <w:left w:val="none" w:sz="0" w:space="0" w:color="auto"/>
        <w:bottom w:val="none" w:sz="0" w:space="0" w:color="auto"/>
        <w:right w:val="none" w:sz="0" w:space="0" w:color="auto"/>
      </w:divBdr>
    </w:div>
    <w:div w:id="352928034">
      <w:bodyDiv w:val="1"/>
      <w:marLeft w:val="0"/>
      <w:marRight w:val="0"/>
      <w:marTop w:val="0"/>
      <w:marBottom w:val="0"/>
      <w:divBdr>
        <w:top w:val="none" w:sz="0" w:space="0" w:color="auto"/>
        <w:left w:val="none" w:sz="0" w:space="0" w:color="auto"/>
        <w:bottom w:val="none" w:sz="0" w:space="0" w:color="auto"/>
        <w:right w:val="none" w:sz="0" w:space="0" w:color="auto"/>
      </w:divBdr>
    </w:div>
    <w:div w:id="423919255">
      <w:bodyDiv w:val="1"/>
      <w:marLeft w:val="0"/>
      <w:marRight w:val="0"/>
      <w:marTop w:val="0"/>
      <w:marBottom w:val="0"/>
      <w:divBdr>
        <w:top w:val="none" w:sz="0" w:space="0" w:color="auto"/>
        <w:left w:val="none" w:sz="0" w:space="0" w:color="auto"/>
        <w:bottom w:val="none" w:sz="0" w:space="0" w:color="auto"/>
        <w:right w:val="none" w:sz="0" w:space="0" w:color="auto"/>
      </w:divBdr>
    </w:div>
    <w:div w:id="483938361">
      <w:bodyDiv w:val="1"/>
      <w:marLeft w:val="0"/>
      <w:marRight w:val="0"/>
      <w:marTop w:val="0"/>
      <w:marBottom w:val="0"/>
      <w:divBdr>
        <w:top w:val="none" w:sz="0" w:space="0" w:color="auto"/>
        <w:left w:val="none" w:sz="0" w:space="0" w:color="auto"/>
        <w:bottom w:val="none" w:sz="0" w:space="0" w:color="auto"/>
        <w:right w:val="none" w:sz="0" w:space="0" w:color="auto"/>
      </w:divBdr>
    </w:div>
    <w:div w:id="523136581">
      <w:bodyDiv w:val="1"/>
      <w:marLeft w:val="0"/>
      <w:marRight w:val="0"/>
      <w:marTop w:val="0"/>
      <w:marBottom w:val="0"/>
      <w:divBdr>
        <w:top w:val="none" w:sz="0" w:space="0" w:color="auto"/>
        <w:left w:val="none" w:sz="0" w:space="0" w:color="auto"/>
        <w:bottom w:val="none" w:sz="0" w:space="0" w:color="auto"/>
        <w:right w:val="none" w:sz="0" w:space="0" w:color="auto"/>
      </w:divBdr>
    </w:div>
    <w:div w:id="535777476">
      <w:bodyDiv w:val="1"/>
      <w:marLeft w:val="0"/>
      <w:marRight w:val="0"/>
      <w:marTop w:val="0"/>
      <w:marBottom w:val="0"/>
      <w:divBdr>
        <w:top w:val="none" w:sz="0" w:space="0" w:color="auto"/>
        <w:left w:val="none" w:sz="0" w:space="0" w:color="auto"/>
        <w:bottom w:val="none" w:sz="0" w:space="0" w:color="auto"/>
        <w:right w:val="none" w:sz="0" w:space="0" w:color="auto"/>
      </w:divBdr>
    </w:div>
    <w:div w:id="571934389">
      <w:bodyDiv w:val="1"/>
      <w:marLeft w:val="0"/>
      <w:marRight w:val="0"/>
      <w:marTop w:val="0"/>
      <w:marBottom w:val="0"/>
      <w:divBdr>
        <w:top w:val="none" w:sz="0" w:space="0" w:color="auto"/>
        <w:left w:val="none" w:sz="0" w:space="0" w:color="auto"/>
        <w:bottom w:val="none" w:sz="0" w:space="0" w:color="auto"/>
        <w:right w:val="none" w:sz="0" w:space="0" w:color="auto"/>
      </w:divBdr>
    </w:div>
    <w:div w:id="604963628">
      <w:bodyDiv w:val="1"/>
      <w:marLeft w:val="0"/>
      <w:marRight w:val="0"/>
      <w:marTop w:val="0"/>
      <w:marBottom w:val="0"/>
      <w:divBdr>
        <w:top w:val="none" w:sz="0" w:space="0" w:color="auto"/>
        <w:left w:val="none" w:sz="0" w:space="0" w:color="auto"/>
        <w:bottom w:val="none" w:sz="0" w:space="0" w:color="auto"/>
        <w:right w:val="none" w:sz="0" w:space="0" w:color="auto"/>
      </w:divBdr>
    </w:div>
    <w:div w:id="637104377">
      <w:bodyDiv w:val="1"/>
      <w:marLeft w:val="0"/>
      <w:marRight w:val="0"/>
      <w:marTop w:val="0"/>
      <w:marBottom w:val="0"/>
      <w:divBdr>
        <w:top w:val="none" w:sz="0" w:space="0" w:color="auto"/>
        <w:left w:val="none" w:sz="0" w:space="0" w:color="auto"/>
        <w:bottom w:val="none" w:sz="0" w:space="0" w:color="auto"/>
        <w:right w:val="none" w:sz="0" w:space="0" w:color="auto"/>
      </w:divBdr>
    </w:div>
    <w:div w:id="664818208">
      <w:bodyDiv w:val="1"/>
      <w:marLeft w:val="0"/>
      <w:marRight w:val="0"/>
      <w:marTop w:val="0"/>
      <w:marBottom w:val="0"/>
      <w:divBdr>
        <w:top w:val="none" w:sz="0" w:space="0" w:color="auto"/>
        <w:left w:val="none" w:sz="0" w:space="0" w:color="auto"/>
        <w:bottom w:val="none" w:sz="0" w:space="0" w:color="auto"/>
        <w:right w:val="none" w:sz="0" w:space="0" w:color="auto"/>
      </w:divBdr>
    </w:div>
    <w:div w:id="673842066">
      <w:bodyDiv w:val="1"/>
      <w:marLeft w:val="0"/>
      <w:marRight w:val="0"/>
      <w:marTop w:val="0"/>
      <w:marBottom w:val="0"/>
      <w:divBdr>
        <w:top w:val="none" w:sz="0" w:space="0" w:color="auto"/>
        <w:left w:val="none" w:sz="0" w:space="0" w:color="auto"/>
        <w:bottom w:val="none" w:sz="0" w:space="0" w:color="auto"/>
        <w:right w:val="none" w:sz="0" w:space="0" w:color="auto"/>
      </w:divBdr>
    </w:div>
    <w:div w:id="698776124">
      <w:bodyDiv w:val="1"/>
      <w:marLeft w:val="0"/>
      <w:marRight w:val="0"/>
      <w:marTop w:val="0"/>
      <w:marBottom w:val="0"/>
      <w:divBdr>
        <w:top w:val="none" w:sz="0" w:space="0" w:color="auto"/>
        <w:left w:val="none" w:sz="0" w:space="0" w:color="auto"/>
        <w:bottom w:val="none" w:sz="0" w:space="0" w:color="auto"/>
        <w:right w:val="none" w:sz="0" w:space="0" w:color="auto"/>
      </w:divBdr>
    </w:div>
    <w:div w:id="800415702">
      <w:bodyDiv w:val="1"/>
      <w:marLeft w:val="0"/>
      <w:marRight w:val="0"/>
      <w:marTop w:val="0"/>
      <w:marBottom w:val="0"/>
      <w:divBdr>
        <w:top w:val="none" w:sz="0" w:space="0" w:color="auto"/>
        <w:left w:val="none" w:sz="0" w:space="0" w:color="auto"/>
        <w:bottom w:val="none" w:sz="0" w:space="0" w:color="auto"/>
        <w:right w:val="none" w:sz="0" w:space="0" w:color="auto"/>
      </w:divBdr>
    </w:div>
    <w:div w:id="928657253">
      <w:bodyDiv w:val="1"/>
      <w:marLeft w:val="0"/>
      <w:marRight w:val="0"/>
      <w:marTop w:val="0"/>
      <w:marBottom w:val="0"/>
      <w:divBdr>
        <w:top w:val="none" w:sz="0" w:space="0" w:color="auto"/>
        <w:left w:val="none" w:sz="0" w:space="0" w:color="auto"/>
        <w:bottom w:val="none" w:sz="0" w:space="0" w:color="auto"/>
        <w:right w:val="none" w:sz="0" w:space="0" w:color="auto"/>
      </w:divBdr>
    </w:div>
    <w:div w:id="1017460119">
      <w:bodyDiv w:val="1"/>
      <w:marLeft w:val="0"/>
      <w:marRight w:val="0"/>
      <w:marTop w:val="0"/>
      <w:marBottom w:val="0"/>
      <w:divBdr>
        <w:top w:val="none" w:sz="0" w:space="0" w:color="auto"/>
        <w:left w:val="none" w:sz="0" w:space="0" w:color="auto"/>
        <w:bottom w:val="none" w:sz="0" w:space="0" w:color="auto"/>
        <w:right w:val="none" w:sz="0" w:space="0" w:color="auto"/>
      </w:divBdr>
    </w:div>
    <w:div w:id="1090157800">
      <w:bodyDiv w:val="1"/>
      <w:marLeft w:val="0"/>
      <w:marRight w:val="0"/>
      <w:marTop w:val="0"/>
      <w:marBottom w:val="0"/>
      <w:divBdr>
        <w:top w:val="none" w:sz="0" w:space="0" w:color="auto"/>
        <w:left w:val="none" w:sz="0" w:space="0" w:color="auto"/>
        <w:bottom w:val="none" w:sz="0" w:space="0" w:color="auto"/>
        <w:right w:val="none" w:sz="0" w:space="0" w:color="auto"/>
      </w:divBdr>
    </w:div>
    <w:div w:id="1204908525">
      <w:bodyDiv w:val="1"/>
      <w:marLeft w:val="0"/>
      <w:marRight w:val="0"/>
      <w:marTop w:val="0"/>
      <w:marBottom w:val="0"/>
      <w:divBdr>
        <w:top w:val="none" w:sz="0" w:space="0" w:color="auto"/>
        <w:left w:val="none" w:sz="0" w:space="0" w:color="auto"/>
        <w:bottom w:val="none" w:sz="0" w:space="0" w:color="auto"/>
        <w:right w:val="none" w:sz="0" w:space="0" w:color="auto"/>
      </w:divBdr>
    </w:div>
    <w:div w:id="1233344571">
      <w:bodyDiv w:val="1"/>
      <w:marLeft w:val="0"/>
      <w:marRight w:val="0"/>
      <w:marTop w:val="0"/>
      <w:marBottom w:val="0"/>
      <w:divBdr>
        <w:top w:val="none" w:sz="0" w:space="0" w:color="auto"/>
        <w:left w:val="none" w:sz="0" w:space="0" w:color="auto"/>
        <w:bottom w:val="none" w:sz="0" w:space="0" w:color="auto"/>
        <w:right w:val="none" w:sz="0" w:space="0" w:color="auto"/>
      </w:divBdr>
    </w:div>
    <w:div w:id="1284533250">
      <w:bodyDiv w:val="1"/>
      <w:marLeft w:val="0"/>
      <w:marRight w:val="0"/>
      <w:marTop w:val="0"/>
      <w:marBottom w:val="0"/>
      <w:divBdr>
        <w:top w:val="none" w:sz="0" w:space="0" w:color="auto"/>
        <w:left w:val="none" w:sz="0" w:space="0" w:color="auto"/>
        <w:bottom w:val="none" w:sz="0" w:space="0" w:color="auto"/>
        <w:right w:val="none" w:sz="0" w:space="0" w:color="auto"/>
      </w:divBdr>
    </w:div>
    <w:div w:id="1332368974">
      <w:bodyDiv w:val="1"/>
      <w:marLeft w:val="0"/>
      <w:marRight w:val="0"/>
      <w:marTop w:val="0"/>
      <w:marBottom w:val="0"/>
      <w:divBdr>
        <w:top w:val="none" w:sz="0" w:space="0" w:color="auto"/>
        <w:left w:val="none" w:sz="0" w:space="0" w:color="auto"/>
        <w:bottom w:val="none" w:sz="0" w:space="0" w:color="auto"/>
        <w:right w:val="none" w:sz="0" w:space="0" w:color="auto"/>
      </w:divBdr>
    </w:div>
    <w:div w:id="1376003312">
      <w:bodyDiv w:val="1"/>
      <w:marLeft w:val="0"/>
      <w:marRight w:val="0"/>
      <w:marTop w:val="0"/>
      <w:marBottom w:val="0"/>
      <w:divBdr>
        <w:top w:val="none" w:sz="0" w:space="0" w:color="auto"/>
        <w:left w:val="none" w:sz="0" w:space="0" w:color="auto"/>
        <w:bottom w:val="none" w:sz="0" w:space="0" w:color="auto"/>
        <w:right w:val="none" w:sz="0" w:space="0" w:color="auto"/>
      </w:divBdr>
    </w:div>
    <w:div w:id="1411929002">
      <w:bodyDiv w:val="1"/>
      <w:marLeft w:val="0"/>
      <w:marRight w:val="0"/>
      <w:marTop w:val="0"/>
      <w:marBottom w:val="0"/>
      <w:divBdr>
        <w:top w:val="none" w:sz="0" w:space="0" w:color="auto"/>
        <w:left w:val="none" w:sz="0" w:space="0" w:color="auto"/>
        <w:bottom w:val="none" w:sz="0" w:space="0" w:color="auto"/>
        <w:right w:val="none" w:sz="0" w:space="0" w:color="auto"/>
      </w:divBdr>
    </w:div>
    <w:div w:id="1434059824">
      <w:bodyDiv w:val="1"/>
      <w:marLeft w:val="0"/>
      <w:marRight w:val="0"/>
      <w:marTop w:val="0"/>
      <w:marBottom w:val="0"/>
      <w:divBdr>
        <w:top w:val="none" w:sz="0" w:space="0" w:color="auto"/>
        <w:left w:val="none" w:sz="0" w:space="0" w:color="auto"/>
        <w:bottom w:val="none" w:sz="0" w:space="0" w:color="auto"/>
        <w:right w:val="none" w:sz="0" w:space="0" w:color="auto"/>
      </w:divBdr>
    </w:div>
    <w:div w:id="1472139841">
      <w:bodyDiv w:val="1"/>
      <w:marLeft w:val="0"/>
      <w:marRight w:val="0"/>
      <w:marTop w:val="0"/>
      <w:marBottom w:val="0"/>
      <w:divBdr>
        <w:top w:val="none" w:sz="0" w:space="0" w:color="auto"/>
        <w:left w:val="none" w:sz="0" w:space="0" w:color="auto"/>
        <w:bottom w:val="none" w:sz="0" w:space="0" w:color="auto"/>
        <w:right w:val="none" w:sz="0" w:space="0" w:color="auto"/>
      </w:divBdr>
    </w:div>
    <w:div w:id="1477380982">
      <w:bodyDiv w:val="1"/>
      <w:marLeft w:val="0"/>
      <w:marRight w:val="0"/>
      <w:marTop w:val="0"/>
      <w:marBottom w:val="0"/>
      <w:divBdr>
        <w:top w:val="none" w:sz="0" w:space="0" w:color="auto"/>
        <w:left w:val="none" w:sz="0" w:space="0" w:color="auto"/>
        <w:bottom w:val="none" w:sz="0" w:space="0" w:color="auto"/>
        <w:right w:val="none" w:sz="0" w:space="0" w:color="auto"/>
      </w:divBdr>
    </w:div>
    <w:div w:id="1483765819">
      <w:bodyDiv w:val="1"/>
      <w:marLeft w:val="0"/>
      <w:marRight w:val="0"/>
      <w:marTop w:val="0"/>
      <w:marBottom w:val="0"/>
      <w:divBdr>
        <w:top w:val="none" w:sz="0" w:space="0" w:color="auto"/>
        <w:left w:val="none" w:sz="0" w:space="0" w:color="auto"/>
        <w:bottom w:val="none" w:sz="0" w:space="0" w:color="auto"/>
        <w:right w:val="none" w:sz="0" w:space="0" w:color="auto"/>
      </w:divBdr>
    </w:div>
    <w:div w:id="1499420687">
      <w:bodyDiv w:val="1"/>
      <w:marLeft w:val="0"/>
      <w:marRight w:val="0"/>
      <w:marTop w:val="0"/>
      <w:marBottom w:val="0"/>
      <w:divBdr>
        <w:top w:val="none" w:sz="0" w:space="0" w:color="auto"/>
        <w:left w:val="none" w:sz="0" w:space="0" w:color="auto"/>
        <w:bottom w:val="none" w:sz="0" w:space="0" w:color="auto"/>
        <w:right w:val="none" w:sz="0" w:space="0" w:color="auto"/>
      </w:divBdr>
    </w:div>
    <w:div w:id="1520047358">
      <w:bodyDiv w:val="1"/>
      <w:marLeft w:val="0"/>
      <w:marRight w:val="0"/>
      <w:marTop w:val="0"/>
      <w:marBottom w:val="0"/>
      <w:divBdr>
        <w:top w:val="none" w:sz="0" w:space="0" w:color="auto"/>
        <w:left w:val="none" w:sz="0" w:space="0" w:color="auto"/>
        <w:bottom w:val="none" w:sz="0" w:space="0" w:color="auto"/>
        <w:right w:val="none" w:sz="0" w:space="0" w:color="auto"/>
      </w:divBdr>
    </w:div>
    <w:div w:id="1533228046">
      <w:bodyDiv w:val="1"/>
      <w:marLeft w:val="0"/>
      <w:marRight w:val="0"/>
      <w:marTop w:val="0"/>
      <w:marBottom w:val="0"/>
      <w:divBdr>
        <w:top w:val="none" w:sz="0" w:space="0" w:color="auto"/>
        <w:left w:val="none" w:sz="0" w:space="0" w:color="auto"/>
        <w:bottom w:val="none" w:sz="0" w:space="0" w:color="auto"/>
        <w:right w:val="none" w:sz="0" w:space="0" w:color="auto"/>
      </w:divBdr>
    </w:div>
    <w:div w:id="1602028417">
      <w:bodyDiv w:val="1"/>
      <w:marLeft w:val="0"/>
      <w:marRight w:val="0"/>
      <w:marTop w:val="0"/>
      <w:marBottom w:val="0"/>
      <w:divBdr>
        <w:top w:val="none" w:sz="0" w:space="0" w:color="auto"/>
        <w:left w:val="none" w:sz="0" w:space="0" w:color="auto"/>
        <w:bottom w:val="none" w:sz="0" w:space="0" w:color="auto"/>
        <w:right w:val="none" w:sz="0" w:space="0" w:color="auto"/>
      </w:divBdr>
    </w:div>
    <w:div w:id="1663585801">
      <w:bodyDiv w:val="1"/>
      <w:marLeft w:val="0"/>
      <w:marRight w:val="0"/>
      <w:marTop w:val="0"/>
      <w:marBottom w:val="0"/>
      <w:divBdr>
        <w:top w:val="none" w:sz="0" w:space="0" w:color="auto"/>
        <w:left w:val="none" w:sz="0" w:space="0" w:color="auto"/>
        <w:bottom w:val="none" w:sz="0" w:space="0" w:color="auto"/>
        <w:right w:val="none" w:sz="0" w:space="0" w:color="auto"/>
      </w:divBdr>
    </w:div>
    <w:div w:id="1682003046">
      <w:bodyDiv w:val="1"/>
      <w:marLeft w:val="0"/>
      <w:marRight w:val="0"/>
      <w:marTop w:val="0"/>
      <w:marBottom w:val="0"/>
      <w:divBdr>
        <w:top w:val="none" w:sz="0" w:space="0" w:color="auto"/>
        <w:left w:val="none" w:sz="0" w:space="0" w:color="auto"/>
        <w:bottom w:val="none" w:sz="0" w:space="0" w:color="auto"/>
        <w:right w:val="none" w:sz="0" w:space="0" w:color="auto"/>
      </w:divBdr>
    </w:div>
    <w:div w:id="1725325704">
      <w:bodyDiv w:val="1"/>
      <w:marLeft w:val="0"/>
      <w:marRight w:val="0"/>
      <w:marTop w:val="0"/>
      <w:marBottom w:val="0"/>
      <w:divBdr>
        <w:top w:val="none" w:sz="0" w:space="0" w:color="auto"/>
        <w:left w:val="none" w:sz="0" w:space="0" w:color="auto"/>
        <w:bottom w:val="none" w:sz="0" w:space="0" w:color="auto"/>
        <w:right w:val="none" w:sz="0" w:space="0" w:color="auto"/>
      </w:divBdr>
    </w:div>
    <w:div w:id="1849370110">
      <w:bodyDiv w:val="1"/>
      <w:marLeft w:val="0"/>
      <w:marRight w:val="0"/>
      <w:marTop w:val="0"/>
      <w:marBottom w:val="0"/>
      <w:divBdr>
        <w:top w:val="none" w:sz="0" w:space="0" w:color="auto"/>
        <w:left w:val="none" w:sz="0" w:space="0" w:color="auto"/>
        <w:bottom w:val="none" w:sz="0" w:space="0" w:color="auto"/>
        <w:right w:val="none" w:sz="0" w:space="0" w:color="auto"/>
      </w:divBdr>
    </w:div>
    <w:div w:id="1853762908">
      <w:bodyDiv w:val="1"/>
      <w:marLeft w:val="0"/>
      <w:marRight w:val="0"/>
      <w:marTop w:val="0"/>
      <w:marBottom w:val="0"/>
      <w:divBdr>
        <w:top w:val="none" w:sz="0" w:space="0" w:color="auto"/>
        <w:left w:val="none" w:sz="0" w:space="0" w:color="auto"/>
        <w:bottom w:val="none" w:sz="0" w:space="0" w:color="auto"/>
        <w:right w:val="none" w:sz="0" w:space="0" w:color="auto"/>
      </w:divBdr>
    </w:div>
    <w:div w:id="1897737112">
      <w:bodyDiv w:val="1"/>
      <w:marLeft w:val="0"/>
      <w:marRight w:val="0"/>
      <w:marTop w:val="0"/>
      <w:marBottom w:val="0"/>
      <w:divBdr>
        <w:top w:val="none" w:sz="0" w:space="0" w:color="auto"/>
        <w:left w:val="none" w:sz="0" w:space="0" w:color="auto"/>
        <w:bottom w:val="none" w:sz="0" w:space="0" w:color="auto"/>
        <w:right w:val="none" w:sz="0" w:space="0" w:color="auto"/>
      </w:divBdr>
    </w:div>
    <w:div w:id="1972518871">
      <w:bodyDiv w:val="1"/>
      <w:marLeft w:val="0"/>
      <w:marRight w:val="0"/>
      <w:marTop w:val="0"/>
      <w:marBottom w:val="0"/>
      <w:divBdr>
        <w:top w:val="none" w:sz="0" w:space="0" w:color="auto"/>
        <w:left w:val="none" w:sz="0" w:space="0" w:color="auto"/>
        <w:bottom w:val="none" w:sz="0" w:space="0" w:color="auto"/>
        <w:right w:val="none" w:sz="0" w:space="0" w:color="auto"/>
      </w:divBdr>
    </w:div>
    <w:div w:id="1982423157">
      <w:bodyDiv w:val="1"/>
      <w:marLeft w:val="0"/>
      <w:marRight w:val="0"/>
      <w:marTop w:val="0"/>
      <w:marBottom w:val="0"/>
      <w:divBdr>
        <w:top w:val="none" w:sz="0" w:space="0" w:color="auto"/>
        <w:left w:val="none" w:sz="0" w:space="0" w:color="auto"/>
        <w:bottom w:val="none" w:sz="0" w:space="0" w:color="auto"/>
        <w:right w:val="none" w:sz="0" w:space="0" w:color="auto"/>
      </w:divBdr>
    </w:div>
    <w:div w:id="1984777221">
      <w:bodyDiv w:val="1"/>
      <w:marLeft w:val="0"/>
      <w:marRight w:val="0"/>
      <w:marTop w:val="0"/>
      <w:marBottom w:val="0"/>
      <w:divBdr>
        <w:top w:val="none" w:sz="0" w:space="0" w:color="auto"/>
        <w:left w:val="none" w:sz="0" w:space="0" w:color="auto"/>
        <w:bottom w:val="none" w:sz="0" w:space="0" w:color="auto"/>
        <w:right w:val="none" w:sz="0" w:space="0" w:color="auto"/>
      </w:divBdr>
    </w:div>
    <w:div w:id="2016028635">
      <w:bodyDiv w:val="1"/>
      <w:marLeft w:val="0"/>
      <w:marRight w:val="0"/>
      <w:marTop w:val="0"/>
      <w:marBottom w:val="0"/>
      <w:divBdr>
        <w:top w:val="none" w:sz="0" w:space="0" w:color="auto"/>
        <w:left w:val="none" w:sz="0" w:space="0" w:color="auto"/>
        <w:bottom w:val="none" w:sz="0" w:space="0" w:color="auto"/>
        <w:right w:val="none" w:sz="0" w:space="0" w:color="auto"/>
      </w:divBdr>
    </w:div>
    <w:div w:id="2029142224">
      <w:bodyDiv w:val="1"/>
      <w:marLeft w:val="0"/>
      <w:marRight w:val="0"/>
      <w:marTop w:val="0"/>
      <w:marBottom w:val="0"/>
      <w:divBdr>
        <w:top w:val="none" w:sz="0" w:space="0" w:color="auto"/>
        <w:left w:val="none" w:sz="0" w:space="0" w:color="auto"/>
        <w:bottom w:val="none" w:sz="0" w:space="0" w:color="auto"/>
        <w:right w:val="none" w:sz="0" w:space="0" w:color="auto"/>
      </w:divBdr>
    </w:div>
    <w:div w:id="2057503138">
      <w:bodyDiv w:val="1"/>
      <w:marLeft w:val="0"/>
      <w:marRight w:val="0"/>
      <w:marTop w:val="0"/>
      <w:marBottom w:val="0"/>
      <w:divBdr>
        <w:top w:val="none" w:sz="0" w:space="0" w:color="auto"/>
        <w:left w:val="none" w:sz="0" w:space="0" w:color="auto"/>
        <w:bottom w:val="none" w:sz="0" w:space="0" w:color="auto"/>
        <w:right w:val="none" w:sz="0" w:space="0" w:color="auto"/>
      </w:divBdr>
    </w:div>
    <w:div w:id="2081050890">
      <w:bodyDiv w:val="1"/>
      <w:marLeft w:val="0"/>
      <w:marRight w:val="0"/>
      <w:marTop w:val="0"/>
      <w:marBottom w:val="0"/>
      <w:divBdr>
        <w:top w:val="none" w:sz="0" w:space="0" w:color="auto"/>
        <w:left w:val="none" w:sz="0" w:space="0" w:color="auto"/>
        <w:bottom w:val="none" w:sz="0" w:space="0" w:color="auto"/>
        <w:right w:val="none" w:sz="0" w:space="0" w:color="auto"/>
      </w:divBdr>
    </w:div>
    <w:div w:id="209204669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MINFIN\Strategy%202024-2026\Strategy%202024-2026%20English\2024-2026%20Strategy%20data_E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MINFIN\Strategy%202024-2026\Strategy%202024-2026%20English\2024-2026%20Strategy%20data_E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MINFIN\Strategy%202024-2026\Strategy%202024-2026%20English\2024-2026%20Strategy%20data_E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MINFIN\Strategy%202024-2026\Strategy%202024-2026%20English\2024-2026%20Strategy%20data_EN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MINFIN\Strategy%202024-2026\Strategy%202024-2026%20English\2024-2026%20Strategy%20data_ENG.xlsx" TargetMode="Externa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72.20.215.254\Share\public_debt\Share\STRATEGY%20AND%20RISKS\STRATEGY\Strategy%202024-2026\Strategy%202024-2026%20English\2024-2026%20Strategy%20data_ENG.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72.20.215.254\Share\public_debt\Share\STRATEGY%20AND%20RISKS\STRATEGY\Strategy%202024-2026\Strategy%202024-2026%20English\2024-2026%20Strategy%20data_ENG.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172.20.215.254\Share\public_debt\Share\STRATEGY%20AND%20RISKS\STRATEGY\Strategy%202024-2026\Strategy%202024-2026%20English\2024-2026%20Strategy%20data_E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39096880351629E-2"/>
          <c:y val="3.8550405033244466E-2"/>
          <c:w val="0.8845661242940871"/>
          <c:h val="0.67610545819513956"/>
        </c:manualLayout>
      </c:layout>
      <c:lineChart>
        <c:grouping val="standard"/>
        <c:varyColors val="0"/>
        <c:ser>
          <c:idx val="0"/>
          <c:order val="0"/>
          <c:tx>
            <c:strRef>
              <c:f>'Graf yield'!$B$3</c:f>
              <c:strCache>
                <c:ptCount val="1"/>
                <c:pt idx="0">
                  <c:v>Ծավալ</c:v>
                </c:pt>
              </c:strCache>
            </c:strRef>
          </c:tx>
          <c:cat>
            <c:numRef>
              <c:f>'Graf yield'!$A$572:$A$1329</c:f>
              <c:numCache>
                <c:formatCode>dd\.mm\.yy;@</c:formatCode>
                <c:ptCount val="758"/>
                <c:pt idx="0">
                  <c:v>43830</c:v>
                </c:pt>
                <c:pt idx="1">
                  <c:v>43838</c:v>
                </c:pt>
                <c:pt idx="2">
                  <c:v>43839</c:v>
                </c:pt>
                <c:pt idx="3">
                  <c:v>43840</c:v>
                </c:pt>
                <c:pt idx="4">
                  <c:v>43843</c:v>
                </c:pt>
                <c:pt idx="5">
                  <c:v>43844</c:v>
                </c:pt>
                <c:pt idx="6">
                  <c:v>43845</c:v>
                </c:pt>
                <c:pt idx="7">
                  <c:v>43846</c:v>
                </c:pt>
                <c:pt idx="8">
                  <c:v>43847</c:v>
                </c:pt>
                <c:pt idx="9">
                  <c:v>43850</c:v>
                </c:pt>
                <c:pt idx="10">
                  <c:v>43851</c:v>
                </c:pt>
                <c:pt idx="11">
                  <c:v>43852</c:v>
                </c:pt>
                <c:pt idx="12">
                  <c:v>43853</c:v>
                </c:pt>
                <c:pt idx="13">
                  <c:v>43854</c:v>
                </c:pt>
                <c:pt idx="14">
                  <c:v>43859</c:v>
                </c:pt>
                <c:pt idx="15">
                  <c:v>43860</c:v>
                </c:pt>
                <c:pt idx="16">
                  <c:v>43861</c:v>
                </c:pt>
                <c:pt idx="17">
                  <c:v>43862</c:v>
                </c:pt>
                <c:pt idx="18">
                  <c:v>43864</c:v>
                </c:pt>
                <c:pt idx="19">
                  <c:v>43865</c:v>
                </c:pt>
                <c:pt idx="20">
                  <c:v>43866</c:v>
                </c:pt>
                <c:pt idx="21">
                  <c:v>43867</c:v>
                </c:pt>
                <c:pt idx="22">
                  <c:v>43868</c:v>
                </c:pt>
                <c:pt idx="23">
                  <c:v>43871</c:v>
                </c:pt>
                <c:pt idx="24">
                  <c:v>43872</c:v>
                </c:pt>
                <c:pt idx="25">
                  <c:v>43873</c:v>
                </c:pt>
                <c:pt idx="26">
                  <c:v>43874</c:v>
                </c:pt>
                <c:pt idx="27">
                  <c:v>43875</c:v>
                </c:pt>
                <c:pt idx="28">
                  <c:v>43878</c:v>
                </c:pt>
                <c:pt idx="29">
                  <c:v>43879</c:v>
                </c:pt>
                <c:pt idx="30">
                  <c:v>43880</c:v>
                </c:pt>
                <c:pt idx="31">
                  <c:v>43881</c:v>
                </c:pt>
                <c:pt idx="32">
                  <c:v>43882</c:v>
                </c:pt>
                <c:pt idx="33">
                  <c:v>43885</c:v>
                </c:pt>
                <c:pt idx="34">
                  <c:v>43886</c:v>
                </c:pt>
                <c:pt idx="35">
                  <c:v>43887</c:v>
                </c:pt>
                <c:pt idx="36">
                  <c:v>43888</c:v>
                </c:pt>
                <c:pt idx="37">
                  <c:v>43889</c:v>
                </c:pt>
                <c:pt idx="38">
                  <c:v>43892</c:v>
                </c:pt>
                <c:pt idx="39">
                  <c:v>43893</c:v>
                </c:pt>
                <c:pt idx="40">
                  <c:v>43894</c:v>
                </c:pt>
                <c:pt idx="41">
                  <c:v>43895</c:v>
                </c:pt>
                <c:pt idx="42">
                  <c:v>43896</c:v>
                </c:pt>
                <c:pt idx="43">
                  <c:v>43899</c:v>
                </c:pt>
                <c:pt idx="44">
                  <c:v>43900</c:v>
                </c:pt>
                <c:pt idx="45">
                  <c:v>43901</c:v>
                </c:pt>
                <c:pt idx="46">
                  <c:v>43902</c:v>
                </c:pt>
                <c:pt idx="47">
                  <c:v>43903</c:v>
                </c:pt>
                <c:pt idx="48">
                  <c:v>43906</c:v>
                </c:pt>
                <c:pt idx="49">
                  <c:v>43907</c:v>
                </c:pt>
                <c:pt idx="50">
                  <c:v>43908</c:v>
                </c:pt>
                <c:pt idx="51">
                  <c:v>43909</c:v>
                </c:pt>
                <c:pt idx="52">
                  <c:v>43910</c:v>
                </c:pt>
                <c:pt idx="53">
                  <c:v>43913</c:v>
                </c:pt>
                <c:pt idx="54">
                  <c:v>43914</c:v>
                </c:pt>
                <c:pt idx="55">
                  <c:v>43915</c:v>
                </c:pt>
                <c:pt idx="56">
                  <c:v>43916</c:v>
                </c:pt>
                <c:pt idx="57">
                  <c:v>43917</c:v>
                </c:pt>
                <c:pt idx="58">
                  <c:v>43920</c:v>
                </c:pt>
                <c:pt idx="59">
                  <c:v>43921</c:v>
                </c:pt>
                <c:pt idx="60">
                  <c:v>43922</c:v>
                </c:pt>
                <c:pt idx="61">
                  <c:v>43923</c:v>
                </c:pt>
                <c:pt idx="62">
                  <c:v>43924</c:v>
                </c:pt>
                <c:pt idx="63">
                  <c:v>43927</c:v>
                </c:pt>
                <c:pt idx="64">
                  <c:v>43928</c:v>
                </c:pt>
                <c:pt idx="65">
                  <c:v>43929</c:v>
                </c:pt>
                <c:pt idx="66">
                  <c:v>43930</c:v>
                </c:pt>
                <c:pt idx="67">
                  <c:v>43931</c:v>
                </c:pt>
                <c:pt idx="68">
                  <c:v>43934</c:v>
                </c:pt>
                <c:pt idx="69">
                  <c:v>43935</c:v>
                </c:pt>
                <c:pt idx="70">
                  <c:v>43936</c:v>
                </c:pt>
                <c:pt idx="71">
                  <c:v>43937</c:v>
                </c:pt>
                <c:pt idx="72">
                  <c:v>43938</c:v>
                </c:pt>
                <c:pt idx="73">
                  <c:v>43941</c:v>
                </c:pt>
                <c:pt idx="74">
                  <c:v>43942</c:v>
                </c:pt>
                <c:pt idx="75">
                  <c:v>43943</c:v>
                </c:pt>
                <c:pt idx="76">
                  <c:v>43944</c:v>
                </c:pt>
                <c:pt idx="77">
                  <c:v>43948</c:v>
                </c:pt>
                <c:pt idx="78">
                  <c:v>43949</c:v>
                </c:pt>
                <c:pt idx="79">
                  <c:v>43950</c:v>
                </c:pt>
                <c:pt idx="80">
                  <c:v>43951</c:v>
                </c:pt>
                <c:pt idx="81">
                  <c:v>43955</c:v>
                </c:pt>
                <c:pt idx="82">
                  <c:v>43956</c:v>
                </c:pt>
                <c:pt idx="83">
                  <c:v>43957</c:v>
                </c:pt>
                <c:pt idx="84">
                  <c:v>43958</c:v>
                </c:pt>
                <c:pt idx="85">
                  <c:v>43959</c:v>
                </c:pt>
                <c:pt idx="86">
                  <c:v>43962</c:v>
                </c:pt>
                <c:pt idx="87">
                  <c:v>43963</c:v>
                </c:pt>
                <c:pt idx="88">
                  <c:v>43964</c:v>
                </c:pt>
                <c:pt idx="89">
                  <c:v>43965</c:v>
                </c:pt>
                <c:pt idx="90">
                  <c:v>43966</c:v>
                </c:pt>
                <c:pt idx="91">
                  <c:v>43969</c:v>
                </c:pt>
                <c:pt idx="92">
                  <c:v>43970</c:v>
                </c:pt>
                <c:pt idx="93">
                  <c:v>43971</c:v>
                </c:pt>
                <c:pt idx="94">
                  <c:v>43972</c:v>
                </c:pt>
                <c:pt idx="95">
                  <c:v>43973</c:v>
                </c:pt>
                <c:pt idx="96">
                  <c:v>43974</c:v>
                </c:pt>
                <c:pt idx="97">
                  <c:v>43976</c:v>
                </c:pt>
                <c:pt idx="98">
                  <c:v>43977</c:v>
                </c:pt>
                <c:pt idx="99">
                  <c:v>43978</c:v>
                </c:pt>
                <c:pt idx="100">
                  <c:v>43983</c:v>
                </c:pt>
                <c:pt idx="101">
                  <c:v>43984</c:v>
                </c:pt>
                <c:pt idx="102">
                  <c:v>43985</c:v>
                </c:pt>
                <c:pt idx="103">
                  <c:v>43986</c:v>
                </c:pt>
                <c:pt idx="104">
                  <c:v>43987</c:v>
                </c:pt>
                <c:pt idx="105">
                  <c:v>43990</c:v>
                </c:pt>
                <c:pt idx="106">
                  <c:v>43991</c:v>
                </c:pt>
                <c:pt idx="107">
                  <c:v>43992</c:v>
                </c:pt>
                <c:pt idx="108">
                  <c:v>43993</c:v>
                </c:pt>
                <c:pt idx="109">
                  <c:v>43994</c:v>
                </c:pt>
                <c:pt idx="110">
                  <c:v>43997</c:v>
                </c:pt>
                <c:pt idx="111">
                  <c:v>43998</c:v>
                </c:pt>
                <c:pt idx="112">
                  <c:v>43999</c:v>
                </c:pt>
                <c:pt idx="113">
                  <c:v>44000</c:v>
                </c:pt>
                <c:pt idx="114">
                  <c:v>44001</c:v>
                </c:pt>
                <c:pt idx="115">
                  <c:v>44004</c:v>
                </c:pt>
                <c:pt idx="116">
                  <c:v>44005</c:v>
                </c:pt>
                <c:pt idx="117">
                  <c:v>44006</c:v>
                </c:pt>
                <c:pt idx="118">
                  <c:v>44007</c:v>
                </c:pt>
                <c:pt idx="119">
                  <c:v>44008</c:v>
                </c:pt>
                <c:pt idx="120">
                  <c:v>44011</c:v>
                </c:pt>
                <c:pt idx="121">
                  <c:v>44012</c:v>
                </c:pt>
                <c:pt idx="122">
                  <c:v>44013</c:v>
                </c:pt>
                <c:pt idx="123">
                  <c:v>44014</c:v>
                </c:pt>
                <c:pt idx="124">
                  <c:v>44015</c:v>
                </c:pt>
                <c:pt idx="125">
                  <c:v>44018</c:v>
                </c:pt>
                <c:pt idx="126">
                  <c:v>44019</c:v>
                </c:pt>
                <c:pt idx="127">
                  <c:v>44020</c:v>
                </c:pt>
                <c:pt idx="128">
                  <c:v>44021</c:v>
                </c:pt>
                <c:pt idx="129">
                  <c:v>44022</c:v>
                </c:pt>
                <c:pt idx="130">
                  <c:v>44025</c:v>
                </c:pt>
                <c:pt idx="131">
                  <c:v>44026</c:v>
                </c:pt>
                <c:pt idx="132">
                  <c:v>44027</c:v>
                </c:pt>
                <c:pt idx="133">
                  <c:v>44028</c:v>
                </c:pt>
                <c:pt idx="134">
                  <c:v>44029</c:v>
                </c:pt>
                <c:pt idx="135">
                  <c:v>44032</c:v>
                </c:pt>
                <c:pt idx="136">
                  <c:v>44033</c:v>
                </c:pt>
                <c:pt idx="137">
                  <c:v>44034</c:v>
                </c:pt>
                <c:pt idx="138">
                  <c:v>44035</c:v>
                </c:pt>
                <c:pt idx="139">
                  <c:v>44036</c:v>
                </c:pt>
                <c:pt idx="140">
                  <c:v>44039</c:v>
                </c:pt>
                <c:pt idx="141">
                  <c:v>44040</c:v>
                </c:pt>
                <c:pt idx="142">
                  <c:v>44041</c:v>
                </c:pt>
                <c:pt idx="143">
                  <c:v>44042</c:v>
                </c:pt>
                <c:pt idx="144">
                  <c:v>44043</c:v>
                </c:pt>
                <c:pt idx="145">
                  <c:v>44046</c:v>
                </c:pt>
                <c:pt idx="146">
                  <c:v>44047</c:v>
                </c:pt>
                <c:pt idx="147">
                  <c:v>44048</c:v>
                </c:pt>
                <c:pt idx="148">
                  <c:v>44049</c:v>
                </c:pt>
                <c:pt idx="149">
                  <c:v>44050</c:v>
                </c:pt>
                <c:pt idx="150">
                  <c:v>44053</c:v>
                </c:pt>
                <c:pt idx="151">
                  <c:v>44054</c:v>
                </c:pt>
                <c:pt idx="152">
                  <c:v>44055</c:v>
                </c:pt>
                <c:pt idx="153">
                  <c:v>44056</c:v>
                </c:pt>
                <c:pt idx="154">
                  <c:v>44057</c:v>
                </c:pt>
                <c:pt idx="155">
                  <c:v>44060</c:v>
                </c:pt>
                <c:pt idx="156">
                  <c:v>44061</c:v>
                </c:pt>
                <c:pt idx="157">
                  <c:v>44062</c:v>
                </c:pt>
                <c:pt idx="158">
                  <c:v>44063</c:v>
                </c:pt>
                <c:pt idx="159">
                  <c:v>44064</c:v>
                </c:pt>
                <c:pt idx="160">
                  <c:v>44067</c:v>
                </c:pt>
                <c:pt idx="161">
                  <c:v>44068</c:v>
                </c:pt>
                <c:pt idx="162">
                  <c:v>44069</c:v>
                </c:pt>
                <c:pt idx="163">
                  <c:v>44070</c:v>
                </c:pt>
                <c:pt idx="164">
                  <c:v>44071</c:v>
                </c:pt>
                <c:pt idx="165">
                  <c:v>44074</c:v>
                </c:pt>
                <c:pt idx="166">
                  <c:v>44075</c:v>
                </c:pt>
                <c:pt idx="167">
                  <c:v>44076</c:v>
                </c:pt>
                <c:pt idx="168">
                  <c:v>44077</c:v>
                </c:pt>
                <c:pt idx="169">
                  <c:v>44078</c:v>
                </c:pt>
                <c:pt idx="170">
                  <c:v>44081</c:v>
                </c:pt>
                <c:pt idx="171">
                  <c:v>44082</c:v>
                </c:pt>
                <c:pt idx="172">
                  <c:v>44083</c:v>
                </c:pt>
                <c:pt idx="173">
                  <c:v>44084</c:v>
                </c:pt>
                <c:pt idx="174">
                  <c:v>44085</c:v>
                </c:pt>
                <c:pt idx="175">
                  <c:v>44088</c:v>
                </c:pt>
                <c:pt idx="176">
                  <c:v>44089</c:v>
                </c:pt>
                <c:pt idx="177">
                  <c:v>44090</c:v>
                </c:pt>
                <c:pt idx="178">
                  <c:v>44091</c:v>
                </c:pt>
                <c:pt idx="179">
                  <c:v>44092</c:v>
                </c:pt>
                <c:pt idx="180">
                  <c:v>44096</c:v>
                </c:pt>
                <c:pt idx="181">
                  <c:v>44097</c:v>
                </c:pt>
                <c:pt idx="182">
                  <c:v>44098</c:v>
                </c:pt>
                <c:pt idx="183">
                  <c:v>44099</c:v>
                </c:pt>
                <c:pt idx="184">
                  <c:v>44102</c:v>
                </c:pt>
                <c:pt idx="185">
                  <c:v>44103</c:v>
                </c:pt>
                <c:pt idx="186">
                  <c:v>44104</c:v>
                </c:pt>
                <c:pt idx="187">
                  <c:v>44105</c:v>
                </c:pt>
                <c:pt idx="188">
                  <c:v>44106</c:v>
                </c:pt>
                <c:pt idx="189">
                  <c:v>44109</c:v>
                </c:pt>
                <c:pt idx="190">
                  <c:v>44110</c:v>
                </c:pt>
                <c:pt idx="191">
                  <c:v>44111</c:v>
                </c:pt>
                <c:pt idx="192">
                  <c:v>44112</c:v>
                </c:pt>
                <c:pt idx="193">
                  <c:v>44113</c:v>
                </c:pt>
                <c:pt idx="194">
                  <c:v>44116</c:v>
                </c:pt>
                <c:pt idx="195">
                  <c:v>44117</c:v>
                </c:pt>
                <c:pt idx="196">
                  <c:v>44118</c:v>
                </c:pt>
                <c:pt idx="197">
                  <c:v>44119</c:v>
                </c:pt>
                <c:pt idx="198">
                  <c:v>44120</c:v>
                </c:pt>
                <c:pt idx="199">
                  <c:v>44123</c:v>
                </c:pt>
                <c:pt idx="200">
                  <c:v>44124</c:v>
                </c:pt>
                <c:pt idx="201">
                  <c:v>44125</c:v>
                </c:pt>
                <c:pt idx="202">
                  <c:v>44126</c:v>
                </c:pt>
                <c:pt idx="203">
                  <c:v>44127</c:v>
                </c:pt>
                <c:pt idx="204">
                  <c:v>44130</c:v>
                </c:pt>
                <c:pt idx="205">
                  <c:v>44131</c:v>
                </c:pt>
                <c:pt idx="206">
                  <c:v>44132</c:v>
                </c:pt>
                <c:pt idx="207">
                  <c:v>44133</c:v>
                </c:pt>
                <c:pt idx="208">
                  <c:v>44134</c:v>
                </c:pt>
                <c:pt idx="209">
                  <c:v>44137</c:v>
                </c:pt>
                <c:pt idx="210">
                  <c:v>44138</c:v>
                </c:pt>
                <c:pt idx="211">
                  <c:v>44139</c:v>
                </c:pt>
                <c:pt idx="212">
                  <c:v>44140</c:v>
                </c:pt>
                <c:pt idx="213">
                  <c:v>44141</c:v>
                </c:pt>
                <c:pt idx="214">
                  <c:v>44144</c:v>
                </c:pt>
                <c:pt idx="215">
                  <c:v>44145</c:v>
                </c:pt>
                <c:pt idx="216">
                  <c:v>44146</c:v>
                </c:pt>
                <c:pt idx="217">
                  <c:v>44147</c:v>
                </c:pt>
                <c:pt idx="218">
                  <c:v>44148</c:v>
                </c:pt>
                <c:pt idx="219">
                  <c:v>44151</c:v>
                </c:pt>
                <c:pt idx="220">
                  <c:v>44152</c:v>
                </c:pt>
                <c:pt idx="221">
                  <c:v>44153</c:v>
                </c:pt>
                <c:pt idx="222">
                  <c:v>44154</c:v>
                </c:pt>
                <c:pt idx="223">
                  <c:v>44155</c:v>
                </c:pt>
                <c:pt idx="224">
                  <c:v>44158</c:v>
                </c:pt>
                <c:pt idx="225">
                  <c:v>44159</c:v>
                </c:pt>
                <c:pt idx="226">
                  <c:v>44160</c:v>
                </c:pt>
                <c:pt idx="227">
                  <c:v>44161</c:v>
                </c:pt>
                <c:pt idx="228">
                  <c:v>44162</c:v>
                </c:pt>
                <c:pt idx="229">
                  <c:v>44165</c:v>
                </c:pt>
                <c:pt idx="230">
                  <c:v>44166</c:v>
                </c:pt>
                <c:pt idx="231">
                  <c:v>44167</c:v>
                </c:pt>
                <c:pt idx="232">
                  <c:v>44168</c:v>
                </c:pt>
                <c:pt idx="233">
                  <c:v>44169</c:v>
                </c:pt>
                <c:pt idx="234">
                  <c:v>44172</c:v>
                </c:pt>
                <c:pt idx="235">
                  <c:v>44173</c:v>
                </c:pt>
                <c:pt idx="236">
                  <c:v>44174</c:v>
                </c:pt>
                <c:pt idx="237">
                  <c:v>44175</c:v>
                </c:pt>
                <c:pt idx="238">
                  <c:v>44176</c:v>
                </c:pt>
                <c:pt idx="239">
                  <c:v>44179</c:v>
                </c:pt>
                <c:pt idx="240">
                  <c:v>44180</c:v>
                </c:pt>
                <c:pt idx="241">
                  <c:v>44181</c:v>
                </c:pt>
                <c:pt idx="242">
                  <c:v>44182</c:v>
                </c:pt>
                <c:pt idx="243">
                  <c:v>44183</c:v>
                </c:pt>
                <c:pt idx="244">
                  <c:v>44186</c:v>
                </c:pt>
                <c:pt idx="245">
                  <c:v>44187</c:v>
                </c:pt>
                <c:pt idx="246">
                  <c:v>44188</c:v>
                </c:pt>
                <c:pt idx="247">
                  <c:v>44189</c:v>
                </c:pt>
                <c:pt idx="248">
                  <c:v>44190</c:v>
                </c:pt>
                <c:pt idx="249">
                  <c:v>44193</c:v>
                </c:pt>
                <c:pt idx="250">
                  <c:v>44194</c:v>
                </c:pt>
                <c:pt idx="251">
                  <c:v>44195</c:v>
                </c:pt>
                <c:pt idx="252">
                  <c:v>44196</c:v>
                </c:pt>
                <c:pt idx="253">
                  <c:v>44204</c:v>
                </c:pt>
                <c:pt idx="254">
                  <c:v>44207</c:v>
                </c:pt>
                <c:pt idx="255">
                  <c:v>44208</c:v>
                </c:pt>
                <c:pt idx="256">
                  <c:v>44209</c:v>
                </c:pt>
                <c:pt idx="257">
                  <c:v>44210</c:v>
                </c:pt>
                <c:pt idx="258">
                  <c:v>44211</c:v>
                </c:pt>
                <c:pt idx="259">
                  <c:v>44214</c:v>
                </c:pt>
                <c:pt idx="260">
                  <c:v>44215</c:v>
                </c:pt>
                <c:pt idx="261">
                  <c:v>44216</c:v>
                </c:pt>
                <c:pt idx="262">
                  <c:v>44217</c:v>
                </c:pt>
                <c:pt idx="263">
                  <c:v>44218</c:v>
                </c:pt>
                <c:pt idx="264">
                  <c:v>44221</c:v>
                </c:pt>
                <c:pt idx="265">
                  <c:v>44222</c:v>
                </c:pt>
                <c:pt idx="266">
                  <c:v>44223</c:v>
                </c:pt>
                <c:pt idx="267">
                  <c:v>44225</c:v>
                </c:pt>
                <c:pt idx="268">
                  <c:v>44228</c:v>
                </c:pt>
                <c:pt idx="269">
                  <c:v>44229</c:v>
                </c:pt>
                <c:pt idx="270">
                  <c:v>44230</c:v>
                </c:pt>
                <c:pt idx="271">
                  <c:v>44231</c:v>
                </c:pt>
                <c:pt idx="272">
                  <c:v>44232</c:v>
                </c:pt>
                <c:pt idx="273">
                  <c:v>44235</c:v>
                </c:pt>
                <c:pt idx="274">
                  <c:v>44236</c:v>
                </c:pt>
                <c:pt idx="275">
                  <c:v>44237</c:v>
                </c:pt>
                <c:pt idx="276">
                  <c:v>44238</c:v>
                </c:pt>
                <c:pt idx="277">
                  <c:v>44239</c:v>
                </c:pt>
                <c:pt idx="278">
                  <c:v>44242</c:v>
                </c:pt>
                <c:pt idx="279">
                  <c:v>44243</c:v>
                </c:pt>
                <c:pt idx="280">
                  <c:v>44244</c:v>
                </c:pt>
                <c:pt idx="281">
                  <c:v>44245</c:v>
                </c:pt>
                <c:pt idx="282">
                  <c:v>44246</c:v>
                </c:pt>
                <c:pt idx="283">
                  <c:v>44249</c:v>
                </c:pt>
                <c:pt idx="284">
                  <c:v>44250</c:v>
                </c:pt>
                <c:pt idx="285">
                  <c:v>44251</c:v>
                </c:pt>
                <c:pt idx="286">
                  <c:v>44252</c:v>
                </c:pt>
                <c:pt idx="287">
                  <c:v>44253</c:v>
                </c:pt>
                <c:pt idx="288">
                  <c:v>44256</c:v>
                </c:pt>
                <c:pt idx="289">
                  <c:v>44257</c:v>
                </c:pt>
                <c:pt idx="290">
                  <c:v>44258</c:v>
                </c:pt>
                <c:pt idx="291">
                  <c:v>44259</c:v>
                </c:pt>
                <c:pt idx="292">
                  <c:v>44260</c:v>
                </c:pt>
                <c:pt idx="293">
                  <c:v>44264</c:v>
                </c:pt>
                <c:pt idx="294">
                  <c:v>44265</c:v>
                </c:pt>
                <c:pt idx="295">
                  <c:v>44266</c:v>
                </c:pt>
                <c:pt idx="296">
                  <c:v>44267</c:v>
                </c:pt>
                <c:pt idx="297">
                  <c:v>44270</c:v>
                </c:pt>
                <c:pt idx="298">
                  <c:v>44271</c:v>
                </c:pt>
                <c:pt idx="299">
                  <c:v>44272</c:v>
                </c:pt>
                <c:pt idx="300">
                  <c:v>44273</c:v>
                </c:pt>
                <c:pt idx="301">
                  <c:v>44274</c:v>
                </c:pt>
                <c:pt idx="302">
                  <c:v>44277</c:v>
                </c:pt>
                <c:pt idx="303">
                  <c:v>44278</c:v>
                </c:pt>
                <c:pt idx="304">
                  <c:v>44279</c:v>
                </c:pt>
                <c:pt idx="305">
                  <c:v>44280</c:v>
                </c:pt>
                <c:pt idx="306">
                  <c:v>44281</c:v>
                </c:pt>
                <c:pt idx="307">
                  <c:v>44284</c:v>
                </c:pt>
                <c:pt idx="308">
                  <c:v>44285</c:v>
                </c:pt>
                <c:pt idx="309">
                  <c:v>44286</c:v>
                </c:pt>
                <c:pt idx="310">
                  <c:v>44287</c:v>
                </c:pt>
                <c:pt idx="311">
                  <c:v>44288</c:v>
                </c:pt>
                <c:pt idx="312">
                  <c:v>44291</c:v>
                </c:pt>
                <c:pt idx="313">
                  <c:v>44292</c:v>
                </c:pt>
                <c:pt idx="314">
                  <c:v>44293</c:v>
                </c:pt>
                <c:pt idx="315">
                  <c:v>44294</c:v>
                </c:pt>
                <c:pt idx="316">
                  <c:v>44295</c:v>
                </c:pt>
                <c:pt idx="317">
                  <c:v>44298</c:v>
                </c:pt>
                <c:pt idx="318">
                  <c:v>44299</c:v>
                </c:pt>
                <c:pt idx="319">
                  <c:v>44300</c:v>
                </c:pt>
                <c:pt idx="320">
                  <c:v>44301</c:v>
                </c:pt>
                <c:pt idx="321">
                  <c:v>44302</c:v>
                </c:pt>
                <c:pt idx="322">
                  <c:v>44305</c:v>
                </c:pt>
                <c:pt idx="323">
                  <c:v>44306</c:v>
                </c:pt>
                <c:pt idx="324">
                  <c:v>44307</c:v>
                </c:pt>
                <c:pt idx="325">
                  <c:v>44308</c:v>
                </c:pt>
                <c:pt idx="326">
                  <c:v>44309</c:v>
                </c:pt>
                <c:pt idx="327">
                  <c:v>44312</c:v>
                </c:pt>
                <c:pt idx="328">
                  <c:v>44313</c:v>
                </c:pt>
                <c:pt idx="329">
                  <c:v>44314</c:v>
                </c:pt>
                <c:pt idx="330">
                  <c:v>44315</c:v>
                </c:pt>
                <c:pt idx="331">
                  <c:v>44316</c:v>
                </c:pt>
                <c:pt idx="332">
                  <c:v>44319</c:v>
                </c:pt>
                <c:pt idx="333">
                  <c:v>44320</c:v>
                </c:pt>
                <c:pt idx="334">
                  <c:v>44321</c:v>
                </c:pt>
                <c:pt idx="335">
                  <c:v>44322</c:v>
                </c:pt>
                <c:pt idx="336">
                  <c:v>44323</c:v>
                </c:pt>
                <c:pt idx="337">
                  <c:v>44326</c:v>
                </c:pt>
                <c:pt idx="338">
                  <c:v>44327</c:v>
                </c:pt>
                <c:pt idx="339">
                  <c:v>44328</c:v>
                </c:pt>
                <c:pt idx="340">
                  <c:v>44329</c:v>
                </c:pt>
                <c:pt idx="341">
                  <c:v>44330</c:v>
                </c:pt>
                <c:pt idx="342">
                  <c:v>44333</c:v>
                </c:pt>
                <c:pt idx="343">
                  <c:v>44334</c:v>
                </c:pt>
                <c:pt idx="344">
                  <c:v>44335</c:v>
                </c:pt>
                <c:pt idx="345">
                  <c:v>44336</c:v>
                </c:pt>
                <c:pt idx="346">
                  <c:v>44337</c:v>
                </c:pt>
                <c:pt idx="347">
                  <c:v>44340</c:v>
                </c:pt>
                <c:pt idx="348">
                  <c:v>44341</c:v>
                </c:pt>
                <c:pt idx="349">
                  <c:v>44342</c:v>
                </c:pt>
                <c:pt idx="350">
                  <c:v>44343</c:v>
                </c:pt>
                <c:pt idx="351">
                  <c:v>44347</c:v>
                </c:pt>
                <c:pt idx="352">
                  <c:v>44348</c:v>
                </c:pt>
                <c:pt idx="353">
                  <c:v>44349</c:v>
                </c:pt>
                <c:pt idx="354">
                  <c:v>44350</c:v>
                </c:pt>
                <c:pt idx="355">
                  <c:v>44351</c:v>
                </c:pt>
                <c:pt idx="356">
                  <c:v>44354</c:v>
                </c:pt>
                <c:pt idx="357">
                  <c:v>44355</c:v>
                </c:pt>
                <c:pt idx="358">
                  <c:v>44356</c:v>
                </c:pt>
                <c:pt idx="359">
                  <c:v>44357</c:v>
                </c:pt>
                <c:pt idx="360">
                  <c:v>44358</c:v>
                </c:pt>
                <c:pt idx="361">
                  <c:v>44361</c:v>
                </c:pt>
                <c:pt idx="362">
                  <c:v>44362</c:v>
                </c:pt>
                <c:pt idx="363">
                  <c:v>44363</c:v>
                </c:pt>
                <c:pt idx="364">
                  <c:v>44364</c:v>
                </c:pt>
                <c:pt idx="365">
                  <c:v>44365</c:v>
                </c:pt>
                <c:pt idx="366">
                  <c:v>44368</c:v>
                </c:pt>
                <c:pt idx="367">
                  <c:v>44369</c:v>
                </c:pt>
                <c:pt idx="368">
                  <c:v>44370</c:v>
                </c:pt>
                <c:pt idx="369">
                  <c:v>44371</c:v>
                </c:pt>
                <c:pt idx="370">
                  <c:v>44372</c:v>
                </c:pt>
                <c:pt idx="371">
                  <c:v>44375</c:v>
                </c:pt>
                <c:pt idx="372">
                  <c:v>44376</c:v>
                </c:pt>
                <c:pt idx="373">
                  <c:v>44377</c:v>
                </c:pt>
                <c:pt idx="374">
                  <c:v>44378</c:v>
                </c:pt>
                <c:pt idx="375">
                  <c:v>44379</c:v>
                </c:pt>
                <c:pt idx="376">
                  <c:v>44383</c:v>
                </c:pt>
                <c:pt idx="377">
                  <c:v>44384</c:v>
                </c:pt>
                <c:pt idx="378">
                  <c:v>44385</c:v>
                </c:pt>
                <c:pt idx="379">
                  <c:v>44386</c:v>
                </c:pt>
                <c:pt idx="380">
                  <c:v>44389</c:v>
                </c:pt>
                <c:pt idx="381">
                  <c:v>44390</c:v>
                </c:pt>
                <c:pt idx="382">
                  <c:v>44391</c:v>
                </c:pt>
                <c:pt idx="383">
                  <c:v>44392</c:v>
                </c:pt>
                <c:pt idx="384">
                  <c:v>44393</c:v>
                </c:pt>
                <c:pt idx="385">
                  <c:v>44396</c:v>
                </c:pt>
                <c:pt idx="386">
                  <c:v>44397</c:v>
                </c:pt>
                <c:pt idx="387">
                  <c:v>44398</c:v>
                </c:pt>
                <c:pt idx="388">
                  <c:v>44399</c:v>
                </c:pt>
                <c:pt idx="389">
                  <c:v>44400</c:v>
                </c:pt>
                <c:pt idx="390">
                  <c:v>44403</c:v>
                </c:pt>
                <c:pt idx="391">
                  <c:v>44404</c:v>
                </c:pt>
                <c:pt idx="392">
                  <c:v>44405</c:v>
                </c:pt>
                <c:pt idx="393">
                  <c:v>44406</c:v>
                </c:pt>
                <c:pt idx="394">
                  <c:v>44407</c:v>
                </c:pt>
                <c:pt idx="395">
                  <c:v>44410</c:v>
                </c:pt>
                <c:pt idx="396">
                  <c:v>44411</c:v>
                </c:pt>
                <c:pt idx="397">
                  <c:v>44412</c:v>
                </c:pt>
                <c:pt idx="398">
                  <c:v>44413</c:v>
                </c:pt>
                <c:pt idx="399">
                  <c:v>44414</c:v>
                </c:pt>
                <c:pt idx="400">
                  <c:v>44417</c:v>
                </c:pt>
                <c:pt idx="401">
                  <c:v>44418</c:v>
                </c:pt>
                <c:pt idx="402">
                  <c:v>44419</c:v>
                </c:pt>
                <c:pt idx="403">
                  <c:v>44420</c:v>
                </c:pt>
                <c:pt idx="404">
                  <c:v>44421</c:v>
                </c:pt>
                <c:pt idx="405">
                  <c:v>44424</c:v>
                </c:pt>
                <c:pt idx="406">
                  <c:v>44425</c:v>
                </c:pt>
                <c:pt idx="407">
                  <c:v>44426</c:v>
                </c:pt>
                <c:pt idx="408">
                  <c:v>44427</c:v>
                </c:pt>
                <c:pt idx="409">
                  <c:v>44428</c:v>
                </c:pt>
                <c:pt idx="410">
                  <c:v>44431</c:v>
                </c:pt>
                <c:pt idx="411">
                  <c:v>44432</c:v>
                </c:pt>
                <c:pt idx="412">
                  <c:v>44433</c:v>
                </c:pt>
                <c:pt idx="413">
                  <c:v>44434</c:v>
                </c:pt>
                <c:pt idx="414">
                  <c:v>44435</c:v>
                </c:pt>
                <c:pt idx="415">
                  <c:v>44438</c:v>
                </c:pt>
                <c:pt idx="416">
                  <c:v>44439</c:v>
                </c:pt>
                <c:pt idx="417">
                  <c:v>44440</c:v>
                </c:pt>
                <c:pt idx="418">
                  <c:v>44441</c:v>
                </c:pt>
                <c:pt idx="419">
                  <c:v>44442</c:v>
                </c:pt>
                <c:pt idx="420">
                  <c:v>44445</c:v>
                </c:pt>
                <c:pt idx="421">
                  <c:v>44446</c:v>
                </c:pt>
                <c:pt idx="422">
                  <c:v>44447</c:v>
                </c:pt>
                <c:pt idx="423">
                  <c:v>44448</c:v>
                </c:pt>
                <c:pt idx="424">
                  <c:v>44449</c:v>
                </c:pt>
                <c:pt idx="425">
                  <c:v>44452</c:v>
                </c:pt>
                <c:pt idx="426">
                  <c:v>44453</c:v>
                </c:pt>
                <c:pt idx="427">
                  <c:v>44454</c:v>
                </c:pt>
                <c:pt idx="428">
                  <c:v>44455</c:v>
                </c:pt>
                <c:pt idx="429">
                  <c:v>44456</c:v>
                </c:pt>
                <c:pt idx="430">
                  <c:v>44461</c:v>
                </c:pt>
                <c:pt idx="431">
                  <c:v>44462</c:v>
                </c:pt>
                <c:pt idx="432">
                  <c:v>44463</c:v>
                </c:pt>
                <c:pt idx="433">
                  <c:v>44464</c:v>
                </c:pt>
                <c:pt idx="434">
                  <c:v>44466</c:v>
                </c:pt>
                <c:pt idx="435">
                  <c:v>44467</c:v>
                </c:pt>
                <c:pt idx="436">
                  <c:v>44468</c:v>
                </c:pt>
                <c:pt idx="437">
                  <c:v>44469</c:v>
                </c:pt>
                <c:pt idx="438">
                  <c:v>44470</c:v>
                </c:pt>
                <c:pt idx="439">
                  <c:v>44473</c:v>
                </c:pt>
                <c:pt idx="440">
                  <c:v>44474</c:v>
                </c:pt>
                <c:pt idx="441">
                  <c:v>44475</c:v>
                </c:pt>
                <c:pt idx="442">
                  <c:v>44476</c:v>
                </c:pt>
                <c:pt idx="443">
                  <c:v>44477</c:v>
                </c:pt>
                <c:pt idx="444">
                  <c:v>44480</c:v>
                </c:pt>
                <c:pt idx="445">
                  <c:v>44481</c:v>
                </c:pt>
                <c:pt idx="446">
                  <c:v>44482</c:v>
                </c:pt>
                <c:pt idx="447">
                  <c:v>44483</c:v>
                </c:pt>
                <c:pt idx="448">
                  <c:v>44484</c:v>
                </c:pt>
                <c:pt idx="449">
                  <c:v>44487</c:v>
                </c:pt>
                <c:pt idx="450">
                  <c:v>44488</c:v>
                </c:pt>
                <c:pt idx="451">
                  <c:v>44489</c:v>
                </c:pt>
                <c:pt idx="452">
                  <c:v>44490</c:v>
                </c:pt>
                <c:pt idx="453">
                  <c:v>44491</c:v>
                </c:pt>
                <c:pt idx="454">
                  <c:v>44494</c:v>
                </c:pt>
                <c:pt idx="455">
                  <c:v>44495</c:v>
                </c:pt>
                <c:pt idx="456">
                  <c:v>44496</c:v>
                </c:pt>
                <c:pt idx="457">
                  <c:v>44497</c:v>
                </c:pt>
                <c:pt idx="458">
                  <c:v>44498</c:v>
                </c:pt>
                <c:pt idx="459">
                  <c:v>44501</c:v>
                </c:pt>
                <c:pt idx="460">
                  <c:v>44502</c:v>
                </c:pt>
                <c:pt idx="461">
                  <c:v>44503</c:v>
                </c:pt>
                <c:pt idx="462">
                  <c:v>44504</c:v>
                </c:pt>
                <c:pt idx="463">
                  <c:v>44505</c:v>
                </c:pt>
                <c:pt idx="464">
                  <c:v>44508</c:v>
                </c:pt>
                <c:pt idx="465">
                  <c:v>44509</c:v>
                </c:pt>
                <c:pt idx="466">
                  <c:v>44510</c:v>
                </c:pt>
                <c:pt idx="467">
                  <c:v>44511</c:v>
                </c:pt>
                <c:pt idx="468">
                  <c:v>44512</c:v>
                </c:pt>
                <c:pt idx="469">
                  <c:v>44515</c:v>
                </c:pt>
                <c:pt idx="470">
                  <c:v>44516</c:v>
                </c:pt>
                <c:pt idx="471">
                  <c:v>44517</c:v>
                </c:pt>
                <c:pt idx="472">
                  <c:v>44518</c:v>
                </c:pt>
                <c:pt idx="473">
                  <c:v>44519</c:v>
                </c:pt>
                <c:pt idx="474">
                  <c:v>44522</c:v>
                </c:pt>
                <c:pt idx="475">
                  <c:v>44523</c:v>
                </c:pt>
                <c:pt idx="476">
                  <c:v>44524</c:v>
                </c:pt>
                <c:pt idx="477">
                  <c:v>44525</c:v>
                </c:pt>
                <c:pt idx="478">
                  <c:v>44526</c:v>
                </c:pt>
                <c:pt idx="479">
                  <c:v>44529</c:v>
                </c:pt>
                <c:pt idx="480">
                  <c:v>44530</c:v>
                </c:pt>
                <c:pt idx="481">
                  <c:v>44531</c:v>
                </c:pt>
                <c:pt idx="482">
                  <c:v>44532</c:v>
                </c:pt>
                <c:pt idx="483">
                  <c:v>44533</c:v>
                </c:pt>
                <c:pt idx="484">
                  <c:v>44536</c:v>
                </c:pt>
                <c:pt idx="485">
                  <c:v>44537</c:v>
                </c:pt>
                <c:pt idx="486">
                  <c:v>44538</c:v>
                </c:pt>
                <c:pt idx="487">
                  <c:v>44539</c:v>
                </c:pt>
                <c:pt idx="488">
                  <c:v>44540</c:v>
                </c:pt>
                <c:pt idx="489">
                  <c:v>44543</c:v>
                </c:pt>
                <c:pt idx="490">
                  <c:v>44544</c:v>
                </c:pt>
                <c:pt idx="491">
                  <c:v>44545</c:v>
                </c:pt>
                <c:pt idx="492">
                  <c:v>44546</c:v>
                </c:pt>
                <c:pt idx="493">
                  <c:v>44547</c:v>
                </c:pt>
                <c:pt idx="494">
                  <c:v>44550</c:v>
                </c:pt>
                <c:pt idx="495">
                  <c:v>44551</c:v>
                </c:pt>
                <c:pt idx="496">
                  <c:v>44552</c:v>
                </c:pt>
                <c:pt idx="497">
                  <c:v>44553</c:v>
                </c:pt>
                <c:pt idx="498">
                  <c:v>44554</c:v>
                </c:pt>
                <c:pt idx="499">
                  <c:v>44557</c:v>
                </c:pt>
                <c:pt idx="500">
                  <c:v>44558</c:v>
                </c:pt>
                <c:pt idx="501">
                  <c:v>44559</c:v>
                </c:pt>
                <c:pt idx="502">
                  <c:v>44560</c:v>
                </c:pt>
                <c:pt idx="503">
                  <c:v>44561</c:v>
                </c:pt>
                <c:pt idx="504">
                  <c:v>44562</c:v>
                </c:pt>
                <c:pt idx="505">
                  <c:v>44565</c:v>
                </c:pt>
                <c:pt idx="506">
                  <c:v>44566</c:v>
                </c:pt>
                <c:pt idx="507">
                  <c:v>44568</c:v>
                </c:pt>
                <c:pt idx="508">
                  <c:v>44571</c:v>
                </c:pt>
                <c:pt idx="509">
                  <c:v>44572</c:v>
                </c:pt>
                <c:pt idx="510">
                  <c:v>44573</c:v>
                </c:pt>
                <c:pt idx="511">
                  <c:v>44574</c:v>
                </c:pt>
                <c:pt idx="512">
                  <c:v>44575</c:v>
                </c:pt>
                <c:pt idx="513">
                  <c:v>44578</c:v>
                </c:pt>
                <c:pt idx="514">
                  <c:v>44579</c:v>
                </c:pt>
                <c:pt idx="515">
                  <c:v>44580</c:v>
                </c:pt>
                <c:pt idx="516">
                  <c:v>44581</c:v>
                </c:pt>
                <c:pt idx="517">
                  <c:v>44582</c:v>
                </c:pt>
                <c:pt idx="518">
                  <c:v>44585</c:v>
                </c:pt>
                <c:pt idx="519">
                  <c:v>44586</c:v>
                </c:pt>
                <c:pt idx="520">
                  <c:v>44587</c:v>
                </c:pt>
                <c:pt idx="521">
                  <c:v>44588</c:v>
                </c:pt>
                <c:pt idx="522">
                  <c:v>44592</c:v>
                </c:pt>
                <c:pt idx="523">
                  <c:v>44593</c:v>
                </c:pt>
                <c:pt idx="524">
                  <c:v>44594</c:v>
                </c:pt>
                <c:pt idx="525">
                  <c:v>44595</c:v>
                </c:pt>
                <c:pt idx="526">
                  <c:v>44596</c:v>
                </c:pt>
                <c:pt idx="527">
                  <c:v>44599</c:v>
                </c:pt>
                <c:pt idx="528">
                  <c:v>44600</c:v>
                </c:pt>
                <c:pt idx="529">
                  <c:v>44601</c:v>
                </c:pt>
                <c:pt idx="530">
                  <c:v>44602</c:v>
                </c:pt>
                <c:pt idx="531">
                  <c:v>44603</c:v>
                </c:pt>
                <c:pt idx="532">
                  <c:v>44606</c:v>
                </c:pt>
                <c:pt idx="533">
                  <c:v>44607</c:v>
                </c:pt>
                <c:pt idx="534">
                  <c:v>44608</c:v>
                </c:pt>
                <c:pt idx="535">
                  <c:v>44609</c:v>
                </c:pt>
                <c:pt idx="536">
                  <c:v>44610</c:v>
                </c:pt>
                <c:pt idx="537">
                  <c:v>44613</c:v>
                </c:pt>
                <c:pt idx="538">
                  <c:v>44614</c:v>
                </c:pt>
                <c:pt idx="539">
                  <c:v>44615</c:v>
                </c:pt>
                <c:pt idx="540">
                  <c:v>44616</c:v>
                </c:pt>
                <c:pt idx="541">
                  <c:v>44617</c:v>
                </c:pt>
                <c:pt idx="542">
                  <c:v>44620</c:v>
                </c:pt>
                <c:pt idx="543">
                  <c:v>44621</c:v>
                </c:pt>
                <c:pt idx="544">
                  <c:v>44622</c:v>
                </c:pt>
                <c:pt idx="545">
                  <c:v>44623</c:v>
                </c:pt>
                <c:pt idx="546">
                  <c:v>44624</c:v>
                </c:pt>
                <c:pt idx="547">
                  <c:v>44627</c:v>
                </c:pt>
                <c:pt idx="548">
                  <c:v>44629</c:v>
                </c:pt>
                <c:pt idx="549">
                  <c:v>44630</c:v>
                </c:pt>
                <c:pt idx="550">
                  <c:v>44631</c:v>
                </c:pt>
                <c:pt idx="551">
                  <c:v>44634</c:v>
                </c:pt>
                <c:pt idx="552">
                  <c:v>44635</c:v>
                </c:pt>
                <c:pt idx="553">
                  <c:v>44636</c:v>
                </c:pt>
                <c:pt idx="554">
                  <c:v>44637</c:v>
                </c:pt>
                <c:pt idx="555">
                  <c:v>44638</c:v>
                </c:pt>
                <c:pt idx="556">
                  <c:v>44641</c:v>
                </c:pt>
                <c:pt idx="557">
                  <c:v>44642</c:v>
                </c:pt>
                <c:pt idx="558">
                  <c:v>44643</c:v>
                </c:pt>
                <c:pt idx="559">
                  <c:v>44644</c:v>
                </c:pt>
                <c:pt idx="560">
                  <c:v>44645</c:v>
                </c:pt>
                <c:pt idx="561">
                  <c:v>44648</c:v>
                </c:pt>
                <c:pt idx="562">
                  <c:v>44649</c:v>
                </c:pt>
                <c:pt idx="563">
                  <c:v>44650</c:v>
                </c:pt>
                <c:pt idx="564">
                  <c:v>44651</c:v>
                </c:pt>
                <c:pt idx="565">
                  <c:v>44652</c:v>
                </c:pt>
                <c:pt idx="566">
                  <c:v>44655</c:v>
                </c:pt>
                <c:pt idx="567">
                  <c:v>44656</c:v>
                </c:pt>
                <c:pt idx="568">
                  <c:v>44657</c:v>
                </c:pt>
                <c:pt idx="569">
                  <c:v>44658</c:v>
                </c:pt>
                <c:pt idx="570">
                  <c:v>44659</c:v>
                </c:pt>
                <c:pt idx="571">
                  <c:v>44662</c:v>
                </c:pt>
                <c:pt idx="572">
                  <c:v>44663</c:v>
                </c:pt>
                <c:pt idx="573">
                  <c:v>44664</c:v>
                </c:pt>
                <c:pt idx="574">
                  <c:v>44665</c:v>
                </c:pt>
                <c:pt idx="575">
                  <c:v>44666</c:v>
                </c:pt>
                <c:pt idx="576">
                  <c:v>44669</c:v>
                </c:pt>
                <c:pt idx="577">
                  <c:v>44670</c:v>
                </c:pt>
                <c:pt idx="578">
                  <c:v>44671</c:v>
                </c:pt>
                <c:pt idx="579">
                  <c:v>44672</c:v>
                </c:pt>
                <c:pt idx="580">
                  <c:v>44673</c:v>
                </c:pt>
                <c:pt idx="581">
                  <c:v>44676</c:v>
                </c:pt>
                <c:pt idx="582">
                  <c:v>44677</c:v>
                </c:pt>
                <c:pt idx="583">
                  <c:v>44678</c:v>
                </c:pt>
                <c:pt idx="584">
                  <c:v>44679</c:v>
                </c:pt>
                <c:pt idx="585">
                  <c:v>44680</c:v>
                </c:pt>
                <c:pt idx="586">
                  <c:v>44683</c:v>
                </c:pt>
                <c:pt idx="587">
                  <c:v>44684</c:v>
                </c:pt>
                <c:pt idx="588">
                  <c:v>44685</c:v>
                </c:pt>
                <c:pt idx="589">
                  <c:v>44686</c:v>
                </c:pt>
                <c:pt idx="590">
                  <c:v>44687</c:v>
                </c:pt>
                <c:pt idx="591">
                  <c:v>44691</c:v>
                </c:pt>
                <c:pt idx="592">
                  <c:v>44692</c:v>
                </c:pt>
                <c:pt idx="593">
                  <c:v>44693</c:v>
                </c:pt>
                <c:pt idx="594">
                  <c:v>44694</c:v>
                </c:pt>
                <c:pt idx="595">
                  <c:v>44697</c:v>
                </c:pt>
                <c:pt idx="596">
                  <c:v>44698</c:v>
                </c:pt>
                <c:pt idx="597">
                  <c:v>44699</c:v>
                </c:pt>
                <c:pt idx="598">
                  <c:v>44700</c:v>
                </c:pt>
                <c:pt idx="599">
                  <c:v>44701</c:v>
                </c:pt>
                <c:pt idx="600">
                  <c:v>44704</c:v>
                </c:pt>
                <c:pt idx="601">
                  <c:v>44705</c:v>
                </c:pt>
                <c:pt idx="602">
                  <c:v>44706</c:v>
                </c:pt>
                <c:pt idx="603">
                  <c:v>44707</c:v>
                </c:pt>
                <c:pt idx="604">
                  <c:v>44708</c:v>
                </c:pt>
                <c:pt idx="605">
                  <c:v>44711</c:v>
                </c:pt>
                <c:pt idx="606">
                  <c:v>44712</c:v>
                </c:pt>
                <c:pt idx="607">
                  <c:v>44713</c:v>
                </c:pt>
                <c:pt idx="608">
                  <c:v>44714</c:v>
                </c:pt>
                <c:pt idx="609">
                  <c:v>44715</c:v>
                </c:pt>
                <c:pt idx="610">
                  <c:v>44718</c:v>
                </c:pt>
                <c:pt idx="611">
                  <c:v>44719</c:v>
                </c:pt>
                <c:pt idx="612">
                  <c:v>44720</c:v>
                </c:pt>
                <c:pt idx="613">
                  <c:v>44721</c:v>
                </c:pt>
                <c:pt idx="614">
                  <c:v>44722</c:v>
                </c:pt>
                <c:pt idx="615">
                  <c:v>44725</c:v>
                </c:pt>
                <c:pt idx="616">
                  <c:v>44726</c:v>
                </c:pt>
                <c:pt idx="617">
                  <c:v>44727</c:v>
                </c:pt>
                <c:pt idx="618">
                  <c:v>44728</c:v>
                </c:pt>
                <c:pt idx="619">
                  <c:v>44729</c:v>
                </c:pt>
                <c:pt idx="620">
                  <c:v>44732</c:v>
                </c:pt>
                <c:pt idx="621">
                  <c:v>44733</c:v>
                </c:pt>
                <c:pt idx="622">
                  <c:v>44734</c:v>
                </c:pt>
                <c:pt idx="623">
                  <c:v>44735</c:v>
                </c:pt>
                <c:pt idx="624">
                  <c:v>44736</c:v>
                </c:pt>
                <c:pt idx="625">
                  <c:v>44739</c:v>
                </c:pt>
                <c:pt idx="626">
                  <c:v>44740</c:v>
                </c:pt>
                <c:pt idx="627">
                  <c:v>44741</c:v>
                </c:pt>
                <c:pt idx="628">
                  <c:v>44742</c:v>
                </c:pt>
                <c:pt idx="629">
                  <c:v>44743</c:v>
                </c:pt>
                <c:pt idx="630">
                  <c:v>44746</c:v>
                </c:pt>
                <c:pt idx="631">
                  <c:v>44748</c:v>
                </c:pt>
                <c:pt idx="632">
                  <c:v>44749</c:v>
                </c:pt>
                <c:pt idx="633">
                  <c:v>44750</c:v>
                </c:pt>
                <c:pt idx="634">
                  <c:v>44753</c:v>
                </c:pt>
                <c:pt idx="635">
                  <c:v>44754</c:v>
                </c:pt>
                <c:pt idx="636">
                  <c:v>44755</c:v>
                </c:pt>
                <c:pt idx="637">
                  <c:v>44756</c:v>
                </c:pt>
                <c:pt idx="638">
                  <c:v>44757</c:v>
                </c:pt>
                <c:pt idx="639">
                  <c:v>44760</c:v>
                </c:pt>
                <c:pt idx="640">
                  <c:v>44761</c:v>
                </c:pt>
                <c:pt idx="641">
                  <c:v>44762</c:v>
                </c:pt>
                <c:pt idx="642">
                  <c:v>44763</c:v>
                </c:pt>
                <c:pt idx="643">
                  <c:v>44764</c:v>
                </c:pt>
                <c:pt idx="644">
                  <c:v>44767</c:v>
                </c:pt>
                <c:pt idx="645">
                  <c:v>44768</c:v>
                </c:pt>
                <c:pt idx="646">
                  <c:v>44769</c:v>
                </c:pt>
                <c:pt idx="647">
                  <c:v>44770</c:v>
                </c:pt>
                <c:pt idx="648">
                  <c:v>44771</c:v>
                </c:pt>
                <c:pt idx="649">
                  <c:v>44774</c:v>
                </c:pt>
                <c:pt idx="650">
                  <c:v>44775</c:v>
                </c:pt>
                <c:pt idx="651">
                  <c:v>44776</c:v>
                </c:pt>
                <c:pt idx="652">
                  <c:v>44777</c:v>
                </c:pt>
                <c:pt idx="653">
                  <c:v>44778</c:v>
                </c:pt>
                <c:pt idx="654">
                  <c:v>44781</c:v>
                </c:pt>
                <c:pt idx="655">
                  <c:v>44782</c:v>
                </c:pt>
                <c:pt idx="656">
                  <c:v>44783</c:v>
                </c:pt>
                <c:pt idx="657">
                  <c:v>44784</c:v>
                </c:pt>
                <c:pt idx="658">
                  <c:v>44785</c:v>
                </c:pt>
                <c:pt idx="659">
                  <c:v>44788</c:v>
                </c:pt>
                <c:pt idx="660">
                  <c:v>44789</c:v>
                </c:pt>
                <c:pt idx="661">
                  <c:v>44790</c:v>
                </c:pt>
                <c:pt idx="662">
                  <c:v>44791</c:v>
                </c:pt>
                <c:pt idx="663">
                  <c:v>44792</c:v>
                </c:pt>
                <c:pt idx="664">
                  <c:v>44795</c:v>
                </c:pt>
                <c:pt idx="665">
                  <c:v>44796</c:v>
                </c:pt>
                <c:pt idx="666">
                  <c:v>44797</c:v>
                </c:pt>
                <c:pt idx="667">
                  <c:v>44798</c:v>
                </c:pt>
                <c:pt idx="668">
                  <c:v>44799</c:v>
                </c:pt>
                <c:pt idx="669">
                  <c:v>44802</c:v>
                </c:pt>
                <c:pt idx="670">
                  <c:v>44803</c:v>
                </c:pt>
                <c:pt idx="671">
                  <c:v>44804</c:v>
                </c:pt>
                <c:pt idx="672">
                  <c:v>44805</c:v>
                </c:pt>
                <c:pt idx="673">
                  <c:v>44806</c:v>
                </c:pt>
                <c:pt idx="674">
                  <c:v>44809</c:v>
                </c:pt>
                <c:pt idx="675">
                  <c:v>44810</c:v>
                </c:pt>
                <c:pt idx="676">
                  <c:v>44811</c:v>
                </c:pt>
                <c:pt idx="677">
                  <c:v>44812</c:v>
                </c:pt>
                <c:pt idx="678">
                  <c:v>44813</c:v>
                </c:pt>
                <c:pt idx="679">
                  <c:v>44816</c:v>
                </c:pt>
                <c:pt idx="680">
                  <c:v>44817</c:v>
                </c:pt>
                <c:pt idx="681">
                  <c:v>44818</c:v>
                </c:pt>
                <c:pt idx="682">
                  <c:v>44819</c:v>
                </c:pt>
                <c:pt idx="683">
                  <c:v>44820</c:v>
                </c:pt>
                <c:pt idx="684">
                  <c:v>44823</c:v>
                </c:pt>
                <c:pt idx="685">
                  <c:v>44824</c:v>
                </c:pt>
                <c:pt idx="686">
                  <c:v>44826</c:v>
                </c:pt>
                <c:pt idx="687">
                  <c:v>44827</c:v>
                </c:pt>
                <c:pt idx="688">
                  <c:v>44830</c:v>
                </c:pt>
                <c:pt idx="689">
                  <c:v>44831</c:v>
                </c:pt>
                <c:pt idx="690">
                  <c:v>44832</c:v>
                </c:pt>
                <c:pt idx="691">
                  <c:v>44833</c:v>
                </c:pt>
                <c:pt idx="692">
                  <c:v>44834</c:v>
                </c:pt>
                <c:pt idx="693">
                  <c:v>44837</c:v>
                </c:pt>
                <c:pt idx="694">
                  <c:v>44838</c:v>
                </c:pt>
                <c:pt idx="695">
                  <c:v>44839</c:v>
                </c:pt>
                <c:pt idx="696">
                  <c:v>44840</c:v>
                </c:pt>
                <c:pt idx="697">
                  <c:v>44841</c:v>
                </c:pt>
                <c:pt idx="698">
                  <c:v>44844</c:v>
                </c:pt>
                <c:pt idx="699">
                  <c:v>44845</c:v>
                </c:pt>
                <c:pt idx="700">
                  <c:v>44846</c:v>
                </c:pt>
                <c:pt idx="701">
                  <c:v>44847</c:v>
                </c:pt>
                <c:pt idx="702">
                  <c:v>44848</c:v>
                </c:pt>
                <c:pt idx="703">
                  <c:v>44851</c:v>
                </c:pt>
                <c:pt idx="704">
                  <c:v>44852</c:v>
                </c:pt>
                <c:pt idx="705">
                  <c:v>44853</c:v>
                </c:pt>
                <c:pt idx="706">
                  <c:v>44854</c:v>
                </c:pt>
                <c:pt idx="707">
                  <c:v>44855</c:v>
                </c:pt>
                <c:pt idx="708">
                  <c:v>44858</c:v>
                </c:pt>
                <c:pt idx="709">
                  <c:v>44859</c:v>
                </c:pt>
                <c:pt idx="710">
                  <c:v>44860</c:v>
                </c:pt>
                <c:pt idx="711">
                  <c:v>44861</c:v>
                </c:pt>
                <c:pt idx="712">
                  <c:v>44862</c:v>
                </c:pt>
                <c:pt idx="713">
                  <c:v>44865</c:v>
                </c:pt>
                <c:pt idx="714">
                  <c:v>44866</c:v>
                </c:pt>
                <c:pt idx="715">
                  <c:v>44867</c:v>
                </c:pt>
                <c:pt idx="716">
                  <c:v>44868</c:v>
                </c:pt>
                <c:pt idx="717">
                  <c:v>44869</c:v>
                </c:pt>
                <c:pt idx="718">
                  <c:v>44872</c:v>
                </c:pt>
                <c:pt idx="719">
                  <c:v>44873</c:v>
                </c:pt>
                <c:pt idx="720">
                  <c:v>44874</c:v>
                </c:pt>
                <c:pt idx="721">
                  <c:v>44875</c:v>
                </c:pt>
                <c:pt idx="722">
                  <c:v>44876</c:v>
                </c:pt>
                <c:pt idx="723">
                  <c:v>44879</c:v>
                </c:pt>
                <c:pt idx="724">
                  <c:v>44880</c:v>
                </c:pt>
                <c:pt idx="725">
                  <c:v>44881</c:v>
                </c:pt>
                <c:pt idx="726">
                  <c:v>44882</c:v>
                </c:pt>
                <c:pt idx="727">
                  <c:v>44883</c:v>
                </c:pt>
                <c:pt idx="728">
                  <c:v>44886</c:v>
                </c:pt>
                <c:pt idx="729">
                  <c:v>44887</c:v>
                </c:pt>
                <c:pt idx="730">
                  <c:v>44888</c:v>
                </c:pt>
                <c:pt idx="731">
                  <c:v>44889</c:v>
                </c:pt>
                <c:pt idx="732">
                  <c:v>44890</c:v>
                </c:pt>
                <c:pt idx="733">
                  <c:v>44893</c:v>
                </c:pt>
                <c:pt idx="734">
                  <c:v>44894</c:v>
                </c:pt>
                <c:pt idx="735">
                  <c:v>44895</c:v>
                </c:pt>
                <c:pt idx="736">
                  <c:v>44896</c:v>
                </c:pt>
                <c:pt idx="737">
                  <c:v>44897</c:v>
                </c:pt>
                <c:pt idx="738">
                  <c:v>44900</c:v>
                </c:pt>
                <c:pt idx="739">
                  <c:v>44901</c:v>
                </c:pt>
                <c:pt idx="740">
                  <c:v>44902</c:v>
                </c:pt>
                <c:pt idx="741">
                  <c:v>44903</c:v>
                </c:pt>
                <c:pt idx="742">
                  <c:v>44904</c:v>
                </c:pt>
                <c:pt idx="743">
                  <c:v>44907</c:v>
                </c:pt>
                <c:pt idx="744">
                  <c:v>44908</c:v>
                </c:pt>
                <c:pt idx="745">
                  <c:v>44909</c:v>
                </c:pt>
                <c:pt idx="746">
                  <c:v>44910</c:v>
                </c:pt>
                <c:pt idx="747">
                  <c:v>44911</c:v>
                </c:pt>
                <c:pt idx="748">
                  <c:v>44914</c:v>
                </c:pt>
                <c:pt idx="749">
                  <c:v>44915</c:v>
                </c:pt>
                <c:pt idx="750">
                  <c:v>44916</c:v>
                </c:pt>
                <c:pt idx="751">
                  <c:v>44917</c:v>
                </c:pt>
                <c:pt idx="752">
                  <c:v>44918</c:v>
                </c:pt>
                <c:pt idx="753">
                  <c:v>44921</c:v>
                </c:pt>
                <c:pt idx="754">
                  <c:v>44922</c:v>
                </c:pt>
                <c:pt idx="755">
                  <c:v>44923</c:v>
                </c:pt>
                <c:pt idx="756">
                  <c:v>44924</c:v>
                </c:pt>
                <c:pt idx="757">
                  <c:v>44925</c:v>
                </c:pt>
              </c:numCache>
            </c:numRef>
          </c:cat>
          <c:val>
            <c:numRef>
              <c:f>'Graf yield'!$B$299:$B$572</c:f>
            </c:numRef>
          </c:val>
          <c:smooth val="0"/>
          <c:extLst>
            <c:ext xmlns:c16="http://schemas.microsoft.com/office/drawing/2014/chart" uri="{C3380CC4-5D6E-409C-BE32-E72D297353CC}">
              <c16:uniqueId val="{00000000-FFAB-4A88-BCF5-51785F38940A}"/>
            </c:ext>
          </c:extLst>
        </c:ser>
        <c:ser>
          <c:idx val="1"/>
          <c:order val="1"/>
          <c:tx>
            <c:strRef>
              <c:f>'Graf yield'!$C$3</c:f>
              <c:strCache>
                <c:ptCount val="1"/>
                <c:pt idx="0">
                  <c:v> The average weighted yield of the primary allocations of outstanding GS (%)</c:v>
                </c:pt>
              </c:strCache>
            </c:strRef>
          </c:tx>
          <c:spPr>
            <a:ln w="41275"/>
          </c:spPr>
          <c:marker>
            <c:symbol val="none"/>
          </c:marker>
          <c:cat>
            <c:numRef>
              <c:f>'Graf yield'!$A$572:$A$1329</c:f>
              <c:numCache>
                <c:formatCode>dd\.mm\.yy;@</c:formatCode>
                <c:ptCount val="758"/>
                <c:pt idx="0">
                  <c:v>43830</c:v>
                </c:pt>
                <c:pt idx="1">
                  <c:v>43838</c:v>
                </c:pt>
                <c:pt idx="2">
                  <c:v>43839</c:v>
                </c:pt>
                <c:pt idx="3">
                  <c:v>43840</c:v>
                </c:pt>
                <c:pt idx="4">
                  <c:v>43843</c:v>
                </c:pt>
                <c:pt idx="5">
                  <c:v>43844</c:v>
                </c:pt>
                <c:pt idx="6">
                  <c:v>43845</c:v>
                </c:pt>
                <c:pt idx="7">
                  <c:v>43846</c:v>
                </c:pt>
                <c:pt idx="8">
                  <c:v>43847</c:v>
                </c:pt>
                <c:pt idx="9">
                  <c:v>43850</c:v>
                </c:pt>
                <c:pt idx="10">
                  <c:v>43851</c:v>
                </c:pt>
                <c:pt idx="11">
                  <c:v>43852</c:v>
                </c:pt>
                <c:pt idx="12">
                  <c:v>43853</c:v>
                </c:pt>
                <c:pt idx="13">
                  <c:v>43854</c:v>
                </c:pt>
                <c:pt idx="14">
                  <c:v>43859</c:v>
                </c:pt>
                <c:pt idx="15">
                  <c:v>43860</c:v>
                </c:pt>
                <c:pt idx="16">
                  <c:v>43861</c:v>
                </c:pt>
                <c:pt idx="17">
                  <c:v>43862</c:v>
                </c:pt>
                <c:pt idx="18">
                  <c:v>43864</c:v>
                </c:pt>
                <c:pt idx="19">
                  <c:v>43865</c:v>
                </c:pt>
                <c:pt idx="20">
                  <c:v>43866</c:v>
                </c:pt>
                <c:pt idx="21">
                  <c:v>43867</c:v>
                </c:pt>
                <c:pt idx="22">
                  <c:v>43868</c:v>
                </c:pt>
                <c:pt idx="23">
                  <c:v>43871</c:v>
                </c:pt>
                <c:pt idx="24">
                  <c:v>43872</c:v>
                </c:pt>
                <c:pt idx="25">
                  <c:v>43873</c:v>
                </c:pt>
                <c:pt idx="26">
                  <c:v>43874</c:v>
                </c:pt>
                <c:pt idx="27">
                  <c:v>43875</c:v>
                </c:pt>
                <c:pt idx="28">
                  <c:v>43878</c:v>
                </c:pt>
                <c:pt idx="29">
                  <c:v>43879</c:v>
                </c:pt>
                <c:pt idx="30">
                  <c:v>43880</c:v>
                </c:pt>
                <c:pt idx="31">
                  <c:v>43881</c:v>
                </c:pt>
                <c:pt idx="32">
                  <c:v>43882</c:v>
                </c:pt>
                <c:pt idx="33">
                  <c:v>43885</c:v>
                </c:pt>
                <c:pt idx="34">
                  <c:v>43886</c:v>
                </c:pt>
                <c:pt idx="35">
                  <c:v>43887</c:v>
                </c:pt>
                <c:pt idx="36">
                  <c:v>43888</c:v>
                </c:pt>
                <c:pt idx="37">
                  <c:v>43889</c:v>
                </c:pt>
                <c:pt idx="38">
                  <c:v>43892</c:v>
                </c:pt>
                <c:pt idx="39">
                  <c:v>43893</c:v>
                </c:pt>
                <c:pt idx="40">
                  <c:v>43894</c:v>
                </c:pt>
                <c:pt idx="41">
                  <c:v>43895</c:v>
                </c:pt>
                <c:pt idx="42">
                  <c:v>43896</c:v>
                </c:pt>
                <c:pt idx="43">
                  <c:v>43899</c:v>
                </c:pt>
                <c:pt idx="44">
                  <c:v>43900</c:v>
                </c:pt>
                <c:pt idx="45">
                  <c:v>43901</c:v>
                </c:pt>
                <c:pt idx="46">
                  <c:v>43902</c:v>
                </c:pt>
                <c:pt idx="47">
                  <c:v>43903</c:v>
                </c:pt>
                <c:pt idx="48">
                  <c:v>43906</c:v>
                </c:pt>
                <c:pt idx="49">
                  <c:v>43907</c:v>
                </c:pt>
                <c:pt idx="50">
                  <c:v>43908</c:v>
                </c:pt>
                <c:pt idx="51">
                  <c:v>43909</c:v>
                </c:pt>
                <c:pt idx="52">
                  <c:v>43910</c:v>
                </c:pt>
                <c:pt idx="53">
                  <c:v>43913</c:v>
                </c:pt>
                <c:pt idx="54">
                  <c:v>43914</c:v>
                </c:pt>
                <c:pt idx="55">
                  <c:v>43915</c:v>
                </c:pt>
                <c:pt idx="56">
                  <c:v>43916</c:v>
                </c:pt>
                <c:pt idx="57">
                  <c:v>43917</c:v>
                </c:pt>
                <c:pt idx="58">
                  <c:v>43920</c:v>
                </c:pt>
                <c:pt idx="59">
                  <c:v>43921</c:v>
                </c:pt>
                <c:pt idx="60">
                  <c:v>43922</c:v>
                </c:pt>
                <c:pt idx="61">
                  <c:v>43923</c:v>
                </c:pt>
                <c:pt idx="62">
                  <c:v>43924</c:v>
                </c:pt>
                <c:pt idx="63">
                  <c:v>43927</c:v>
                </c:pt>
                <c:pt idx="64">
                  <c:v>43928</c:v>
                </c:pt>
                <c:pt idx="65">
                  <c:v>43929</c:v>
                </c:pt>
                <c:pt idx="66">
                  <c:v>43930</c:v>
                </c:pt>
                <c:pt idx="67">
                  <c:v>43931</c:v>
                </c:pt>
                <c:pt idx="68">
                  <c:v>43934</c:v>
                </c:pt>
                <c:pt idx="69">
                  <c:v>43935</c:v>
                </c:pt>
                <c:pt idx="70">
                  <c:v>43936</c:v>
                </c:pt>
                <c:pt idx="71">
                  <c:v>43937</c:v>
                </c:pt>
                <c:pt idx="72">
                  <c:v>43938</c:v>
                </c:pt>
                <c:pt idx="73">
                  <c:v>43941</c:v>
                </c:pt>
                <c:pt idx="74">
                  <c:v>43942</c:v>
                </c:pt>
                <c:pt idx="75">
                  <c:v>43943</c:v>
                </c:pt>
                <c:pt idx="76">
                  <c:v>43944</c:v>
                </c:pt>
                <c:pt idx="77">
                  <c:v>43948</c:v>
                </c:pt>
                <c:pt idx="78">
                  <c:v>43949</c:v>
                </c:pt>
                <c:pt idx="79">
                  <c:v>43950</c:v>
                </c:pt>
                <c:pt idx="80">
                  <c:v>43951</c:v>
                </c:pt>
                <c:pt idx="81">
                  <c:v>43955</c:v>
                </c:pt>
                <c:pt idx="82">
                  <c:v>43956</c:v>
                </c:pt>
                <c:pt idx="83">
                  <c:v>43957</c:v>
                </c:pt>
                <c:pt idx="84">
                  <c:v>43958</c:v>
                </c:pt>
                <c:pt idx="85">
                  <c:v>43959</c:v>
                </c:pt>
                <c:pt idx="86">
                  <c:v>43962</c:v>
                </c:pt>
                <c:pt idx="87">
                  <c:v>43963</c:v>
                </c:pt>
                <c:pt idx="88">
                  <c:v>43964</c:v>
                </c:pt>
                <c:pt idx="89">
                  <c:v>43965</c:v>
                </c:pt>
                <c:pt idx="90">
                  <c:v>43966</c:v>
                </c:pt>
                <c:pt idx="91">
                  <c:v>43969</c:v>
                </c:pt>
                <c:pt idx="92">
                  <c:v>43970</c:v>
                </c:pt>
                <c:pt idx="93">
                  <c:v>43971</c:v>
                </c:pt>
                <c:pt idx="94">
                  <c:v>43972</c:v>
                </c:pt>
                <c:pt idx="95">
                  <c:v>43973</c:v>
                </c:pt>
                <c:pt idx="96">
                  <c:v>43974</c:v>
                </c:pt>
                <c:pt idx="97">
                  <c:v>43976</c:v>
                </c:pt>
                <c:pt idx="98">
                  <c:v>43977</c:v>
                </c:pt>
                <c:pt idx="99">
                  <c:v>43978</c:v>
                </c:pt>
                <c:pt idx="100">
                  <c:v>43983</c:v>
                </c:pt>
                <c:pt idx="101">
                  <c:v>43984</c:v>
                </c:pt>
                <c:pt idx="102">
                  <c:v>43985</c:v>
                </c:pt>
                <c:pt idx="103">
                  <c:v>43986</c:v>
                </c:pt>
                <c:pt idx="104">
                  <c:v>43987</c:v>
                </c:pt>
                <c:pt idx="105">
                  <c:v>43990</c:v>
                </c:pt>
                <c:pt idx="106">
                  <c:v>43991</c:v>
                </c:pt>
                <c:pt idx="107">
                  <c:v>43992</c:v>
                </c:pt>
                <c:pt idx="108">
                  <c:v>43993</c:v>
                </c:pt>
                <c:pt idx="109">
                  <c:v>43994</c:v>
                </c:pt>
                <c:pt idx="110">
                  <c:v>43997</c:v>
                </c:pt>
                <c:pt idx="111">
                  <c:v>43998</c:v>
                </c:pt>
                <c:pt idx="112">
                  <c:v>43999</c:v>
                </c:pt>
                <c:pt idx="113">
                  <c:v>44000</c:v>
                </c:pt>
                <c:pt idx="114">
                  <c:v>44001</c:v>
                </c:pt>
                <c:pt idx="115">
                  <c:v>44004</c:v>
                </c:pt>
                <c:pt idx="116">
                  <c:v>44005</c:v>
                </c:pt>
                <c:pt idx="117">
                  <c:v>44006</c:v>
                </c:pt>
                <c:pt idx="118">
                  <c:v>44007</c:v>
                </c:pt>
                <c:pt idx="119">
                  <c:v>44008</c:v>
                </c:pt>
                <c:pt idx="120">
                  <c:v>44011</c:v>
                </c:pt>
                <c:pt idx="121">
                  <c:v>44012</c:v>
                </c:pt>
                <c:pt idx="122">
                  <c:v>44013</c:v>
                </c:pt>
                <c:pt idx="123">
                  <c:v>44014</c:v>
                </c:pt>
                <c:pt idx="124">
                  <c:v>44015</c:v>
                </c:pt>
                <c:pt idx="125">
                  <c:v>44018</c:v>
                </c:pt>
                <c:pt idx="126">
                  <c:v>44019</c:v>
                </c:pt>
                <c:pt idx="127">
                  <c:v>44020</c:v>
                </c:pt>
                <c:pt idx="128">
                  <c:v>44021</c:v>
                </c:pt>
                <c:pt idx="129">
                  <c:v>44022</c:v>
                </c:pt>
                <c:pt idx="130">
                  <c:v>44025</c:v>
                </c:pt>
                <c:pt idx="131">
                  <c:v>44026</c:v>
                </c:pt>
                <c:pt idx="132">
                  <c:v>44027</c:v>
                </c:pt>
                <c:pt idx="133">
                  <c:v>44028</c:v>
                </c:pt>
                <c:pt idx="134">
                  <c:v>44029</c:v>
                </c:pt>
                <c:pt idx="135">
                  <c:v>44032</c:v>
                </c:pt>
                <c:pt idx="136">
                  <c:v>44033</c:v>
                </c:pt>
                <c:pt idx="137">
                  <c:v>44034</c:v>
                </c:pt>
                <c:pt idx="138">
                  <c:v>44035</c:v>
                </c:pt>
                <c:pt idx="139">
                  <c:v>44036</c:v>
                </c:pt>
                <c:pt idx="140">
                  <c:v>44039</c:v>
                </c:pt>
                <c:pt idx="141">
                  <c:v>44040</c:v>
                </c:pt>
                <c:pt idx="142">
                  <c:v>44041</c:v>
                </c:pt>
                <c:pt idx="143">
                  <c:v>44042</c:v>
                </c:pt>
                <c:pt idx="144">
                  <c:v>44043</c:v>
                </c:pt>
                <c:pt idx="145">
                  <c:v>44046</c:v>
                </c:pt>
                <c:pt idx="146">
                  <c:v>44047</c:v>
                </c:pt>
                <c:pt idx="147">
                  <c:v>44048</c:v>
                </c:pt>
                <c:pt idx="148">
                  <c:v>44049</c:v>
                </c:pt>
                <c:pt idx="149">
                  <c:v>44050</c:v>
                </c:pt>
                <c:pt idx="150">
                  <c:v>44053</c:v>
                </c:pt>
                <c:pt idx="151">
                  <c:v>44054</c:v>
                </c:pt>
                <c:pt idx="152">
                  <c:v>44055</c:v>
                </c:pt>
                <c:pt idx="153">
                  <c:v>44056</c:v>
                </c:pt>
                <c:pt idx="154">
                  <c:v>44057</c:v>
                </c:pt>
                <c:pt idx="155">
                  <c:v>44060</c:v>
                </c:pt>
                <c:pt idx="156">
                  <c:v>44061</c:v>
                </c:pt>
                <c:pt idx="157">
                  <c:v>44062</c:v>
                </c:pt>
                <c:pt idx="158">
                  <c:v>44063</c:v>
                </c:pt>
                <c:pt idx="159">
                  <c:v>44064</c:v>
                </c:pt>
                <c:pt idx="160">
                  <c:v>44067</c:v>
                </c:pt>
                <c:pt idx="161">
                  <c:v>44068</c:v>
                </c:pt>
                <c:pt idx="162">
                  <c:v>44069</c:v>
                </c:pt>
                <c:pt idx="163">
                  <c:v>44070</c:v>
                </c:pt>
                <c:pt idx="164">
                  <c:v>44071</c:v>
                </c:pt>
                <c:pt idx="165">
                  <c:v>44074</c:v>
                </c:pt>
                <c:pt idx="166">
                  <c:v>44075</c:v>
                </c:pt>
                <c:pt idx="167">
                  <c:v>44076</c:v>
                </c:pt>
                <c:pt idx="168">
                  <c:v>44077</c:v>
                </c:pt>
                <c:pt idx="169">
                  <c:v>44078</c:v>
                </c:pt>
                <c:pt idx="170">
                  <c:v>44081</c:v>
                </c:pt>
                <c:pt idx="171">
                  <c:v>44082</c:v>
                </c:pt>
                <c:pt idx="172">
                  <c:v>44083</c:v>
                </c:pt>
                <c:pt idx="173">
                  <c:v>44084</c:v>
                </c:pt>
                <c:pt idx="174">
                  <c:v>44085</c:v>
                </c:pt>
                <c:pt idx="175">
                  <c:v>44088</c:v>
                </c:pt>
                <c:pt idx="176">
                  <c:v>44089</c:v>
                </c:pt>
                <c:pt idx="177">
                  <c:v>44090</c:v>
                </c:pt>
                <c:pt idx="178">
                  <c:v>44091</c:v>
                </c:pt>
                <c:pt idx="179">
                  <c:v>44092</c:v>
                </c:pt>
                <c:pt idx="180">
                  <c:v>44096</c:v>
                </c:pt>
                <c:pt idx="181">
                  <c:v>44097</c:v>
                </c:pt>
                <c:pt idx="182">
                  <c:v>44098</c:v>
                </c:pt>
                <c:pt idx="183">
                  <c:v>44099</c:v>
                </c:pt>
                <c:pt idx="184">
                  <c:v>44102</c:v>
                </c:pt>
                <c:pt idx="185">
                  <c:v>44103</c:v>
                </c:pt>
                <c:pt idx="186">
                  <c:v>44104</c:v>
                </c:pt>
                <c:pt idx="187">
                  <c:v>44105</c:v>
                </c:pt>
                <c:pt idx="188">
                  <c:v>44106</c:v>
                </c:pt>
                <c:pt idx="189">
                  <c:v>44109</c:v>
                </c:pt>
                <c:pt idx="190">
                  <c:v>44110</c:v>
                </c:pt>
                <c:pt idx="191">
                  <c:v>44111</c:v>
                </c:pt>
                <c:pt idx="192">
                  <c:v>44112</c:v>
                </c:pt>
                <c:pt idx="193">
                  <c:v>44113</c:v>
                </c:pt>
                <c:pt idx="194">
                  <c:v>44116</c:v>
                </c:pt>
                <c:pt idx="195">
                  <c:v>44117</c:v>
                </c:pt>
                <c:pt idx="196">
                  <c:v>44118</c:v>
                </c:pt>
                <c:pt idx="197">
                  <c:v>44119</c:v>
                </c:pt>
                <c:pt idx="198">
                  <c:v>44120</c:v>
                </c:pt>
                <c:pt idx="199">
                  <c:v>44123</c:v>
                </c:pt>
                <c:pt idx="200">
                  <c:v>44124</c:v>
                </c:pt>
                <c:pt idx="201">
                  <c:v>44125</c:v>
                </c:pt>
                <c:pt idx="202">
                  <c:v>44126</c:v>
                </c:pt>
                <c:pt idx="203">
                  <c:v>44127</c:v>
                </c:pt>
                <c:pt idx="204">
                  <c:v>44130</c:v>
                </c:pt>
                <c:pt idx="205">
                  <c:v>44131</c:v>
                </c:pt>
                <c:pt idx="206">
                  <c:v>44132</c:v>
                </c:pt>
                <c:pt idx="207">
                  <c:v>44133</c:v>
                </c:pt>
                <c:pt idx="208">
                  <c:v>44134</c:v>
                </c:pt>
                <c:pt idx="209">
                  <c:v>44137</c:v>
                </c:pt>
                <c:pt idx="210">
                  <c:v>44138</c:v>
                </c:pt>
                <c:pt idx="211">
                  <c:v>44139</c:v>
                </c:pt>
                <c:pt idx="212">
                  <c:v>44140</c:v>
                </c:pt>
                <c:pt idx="213">
                  <c:v>44141</c:v>
                </c:pt>
                <c:pt idx="214">
                  <c:v>44144</c:v>
                </c:pt>
                <c:pt idx="215">
                  <c:v>44145</c:v>
                </c:pt>
                <c:pt idx="216">
                  <c:v>44146</c:v>
                </c:pt>
                <c:pt idx="217">
                  <c:v>44147</c:v>
                </c:pt>
                <c:pt idx="218">
                  <c:v>44148</c:v>
                </c:pt>
                <c:pt idx="219">
                  <c:v>44151</c:v>
                </c:pt>
                <c:pt idx="220">
                  <c:v>44152</c:v>
                </c:pt>
                <c:pt idx="221">
                  <c:v>44153</c:v>
                </c:pt>
                <c:pt idx="222">
                  <c:v>44154</c:v>
                </c:pt>
                <c:pt idx="223">
                  <c:v>44155</c:v>
                </c:pt>
                <c:pt idx="224">
                  <c:v>44158</c:v>
                </c:pt>
                <c:pt idx="225">
                  <c:v>44159</c:v>
                </c:pt>
                <c:pt idx="226">
                  <c:v>44160</c:v>
                </c:pt>
                <c:pt idx="227">
                  <c:v>44161</c:v>
                </c:pt>
                <c:pt idx="228">
                  <c:v>44162</c:v>
                </c:pt>
                <c:pt idx="229">
                  <c:v>44165</c:v>
                </c:pt>
                <c:pt idx="230">
                  <c:v>44166</c:v>
                </c:pt>
                <c:pt idx="231">
                  <c:v>44167</c:v>
                </c:pt>
                <c:pt idx="232">
                  <c:v>44168</c:v>
                </c:pt>
                <c:pt idx="233">
                  <c:v>44169</c:v>
                </c:pt>
                <c:pt idx="234">
                  <c:v>44172</c:v>
                </c:pt>
                <c:pt idx="235">
                  <c:v>44173</c:v>
                </c:pt>
                <c:pt idx="236">
                  <c:v>44174</c:v>
                </c:pt>
                <c:pt idx="237">
                  <c:v>44175</c:v>
                </c:pt>
                <c:pt idx="238">
                  <c:v>44176</c:v>
                </c:pt>
                <c:pt idx="239">
                  <c:v>44179</c:v>
                </c:pt>
                <c:pt idx="240">
                  <c:v>44180</c:v>
                </c:pt>
                <c:pt idx="241">
                  <c:v>44181</c:v>
                </c:pt>
                <c:pt idx="242">
                  <c:v>44182</c:v>
                </c:pt>
                <c:pt idx="243">
                  <c:v>44183</c:v>
                </c:pt>
                <c:pt idx="244">
                  <c:v>44186</c:v>
                </c:pt>
                <c:pt idx="245">
                  <c:v>44187</c:v>
                </c:pt>
                <c:pt idx="246">
                  <c:v>44188</c:v>
                </c:pt>
                <c:pt idx="247">
                  <c:v>44189</c:v>
                </c:pt>
                <c:pt idx="248">
                  <c:v>44190</c:v>
                </c:pt>
                <c:pt idx="249">
                  <c:v>44193</c:v>
                </c:pt>
                <c:pt idx="250">
                  <c:v>44194</c:v>
                </c:pt>
                <c:pt idx="251">
                  <c:v>44195</c:v>
                </c:pt>
                <c:pt idx="252">
                  <c:v>44196</c:v>
                </c:pt>
                <c:pt idx="253">
                  <c:v>44204</c:v>
                </c:pt>
                <c:pt idx="254">
                  <c:v>44207</c:v>
                </c:pt>
                <c:pt idx="255">
                  <c:v>44208</c:v>
                </c:pt>
                <c:pt idx="256">
                  <c:v>44209</c:v>
                </c:pt>
                <c:pt idx="257">
                  <c:v>44210</c:v>
                </c:pt>
                <c:pt idx="258">
                  <c:v>44211</c:v>
                </c:pt>
                <c:pt idx="259">
                  <c:v>44214</c:v>
                </c:pt>
                <c:pt idx="260">
                  <c:v>44215</c:v>
                </c:pt>
                <c:pt idx="261">
                  <c:v>44216</c:v>
                </c:pt>
                <c:pt idx="262">
                  <c:v>44217</c:v>
                </c:pt>
                <c:pt idx="263">
                  <c:v>44218</c:v>
                </c:pt>
                <c:pt idx="264">
                  <c:v>44221</c:v>
                </c:pt>
                <c:pt idx="265">
                  <c:v>44222</c:v>
                </c:pt>
                <c:pt idx="266">
                  <c:v>44223</c:v>
                </c:pt>
                <c:pt idx="267">
                  <c:v>44225</c:v>
                </c:pt>
                <c:pt idx="268">
                  <c:v>44228</c:v>
                </c:pt>
                <c:pt idx="269">
                  <c:v>44229</c:v>
                </c:pt>
                <c:pt idx="270">
                  <c:v>44230</c:v>
                </c:pt>
                <c:pt idx="271">
                  <c:v>44231</c:v>
                </c:pt>
                <c:pt idx="272">
                  <c:v>44232</c:v>
                </c:pt>
                <c:pt idx="273">
                  <c:v>44235</c:v>
                </c:pt>
                <c:pt idx="274">
                  <c:v>44236</c:v>
                </c:pt>
                <c:pt idx="275">
                  <c:v>44237</c:v>
                </c:pt>
                <c:pt idx="276">
                  <c:v>44238</c:v>
                </c:pt>
                <c:pt idx="277">
                  <c:v>44239</c:v>
                </c:pt>
                <c:pt idx="278">
                  <c:v>44242</c:v>
                </c:pt>
                <c:pt idx="279">
                  <c:v>44243</c:v>
                </c:pt>
                <c:pt idx="280">
                  <c:v>44244</c:v>
                </c:pt>
                <c:pt idx="281">
                  <c:v>44245</c:v>
                </c:pt>
                <c:pt idx="282">
                  <c:v>44246</c:v>
                </c:pt>
                <c:pt idx="283">
                  <c:v>44249</c:v>
                </c:pt>
                <c:pt idx="284">
                  <c:v>44250</c:v>
                </c:pt>
                <c:pt idx="285">
                  <c:v>44251</c:v>
                </c:pt>
                <c:pt idx="286">
                  <c:v>44252</c:v>
                </c:pt>
                <c:pt idx="287">
                  <c:v>44253</c:v>
                </c:pt>
                <c:pt idx="288">
                  <c:v>44256</c:v>
                </c:pt>
                <c:pt idx="289">
                  <c:v>44257</c:v>
                </c:pt>
                <c:pt idx="290">
                  <c:v>44258</c:v>
                </c:pt>
                <c:pt idx="291">
                  <c:v>44259</c:v>
                </c:pt>
                <c:pt idx="292">
                  <c:v>44260</c:v>
                </c:pt>
                <c:pt idx="293">
                  <c:v>44264</c:v>
                </c:pt>
                <c:pt idx="294">
                  <c:v>44265</c:v>
                </c:pt>
                <c:pt idx="295">
                  <c:v>44266</c:v>
                </c:pt>
                <c:pt idx="296">
                  <c:v>44267</c:v>
                </c:pt>
                <c:pt idx="297">
                  <c:v>44270</c:v>
                </c:pt>
                <c:pt idx="298">
                  <c:v>44271</c:v>
                </c:pt>
                <c:pt idx="299">
                  <c:v>44272</c:v>
                </c:pt>
                <c:pt idx="300">
                  <c:v>44273</c:v>
                </c:pt>
                <c:pt idx="301">
                  <c:v>44274</c:v>
                </c:pt>
                <c:pt idx="302">
                  <c:v>44277</c:v>
                </c:pt>
                <c:pt idx="303">
                  <c:v>44278</c:v>
                </c:pt>
                <c:pt idx="304">
                  <c:v>44279</c:v>
                </c:pt>
                <c:pt idx="305">
                  <c:v>44280</c:v>
                </c:pt>
                <c:pt idx="306">
                  <c:v>44281</c:v>
                </c:pt>
                <c:pt idx="307">
                  <c:v>44284</c:v>
                </c:pt>
                <c:pt idx="308">
                  <c:v>44285</c:v>
                </c:pt>
                <c:pt idx="309">
                  <c:v>44286</c:v>
                </c:pt>
                <c:pt idx="310">
                  <c:v>44287</c:v>
                </c:pt>
                <c:pt idx="311">
                  <c:v>44288</c:v>
                </c:pt>
                <c:pt idx="312">
                  <c:v>44291</c:v>
                </c:pt>
                <c:pt idx="313">
                  <c:v>44292</c:v>
                </c:pt>
                <c:pt idx="314">
                  <c:v>44293</c:v>
                </c:pt>
                <c:pt idx="315">
                  <c:v>44294</c:v>
                </c:pt>
                <c:pt idx="316">
                  <c:v>44295</c:v>
                </c:pt>
                <c:pt idx="317">
                  <c:v>44298</c:v>
                </c:pt>
                <c:pt idx="318">
                  <c:v>44299</c:v>
                </c:pt>
                <c:pt idx="319">
                  <c:v>44300</c:v>
                </c:pt>
                <c:pt idx="320">
                  <c:v>44301</c:v>
                </c:pt>
                <c:pt idx="321">
                  <c:v>44302</c:v>
                </c:pt>
                <c:pt idx="322">
                  <c:v>44305</c:v>
                </c:pt>
                <c:pt idx="323">
                  <c:v>44306</c:v>
                </c:pt>
                <c:pt idx="324">
                  <c:v>44307</c:v>
                </c:pt>
                <c:pt idx="325">
                  <c:v>44308</c:v>
                </c:pt>
                <c:pt idx="326">
                  <c:v>44309</c:v>
                </c:pt>
                <c:pt idx="327">
                  <c:v>44312</c:v>
                </c:pt>
                <c:pt idx="328">
                  <c:v>44313</c:v>
                </c:pt>
                <c:pt idx="329">
                  <c:v>44314</c:v>
                </c:pt>
                <c:pt idx="330">
                  <c:v>44315</c:v>
                </c:pt>
                <c:pt idx="331">
                  <c:v>44316</c:v>
                </c:pt>
                <c:pt idx="332">
                  <c:v>44319</c:v>
                </c:pt>
                <c:pt idx="333">
                  <c:v>44320</c:v>
                </c:pt>
                <c:pt idx="334">
                  <c:v>44321</c:v>
                </c:pt>
                <c:pt idx="335">
                  <c:v>44322</c:v>
                </c:pt>
                <c:pt idx="336">
                  <c:v>44323</c:v>
                </c:pt>
                <c:pt idx="337">
                  <c:v>44326</c:v>
                </c:pt>
                <c:pt idx="338">
                  <c:v>44327</c:v>
                </c:pt>
                <c:pt idx="339">
                  <c:v>44328</c:v>
                </c:pt>
                <c:pt idx="340">
                  <c:v>44329</c:v>
                </c:pt>
                <c:pt idx="341">
                  <c:v>44330</c:v>
                </c:pt>
                <c:pt idx="342">
                  <c:v>44333</c:v>
                </c:pt>
                <c:pt idx="343">
                  <c:v>44334</c:v>
                </c:pt>
                <c:pt idx="344">
                  <c:v>44335</c:v>
                </c:pt>
                <c:pt idx="345">
                  <c:v>44336</c:v>
                </c:pt>
                <c:pt idx="346">
                  <c:v>44337</c:v>
                </c:pt>
                <c:pt idx="347">
                  <c:v>44340</c:v>
                </c:pt>
                <c:pt idx="348">
                  <c:v>44341</c:v>
                </c:pt>
                <c:pt idx="349">
                  <c:v>44342</c:v>
                </c:pt>
                <c:pt idx="350">
                  <c:v>44343</c:v>
                </c:pt>
                <c:pt idx="351">
                  <c:v>44347</c:v>
                </c:pt>
                <c:pt idx="352">
                  <c:v>44348</c:v>
                </c:pt>
                <c:pt idx="353">
                  <c:v>44349</c:v>
                </c:pt>
                <c:pt idx="354">
                  <c:v>44350</c:v>
                </c:pt>
                <c:pt idx="355">
                  <c:v>44351</c:v>
                </c:pt>
                <c:pt idx="356">
                  <c:v>44354</c:v>
                </c:pt>
                <c:pt idx="357">
                  <c:v>44355</c:v>
                </c:pt>
                <c:pt idx="358">
                  <c:v>44356</c:v>
                </c:pt>
                <c:pt idx="359">
                  <c:v>44357</c:v>
                </c:pt>
                <c:pt idx="360">
                  <c:v>44358</c:v>
                </c:pt>
                <c:pt idx="361">
                  <c:v>44361</c:v>
                </c:pt>
                <c:pt idx="362">
                  <c:v>44362</c:v>
                </c:pt>
                <c:pt idx="363">
                  <c:v>44363</c:v>
                </c:pt>
                <c:pt idx="364">
                  <c:v>44364</c:v>
                </c:pt>
                <c:pt idx="365">
                  <c:v>44365</c:v>
                </c:pt>
                <c:pt idx="366">
                  <c:v>44368</c:v>
                </c:pt>
                <c:pt idx="367">
                  <c:v>44369</c:v>
                </c:pt>
                <c:pt idx="368">
                  <c:v>44370</c:v>
                </c:pt>
                <c:pt idx="369">
                  <c:v>44371</c:v>
                </c:pt>
                <c:pt idx="370">
                  <c:v>44372</c:v>
                </c:pt>
                <c:pt idx="371">
                  <c:v>44375</c:v>
                </c:pt>
                <c:pt idx="372">
                  <c:v>44376</c:v>
                </c:pt>
                <c:pt idx="373">
                  <c:v>44377</c:v>
                </c:pt>
                <c:pt idx="374">
                  <c:v>44378</c:v>
                </c:pt>
                <c:pt idx="375">
                  <c:v>44379</c:v>
                </c:pt>
                <c:pt idx="376">
                  <c:v>44383</c:v>
                </c:pt>
                <c:pt idx="377">
                  <c:v>44384</c:v>
                </c:pt>
                <c:pt idx="378">
                  <c:v>44385</c:v>
                </c:pt>
                <c:pt idx="379">
                  <c:v>44386</c:v>
                </c:pt>
                <c:pt idx="380">
                  <c:v>44389</c:v>
                </c:pt>
                <c:pt idx="381">
                  <c:v>44390</c:v>
                </c:pt>
                <c:pt idx="382">
                  <c:v>44391</c:v>
                </c:pt>
                <c:pt idx="383">
                  <c:v>44392</c:v>
                </c:pt>
                <c:pt idx="384">
                  <c:v>44393</c:v>
                </c:pt>
                <c:pt idx="385">
                  <c:v>44396</c:v>
                </c:pt>
                <c:pt idx="386">
                  <c:v>44397</c:v>
                </c:pt>
                <c:pt idx="387">
                  <c:v>44398</c:v>
                </c:pt>
                <c:pt idx="388">
                  <c:v>44399</c:v>
                </c:pt>
                <c:pt idx="389">
                  <c:v>44400</c:v>
                </c:pt>
                <c:pt idx="390">
                  <c:v>44403</c:v>
                </c:pt>
                <c:pt idx="391">
                  <c:v>44404</c:v>
                </c:pt>
                <c:pt idx="392">
                  <c:v>44405</c:v>
                </c:pt>
                <c:pt idx="393">
                  <c:v>44406</c:v>
                </c:pt>
                <c:pt idx="394">
                  <c:v>44407</c:v>
                </c:pt>
                <c:pt idx="395">
                  <c:v>44410</c:v>
                </c:pt>
                <c:pt idx="396">
                  <c:v>44411</c:v>
                </c:pt>
                <c:pt idx="397">
                  <c:v>44412</c:v>
                </c:pt>
                <c:pt idx="398">
                  <c:v>44413</c:v>
                </c:pt>
                <c:pt idx="399">
                  <c:v>44414</c:v>
                </c:pt>
                <c:pt idx="400">
                  <c:v>44417</c:v>
                </c:pt>
                <c:pt idx="401">
                  <c:v>44418</c:v>
                </c:pt>
                <c:pt idx="402">
                  <c:v>44419</c:v>
                </c:pt>
                <c:pt idx="403">
                  <c:v>44420</c:v>
                </c:pt>
                <c:pt idx="404">
                  <c:v>44421</c:v>
                </c:pt>
                <c:pt idx="405">
                  <c:v>44424</c:v>
                </c:pt>
                <c:pt idx="406">
                  <c:v>44425</c:v>
                </c:pt>
                <c:pt idx="407">
                  <c:v>44426</c:v>
                </c:pt>
                <c:pt idx="408">
                  <c:v>44427</c:v>
                </c:pt>
                <c:pt idx="409">
                  <c:v>44428</c:v>
                </c:pt>
                <c:pt idx="410">
                  <c:v>44431</c:v>
                </c:pt>
                <c:pt idx="411">
                  <c:v>44432</c:v>
                </c:pt>
                <c:pt idx="412">
                  <c:v>44433</c:v>
                </c:pt>
                <c:pt idx="413">
                  <c:v>44434</c:v>
                </c:pt>
                <c:pt idx="414">
                  <c:v>44435</c:v>
                </c:pt>
                <c:pt idx="415">
                  <c:v>44438</c:v>
                </c:pt>
                <c:pt idx="416">
                  <c:v>44439</c:v>
                </c:pt>
                <c:pt idx="417">
                  <c:v>44440</c:v>
                </c:pt>
                <c:pt idx="418">
                  <c:v>44441</c:v>
                </c:pt>
                <c:pt idx="419">
                  <c:v>44442</c:v>
                </c:pt>
                <c:pt idx="420">
                  <c:v>44445</c:v>
                </c:pt>
                <c:pt idx="421">
                  <c:v>44446</c:v>
                </c:pt>
                <c:pt idx="422">
                  <c:v>44447</c:v>
                </c:pt>
                <c:pt idx="423">
                  <c:v>44448</c:v>
                </c:pt>
                <c:pt idx="424">
                  <c:v>44449</c:v>
                </c:pt>
                <c:pt idx="425">
                  <c:v>44452</c:v>
                </c:pt>
                <c:pt idx="426">
                  <c:v>44453</c:v>
                </c:pt>
                <c:pt idx="427">
                  <c:v>44454</c:v>
                </c:pt>
                <c:pt idx="428">
                  <c:v>44455</c:v>
                </c:pt>
                <c:pt idx="429">
                  <c:v>44456</c:v>
                </c:pt>
                <c:pt idx="430">
                  <c:v>44461</c:v>
                </c:pt>
                <c:pt idx="431">
                  <c:v>44462</c:v>
                </c:pt>
                <c:pt idx="432">
                  <c:v>44463</c:v>
                </c:pt>
                <c:pt idx="433">
                  <c:v>44464</c:v>
                </c:pt>
                <c:pt idx="434">
                  <c:v>44466</c:v>
                </c:pt>
                <c:pt idx="435">
                  <c:v>44467</c:v>
                </c:pt>
                <c:pt idx="436">
                  <c:v>44468</c:v>
                </c:pt>
                <c:pt idx="437">
                  <c:v>44469</c:v>
                </c:pt>
                <c:pt idx="438">
                  <c:v>44470</c:v>
                </c:pt>
                <c:pt idx="439">
                  <c:v>44473</c:v>
                </c:pt>
                <c:pt idx="440">
                  <c:v>44474</c:v>
                </c:pt>
                <c:pt idx="441">
                  <c:v>44475</c:v>
                </c:pt>
                <c:pt idx="442">
                  <c:v>44476</c:v>
                </c:pt>
                <c:pt idx="443">
                  <c:v>44477</c:v>
                </c:pt>
                <c:pt idx="444">
                  <c:v>44480</c:v>
                </c:pt>
                <c:pt idx="445">
                  <c:v>44481</c:v>
                </c:pt>
                <c:pt idx="446">
                  <c:v>44482</c:v>
                </c:pt>
                <c:pt idx="447">
                  <c:v>44483</c:v>
                </c:pt>
                <c:pt idx="448">
                  <c:v>44484</c:v>
                </c:pt>
                <c:pt idx="449">
                  <c:v>44487</c:v>
                </c:pt>
                <c:pt idx="450">
                  <c:v>44488</c:v>
                </c:pt>
                <c:pt idx="451">
                  <c:v>44489</c:v>
                </c:pt>
                <c:pt idx="452">
                  <c:v>44490</c:v>
                </c:pt>
                <c:pt idx="453">
                  <c:v>44491</c:v>
                </c:pt>
                <c:pt idx="454">
                  <c:v>44494</c:v>
                </c:pt>
                <c:pt idx="455">
                  <c:v>44495</c:v>
                </c:pt>
                <c:pt idx="456">
                  <c:v>44496</c:v>
                </c:pt>
                <c:pt idx="457">
                  <c:v>44497</c:v>
                </c:pt>
                <c:pt idx="458">
                  <c:v>44498</c:v>
                </c:pt>
                <c:pt idx="459">
                  <c:v>44501</c:v>
                </c:pt>
                <c:pt idx="460">
                  <c:v>44502</c:v>
                </c:pt>
                <c:pt idx="461">
                  <c:v>44503</c:v>
                </c:pt>
                <c:pt idx="462">
                  <c:v>44504</c:v>
                </c:pt>
                <c:pt idx="463">
                  <c:v>44505</c:v>
                </c:pt>
                <c:pt idx="464">
                  <c:v>44508</c:v>
                </c:pt>
                <c:pt idx="465">
                  <c:v>44509</c:v>
                </c:pt>
                <c:pt idx="466">
                  <c:v>44510</c:v>
                </c:pt>
                <c:pt idx="467">
                  <c:v>44511</c:v>
                </c:pt>
                <c:pt idx="468">
                  <c:v>44512</c:v>
                </c:pt>
                <c:pt idx="469">
                  <c:v>44515</c:v>
                </c:pt>
                <c:pt idx="470">
                  <c:v>44516</c:v>
                </c:pt>
                <c:pt idx="471">
                  <c:v>44517</c:v>
                </c:pt>
                <c:pt idx="472">
                  <c:v>44518</c:v>
                </c:pt>
                <c:pt idx="473">
                  <c:v>44519</c:v>
                </c:pt>
                <c:pt idx="474">
                  <c:v>44522</c:v>
                </c:pt>
                <c:pt idx="475">
                  <c:v>44523</c:v>
                </c:pt>
                <c:pt idx="476">
                  <c:v>44524</c:v>
                </c:pt>
                <c:pt idx="477">
                  <c:v>44525</c:v>
                </c:pt>
                <c:pt idx="478">
                  <c:v>44526</c:v>
                </c:pt>
                <c:pt idx="479">
                  <c:v>44529</c:v>
                </c:pt>
                <c:pt idx="480">
                  <c:v>44530</c:v>
                </c:pt>
                <c:pt idx="481">
                  <c:v>44531</c:v>
                </c:pt>
                <c:pt idx="482">
                  <c:v>44532</c:v>
                </c:pt>
                <c:pt idx="483">
                  <c:v>44533</c:v>
                </c:pt>
                <c:pt idx="484">
                  <c:v>44536</c:v>
                </c:pt>
                <c:pt idx="485">
                  <c:v>44537</c:v>
                </c:pt>
                <c:pt idx="486">
                  <c:v>44538</c:v>
                </c:pt>
                <c:pt idx="487">
                  <c:v>44539</c:v>
                </c:pt>
                <c:pt idx="488">
                  <c:v>44540</c:v>
                </c:pt>
                <c:pt idx="489">
                  <c:v>44543</c:v>
                </c:pt>
                <c:pt idx="490">
                  <c:v>44544</c:v>
                </c:pt>
                <c:pt idx="491">
                  <c:v>44545</c:v>
                </c:pt>
                <c:pt idx="492">
                  <c:v>44546</c:v>
                </c:pt>
                <c:pt idx="493">
                  <c:v>44547</c:v>
                </c:pt>
                <c:pt idx="494">
                  <c:v>44550</c:v>
                </c:pt>
                <c:pt idx="495">
                  <c:v>44551</c:v>
                </c:pt>
                <c:pt idx="496">
                  <c:v>44552</c:v>
                </c:pt>
                <c:pt idx="497">
                  <c:v>44553</c:v>
                </c:pt>
                <c:pt idx="498">
                  <c:v>44554</c:v>
                </c:pt>
                <c:pt idx="499">
                  <c:v>44557</c:v>
                </c:pt>
                <c:pt idx="500">
                  <c:v>44558</c:v>
                </c:pt>
                <c:pt idx="501">
                  <c:v>44559</c:v>
                </c:pt>
                <c:pt idx="502">
                  <c:v>44560</c:v>
                </c:pt>
                <c:pt idx="503">
                  <c:v>44561</c:v>
                </c:pt>
                <c:pt idx="504">
                  <c:v>44562</c:v>
                </c:pt>
                <c:pt idx="505">
                  <c:v>44565</c:v>
                </c:pt>
                <c:pt idx="506">
                  <c:v>44566</c:v>
                </c:pt>
                <c:pt idx="507">
                  <c:v>44568</c:v>
                </c:pt>
                <c:pt idx="508">
                  <c:v>44571</c:v>
                </c:pt>
                <c:pt idx="509">
                  <c:v>44572</c:v>
                </c:pt>
                <c:pt idx="510">
                  <c:v>44573</c:v>
                </c:pt>
                <c:pt idx="511">
                  <c:v>44574</c:v>
                </c:pt>
                <c:pt idx="512">
                  <c:v>44575</c:v>
                </c:pt>
                <c:pt idx="513">
                  <c:v>44578</c:v>
                </c:pt>
                <c:pt idx="514">
                  <c:v>44579</c:v>
                </c:pt>
                <c:pt idx="515">
                  <c:v>44580</c:v>
                </c:pt>
                <c:pt idx="516">
                  <c:v>44581</c:v>
                </c:pt>
                <c:pt idx="517">
                  <c:v>44582</c:v>
                </c:pt>
                <c:pt idx="518">
                  <c:v>44585</c:v>
                </c:pt>
                <c:pt idx="519">
                  <c:v>44586</c:v>
                </c:pt>
                <c:pt idx="520">
                  <c:v>44587</c:v>
                </c:pt>
                <c:pt idx="521">
                  <c:v>44588</c:v>
                </c:pt>
                <c:pt idx="522">
                  <c:v>44592</c:v>
                </c:pt>
                <c:pt idx="523">
                  <c:v>44593</c:v>
                </c:pt>
                <c:pt idx="524">
                  <c:v>44594</c:v>
                </c:pt>
                <c:pt idx="525">
                  <c:v>44595</c:v>
                </c:pt>
                <c:pt idx="526">
                  <c:v>44596</c:v>
                </c:pt>
                <c:pt idx="527">
                  <c:v>44599</c:v>
                </c:pt>
                <c:pt idx="528">
                  <c:v>44600</c:v>
                </c:pt>
                <c:pt idx="529">
                  <c:v>44601</c:v>
                </c:pt>
                <c:pt idx="530">
                  <c:v>44602</c:v>
                </c:pt>
                <c:pt idx="531">
                  <c:v>44603</c:v>
                </c:pt>
                <c:pt idx="532">
                  <c:v>44606</c:v>
                </c:pt>
                <c:pt idx="533">
                  <c:v>44607</c:v>
                </c:pt>
                <c:pt idx="534">
                  <c:v>44608</c:v>
                </c:pt>
                <c:pt idx="535">
                  <c:v>44609</c:v>
                </c:pt>
                <c:pt idx="536">
                  <c:v>44610</c:v>
                </c:pt>
                <c:pt idx="537">
                  <c:v>44613</c:v>
                </c:pt>
                <c:pt idx="538">
                  <c:v>44614</c:v>
                </c:pt>
                <c:pt idx="539">
                  <c:v>44615</c:v>
                </c:pt>
                <c:pt idx="540">
                  <c:v>44616</c:v>
                </c:pt>
                <c:pt idx="541">
                  <c:v>44617</c:v>
                </c:pt>
                <c:pt idx="542">
                  <c:v>44620</c:v>
                </c:pt>
                <c:pt idx="543">
                  <c:v>44621</c:v>
                </c:pt>
                <c:pt idx="544">
                  <c:v>44622</c:v>
                </c:pt>
                <c:pt idx="545">
                  <c:v>44623</c:v>
                </c:pt>
                <c:pt idx="546">
                  <c:v>44624</c:v>
                </c:pt>
                <c:pt idx="547">
                  <c:v>44627</c:v>
                </c:pt>
                <c:pt idx="548">
                  <c:v>44629</c:v>
                </c:pt>
                <c:pt idx="549">
                  <c:v>44630</c:v>
                </c:pt>
                <c:pt idx="550">
                  <c:v>44631</c:v>
                </c:pt>
                <c:pt idx="551">
                  <c:v>44634</c:v>
                </c:pt>
                <c:pt idx="552">
                  <c:v>44635</c:v>
                </c:pt>
                <c:pt idx="553">
                  <c:v>44636</c:v>
                </c:pt>
                <c:pt idx="554">
                  <c:v>44637</c:v>
                </c:pt>
                <c:pt idx="555">
                  <c:v>44638</c:v>
                </c:pt>
                <c:pt idx="556">
                  <c:v>44641</c:v>
                </c:pt>
                <c:pt idx="557">
                  <c:v>44642</c:v>
                </c:pt>
                <c:pt idx="558">
                  <c:v>44643</c:v>
                </c:pt>
                <c:pt idx="559">
                  <c:v>44644</c:v>
                </c:pt>
                <c:pt idx="560">
                  <c:v>44645</c:v>
                </c:pt>
                <c:pt idx="561">
                  <c:v>44648</c:v>
                </c:pt>
                <c:pt idx="562">
                  <c:v>44649</c:v>
                </c:pt>
                <c:pt idx="563">
                  <c:v>44650</c:v>
                </c:pt>
                <c:pt idx="564">
                  <c:v>44651</c:v>
                </c:pt>
                <c:pt idx="565">
                  <c:v>44652</c:v>
                </c:pt>
                <c:pt idx="566">
                  <c:v>44655</c:v>
                </c:pt>
                <c:pt idx="567">
                  <c:v>44656</c:v>
                </c:pt>
                <c:pt idx="568">
                  <c:v>44657</c:v>
                </c:pt>
                <c:pt idx="569">
                  <c:v>44658</c:v>
                </c:pt>
                <c:pt idx="570">
                  <c:v>44659</c:v>
                </c:pt>
                <c:pt idx="571">
                  <c:v>44662</c:v>
                </c:pt>
                <c:pt idx="572">
                  <c:v>44663</c:v>
                </c:pt>
                <c:pt idx="573">
                  <c:v>44664</c:v>
                </c:pt>
                <c:pt idx="574">
                  <c:v>44665</c:v>
                </c:pt>
                <c:pt idx="575">
                  <c:v>44666</c:v>
                </c:pt>
                <c:pt idx="576">
                  <c:v>44669</c:v>
                </c:pt>
                <c:pt idx="577">
                  <c:v>44670</c:v>
                </c:pt>
                <c:pt idx="578">
                  <c:v>44671</c:v>
                </c:pt>
                <c:pt idx="579">
                  <c:v>44672</c:v>
                </c:pt>
                <c:pt idx="580">
                  <c:v>44673</c:v>
                </c:pt>
                <c:pt idx="581">
                  <c:v>44676</c:v>
                </c:pt>
                <c:pt idx="582">
                  <c:v>44677</c:v>
                </c:pt>
                <c:pt idx="583">
                  <c:v>44678</c:v>
                </c:pt>
                <c:pt idx="584">
                  <c:v>44679</c:v>
                </c:pt>
                <c:pt idx="585">
                  <c:v>44680</c:v>
                </c:pt>
                <c:pt idx="586">
                  <c:v>44683</c:v>
                </c:pt>
                <c:pt idx="587">
                  <c:v>44684</c:v>
                </c:pt>
                <c:pt idx="588">
                  <c:v>44685</c:v>
                </c:pt>
                <c:pt idx="589">
                  <c:v>44686</c:v>
                </c:pt>
                <c:pt idx="590">
                  <c:v>44687</c:v>
                </c:pt>
                <c:pt idx="591">
                  <c:v>44691</c:v>
                </c:pt>
                <c:pt idx="592">
                  <c:v>44692</c:v>
                </c:pt>
                <c:pt idx="593">
                  <c:v>44693</c:v>
                </c:pt>
                <c:pt idx="594">
                  <c:v>44694</c:v>
                </c:pt>
                <c:pt idx="595">
                  <c:v>44697</c:v>
                </c:pt>
                <c:pt idx="596">
                  <c:v>44698</c:v>
                </c:pt>
                <c:pt idx="597">
                  <c:v>44699</c:v>
                </c:pt>
                <c:pt idx="598">
                  <c:v>44700</c:v>
                </c:pt>
                <c:pt idx="599">
                  <c:v>44701</c:v>
                </c:pt>
                <c:pt idx="600">
                  <c:v>44704</c:v>
                </c:pt>
                <c:pt idx="601">
                  <c:v>44705</c:v>
                </c:pt>
                <c:pt idx="602">
                  <c:v>44706</c:v>
                </c:pt>
                <c:pt idx="603">
                  <c:v>44707</c:v>
                </c:pt>
                <c:pt idx="604">
                  <c:v>44708</c:v>
                </c:pt>
                <c:pt idx="605">
                  <c:v>44711</c:v>
                </c:pt>
                <c:pt idx="606">
                  <c:v>44712</c:v>
                </c:pt>
                <c:pt idx="607">
                  <c:v>44713</c:v>
                </c:pt>
                <c:pt idx="608">
                  <c:v>44714</c:v>
                </c:pt>
                <c:pt idx="609">
                  <c:v>44715</c:v>
                </c:pt>
                <c:pt idx="610">
                  <c:v>44718</c:v>
                </c:pt>
                <c:pt idx="611">
                  <c:v>44719</c:v>
                </c:pt>
                <c:pt idx="612">
                  <c:v>44720</c:v>
                </c:pt>
                <c:pt idx="613">
                  <c:v>44721</c:v>
                </c:pt>
                <c:pt idx="614">
                  <c:v>44722</c:v>
                </c:pt>
                <c:pt idx="615">
                  <c:v>44725</c:v>
                </c:pt>
                <c:pt idx="616">
                  <c:v>44726</c:v>
                </c:pt>
                <c:pt idx="617">
                  <c:v>44727</c:v>
                </c:pt>
                <c:pt idx="618">
                  <c:v>44728</c:v>
                </c:pt>
                <c:pt idx="619">
                  <c:v>44729</c:v>
                </c:pt>
                <c:pt idx="620">
                  <c:v>44732</c:v>
                </c:pt>
                <c:pt idx="621">
                  <c:v>44733</c:v>
                </c:pt>
                <c:pt idx="622">
                  <c:v>44734</c:v>
                </c:pt>
                <c:pt idx="623">
                  <c:v>44735</c:v>
                </c:pt>
                <c:pt idx="624">
                  <c:v>44736</c:v>
                </c:pt>
                <c:pt idx="625">
                  <c:v>44739</c:v>
                </c:pt>
                <c:pt idx="626">
                  <c:v>44740</c:v>
                </c:pt>
                <c:pt idx="627">
                  <c:v>44741</c:v>
                </c:pt>
                <c:pt idx="628">
                  <c:v>44742</c:v>
                </c:pt>
                <c:pt idx="629">
                  <c:v>44743</c:v>
                </c:pt>
                <c:pt idx="630">
                  <c:v>44746</c:v>
                </c:pt>
                <c:pt idx="631">
                  <c:v>44748</c:v>
                </c:pt>
                <c:pt idx="632">
                  <c:v>44749</c:v>
                </c:pt>
                <c:pt idx="633">
                  <c:v>44750</c:v>
                </c:pt>
                <c:pt idx="634">
                  <c:v>44753</c:v>
                </c:pt>
                <c:pt idx="635">
                  <c:v>44754</c:v>
                </c:pt>
                <c:pt idx="636">
                  <c:v>44755</c:v>
                </c:pt>
                <c:pt idx="637">
                  <c:v>44756</c:v>
                </c:pt>
                <c:pt idx="638">
                  <c:v>44757</c:v>
                </c:pt>
                <c:pt idx="639">
                  <c:v>44760</c:v>
                </c:pt>
                <c:pt idx="640">
                  <c:v>44761</c:v>
                </c:pt>
                <c:pt idx="641">
                  <c:v>44762</c:v>
                </c:pt>
                <c:pt idx="642">
                  <c:v>44763</c:v>
                </c:pt>
                <c:pt idx="643">
                  <c:v>44764</c:v>
                </c:pt>
                <c:pt idx="644">
                  <c:v>44767</c:v>
                </c:pt>
                <c:pt idx="645">
                  <c:v>44768</c:v>
                </c:pt>
                <c:pt idx="646">
                  <c:v>44769</c:v>
                </c:pt>
                <c:pt idx="647">
                  <c:v>44770</c:v>
                </c:pt>
                <c:pt idx="648">
                  <c:v>44771</c:v>
                </c:pt>
                <c:pt idx="649">
                  <c:v>44774</c:v>
                </c:pt>
                <c:pt idx="650">
                  <c:v>44775</c:v>
                </c:pt>
                <c:pt idx="651">
                  <c:v>44776</c:v>
                </c:pt>
                <c:pt idx="652">
                  <c:v>44777</c:v>
                </c:pt>
                <c:pt idx="653">
                  <c:v>44778</c:v>
                </c:pt>
                <c:pt idx="654">
                  <c:v>44781</c:v>
                </c:pt>
                <c:pt idx="655">
                  <c:v>44782</c:v>
                </c:pt>
                <c:pt idx="656">
                  <c:v>44783</c:v>
                </c:pt>
                <c:pt idx="657">
                  <c:v>44784</c:v>
                </c:pt>
                <c:pt idx="658">
                  <c:v>44785</c:v>
                </c:pt>
                <c:pt idx="659">
                  <c:v>44788</c:v>
                </c:pt>
                <c:pt idx="660">
                  <c:v>44789</c:v>
                </c:pt>
                <c:pt idx="661">
                  <c:v>44790</c:v>
                </c:pt>
                <c:pt idx="662">
                  <c:v>44791</c:v>
                </c:pt>
                <c:pt idx="663">
                  <c:v>44792</c:v>
                </c:pt>
                <c:pt idx="664">
                  <c:v>44795</c:v>
                </c:pt>
                <c:pt idx="665">
                  <c:v>44796</c:v>
                </c:pt>
                <c:pt idx="666">
                  <c:v>44797</c:v>
                </c:pt>
                <c:pt idx="667">
                  <c:v>44798</c:v>
                </c:pt>
                <c:pt idx="668">
                  <c:v>44799</c:v>
                </c:pt>
                <c:pt idx="669">
                  <c:v>44802</c:v>
                </c:pt>
                <c:pt idx="670">
                  <c:v>44803</c:v>
                </c:pt>
                <c:pt idx="671">
                  <c:v>44804</c:v>
                </c:pt>
                <c:pt idx="672">
                  <c:v>44805</c:v>
                </c:pt>
                <c:pt idx="673">
                  <c:v>44806</c:v>
                </c:pt>
                <c:pt idx="674">
                  <c:v>44809</c:v>
                </c:pt>
                <c:pt idx="675">
                  <c:v>44810</c:v>
                </c:pt>
                <c:pt idx="676">
                  <c:v>44811</c:v>
                </c:pt>
                <c:pt idx="677">
                  <c:v>44812</c:v>
                </c:pt>
                <c:pt idx="678">
                  <c:v>44813</c:v>
                </c:pt>
                <c:pt idx="679">
                  <c:v>44816</c:v>
                </c:pt>
                <c:pt idx="680">
                  <c:v>44817</c:v>
                </c:pt>
                <c:pt idx="681">
                  <c:v>44818</c:v>
                </c:pt>
                <c:pt idx="682">
                  <c:v>44819</c:v>
                </c:pt>
                <c:pt idx="683">
                  <c:v>44820</c:v>
                </c:pt>
                <c:pt idx="684">
                  <c:v>44823</c:v>
                </c:pt>
                <c:pt idx="685">
                  <c:v>44824</c:v>
                </c:pt>
                <c:pt idx="686">
                  <c:v>44826</c:v>
                </c:pt>
                <c:pt idx="687">
                  <c:v>44827</c:v>
                </c:pt>
                <c:pt idx="688">
                  <c:v>44830</c:v>
                </c:pt>
                <c:pt idx="689">
                  <c:v>44831</c:v>
                </c:pt>
                <c:pt idx="690">
                  <c:v>44832</c:v>
                </c:pt>
                <c:pt idx="691">
                  <c:v>44833</c:v>
                </c:pt>
                <c:pt idx="692">
                  <c:v>44834</c:v>
                </c:pt>
                <c:pt idx="693">
                  <c:v>44837</c:v>
                </c:pt>
                <c:pt idx="694">
                  <c:v>44838</c:v>
                </c:pt>
                <c:pt idx="695">
                  <c:v>44839</c:v>
                </c:pt>
                <c:pt idx="696">
                  <c:v>44840</c:v>
                </c:pt>
                <c:pt idx="697">
                  <c:v>44841</c:v>
                </c:pt>
                <c:pt idx="698">
                  <c:v>44844</c:v>
                </c:pt>
                <c:pt idx="699">
                  <c:v>44845</c:v>
                </c:pt>
                <c:pt idx="700">
                  <c:v>44846</c:v>
                </c:pt>
                <c:pt idx="701">
                  <c:v>44847</c:v>
                </c:pt>
                <c:pt idx="702">
                  <c:v>44848</c:v>
                </c:pt>
                <c:pt idx="703">
                  <c:v>44851</c:v>
                </c:pt>
                <c:pt idx="704">
                  <c:v>44852</c:v>
                </c:pt>
                <c:pt idx="705">
                  <c:v>44853</c:v>
                </c:pt>
                <c:pt idx="706">
                  <c:v>44854</c:v>
                </c:pt>
                <c:pt idx="707">
                  <c:v>44855</c:v>
                </c:pt>
                <c:pt idx="708">
                  <c:v>44858</c:v>
                </c:pt>
                <c:pt idx="709">
                  <c:v>44859</c:v>
                </c:pt>
                <c:pt idx="710">
                  <c:v>44860</c:v>
                </c:pt>
                <c:pt idx="711">
                  <c:v>44861</c:v>
                </c:pt>
                <c:pt idx="712">
                  <c:v>44862</c:v>
                </c:pt>
                <c:pt idx="713">
                  <c:v>44865</c:v>
                </c:pt>
                <c:pt idx="714">
                  <c:v>44866</c:v>
                </c:pt>
                <c:pt idx="715">
                  <c:v>44867</c:v>
                </c:pt>
                <c:pt idx="716">
                  <c:v>44868</c:v>
                </c:pt>
                <c:pt idx="717">
                  <c:v>44869</c:v>
                </c:pt>
                <c:pt idx="718">
                  <c:v>44872</c:v>
                </c:pt>
                <c:pt idx="719">
                  <c:v>44873</c:v>
                </c:pt>
                <c:pt idx="720">
                  <c:v>44874</c:v>
                </c:pt>
                <c:pt idx="721">
                  <c:v>44875</c:v>
                </c:pt>
                <c:pt idx="722">
                  <c:v>44876</c:v>
                </c:pt>
                <c:pt idx="723">
                  <c:v>44879</c:v>
                </c:pt>
                <c:pt idx="724">
                  <c:v>44880</c:v>
                </c:pt>
                <c:pt idx="725">
                  <c:v>44881</c:v>
                </c:pt>
                <c:pt idx="726">
                  <c:v>44882</c:v>
                </c:pt>
                <c:pt idx="727">
                  <c:v>44883</c:v>
                </c:pt>
                <c:pt idx="728">
                  <c:v>44886</c:v>
                </c:pt>
                <c:pt idx="729">
                  <c:v>44887</c:v>
                </c:pt>
                <c:pt idx="730">
                  <c:v>44888</c:v>
                </c:pt>
                <c:pt idx="731">
                  <c:v>44889</c:v>
                </c:pt>
                <c:pt idx="732">
                  <c:v>44890</c:v>
                </c:pt>
                <c:pt idx="733">
                  <c:v>44893</c:v>
                </c:pt>
                <c:pt idx="734">
                  <c:v>44894</c:v>
                </c:pt>
                <c:pt idx="735">
                  <c:v>44895</c:v>
                </c:pt>
                <c:pt idx="736">
                  <c:v>44896</c:v>
                </c:pt>
                <c:pt idx="737">
                  <c:v>44897</c:v>
                </c:pt>
                <c:pt idx="738">
                  <c:v>44900</c:v>
                </c:pt>
                <c:pt idx="739">
                  <c:v>44901</c:v>
                </c:pt>
                <c:pt idx="740">
                  <c:v>44902</c:v>
                </c:pt>
                <c:pt idx="741">
                  <c:v>44903</c:v>
                </c:pt>
                <c:pt idx="742">
                  <c:v>44904</c:v>
                </c:pt>
                <c:pt idx="743">
                  <c:v>44907</c:v>
                </c:pt>
                <c:pt idx="744">
                  <c:v>44908</c:v>
                </c:pt>
                <c:pt idx="745">
                  <c:v>44909</c:v>
                </c:pt>
                <c:pt idx="746">
                  <c:v>44910</c:v>
                </c:pt>
                <c:pt idx="747">
                  <c:v>44911</c:v>
                </c:pt>
                <c:pt idx="748">
                  <c:v>44914</c:v>
                </c:pt>
                <c:pt idx="749">
                  <c:v>44915</c:v>
                </c:pt>
                <c:pt idx="750">
                  <c:v>44916</c:v>
                </c:pt>
                <c:pt idx="751">
                  <c:v>44917</c:v>
                </c:pt>
                <c:pt idx="752">
                  <c:v>44918</c:v>
                </c:pt>
                <c:pt idx="753">
                  <c:v>44921</c:v>
                </c:pt>
                <c:pt idx="754">
                  <c:v>44922</c:v>
                </c:pt>
                <c:pt idx="755">
                  <c:v>44923</c:v>
                </c:pt>
                <c:pt idx="756">
                  <c:v>44924</c:v>
                </c:pt>
                <c:pt idx="757">
                  <c:v>44925</c:v>
                </c:pt>
              </c:numCache>
            </c:numRef>
          </c:cat>
          <c:val>
            <c:numRef>
              <c:f>'Graf yield'!$C$572:$C$1329</c:f>
              <c:numCache>
                <c:formatCode>0.00</c:formatCode>
                <c:ptCount val="758"/>
                <c:pt idx="0">
                  <c:v>11.782</c:v>
                </c:pt>
                <c:pt idx="1">
                  <c:v>11.782087412631348</c:v>
                </c:pt>
                <c:pt idx="2">
                  <c:v>11.781856108215315</c:v>
                </c:pt>
                <c:pt idx="3">
                  <c:v>11.782001883019479</c:v>
                </c:pt>
                <c:pt idx="4">
                  <c:v>11.782001883019479</c:v>
                </c:pt>
                <c:pt idx="5">
                  <c:v>11.799548504725662</c:v>
                </c:pt>
                <c:pt idx="6">
                  <c:v>11.799566519267085</c:v>
                </c:pt>
                <c:pt idx="7">
                  <c:v>11.799537937741437</c:v>
                </c:pt>
                <c:pt idx="8">
                  <c:v>11.799515277518372</c:v>
                </c:pt>
                <c:pt idx="9">
                  <c:v>11.799143865185581</c:v>
                </c:pt>
                <c:pt idx="10">
                  <c:v>11.790029522332823</c:v>
                </c:pt>
                <c:pt idx="11">
                  <c:v>11.6739</c:v>
                </c:pt>
                <c:pt idx="12">
                  <c:v>11.6739</c:v>
                </c:pt>
                <c:pt idx="13">
                  <c:v>11.673860715312655</c:v>
                </c:pt>
                <c:pt idx="14">
                  <c:v>11.673863815520114</c:v>
                </c:pt>
                <c:pt idx="15">
                  <c:v>11.66512181714306</c:v>
                </c:pt>
                <c:pt idx="16">
                  <c:v>11.665119569617685</c:v>
                </c:pt>
                <c:pt idx="17">
                  <c:v>11.665118850410236</c:v>
                </c:pt>
                <c:pt idx="18">
                  <c:v>11.682865027301224</c:v>
                </c:pt>
                <c:pt idx="19">
                  <c:v>11.682847216994226</c:v>
                </c:pt>
                <c:pt idx="20">
                  <c:v>11.682816791742118</c:v>
                </c:pt>
                <c:pt idx="21">
                  <c:v>11.682816732153309</c:v>
                </c:pt>
                <c:pt idx="22">
                  <c:v>11.682814383402523</c:v>
                </c:pt>
                <c:pt idx="23">
                  <c:v>11.682813861962181</c:v>
                </c:pt>
                <c:pt idx="24">
                  <c:v>11.614825724927936</c:v>
                </c:pt>
                <c:pt idx="25">
                  <c:v>11.59819316500648</c:v>
                </c:pt>
                <c:pt idx="26">
                  <c:v>11.598214509209859</c:v>
                </c:pt>
                <c:pt idx="27">
                  <c:v>11.598214509209859</c:v>
                </c:pt>
                <c:pt idx="28">
                  <c:v>11.589813373500649</c:v>
                </c:pt>
                <c:pt idx="29">
                  <c:v>11.58978960525808</c:v>
                </c:pt>
                <c:pt idx="30">
                  <c:v>11.589764080574552</c:v>
                </c:pt>
                <c:pt idx="31">
                  <c:v>11.589769091211236</c:v>
                </c:pt>
                <c:pt idx="32">
                  <c:v>11.589769091211236</c:v>
                </c:pt>
                <c:pt idx="33">
                  <c:v>11.581101127610244</c:v>
                </c:pt>
                <c:pt idx="34">
                  <c:v>11.581083172920739</c:v>
                </c:pt>
                <c:pt idx="35">
                  <c:v>11.581083172920739</c:v>
                </c:pt>
                <c:pt idx="36">
                  <c:v>11.58107736541843</c:v>
                </c:pt>
                <c:pt idx="37">
                  <c:v>11.581076462031149</c:v>
                </c:pt>
                <c:pt idx="38">
                  <c:v>11.581076462031149</c:v>
                </c:pt>
                <c:pt idx="39">
                  <c:v>11.590200000000001</c:v>
                </c:pt>
                <c:pt idx="40">
                  <c:v>11.589875798784487</c:v>
                </c:pt>
                <c:pt idx="41">
                  <c:v>11.589874411741178</c:v>
                </c:pt>
                <c:pt idx="42">
                  <c:v>11.58984265795212</c:v>
                </c:pt>
                <c:pt idx="43">
                  <c:v>11.589842600758498</c:v>
                </c:pt>
                <c:pt idx="44">
                  <c:v>11.56791369965349</c:v>
                </c:pt>
                <c:pt idx="45">
                  <c:v>11.543871953452522</c:v>
                </c:pt>
                <c:pt idx="46">
                  <c:v>11.543871953452522</c:v>
                </c:pt>
                <c:pt idx="47">
                  <c:v>11.543871826930147</c:v>
                </c:pt>
                <c:pt idx="48">
                  <c:v>11.536105206548026</c:v>
                </c:pt>
                <c:pt idx="49">
                  <c:v>11.536059214019094</c:v>
                </c:pt>
                <c:pt idx="50">
                  <c:v>11.536059214019094</c:v>
                </c:pt>
                <c:pt idx="51">
                  <c:v>11.536163740837733</c:v>
                </c:pt>
                <c:pt idx="52">
                  <c:v>11.53615809023977</c:v>
                </c:pt>
                <c:pt idx="53">
                  <c:v>11.53819545016154</c:v>
                </c:pt>
                <c:pt idx="54">
                  <c:v>11.538176414995171</c:v>
                </c:pt>
                <c:pt idx="55">
                  <c:v>11.538176414995171</c:v>
                </c:pt>
                <c:pt idx="56">
                  <c:v>11.538230867997461</c:v>
                </c:pt>
                <c:pt idx="57">
                  <c:v>11.538205599540213</c:v>
                </c:pt>
                <c:pt idx="58">
                  <c:v>11.56304451628959</c:v>
                </c:pt>
                <c:pt idx="59">
                  <c:v>11.56304451628959</c:v>
                </c:pt>
                <c:pt idx="60">
                  <c:v>11.56304451628959</c:v>
                </c:pt>
                <c:pt idx="61">
                  <c:v>11.563033246769965</c:v>
                </c:pt>
                <c:pt idx="62">
                  <c:v>11.57092285691785</c:v>
                </c:pt>
                <c:pt idx="63">
                  <c:v>11.57092285691785</c:v>
                </c:pt>
                <c:pt idx="64">
                  <c:v>11.547141601550774</c:v>
                </c:pt>
                <c:pt idx="65">
                  <c:v>11.547133580239587</c:v>
                </c:pt>
                <c:pt idx="66">
                  <c:v>11.547133580239587</c:v>
                </c:pt>
                <c:pt idx="67">
                  <c:v>11.547133618369603</c:v>
                </c:pt>
                <c:pt idx="68">
                  <c:v>11.546993903504244</c:v>
                </c:pt>
                <c:pt idx="69">
                  <c:v>11.516018000802068</c:v>
                </c:pt>
                <c:pt idx="70">
                  <c:v>11.513045809634209</c:v>
                </c:pt>
                <c:pt idx="71">
                  <c:v>11.513045809634209</c:v>
                </c:pt>
                <c:pt idx="72">
                  <c:v>11.513044594224759</c:v>
                </c:pt>
                <c:pt idx="73">
                  <c:v>11.513100983136869</c:v>
                </c:pt>
                <c:pt idx="74">
                  <c:v>11.497435407157974</c:v>
                </c:pt>
                <c:pt idx="75">
                  <c:v>11.497435340717866</c:v>
                </c:pt>
                <c:pt idx="76">
                  <c:v>11.497435340717866</c:v>
                </c:pt>
                <c:pt idx="77">
                  <c:v>11.497479584913609</c:v>
                </c:pt>
                <c:pt idx="78">
                  <c:v>11.481274297165918</c:v>
                </c:pt>
                <c:pt idx="79">
                  <c:v>11.09814967139433</c:v>
                </c:pt>
                <c:pt idx="80">
                  <c:v>11.098196034423912</c:v>
                </c:pt>
                <c:pt idx="81">
                  <c:v>11.113034261599223</c:v>
                </c:pt>
                <c:pt idx="82">
                  <c:v>11.102590157596687</c:v>
                </c:pt>
                <c:pt idx="83">
                  <c:v>11.10258700797694</c:v>
                </c:pt>
                <c:pt idx="84">
                  <c:v>11.10257500496717</c:v>
                </c:pt>
                <c:pt idx="85">
                  <c:v>11.102571506417593</c:v>
                </c:pt>
                <c:pt idx="86">
                  <c:v>11.102571211439688</c:v>
                </c:pt>
                <c:pt idx="87">
                  <c:v>11.102571211439688</c:v>
                </c:pt>
                <c:pt idx="88">
                  <c:v>11.0392731193046</c:v>
                </c:pt>
                <c:pt idx="89">
                  <c:v>11.039259720598515</c:v>
                </c:pt>
                <c:pt idx="90">
                  <c:v>11.03925971531085</c:v>
                </c:pt>
                <c:pt idx="91">
                  <c:v>11.03925971531085</c:v>
                </c:pt>
                <c:pt idx="92">
                  <c:v>11.032215731912601</c:v>
                </c:pt>
                <c:pt idx="93">
                  <c:v>11.032162628285077</c:v>
                </c:pt>
                <c:pt idx="94">
                  <c:v>11.032162712379968</c:v>
                </c:pt>
                <c:pt idx="95">
                  <c:v>11.032109512412177</c:v>
                </c:pt>
                <c:pt idx="96">
                  <c:v>11.032109512412177</c:v>
                </c:pt>
                <c:pt idx="97">
                  <c:v>11.032107665212404</c:v>
                </c:pt>
                <c:pt idx="98">
                  <c:v>11.024961935441686</c:v>
                </c:pt>
                <c:pt idx="99">
                  <c:v>11.024957985673375</c:v>
                </c:pt>
                <c:pt idx="100">
                  <c:v>11.045380780656897</c:v>
                </c:pt>
                <c:pt idx="101">
                  <c:v>11.037040376056616</c:v>
                </c:pt>
                <c:pt idx="102">
                  <c:v>11.037040376056616</c:v>
                </c:pt>
                <c:pt idx="103">
                  <c:v>11.037311478691517</c:v>
                </c:pt>
                <c:pt idx="104">
                  <c:v>11.037373055643064</c:v>
                </c:pt>
                <c:pt idx="105">
                  <c:v>11.037317568078048</c:v>
                </c:pt>
                <c:pt idx="106">
                  <c:v>11.037284023107825</c:v>
                </c:pt>
                <c:pt idx="107">
                  <c:v>10.980664497381666</c:v>
                </c:pt>
                <c:pt idx="108">
                  <c:v>10.98066430482417</c:v>
                </c:pt>
                <c:pt idx="109">
                  <c:v>10.980622267323696</c:v>
                </c:pt>
                <c:pt idx="110">
                  <c:v>10.973905174140851</c:v>
                </c:pt>
                <c:pt idx="111">
                  <c:v>10.973905174140851</c:v>
                </c:pt>
                <c:pt idx="112">
                  <c:v>10.973905174140851</c:v>
                </c:pt>
                <c:pt idx="113">
                  <c:v>10.973905174140851</c:v>
                </c:pt>
                <c:pt idx="114">
                  <c:v>10.973910930328689</c:v>
                </c:pt>
                <c:pt idx="115">
                  <c:v>10.973910930328689</c:v>
                </c:pt>
                <c:pt idx="116">
                  <c:v>10.966820154184138</c:v>
                </c:pt>
                <c:pt idx="117">
                  <c:v>10.966812486054078</c:v>
                </c:pt>
                <c:pt idx="118">
                  <c:v>10.966790583151141</c:v>
                </c:pt>
                <c:pt idx="119">
                  <c:v>10.966940041093427</c:v>
                </c:pt>
                <c:pt idx="120">
                  <c:v>10.986662321953185</c:v>
                </c:pt>
                <c:pt idx="121">
                  <c:v>10.986662289777536</c:v>
                </c:pt>
                <c:pt idx="122">
                  <c:v>10.986662225426244</c:v>
                </c:pt>
                <c:pt idx="123">
                  <c:v>10.986663747222609</c:v>
                </c:pt>
                <c:pt idx="124">
                  <c:v>10.986653451044551</c:v>
                </c:pt>
                <c:pt idx="125">
                  <c:v>10.986650699120931</c:v>
                </c:pt>
                <c:pt idx="126">
                  <c:v>10.972860092468823</c:v>
                </c:pt>
                <c:pt idx="127">
                  <c:v>10.972832912479355</c:v>
                </c:pt>
                <c:pt idx="128">
                  <c:v>10.972832912479355</c:v>
                </c:pt>
                <c:pt idx="129">
                  <c:v>10.972846207163281</c:v>
                </c:pt>
                <c:pt idx="130">
                  <c:v>10.972849749311177</c:v>
                </c:pt>
                <c:pt idx="131">
                  <c:v>10.972849749311177</c:v>
                </c:pt>
                <c:pt idx="132">
                  <c:v>10.714308880574199</c:v>
                </c:pt>
                <c:pt idx="133">
                  <c:v>10.714308880574199</c:v>
                </c:pt>
                <c:pt idx="134">
                  <c:v>10.714308880574199</c:v>
                </c:pt>
                <c:pt idx="135">
                  <c:v>10.7081934613811</c:v>
                </c:pt>
                <c:pt idx="136">
                  <c:v>10.708290267211041</c:v>
                </c:pt>
                <c:pt idx="137">
                  <c:v>10.7081370249449</c:v>
                </c:pt>
                <c:pt idx="138">
                  <c:v>10.7081370249449</c:v>
                </c:pt>
                <c:pt idx="139">
                  <c:v>10.708236576369949</c:v>
                </c:pt>
                <c:pt idx="140">
                  <c:v>10.708236576369949</c:v>
                </c:pt>
                <c:pt idx="141">
                  <c:v>10.701817465554223</c:v>
                </c:pt>
                <c:pt idx="142">
                  <c:v>10.701817465554223</c:v>
                </c:pt>
                <c:pt idx="143">
                  <c:v>10.701820331683898</c:v>
                </c:pt>
                <c:pt idx="144">
                  <c:v>10.70179644061915</c:v>
                </c:pt>
                <c:pt idx="145">
                  <c:v>10.719646449421059</c:v>
                </c:pt>
                <c:pt idx="146">
                  <c:v>10.702002944986841</c:v>
                </c:pt>
                <c:pt idx="147">
                  <c:v>10.701977872781383</c:v>
                </c:pt>
                <c:pt idx="148">
                  <c:v>10.701831454211623</c:v>
                </c:pt>
                <c:pt idx="149">
                  <c:v>10.701831017983121</c:v>
                </c:pt>
                <c:pt idx="150">
                  <c:v>10.701717423379911</c:v>
                </c:pt>
                <c:pt idx="151">
                  <c:v>10.701695016675163</c:v>
                </c:pt>
                <c:pt idx="152">
                  <c:v>10.636005269203814</c:v>
                </c:pt>
                <c:pt idx="153">
                  <c:v>10.636005269203814</c:v>
                </c:pt>
                <c:pt idx="154">
                  <c:v>10.636005219733809</c:v>
                </c:pt>
                <c:pt idx="155">
                  <c:v>10.636045727304728</c:v>
                </c:pt>
                <c:pt idx="156">
                  <c:v>10.628040334889096</c:v>
                </c:pt>
                <c:pt idx="157">
                  <c:v>10.628040334889096</c:v>
                </c:pt>
                <c:pt idx="158">
                  <c:v>10.627992345256548</c:v>
                </c:pt>
                <c:pt idx="159">
                  <c:v>10.627983452360947</c:v>
                </c:pt>
                <c:pt idx="160">
                  <c:v>10.627979610899649</c:v>
                </c:pt>
                <c:pt idx="161">
                  <c:v>10.621994030604094</c:v>
                </c:pt>
                <c:pt idx="162">
                  <c:v>10.62198422847259</c:v>
                </c:pt>
                <c:pt idx="163">
                  <c:v>10.62198422847259</c:v>
                </c:pt>
                <c:pt idx="164">
                  <c:v>10.621951449886707</c:v>
                </c:pt>
                <c:pt idx="165">
                  <c:v>10.644773444596398</c:v>
                </c:pt>
                <c:pt idx="166">
                  <c:v>10.644773419712147</c:v>
                </c:pt>
                <c:pt idx="167">
                  <c:v>10.644771305330055</c:v>
                </c:pt>
                <c:pt idx="168">
                  <c:v>10.644734304264087</c:v>
                </c:pt>
                <c:pt idx="169">
                  <c:v>10.64477257403502</c:v>
                </c:pt>
                <c:pt idx="170">
                  <c:v>10.644781724913766</c:v>
                </c:pt>
                <c:pt idx="171">
                  <c:v>10.644762822393655</c:v>
                </c:pt>
                <c:pt idx="172">
                  <c:v>10.596232342668465</c:v>
                </c:pt>
                <c:pt idx="173">
                  <c:v>10.596226152274816</c:v>
                </c:pt>
                <c:pt idx="174">
                  <c:v>10.596226152274816</c:v>
                </c:pt>
                <c:pt idx="175">
                  <c:v>10.596191985936819</c:v>
                </c:pt>
                <c:pt idx="176">
                  <c:v>10.579113399125971</c:v>
                </c:pt>
                <c:pt idx="177">
                  <c:v>10.579110569624316</c:v>
                </c:pt>
                <c:pt idx="178">
                  <c:v>10.579036862630714</c:v>
                </c:pt>
                <c:pt idx="179">
                  <c:v>10.579032107520261</c:v>
                </c:pt>
                <c:pt idx="180">
                  <c:v>10.579094455726951</c:v>
                </c:pt>
                <c:pt idx="181">
                  <c:v>10.579094455726951</c:v>
                </c:pt>
                <c:pt idx="182">
                  <c:v>10.579087272775418</c:v>
                </c:pt>
                <c:pt idx="183">
                  <c:v>10.57918975007119</c:v>
                </c:pt>
                <c:pt idx="184">
                  <c:v>10.57918975007119</c:v>
                </c:pt>
                <c:pt idx="185">
                  <c:v>10.573449925757563</c:v>
                </c:pt>
                <c:pt idx="186">
                  <c:v>10.573449925757563</c:v>
                </c:pt>
                <c:pt idx="187">
                  <c:v>10.573449925757563</c:v>
                </c:pt>
                <c:pt idx="188">
                  <c:v>10.573660156977386</c:v>
                </c:pt>
                <c:pt idx="189">
                  <c:v>10.584774931858961</c:v>
                </c:pt>
                <c:pt idx="190">
                  <c:v>10.57079261807748</c:v>
                </c:pt>
                <c:pt idx="191">
                  <c:v>10.57079261807748</c:v>
                </c:pt>
                <c:pt idx="192">
                  <c:v>10.570791809465007</c:v>
                </c:pt>
                <c:pt idx="193">
                  <c:v>10.570791809465007</c:v>
                </c:pt>
                <c:pt idx="194">
                  <c:v>10.570791809465007</c:v>
                </c:pt>
                <c:pt idx="195">
                  <c:v>10.570859132193389</c:v>
                </c:pt>
                <c:pt idx="196">
                  <c:v>10.549087740587535</c:v>
                </c:pt>
                <c:pt idx="197">
                  <c:v>10.548975626968401</c:v>
                </c:pt>
                <c:pt idx="198">
                  <c:v>10.548965422193096</c:v>
                </c:pt>
                <c:pt idx="199">
                  <c:v>10.548965422193096</c:v>
                </c:pt>
                <c:pt idx="200">
                  <c:v>10.541356223324161</c:v>
                </c:pt>
                <c:pt idx="201">
                  <c:v>10.541359609047642</c:v>
                </c:pt>
                <c:pt idx="202">
                  <c:v>10.54125053492109</c:v>
                </c:pt>
                <c:pt idx="203">
                  <c:v>10.54125053492109</c:v>
                </c:pt>
                <c:pt idx="204">
                  <c:v>10.541233561991019</c:v>
                </c:pt>
                <c:pt idx="205">
                  <c:v>10.535660239443812</c:v>
                </c:pt>
                <c:pt idx="206">
                  <c:v>10.535660239443812</c:v>
                </c:pt>
                <c:pt idx="207">
                  <c:v>10.535660239443812</c:v>
                </c:pt>
                <c:pt idx="208">
                  <c:v>10.424362126566612</c:v>
                </c:pt>
                <c:pt idx="209">
                  <c:v>10.444932152700307</c:v>
                </c:pt>
                <c:pt idx="210">
                  <c:v>10.433152240601631</c:v>
                </c:pt>
                <c:pt idx="211">
                  <c:v>10.433152240601631</c:v>
                </c:pt>
                <c:pt idx="212">
                  <c:v>10.433164220789173</c:v>
                </c:pt>
                <c:pt idx="213">
                  <c:v>10.433260494378169</c:v>
                </c:pt>
                <c:pt idx="214">
                  <c:v>10.433260494378169</c:v>
                </c:pt>
                <c:pt idx="215">
                  <c:v>10.433252070440464</c:v>
                </c:pt>
                <c:pt idx="216">
                  <c:v>10.433252070440464</c:v>
                </c:pt>
                <c:pt idx="217">
                  <c:v>10.433201682232747</c:v>
                </c:pt>
                <c:pt idx="218">
                  <c:v>10.433200622632867</c:v>
                </c:pt>
                <c:pt idx="219">
                  <c:v>10.433284141674019</c:v>
                </c:pt>
                <c:pt idx="220">
                  <c:v>10.431510309717909</c:v>
                </c:pt>
                <c:pt idx="221">
                  <c:v>10.431510284013102</c:v>
                </c:pt>
                <c:pt idx="222">
                  <c:v>10.431508216406813</c:v>
                </c:pt>
                <c:pt idx="223">
                  <c:v>10.431711375631462</c:v>
                </c:pt>
                <c:pt idx="224">
                  <c:v>10.431543572869446</c:v>
                </c:pt>
                <c:pt idx="225">
                  <c:v>10.430767230172284</c:v>
                </c:pt>
                <c:pt idx="226">
                  <c:v>10.430610568457443</c:v>
                </c:pt>
                <c:pt idx="227">
                  <c:v>10.430585159112491</c:v>
                </c:pt>
                <c:pt idx="228">
                  <c:v>10.430568637183759</c:v>
                </c:pt>
                <c:pt idx="229">
                  <c:v>10.440740084385505</c:v>
                </c:pt>
                <c:pt idx="230">
                  <c:v>10.440738262020163</c:v>
                </c:pt>
                <c:pt idx="231">
                  <c:v>10.440738262020163</c:v>
                </c:pt>
                <c:pt idx="232">
                  <c:v>10.440738262020163</c:v>
                </c:pt>
                <c:pt idx="233">
                  <c:v>10.440738262020163</c:v>
                </c:pt>
                <c:pt idx="234">
                  <c:v>10.440766270278152</c:v>
                </c:pt>
                <c:pt idx="235">
                  <c:v>10.440748847574792</c:v>
                </c:pt>
                <c:pt idx="236">
                  <c:v>10.412329458609664</c:v>
                </c:pt>
                <c:pt idx="237">
                  <c:v>10.412329458609664</c:v>
                </c:pt>
                <c:pt idx="238">
                  <c:v>10.412349306755161</c:v>
                </c:pt>
                <c:pt idx="239">
                  <c:v>10.414158060207495</c:v>
                </c:pt>
                <c:pt idx="240">
                  <c:v>10.412854335984528</c:v>
                </c:pt>
                <c:pt idx="241">
                  <c:v>10.412831154408734</c:v>
                </c:pt>
                <c:pt idx="242">
                  <c:v>10.412831133004637</c:v>
                </c:pt>
                <c:pt idx="243">
                  <c:v>10.412831133004637</c:v>
                </c:pt>
                <c:pt idx="244">
                  <c:v>10.413033622721038</c:v>
                </c:pt>
                <c:pt idx="245">
                  <c:v>10.413033622721038</c:v>
                </c:pt>
                <c:pt idx="246">
                  <c:v>10.413033421938271</c:v>
                </c:pt>
                <c:pt idx="247">
                  <c:v>10.413033421938271</c:v>
                </c:pt>
                <c:pt idx="248">
                  <c:v>10.413170229166484</c:v>
                </c:pt>
                <c:pt idx="249">
                  <c:v>10.38588231346632</c:v>
                </c:pt>
                <c:pt idx="250">
                  <c:v>10.38588231346632</c:v>
                </c:pt>
                <c:pt idx="251">
                  <c:v>10.385882280029875</c:v>
                </c:pt>
                <c:pt idx="252">
                  <c:v>10.385882280029875</c:v>
                </c:pt>
                <c:pt idx="253">
                  <c:v>10.385823655119999</c:v>
                </c:pt>
                <c:pt idx="254">
                  <c:v>10.413139076033175</c:v>
                </c:pt>
                <c:pt idx="255">
                  <c:v>10.413139076033175</c:v>
                </c:pt>
                <c:pt idx="256">
                  <c:v>10.396168867589592</c:v>
                </c:pt>
                <c:pt idx="257">
                  <c:v>10.396197359743674</c:v>
                </c:pt>
                <c:pt idx="258">
                  <c:v>10.396239762622178</c:v>
                </c:pt>
                <c:pt idx="259">
                  <c:v>10.415909731379495</c:v>
                </c:pt>
                <c:pt idx="260">
                  <c:v>10.410952250951842</c:v>
                </c:pt>
                <c:pt idx="261">
                  <c:v>10.410952250951842</c:v>
                </c:pt>
                <c:pt idx="262">
                  <c:v>10.410953189317231</c:v>
                </c:pt>
                <c:pt idx="263">
                  <c:v>10.410953189317231</c:v>
                </c:pt>
                <c:pt idx="264">
                  <c:v>10.410892704564565</c:v>
                </c:pt>
                <c:pt idx="265">
                  <c:v>10.400151961341738</c:v>
                </c:pt>
                <c:pt idx="266">
                  <c:v>10.400151664093949</c:v>
                </c:pt>
                <c:pt idx="267">
                  <c:v>10.400151520587007</c:v>
                </c:pt>
                <c:pt idx="268">
                  <c:v>10.413660279889388</c:v>
                </c:pt>
                <c:pt idx="269">
                  <c:v>10.413660279889388</c:v>
                </c:pt>
                <c:pt idx="270">
                  <c:v>10.413660279889388</c:v>
                </c:pt>
                <c:pt idx="271">
                  <c:v>10.413731561555702</c:v>
                </c:pt>
                <c:pt idx="272">
                  <c:v>10.413680417342675</c:v>
                </c:pt>
                <c:pt idx="273">
                  <c:v>10.41367740430443</c:v>
                </c:pt>
                <c:pt idx="274">
                  <c:v>10.413659448782612</c:v>
                </c:pt>
                <c:pt idx="275">
                  <c:v>10.396812229028559</c:v>
                </c:pt>
                <c:pt idx="276">
                  <c:v>10.396812229028559</c:v>
                </c:pt>
                <c:pt idx="277">
                  <c:v>10.396788640429929</c:v>
                </c:pt>
                <c:pt idx="278">
                  <c:v>10.396788640429929</c:v>
                </c:pt>
                <c:pt idx="279">
                  <c:v>10.386144364523973</c:v>
                </c:pt>
                <c:pt idx="280">
                  <c:v>10.256046441001345</c:v>
                </c:pt>
                <c:pt idx="281">
                  <c:v>10.256046376164383</c:v>
                </c:pt>
                <c:pt idx="282">
                  <c:v>10.256046376164383</c:v>
                </c:pt>
                <c:pt idx="283">
                  <c:v>10.256074514988828</c:v>
                </c:pt>
                <c:pt idx="284">
                  <c:v>10.251880928517194</c:v>
                </c:pt>
                <c:pt idx="285">
                  <c:v>10.251880876871637</c:v>
                </c:pt>
                <c:pt idx="286">
                  <c:v>10.251873782037555</c:v>
                </c:pt>
                <c:pt idx="287">
                  <c:v>10.251873782037555</c:v>
                </c:pt>
                <c:pt idx="288">
                  <c:v>10.280846259094504</c:v>
                </c:pt>
                <c:pt idx="289">
                  <c:v>10.270479784096578</c:v>
                </c:pt>
                <c:pt idx="290">
                  <c:v>10.270479784096578</c:v>
                </c:pt>
                <c:pt idx="291">
                  <c:v>10.27049553126397</c:v>
                </c:pt>
                <c:pt idx="292">
                  <c:v>10.270398939448073</c:v>
                </c:pt>
                <c:pt idx="293">
                  <c:v>10.270427291071904</c:v>
                </c:pt>
                <c:pt idx="294">
                  <c:v>10.239082680324216</c:v>
                </c:pt>
                <c:pt idx="295">
                  <c:v>10.239084950998157</c:v>
                </c:pt>
                <c:pt idx="296">
                  <c:v>10.239084950998157</c:v>
                </c:pt>
                <c:pt idx="297">
                  <c:v>10.239084470619998</c:v>
                </c:pt>
                <c:pt idx="298">
                  <c:v>10.228720884071281</c:v>
                </c:pt>
                <c:pt idx="299">
                  <c:v>10.228635111436585</c:v>
                </c:pt>
                <c:pt idx="300">
                  <c:v>10.228634211211466</c:v>
                </c:pt>
                <c:pt idx="301">
                  <c:v>10.228630009784649</c:v>
                </c:pt>
                <c:pt idx="302">
                  <c:v>10.228639066025716</c:v>
                </c:pt>
                <c:pt idx="303">
                  <c:v>10.224912845081537</c:v>
                </c:pt>
                <c:pt idx="304">
                  <c:v>10.224909466356079</c:v>
                </c:pt>
                <c:pt idx="305">
                  <c:v>10.224906686788614</c:v>
                </c:pt>
                <c:pt idx="306">
                  <c:v>10.224894230669214</c:v>
                </c:pt>
                <c:pt idx="307">
                  <c:v>10.224893917007613</c:v>
                </c:pt>
                <c:pt idx="308">
                  <c:v>10.224892021451373</c:v>
                </c:pt>
                <c:pt idx="309">
                  <c:v>10.224891916897864</c:v>
                </c:pt>
                <c:pt idx="310">
                  <c:v>10.224891916897864</c:v>
                </c:pt>
                <c:pt idx="311">
                  <c:v>10.224876871063705</c:v>
                </c:pt>
                <c:pt idx="312">
                  <c:v>10.242796077040378</c:v>
                </c:pt>
                <c:pt idx="313">
                  <c:v>10.232675453746692</c:v>
                </c:pt>
                <c:pt idx="314">
                  <c:v>10.23267334467168</c:v>
                </c:pt>
                <c:pt idx="315">
                  <c:v>10.23264086927642</c:v>
                </c:pt>
                <c:pt idx="316">
                  <c:v>10.232640855634916</c:v>
                </c:pt>
                <c:pt idx="317">
                  <c:v>10.232621975378201</c:v>
                </c:pt>
                <c:pt idx="318">
                  <c:v>10.232631291240461</c:v>
                </c:pt>
                <c:pt idx="319">
                  <c:v>10.23251036368204</c:v>
                </c:pt>
                <c:pt idx="320">
                  <c:v>10.23250050248739</c:v>
                </c:pt>
                <c:pt idx="321">
                  <c:v>10.23234033135688</c:v>
                </c:pt>
                <c:pt idx="322">
                  <c:v>10.232290496043749</c:v>
                </c:pt>
                <c:pt idx="323">
                  <c:v>10.222368295252164</c:v>
                </c:pt>
                <c:pt idx="324">
                  <c:v>10.222379370033945</c:v>
                </c:pt>
                <c:pt idx="325">
                  <c:v>10.222379370033945</c:v>
                </c:pt>
                <c:pt idx="326">
                  <c:v>10.222369070285714</c:v>
                </c:pt>
                <c:pt idx="327">
                  <c:v>10.222368824912149</c:v>
                </c:pt>
                <c:pt idx="328">
                  <c:v>10.218639982649586</c:v>
                </c:pt>
                <c:pt idx="329">
                  <c:v>10.218639871087785</c:v>
                </c:pt>
                <c:pt idx="330">
                  <c:v>10.11224560111182</c:v>
                </c:pt>
                <c:pt idx="331">
                  <c:v>10.095003035439298</c:v>
                </c:pt>
                <c:pt idx="332">
                  <c:v>10.110326756457928</c:v>
                </c:pt>
                <c:pt idx="333">
                  <c:v>10.101028573329216</c:v>
                </c:pt>
                <c:pt idx="334">
                  <c:v>10.100971438623709</c:v>
                </c:pt>
                <c:pt idx="335">
                  <c:v>10.100970891285717</c:v>
                </c:pt>
                <c:pt idx="336">
                  <c:v>10.100970448243523</c:v>
                </c:pt>
                <c:pt idx="337">
                  <c:v>10.100969900906515</c:v>
                </c:pt>
                <c:pt idx="338">
                  <c:v>10.100964723554634</c:v>
                </c:pt>
                <c:pt idx="339">
                  <c:v>10.080307760048548</c:v>
                </c:pt>
                <c:pt idx="340">
                  <c:v>10.080307760048548</c:v>
                </c:pt>
                <c:pt idx="341">
                  <c:v>10.080273894169146</c:v>
                </c:pt>
                <c:pt idx="342">
                  <c:v>10.080278049675938</c:v>
                </c:pt>
                <c:pt idx="343">
                  <c:v>10.071442151764645</c:v>
                </c:pt>
                <c:pt idx="344">
                  <c:v>10.071442151764645</c:v>
                </c:pt>
                <c:pt idx="345">
                  <c:v>10.071451178859341</c:v>
                </c:pt>
                <c:pt idx="346">
                  <c:v>10.071451178859341</c:v>
                </c:pt>
                <c:pt idx="347">
                  <c:v>10.071386792337437</c:v>
                </c:pt>
                <c:pt idx="348">
                  <c:v>10.068509803305927</c:v>
                </c:pt>
                <c:pt idx="349">
                  <c:v>10.068510650813579</c:v>
                </c:pt>
                <c:pt idx="350">
                  <c:v>10.068510650813579</c:v>
                </c:pt>
                <c:pt idx="351">
                  <c:v>10.083312508008309</c:v>
                </c:pt>
                <c:pt idx="352">
                  <c:v>10.083261860332019</c:v>
                </c:pt>
                <c:pt idx="353">
                  <c:v>10.083256409495393</c:v>
                </c:pt>
                <c:pt idx="354">
                  <c:v>10.083256409495393</c:v>
                </c:pt>
                <c:pt idx="355">
                  <c:v>10.083256409495393</c:v>
                </c:pt>
                <c:pt idx="356">
                  <c:v>10.083297975864268</c:v>
                </c:pt>
                <c:pt idx="357">
                  <c:v>10.083300480961745</c:v>
                </c:pt>
                <c:pt idx="358">
                  <c:v>10.058798438844518</c:v>
                </c:pt>
                <c:pt idx="359">
                  <c:v>10.058798405692121</c:v>
                </c:pt>
                <c:pt idx="360">
                  <c:v>10.058799949131801</c:v>
                </c:pt>
                <c:pt idx="361">
                  <c:v>10.058799949131801</c:v>
                </c:pt>
                <c:pt idx="362">
                  <c:v>10.058804888052366</c:v>
                </c:pt>
                <c:pt idx="363">
                  <c:v>10.058804399614477</c:v>
                </c:pt>
                <c:pt idx="364">
                  <c:v>10.058804399614477</c:v>
                </c:pt>
                <c:pt idx="365">
                  <c:v>10.058804399614477</c:v>
                </c:pt>
                <c:pt idx="366">
                  <c:v>10.058804399614477</c:v>
                </c:pt>
                <c:pt idx="367">
                  <c:v>10.058729280764261</c:v>
                </c:pt>
                <c:pt idx="368">
                  <c:v>10.058729197891635</c:v>
                </c:pt>
                <c:pt idx="369">
                  <c:v>10.058726711720267</c:v>
                </c:pt>
                <c:pt idx="370">
                  <c:v>10.058754136288746</c:v>
                </c:pt>
                <c:pt idx="371">
                  <c:v>10.058678169105018</c:v>
                </c:pt>
                <c:pt idx="372">
                  <c:v>10.056059751027204</c:v>
                </c:pt>
                <c:pt idx="373">
                  <c:v>10.056059751027204</c:v>
                </c:pt>
                <c:pt idx="374">
                  <c:v>10.056055677924633</c:v>
                </c:pt>
                <c:pt idx="375">
                  <c:v>10.056056562591534</c:v>
                </c:pt>
                <c:pt idx="376">
                  <c:v>10.068770576293524</c:v>
                </c:pt>
                <c:pt idx="377">
                  <c:v>10.068770576293524</c:v>
                </c:pt>
                <c:pt idx="378">
                  <c:v>10.06876201876976</c:v>
                </c:pt>
                <c:pt idx="379">
                  <c:v>10.06876201876976</c:v>
                </c:pt>
                <c:pt idx="380">
                  <c:v>10.068812270376814</c:v>
                </c:pt>
                <c:pt idx="381">
                  <c:v>10.068808187644967</c:v>
                </c:pt>
                <c:pt idx="382">
                  <c:v>10.068249097666406</c:v>
                </c:pt>
                <c:pt idx="383">
                  <c:v>10.068200605407863</c:v>
                </c:pt>
                <c:pt idx="384">
                  <c:v>10.068021992391433</c:v>
                </c:pt>
                <c:pt idx="385">
                  <c:v>10.067065657642885</c:v>
                </c:pt>
                <c:pt idx="386">
                  <c:v>10.067065657642885</c:v>
                </c:pt>
                <c:pt idx="387">
                  <c:v>10.066978462492006</c:v>
                </c:pt>
                <c:pt idx="388">
                  <c:v>10.066972110463379</c:v>
                </c:pt>
                <c:pt idx="389">
                  <c:v>10.066968830127095</c:v>
                </c:pt>
                <c:pt idx="390">
                  <c:v>10.066870314853006</c:v>
                </c:pt>
                <c:pt idx="391">
                  <c:v>10.066234594754013</c:v>
                </c:pt>
                <c:pt idx="392">
                  <c:v>10.066215258901275</c:v>
                </c:pt>
                <c:pt idx="393">
                  <c:v>10.066215258901275</c:v>
                </c:pt>
                <c:pt idx="394">
                  <c:v>10.065940423814761</c:v>
                </c:pt>
                <c:pt idx="395">
                  <c:v>10.087111888541051</c:v>
                </c:pt>
                <c:pt idx="396">
                  <c:v>10.084504896608356</c:v>
                </c:pt>
                <c:pt idx="397">
                  <c:v>10.084526458899187</c:v>
                </c:pt>
                <c:pt idx="398">
                  <c:v>10.084526458899187</c:v>
                </c:pt>
                <c:pt idx="399">
                  <c:v>10.084526458899187</c:v>
                </c:pt>
                <c:pt idx="400">
                  <c:v>10.084526458899187</c:v>
                </c:pt>
                <c:pt idx="401">
                  <c:v>10.084526458899187</c:v>
                </c:pt>
                <c:pt idx="402">
                  <c:v>10.075337846333356</c:v>
                </c:pt>
                <c:pt idx="403">
                  <c:v>10.075336243488877</c:v>
                </c:pt>
                <c:pt idx="404">
                  <c:v>10.075332706690636</c:v>
                </c:pt>
                <c:pt idx="405">
                  <c:v>10.075347502838868</c:v>
                </c:pt>
                <c:pt idx="406">
                  <c:v>10.074683021349367</c:v>
                </c:pt>
                <c:pt idx="407">
                  <c:v>10.074675000664492</c:v>
                </c:pt>
                <c:pt idx="408">
                  <c:v>10.074675000664492</c:v>
                </c:pt>
                <c:pt idx="409">
                  <c:v>10.074683033211466</c:v>
                </c:pt>
                <c:pt idx="410">
                  <c:v>10.074683033211466</c:v>
                </c:pt>
                <c:pt idx="411">
                  <c:v>10.074683033211466</c:v>
                </c:pt>
                <c:pt idx="412">
                  <c:v>10.074673000858574</c:v>
                </c:pt>
                <c:pt idx="413">
                  <c:v>10.074643495023878</c:v>
                </c:pt>
                <c:pt idx="414">
                  <c:v>10.074643495023878</c:v>
                </c:pt>
                <c:pt idx="415">
                  <c:v>10.074701824957137</c:v>
                </c:pt>
                <c:pt idx="416">
                  <c:v>10.074701824957137</c:v>
                </c:pt>
                <c:pt idx="417">
                  <c:v>10.074627716233939</c:v>
                </c:pt>
                <c:pt idx="418">
                  <c:v>10.074615876295148</c:v>
                </c:pt>
                <c:pt idx="419">
                  <c:v>10.074615613357734</c:v>
                </c:pt>
                <c:pt idx="420">
                  <c:v>10.074615613357734</c:v>
                </c:pt>
                <c:pt idx="421">
                  <c:v>10.070485858944412</c:v>
                </c:pt>
                <c:pt idx="422">
                  <c:v>10.070490740887383</c:v>
                </c:pt>
                <c:pt idx="423">
                  <c:v>10.070443504658673</c:v>
                </c:pt>
                <c:pt idx="424">
                  <c:v>10.070408312028201</c:v>
                </c:pt>
                <c:pt idx="425">
                  <c:v>10.083872939869982</c:v>
                </c:pt>
                <c:pt idx="426">
                  <c:v>10.083872939869982</c:v>
                </c:pt>
                <c:pt idx="427">
                  <c:v>10.070503519713535</c:v>
                </c:pt>
                <c:pt idx="428">
                  <c:v>10.070503519713535</c:v>
                </c:pt>
                <c:pt idx="429">
                  <c:v>10.070503519713535</c:v>
                </c:pt>
                <c:pt idx="430">
                  <c:v>10.070503519713535</c:v>
                </c:pt>
                <c:pt idx="431">
                  <c:v>10.0662</c:v>
                </c:pt>
                <c:pt idx="432">
                  <c:v>10.066183664136389</c:v>
                </c:pt>
                <c:pt idx="433">
                  <c:v>10.066183664136389</c:v>
                </c:pt>
                <c:pt idx="434">
                  <c:v>10.066185710904085</c:v>
                </c:pt>
                <c:pt idx="435">
                  <c:v>10.064334217143793</c:v>
                </c:pt>
                <c:pt idx="436">
                  <c:v>10.064334169494561</c:v>
                </c:pt>
                <c:pt idx="437">
                  <c:v>10.06433416444162</c:v>
                </c:pt>
                <c:pt idx="438">
                  <c:v>10.07972240722353</c:v>
                </c:pt>
                <c:pt idx="439">
                  <c:v>10.079772998603675</c:v>
                </c:pt>
                <c:pt idx="440">
                  <c:v>10.076761752619518</c:v>
                </c:pt>
                <c:pt idx="441">
                  <c:v>10.076761752619518</c:v>
                </c:pt>
                <c:pt idx="442">
                  <c:v>10.076761752619518</c:v>
                </c:pt>
                <c:pt idx="443">
                  <c:v>10.076681232137535</c:v>
                </c:pt>
                <c:pt idx="444">
                  <c:v>10.076668979939196</c:v>
                </c:pt>
                <c:pt idx="445">
                  <c:v>10.076663813898143</c:v>
                </c:pt>
                <c:pt idx="446">
                  <c:v>10.079426884695144</c:v>
                </c:pt>
                <c:pt idx="447">
                  <c:v>10.079489448269543</c:v>
                </c:pt>
                <c:pt idx="448">
                  <c:v>10.079480437799546</c:v>
                </c:pt>
                <c:pt idx="449">
                  <c:v>10.079556385375781</c:v>
                </c:pt>
                <c:pt idx="450">
                  <c:v>10.077627426855649</c:v>
                </c:pt>
                <c:pt idx="451">
                  <c:v>10.077625508321022</c:v>
                </c:pt>
                <c:pt idx="452">
                  <c:v>10.077624813060188</c:v>
                </c:pt>
                <c:pt idx="453">
                  <c:v>10.077620995106164</c:v>
                </c:pt>
                <c:pt idx="454">
                  <c:v>10.07762050831897</c:v>
                </c:pt>
                <c:pt idx="455">
                  <c:v>10.076170298778587</c:v>
                </c:pt>
                <c:pt idx="456">
                  <c:v>10.076170042600264</c:v>
                </c:pt>
                <c:pt idx="457">
                  <c:v>10.076170042600264</c:v>
                </c:pt>
                <c:pt idx="458">
                  <c:v>10.076491545109885</c:v>
                </c:pt>
                <c:pt idx="459">
                  <c:v>10.093585633180899</c:v>
                </c:pt>
                <c:pt idx="460">
                  <c:v>10.090746032650957</c:v>
                </c:pt>
                <c:pt idx="461">
                  <c:v>10.090746032650957</c:v>
                </c:pt>
                <c:pt idx="462">
                  <c:v>10.090773756079981</c:v>
                </c:pt>
                <c:pt idx="463">
                  <c:v>10.090754059795275</c:v>
                </c:pt>
                <c:pt idx="464">
                  <c:v>10.090735971188046</c:v>
                </c:pt>
                <c:pt idx="465">
                  <c:v>10.090718199651311</c:v>
                </c:pt>
                <c:pt idx="466">
                  <c:v>10.086040304056997</c:v>
                </c:pt>
                <c:pt idx="467">
                  <c:v>10.086039511490313</c:v>
                </c:pt>
                <c:pt idx="468">
                  <c:v>10.086036501069607</c:v>
                </c:pt>
                <c:pt idx="469">
                  <c:v>10.086041223937622</c:v>
                </c:pt>
                <c:pt idx="470">
                  <c:v>10.082782567277619</c:v>
                </c:pt>
                <c:pt idx="471">
                  <c:v>10.082779714087678</c:v>
                </c:pt>
                <c:pt idx="472">
                  <c:v>10.082779714087678</c:v>
                </c:pt>
                <c:pt idx="473">
                  <c:v>10.082779714087678</c:v>
                </c:pt>
                <c:pt idx="474">
                  <c:v>10.082791657669075</c:v>
                </c:pt>
                <c:pt idx="475">
                  <c:v>10.081036522941561</c:v>
                </c:pt>
                <c:pt idx="476">
                  <c:v>10.081036498508503</c:v>
                </c:pt>
                <c:pt idx="477">
                  <c:v>10.081036034280737</c:v>
                </c:pt>
                <c:pt idx="478">
                  <c:v>10.081036034280737</c:v>
                </c:pt>
                <c:pt idx="479">
                  <c:v>10.081031201206079</c:v>
                </c:pt>
                <c:pt idx="480">
                  <c:v>10.081028424876209</c:v>
                </c:pt>
                <c:pt idx="481">
                  <c:v>10.081061378311709</c:v>
                </c:pt>
                <c:pt idx="482">
                  <c:v>10.081047799687324</c:v>
                </c:pt>
                <c:pt idx="483">
                  <c:v>10.081044119764627</c:v>
                </c:pt>
                <c:pt idx="484">
                  <c:v>10.081159516340959</c:v>
                </c:pt>
                <c:pt idx="485">
                  <c:v>10.078642598287441</c:v>
                </c:pt>
                <c:pt idx="486">
                  <c:v>10.078643351111234</c:v>
                </c:pt>
                <c:pt idx="487">
                  <c:v>10.078639726667195</c:v>
                </c:pt>
                <c:pt idx="488">
                  <c:v>10.078639726667195</c:v>
                </c:pt>
                <c:pt idx="489">
                  <c:v>10.090076426432466</c:v>
                </c:pt>
                <c:pt idx="490">
                  <c:v>10.090066539919047</c:v>
                </c:pt>
                <c:pt idx="491">
                  <c:v>10.083064004802813</c:v>
                </c:pt>
                <c:pt idx="492">
                  <c:v>10.083061314728022</c:v>
                </c:pt>
                <c:pt idx="493">
                  <c:v>10.083060831999626</c:v>
                </c:pt>
                <c:pt idx="494">
                  <c:v>10.083060556116475</c:v>
                </c:pt>
                <c:pt idx="495">
                  <c:v>10.083060556116475</c:v>
                </c:pt>
                <c:pt idx="496">
                  <c:v>10.083060556116475</c:v>
                </c:pt>
                <c:pt idx="497">
                  <c:v>10.083059976843922</c:v>
                </c:pt>
                <c:pt idx="498">
                  <c:v>10.083055125481478</c:v>
                </c:pt>
                <c:pt idx="499">
                  <c:v>10.083066267674511</c:v>
                </c:pt>
                <c:pt idx="500">
                  <c:v>10.081994912140683</c:v>
                </c:pt>
                <c:pt idx="501">
                  <c:v>10.081994912140683</c:v>
                </c:pt>
                <c:pt idx="502">
                  <c:v>10.081994885661999</c:v>
                </c:pt>
                <c:pt idx="503">
                  <c:v>10.081994885661999</c:v>
                </c:pt>
                <c:pt idx="504">
                  <c:v>10.081994837518945</c:v>
                </c:pt>
                <c:pt idx="505">
                  <c:v>10.081994679881088</c:v>
                </c:pt>
                <c:pt idx="506">
                  <c:v>10.081994670930749</c:v>
                </c:pt>
                <c:pt idx="507">
                  <c:v>10.081992745216169</c:v>
                </c:pt>
                <c:pt idx="508">
                  <c:v>10.081987535859852</c:v>
                </c:pt>
                <c:pt idx="509">
                  <c:v>10.081981260664136</c:v>
                </c:pt>
                <c:pt idx="510">
                  <c:v>10.109324662102134</c:v>
                </c:pt>
                <c:pt idx="511">
                  <c:v>10.109324662102134</c:v>
                </c:pt>
                <c:pt idx="512">
                  <c:v>10.109340552570934</c:v>
                </c:pt>
                <c:pt idx="513">
                  <c:v>10.12220710229504</c:v>
                </c:pt>
                <c:pt idx="514">
                  <c:v>10.12006528095376</c:v>
                </c:pt>
                <c:pt idx="515">
                  <c:v>10.120069678835998</c:v>
                </c:pt>
                <c:pt idx="516">
                  <c:v>10.120040377707456</c:v>
                </c:pt>
                <c:pt idx="517">
                  <c:v>10.120043886528348</c:v>
                </c:pt>
                <c:pt idx="518">
                  <c:v>10.120029365206484</c:v>
                </c:pt>
                <c:pt idx="519">
                  <c:v>10.117291783823243</c:v>
                </c:pt>
                <c:pt idx="520">
                  <c:v>10.117291783823243</c:v>
                </c:pt>
                <c:pt idx="521">
                  <c:v>10.117290057251472</c:v>
                </c:pt>
                <c:pt idx="522">
                  <c:v>10.132770788998592</c:v>
                </c:pt>
                <c:pt idx="523">
                  <c:v>10.131326993487498</c:v>
                </c:pt>
                <c:pt idx="524">
                  <c:v>10.131326993487498</c:v>
                </c:pt>
                <c:pt idx="525">
                  <c:v>10.131322284141207</c:v>
                </c:pt>
                <c:pt idx="526">
                  <c:v>10.131280263060479</c:v>
                </c:pt>
                <c:pt idx="527">
                  <c:v>10.131257035190673</c:v>
                </c:pt>
                <c:pt idx="528">
                  <c:v>10.131257035190673</c:v>
                </c:pt>
                <c:pt idx="529">
                  <c:v>10.130089500015792</c:v>
                </c:pt>
                <c:pt idx="530">
                  <c:v>10.130089500015792</c:v>
                </c:pt>
                <c:pt idx="531">
                  <c:v>10.130089500015792</c:v>
                </c:pt>
                <c:pt idx="532">
                  <c:v>10.130088612904226</c:v>
                </c:pt>
                <c:pt idx="533">
                  <c:v>10.127967761639226</c:v>
                </c:pt>
                <c:pt idx="534">
                  <c:v>10.127967761639226</c:v>
                </c:pt>
                <c:pt idx="535">
                  <c:v>10.1279622536125</c:v>
                </c:pt>
                <c:pt idx="536">
                  <c:v>10.127962229023311</c:v>
                </c:pt>
                <c:pt idx="537">
                  <c:v>10.128020984716519</c:v>
                </c:pt>
                <c:pt idx="538">
                  <c:v>10.125364916600542</c:v>
                </c:pt>
                <c:pt idx="539">
                  <c:v>10.125364916600542</c:v>
                </c:pt>
                <c:pt idx="540">
                  <c:v>10.125355388612006</c:v>
                </c:pt>
                <c:pt idx="541">
                  <c:v>10.125355388612006</c:v>
                </c:pt>
                <c:pt idx="542">
                  <c:v>10.141744243621172</c:v>
                </c:pt>
                <c:pt idx="543">
                  <c:v>10.1407924723788</c:v>
                </c:pt>
                <c:pt idx="544">
                  <c:v>10.140773399645839</c:v>
                </c:pt>
                <c:pt idx="545">
                  <c:v>10.140768924632944</c:v>
                </c:pt>
                <c:pt idx="546">
                  <c:v>10.140787301249192</c:v>
                </c:pt>
                <c:pt idx="547">
                  <c:v>10.14081631609427</c:v>
                </c:pt>
                <c:pt idx="548">
                  <c:v>10.140807601350261</c:v>
                </c:pt>
                <c:pt idx="549">
                  <c:v>10.140807601350261</c:v>
                </c:pt>
                <c:pt idx="550">
                  <c:v>10.140806124128074</c:v>
                </c:pt>
                <c:pt idx="551">
                  <c:v>10.140806124128074</c:v>
                </c:pt>
                <c:pt idx="552">
                  <c:v>10.140821969777903</c:v>
                </c:pt>
                <c:pt idx="553">
                  <c:v>10.144950425310688</c:v>
                </c:pt>
                <c:pt idx="554">
                  <c:v>10.144950425310688</c:v>
                </c:pt>
                <c:pt idx="555">
                  <c:v>10.144927695750948</c:v>
                </c:pt>
                <c:pt idx="556">
                  <c:v>10.144923926705202</c:v>
                </c:pt>
                <c:pt idx="557">
                  <c:v>10.14499461807411</c:v>
                </c:pt>
                <c:pt idx="558">
                  <c:v>10.144994368252043</c:v>
                </c:pt>
                <c:pt idx="559">
                  <c:v>10.144994368252043</c:v>
                </c:pt>
                <c:pt idx="560">
                  <c:v>10.145039066673656</c:v>
                </c:pt>
                <c:pt idx="561">
                  <c:v>10.145065543093748</c:v>
                </c:pt>
                <c:pt idx="562">
                  <c:v>10.144830349786222</c:v>
                </c:pt>
                <c:pt idx="563">
                  <c:v>10.144829101883355</c:v>
                </c:pt>
                <c:pt idx="564">
                  <c:v>10.14482905196734</c:v>
                </c:pt>
                <c:pt idx="565">
                  <c:v>10.14481881523848</c:v>
                </c:pt>
                <c:pt idx="566">
                  <c:v>10.152344573913155</c:v>
                </c:pt>
                <c:pt idx="567">
                  <c:v>10.153255200060665</c:v>
                </c:pt>
                <c:pt idx="568">
                  <c:v>10.153248053207809</c:v>
                </c:pt>
                <c:pt idx="569">
                  <c:v>10.153242408300352</c:v>
                </c:pt>
                <c:pt idx="570">
                  <c:v>10.153266325043141</c:v>
                </c:pt>
                <c:pt idx="571">
                  <c:v>10.153265143837194</c:v>
                </c:pt>
                <c:pt idx="572">
                  <c:v>10.153264890994484</c:v>
                </c:pt>
                <c:pt idx="573">
                  <c:v>10.155231302058395</c:v>
                </c:pt>
                <c:pt idx="574">
                  <c:v>10.155231302058395</c:v>
                </c:pt>
                <c:pt idx="575">
                  <c:v>10.155231078381018</c:v>
                </c:pt>
                <c:pt idx="576">
                  <c:v>10.155286558878609</c:v>
                </c:pt>
                <c:pt idx="577">
                  <c:v>10.155552648755096</c:v>
                </c:pt>
                <c:pt idx="578">
                  <c:v>10.155552648755096</c:v>
                </c:pt>
                <c:pt idx="579">
                  <c:v>10.155535542750261</c:v>
                </c:pt>
                <c:pt idx="580">
                  <c:v>10.155526095636239</c:v>
                </c:pt>
                <c:pt idx="581">
                  <c:v>10.155497488736891</c:v>
                </c:pt>
                <c:pt idx="582">
                  <c:v>10.155471571778479</c:v>
                </c:pt>
                <c:pt idx="583">
                  <c:v>10.155471521107964</c:v>
                </c:pt>
                <c:pt idx="584">
                  <c:v>10.155471521107964</c:v>
                </c:pt>
                <c:pt idx="585">
                  <c:v>10.320359981940793</c:v>
                </c:pt>
                <c:pt idx="586">
                  <c:v>10.331862440898959</c:v>
                </c:pt>
                <c:pt idx="587">
                  <c:v>10.33212291819267</c:v>
                </c:pt>
                <c:pt idx="588">
                  <c:v>10.332115410851673</c:v>
                </c:pt>
                <c:pt idx="589">
                  <c:v>10.332112332353415</c:v>
                </c:pt>
                <c:pt idx="590">
                  <c:v>10.332101400993128</c:v>
                </c:pt>
                <c:pt idx="591">
                  <c:v>10.33209801537267</c:v>
                </c:pt>
                <c:pt idx="592">
                  <c:v>10.35</c:v>
                </c:pt>
                <c:pt idx="593">
                  <c:v>10.355262355333968</c:v>
                </c:pt>
                <c:pt idx="594">
                  <c:v>10.355262355333968</c:v>
                </c:pt>
                <c:pt idx="595">
                  <c:v>10.355270018295341</c:v>
                </c:pt>
                <c:pt idx="596">
                  <c:v>10.355567494067929</c:v>
                </c:pt>
                <c:pt idx="597">
                  <c:v>10.355566465552068</c:v>
                </c:pt>
                <c:pt idx="598">
                  <c:v>10.355565821465307</c:v>
                </c:pt>
                <c:pt idx="599">
                  <c:v>10.355613332850883</c:v>
                </c:pt>
                <c:pt idx="600">
                  <c:v>10.355611275726403</c:v>
                </c:pt>
                <c:pt idx="601">
                  <c:v>10.355307772595935</c:v>
                </c:pt>
                <c:pt idx="602">
                  <c:v>10.355307772595935</c:v>
                </c:pt>
                <c:pt idx="603">
                  <c:v>10.355307772595935</c:v>
                </c:pt>
                <c:pt idx="604">
                  <c:v>10.355307772595935</c:v>
                </c:pt>
                <c:pt idx="605">
                  <c:v>10.355307772595935</c:v>
                </c:pt>
                <c:pt idx="606">
                  <c:v>10.355307772595935</c:v>
                </c:pt>
                <c:pt idx="607">
                  <c:v>10.355369672252907</c:v>
                </c:pt>
                <c:pt idx="608">
                  <c:v>10.35533125495283</c:v>
                </c:pt>
                <c:pt idx="609">
                  <c:v>10.355331248467916</c:v>
                </c:pt>
                <c:pt idx="610">
                  <c:v>10.355432192884923</c:v>
                </c:pt>
                <c:pt idx="611">
                  <c:v>10.355932789024351</c:v>
                </c:pt>
                <c:pt idx="612">
                  <c:v>10.355932789024351</c:v>
                </c:pt>
                <c:pt idx="613">
                  <c:v>10.355932789024351</c:v>
                </c:pt>
                <c:pt idx="614">
                  <c:v>10.355932789024351</c:v>
                </c:pt>
                <c:pt idx="615">
                  <c:v>10.357731591002311</c:v>
                </c:pt>
                <c:pt idx="616">
                  <c:v>10.357731591002311</c:v>
                </c:pt>
                <c:pt idx="617">
                  <c:v>10.369442571883816</c:v>
                </c:pt>
                <c:pt idx="618">
                  <c:v>10.369442571883816</c:v>
                </c:pt>
                <c:pt idx="619">
                  <c:v>10.369442571883816</c:v>
                </c:pt>
                <c:pt idx="620">
                  <c:v>10.369442571883816</c:v>
                </c:pt>
                <c:pt idx="621">
                  <c:v>10.369621647884019</c:v>
                </c:pt>
                <c:pt idx="622">
                  <c:v>10.369621647884019</c:v>
                </c:pt>
                <c:pt idx="623">
                  <c:v>10.369621647884019</c:v>
                </c:pt>
                <c:pt idx="624">
                  <c:v>10.369621647884019</c:v>
                </c:pt>
                <c:pt idx="625">
                  <c:v>10.369662875582284</c:v>
                </c:pt>
                <c:pt idx="626">
                  <c:v>10.369699296711971</c:v>
                </c:pt>
                <c:pt idx="627">
                  <c:v>10.369693462138953</c:v>
                </c:pt>
                <c:pt idx="628">
                  <c:v>10.369693462138953</c:v>
                </c:pt>
                <c:pt idx="629">
                  <c:v>10.369686220273456</c:v>
                </c:pt>
                <c:pt idx="630">
                  <c:v>10.370540249446204</c:v>
                </c:pt>
                <c:pt idx="631">
                  <c:v>10.370537026891515</c:v>
                </c:pt>
                <c:pt idx="632">
                  <c:v>10.370537026891515</c:v>
                </c:pt>
                <c:pt idx="633">
                  <c:v>10.370515343653421</c:v>
                </c:pt>
                <c:pt idx="634">
                  <c:v>10.370636748500523</c:v>
                </c:pt>
                <c:pt idx="635">
                  <c:v>10.370628434456695</c:v>
                </c:pt>
                <c:pt idx="636">
                  <c:v>10.409984063754987</c:v>
                </c:pt>
                <c:pt idx="637">
                  <c:v>10.409988234062876</c:v>
                </c:pt>
                <c:pt idx="638">
                  <c:v>10.409987799297598</c:v>
                </c:pt>
                <c:pt idx="639">
                  <c:v>10.415617597316803</c:v>
                </c:pt>
                <c:pt idx="640">
                  <c:v>10.416200809156534</c:v>
                </c:pt>
                <c:pt idx="641">
                  <c:v>10.416199437218179</c:v>
                </c:pt>
                <c:pt idx="642">
                  <c:v>10.416194176744188</c:v>
                </c:pt>
                <c:pt idx="643">
                  <c:v>10.416191112360286</c:v>
                </c:pt>
                <c:pt idx="644">
                  <c:v>10.416190566994349</c:v>
                </c:pt>
                <c:pt idx="645">
                  <c:v>10.416190566994349</c:v>
                </c:pt>
                <c:pt idx="646">
                  <c:v>10.416185715483984</c:v>
                </c:pt>
                <c:pt idx="647">
                  <c:v>10.416185649208378</c:v>
                </c:pt>
                <c:pt idx="648">
                  <c:v>10.416179419344243</c:v>
                </c:pt>
                <c:pt idx="649">
                  <c:v>10.420551766739679</c:v>
                </c:pt>
                <c:pt idx="650">
                  <c:v>10.420551766739679</c:v>
                </c:pt>
                <c:pt idx="651">
                  <c:v>10.420554969598101</c:v>
                </c:pt>
                <c:pt idx="652">
                  <c:v>10.420637603065659</c:v>
                </c:pt>
                <c:pt idx="653">
                  <c:v>10.420632032767726</c:v>
                </c:pt>
                <c:pt idx="654">
                  <c:v>10.420629061568008</c:v>
                </c:pt>
                <c:pt idx="655">
                  <c:v>10.420626849007004</c:v>
                </c:pt>
                <c:pt idx="656">
                  <c:v>10.435146637992183</c:v>
                </c:pt>
                <c:pt idx="657">
                  <c:v>10.435146607092724</c:v>
                </c:pt>
                <c:pt idx="658">
                  <c:v>10.435146607092724</c:v>
                </c:pt>
                <c:pt idx="659">
                  <c:v>10.435204248906462</c:v>
                </c:pt>
                <c:pt idx="660">
                  <c:v>10.435405221775808</c:v>
                </c:pt>
                <c:pt idx="661">
                  <c:v>10.43540491350446</c:v>
                </c:pt>
                <c:pt idx="662">
                  <c:v>10.435404740315898</c:v>
                </c:pt>
                <c:pt idx="663">
                  <c:v>10.435404740315898</c:v>
                </c:pt>
                <c:pt idx="664">
                  <c:v>10.435417748073899</c:v>
                </c:pt>
                <c:pt idx="665">
                  <c:v>10.435455046859889</c:v>
                </c:pt>
                <c:pt idx="666">
                  <c:v>10.435455046859889</c:v>
                </c:pt>
                <c:pt idx="667">
                  <c:v>10.435455046859889</c:v>
                </c:pt>
                <c:pt idx="668">
                  <c:v>10.435448289164301</c:v>
                </c:pt>
                <c:pt idx="669">
                  <c:v>10.435447945393356</c:v>
                </c:pt>
                <c:pt idx="670">
                  <c:v>10.435447637384756</c:v>
                </c:pt>
                <c:pt idx="671">
                  <c:v>10.435447637384756</c:v>
                </c:pt>
                <c:pt idx="672">
                  <c:v>10.435527173372556</c:v>
                </c:pt>
                <c:pt idx="673">
                  <c:v>10.435523827582267</c:v>
                </c:pt>
                <c:pt idx="674">
                  <c:v>10.444607816359024</c:v>
                </c:pt>
                <c:pt idx="675">
                  <c:v>10.445224863285734</c:v>
                </c:pt>
                <c:pt idx="676">
                  <c:v>10.445214519540846</c:v>
                </c:pt>
                <c:pt idx="677">
                  <c:v>10.445214519540846</c:v>
                </c:pt>
                <c:pt idx="678">
                  <c:v>10.445214180291456</c:v>
                </c:pt>
                <c:pt idx="679">
                  <c:v>10.445213510944656</c:v>
                </c:pt>
                <c:pt idx="680">
                  <c:v>10.445213510944656</c:v>
                </c:pt>
                <c:pt idx="681">
                  <c:v>10.445213510944656</c:v>
                </c:pt>
                <c:pt idx="682">
                  <c:v>10.453408345671964</c:v>
                </c:pt>
                <c:pt idx="683">
                  <c:v>10.45340827808109</c:v>
                </c:pt>
                <c:pt idx="684">
                  <c:v>10.453450443875761</c:v>
                </c:pt>
                <c:pt idx="685">
                  <c:v>10.453425910852198</c:v>
                </c:pt>
                <c:pt idx="686">
                  <c:v>10.453425910852198</c:v>
                </c:pt>
                <c:pt idx="687">
                  <c:v>10.453425910852198</c:v>
                </c:pt>
                <c:pt idx="688">
                  <c:v>10.453436574500264</c:v>
                </c:pt>
                <c:pt idx="689">
                  <c:v>10.453609945253413</c:v>
                </c:pt>
                <c:pt idx="690">
                  <c:v>10.453614056802721</c:v>
                </c:pt>
                <c:pt idx="691">
                  <c:v>10.453607068990712</c:v>
                </c:pt>
                <c:pt idx="692">
                  <c:v>10.453607068990712</c:v>
                </c:pt>
                <c:pt idx="693">
                  <c:v>10.459818962757279</c:v>
                </c:pt>
                <c:pt idx="694">
                  <c:v>10.461824628992636</c:v>
                </c:pt>
                <c:pt idx="695">
                  <c:v>10.461824628992636</c:v>
                </c:pt>
                <c:pt idx="696">
                  <c:v>10.46182087009697</c:v>
                </c:pt>
                <c:pt idx="697">
                  <c:v>10.46182087009697</c:v>
                </c:pt>
                <c:pt idx="698">
                  <c:v>10.46182087009697</c:v>
                </c:pt>
                <c:pt idx="699">
                  <c:v>10.461846595088284</c:v>
                </c:pt>
                <c:pt idx="700">
                  <c:v>10.461835189601365</c:v>
                </c:pt>
                <c:pt idx="701">
                  <c:v>10.461880551152092</c:v>
                </c:pt>
                <c:pt idx="702">
                  <c:v>10.461903748409419</c:v>
                </c:pt>
                <c:pt idx="703">
                  <c:v>10.461921301418343</c:v>
                </c:pt>
                <c:pt idx="704">
                  <c:v>10.464150047695826</c:v>
                </c:pt>
                <c:pt idx="705">
                  <c:v>10.464121921853843</c:v>
                </c:pt>
                <c:pt idx="706">
                  <c:v>10.46412169403613</c:v>
                </c:pt>
                <c:pt idx="707">
                  <c:v>10.464119507894116</c:v>
                </c:pt>
                <c:pt idx="708">
                  <c:v>10.464119638739595</c:v>
                </c:pt>
                <c:pt idx="709">
                  <c:v>10.467035152563215</c:v>
                </c:pt>
                <c:pt idx="710">
                  <c:v>10.467033083239503</c:v>
                </c:pt>
                <c:pt idx="711">
                  <c:v>10.467033081852204</c:v>
                </c:pt>
                <c:pt idx="712">
                  <c:v>10.467028409426105</c:v>
                </c:pt>
                <c:pt idx="713">
                  <c:v>10.470431588383878</c:v>
                </c:pt>
                <c:pt idx="714">
                  <c:v>10.490020071170896</c:v>
                </c:pt>
                <c:pt idx="715">
                  <c:v>10.490020071170896</c:v>
                </c:pt>
                <c:pt idx="716">
                  <c:v>10.490031487050784</c:v>
                </c:pt>
                <c:pt idx="717">
                  <c:v>10.490150749316085</c:v>
                </c:pt>
                <c:pt idx="718">
                  <c:v>10.490136740254313</c:v>
                </c:pt>
                <c:pt idx="719">
                  <c:v>10.490136729904831</c:v>
                </c:pt>
                <c:pt idx="720">
                  <c:v>10.489335218382035</c:v>
                </c:pt>
                <c:pt idx="721">
                  <c:v>10.489335211464136</c:v>
                </c:pt>
                <c:pt idx="722">
                  <c:v>10.489334316959562</c:v>
                </c:pt>
                <c:pt idx="723">
                  <c:v>10.489331481000532</c:v>
                </c:pt>
                <c:pt idx="724">
                  <c:v>10.493802730238782</c:v>
                </c:pt>
                <c:pt idx="725">
                  <c:v>10.493802730238782</c:v>
                </c:pt>
                <c:pt idx="726">
                  <c:v>10.493802695793807</c:v>
                </c:pt>
                <c:pt idx="727">
                  <c:v>10.493789227562463</c:v>
                </c:pt>
                <c:pt idx="728">
                  <c:v>10.493797520035766</c:v>
                </c:pt>
                <c:pt idx="729">
                  <c:v>10.498018765307053</c:v>
                </c:pt>
                <c:pt idx="730">
                  <c:v>10.498018765307053</c:v>
                </c:pt>
                <c:pt idx="731">
                  <c:v>10.498003365644601</c:v>
                </c:pt>
                <c:pt idx="732">
                  <c:v>10.498002676149067</c:v>
                </c:pt>
                <c:pt idx="733">
                  <c:v>10.497992562380293</c:v>
                </c:pt>
                <c:pt idx="734">
                  <c:v>10.500648267382539</c:v>
                </c:pt>
                <c:pt idx="735">
                  <c:v>10.500648267382539</c:v>
                </c:pt>
                <c:pt idx="736">
                  <c:v>10.500712148767416</c:v>
                </c:pt>
                <c:pt idx="737">
                  <c:v>10.500659918280007</c:v>
                </c:pt>
                <c:pt idx="738">
                  <c:v>10.506673013946864</c:v>
                </c:pt>
                <c:pt idx="739">
                  <c:v>10.511366672791537</c:v>
                </c:pt>
                <c:pt idx="740">
                  <c:v>10.511372847306678</c:v>
                </c:pt>
                <c:pt idx="741">
                  <c:v>10.511365967594053</c:v>
                </c:pt>
                <c:pt idx="742">
                  <c:v>10.511363319373226</c:v>
                </c:pt>
                <c:pt idx="743">
                  <c:v>10.511362764986707</c:v>
                </c:pt>
                <c:pt idx="744">
                  <c:v>10.51134957884523</c:v>
                </c:pt>
                <c:pt idx="745">
                  <c:v>10.538490582422684</c:v>
                </c:pt>
                <c:pt idx="746">
                  <c:v>10.538539793716103</c:v>
                </c:pt>
                <c:pt idx="747">
                  <c:v>10.538539793716103</c:v>
                </c:pt>
                <c:pt idx="748">
                  <c:v>10.538524904969933</c:v>
                </c:pt>
                <c:pt idx="749">
                  <c:v>10.543044132309459</c:v>
                </c:pt>
                <c:pt idx="750">
                  <c:v>10.543043092691002</c:v>
                </c:pt>
                <c:pt idx="751">
                  <c:v>10.543040441432769</c:v>
                </c:pt>
                <c:pt idx="752">
                  <c:v>10.543034374762614</c:v>
                </c:pt>
                <c:pt idx="753">
                  <c:v>10.543018780815952</c:v>
                </c:pt>
                <c:pt idx="754">
                  <c:v>10.543018780815952</c:v>
                </c:pt>
                <c:pt idx="755">
                  <c:v>10.549942719312858</c:v>
                </c:pt>
                <c:pt idx="756">
                  <c:v>10.549942719312858</c:v>
                </c:pt>
                <c:pt idx="757">
                  <c:v>10.549936717858817</c:v>
                </c:pt>
              </c:numCache>
            </c:numRef>
          </c:val>
          <c:smooth val="0"/>
          <c:extLst>
            <c:ext xmlns:c16="http://schemas.microsoft.com/office/drawing/2014/chart" uri="{C3380CC4-5D6E-409C-BE32-E72D297353CC}">
              <c16:uniqueId val="{00000001-FFAB-4A88-BCF5-51785F38940A}"/>
            </c:ext>
          </c:extLst>
        </c:ser>
        <c:ser>
          <c:idx val="2"/>
          <c:order val="2"/>
          <c:tx>
            <c:strRef>
              <c:f>'Graf yield'!$E$3</c:f>
              <c:strCache>
                <c:ptCount val="1"/>
                <c:pt idx="0">
                  <c:v> The average weighted yield of primary allocations in 2022 (%)</c:v>
                </c:pt>
              </c:strCache>
            </c:strRef>
          </c:tx>
          <c:spPr>
            <a:ln>
              <a:solidFill>
                <a:schemeClr val="accent1"/>
              </a:solidFill>
            </a:ln>
          </c:spPr>
          <c:marker>
            <c:symbol val="none"/>
          </c:marker>
          <c:cat>
            <c:numRef>
              <c:f>'Graf yield'!$A$572:$A$1329</c:f>
              <c:numCache>
                <c:formatCode>dd\.mm\.yy;@</c:formatCode>
                <c:ptCount val="758"/>
                <c:pt idx="0">
                  <c:v>43830</c:v>
                </c:pt>
                <c:pt idx="1">
                  <c:v>43838</c:v>
                </c:pt>
                <c:pt idx="2">
                  <c:v>43839</c:v>
                </c:pt>
                <c:pt idx="3">
                  <c:v>43840</c:v>
                </c:pt>
                <c:pt idx="4">
                  <c:v>43843</c:v>
                </c:pt>
                <c:pt idx="5">
                  <c:v>43844</c:v>
                </c:pt>
                <c:pt idx="6">
                  <c:v>43845</c:v>
                </c:pt>
                <c:pt idx="7">
                  <c:v>43846</c:v>
                </c:pt>
                <c:pt idx="8">
                  <c:v>43847</c:v>
                </c:pt>
                <c:pt idx="9">
                  <c:v>43850</c:v>
                </c:pt>
                <c:pt idx="10">
                  <c:v>43851</c:v>
                </c:pt>
                <c:pt idx="11">
                  <c:v>43852</c:v>
                </c:pt>
                <c:pt idx="12">
                  <c:v>43853</c:v>
                </c:pt>
                <c:pt idx="13">
                  <c:v>43854</c:v>
                </c:pt>
                <c:pt idx="14">
                  <c:v>43859</c:v>
                </c:pt>
                <c:pt idx="15">
                  <c:v>43860</c:v>
                </c:pt>
                <c:pt idx="16">
                  <c:v>43861</c:v>
                </c:pt>
                <c:pt idx="17">
                  <c:v>43862</c:v>
                </c:pt>
                <c:pt idx="18">
                  <c:v>43864</c:v>
                </c:pt>
                <c:pt idx="19">
                  <c:v>43865</c:v>
                </c:pt>
                <c:pt idx="20">
                  <c:v>43866</c:v>
                </c:pt>
                <c:pt idx="21">
                  <c:v>43867</c:v>
                </c:pt>
                <c:pt idx="22">
                  <c:v>43868</c:v>
                </c:pt>
                <c:pt idx="23">
                  <c:v>43871</c:v>
                </c:pt>
                <c:pt idx="24">
                  <c:v>43872</c:v>
                </c:pt>
                <c:pt idx="25">
                  <c:v>43873</c:v>
                </c:pt>
                <c:pt idx="26">
                  <c:v>43874</c:v>
                </c:pt>
                <c:pt idx="27">
                  <c:v>43875</c:v>
                </c:pt>
                <c:pt idx="28">
                  <c:v>43878</c:v>
                </c:pt>
                <c:pt idx="29">
                  <c:v>43879</c:v>
                </c:pt>
                <c:pt idx="30">
                  <c:v>43880</c:v>
                </c:pt>
                <c:pt idx="31">
                  <c:v>43881</c:v>
                </c:pt>
                <c:pt idx="32">
                  <c:v>43882</c:v>
                </c:pt>
                <c:pt idx="33">
                  <c:v>43885</c:v>
                </c:pt>
                <c:pt idx="34">
                  <c:v>43886</c:v>
                </c:pt>
                <c:pt idx="35">
                  <c:v>43887</c:v>
                </c:pt>
                <c:pt idx="36">
                  <c:v>43888</c:v>
                </c:pt>
                <c:pt idx="37">
                  <c:v>43889</c:v>
                </c:pt>
                <c:pt idx="38">
                  <c:v>43892</c:v>
                </c:pt>
                <c:pt idx="39">
                  <c:v>43893</c:v>
                </c:pt>
                <c:pt idx="40">
                  <c:v>43894</c:v>
                </c:pt>
                <c:pt idx="41">
                  <c:v>43895</c:v>
                </c:pt>
                <c:pt idx="42">
                  <c:v>43896</c:v>
                </c:pt>
                <c:pt idx="43">
                  <c:v>43899</c:v>
                </c:pt>
                <c:pt idx="44">
                  <c:v>43900</c:v>
                </c:pt>
                <c:pt idx="45">
                  <c:v>43901</c:v>
                </c:pt>
                <c:pt idx="46">
                  <c:v>43902</c:v>
                </c:pt>
                <c:pt idx="47">
                  <c:v>43903</c:v>
                </c:pt>
                <c:pt idx="48">
                  <c:v>43906</c:v>
                </c:pt>
                <c:pt idx="49">
                  <c:v>43907</c:v>
                </c:pt>
                <c:pt idx="50">
                  <c:v>43908</c:v>
                </c:pt>
                <c:pt idx="51">
                  <c:v>43909</c:v>
                </c:pt>
                <c:pt idx="52">
                  <c:v>43910</c:v>
                </c:pt>
                <c:pt idx="53">
                  <c:v>43913</c:v>
                </c:pt>
                <c:pt idx="54">
                  <c:v>43914</c:v>
                </c:pt>
                <c:pt idx="55">
                  <c:v>43915</c:v>
                </c:pt>
                <c:pt idx="56">
                  <c:v>43916</c:v>
                </c:pt>
                <c:pt idx="57">
                  <c:v>43917</c:v>
                </c:pt>
                <c:pt idx="58">
                  <c:v>43920</c:v>
                </c:pt>
                <c:pt idx="59">
                  <c:v>43921</c:v>
                </c:pt>
                <c:pt idx="60">
                  <c:v>43922</c:v>
                </c:pt>
                <c:pt idx="61">
                  <c:v>43923</c:v>
                </c:pt>
                <c:pt idx="62">
                  <c:v>43924</c:v>
                </c:pt>
                <c:pt idx="63">
                  <c:v>43927</c:v>
                </c:pt>
                <c:pt idx="64">
                  <c:v>43928</c:v>
                </c:pt>
                <c:pt idx="65">
                  <c:v>43929</c:v>
                </c:pt>
                <c:pt idx="66">
                  <c:v>43930</c:v>
                </c:pt>
                <c:pt idx="67">
                  <c:v>43931</c:v>
                </c:pt>
                <c:pt idx="68">
                  <c:v>43934</c:v>
                </c:pt>
                <c:pt idx="69">
                  <c:v>43935</c:v>
                </c:pt>
                <c:pt idx="70">
                  <c:v>43936</c:v>
                </c:pt>
                <c:pt idx="71">
                  <c:v>43937</c:v>
                </c:pt>
                <c:pt idx="72">
                  <c:v>43938</c:v>
                </c:pt>
                <c:pt idx="73">
                  <c:v>43941</c:v>
                </c:pt>
                <c:pt idx="74">
                  <c:v>43942</c:v>
                </c:pt>
                <c:pt idx="75">
                  <c:v>43943</c:v>
                </c:pt>
                <c:pt idx="76">
                  <c:v>43944</c:v>
                </c:pt>
                <c:pt idx="77">
                  <c:v>43948</c:v>
                </c:pt>
                <c:pt idx="78">
                  <c:v>43949</c:v>
                </c:pt>
                <c:pt idx="79">
                  <c:v>43950</c:v>
                </c:pt>
                <c:pt idx="80">
                  <c:v>43951</c:v>
                </c:pt>
                <c:pt idx="81">
                  <c:v>43955</c:v>
                </c:pt>
                <c:pt idx="82">
                  <c:v>43956</c:v>
                </c:pt>
                <c:pt idx="83">
                  <c:v>43957</c:v>
                </c:pt>
                <c:pt idx="84">
                  <c:v>43958</c:v>
                </c:pt>
                <c:pt idx="85">
                  <c:v>43959</c:v>
                </c:pt>
                <c:pt idx="86">
                  <c:v>43962</c:v>
                </c:pt>
                <c:pt idx="87">
                  <c:v>43963</c:v>
                </c:pt>
                <c:pt idx="88">
                  <c:v>43964</c:v>
                </c:pt>
                <c:pt idx="89">
                  <c:v>43965</c:v>
                </c:pt>
                <c:pt idx="90">
                  <c:v>43966</c:v>
                </c:pt>
                <c:pt idx="91">
                  <c:v>43969</c:v>
                </c:pt>
                <c:pt idx="92">
                  <c:v>43970</c:v>
                </c:pt>
                <c:pt idx="93">
                  <c:v>43971</c:v>
                </c:pt>
                <c:pt idx="94">
                  <c:v>43972</c:v>
                </c:pt>
                <c:pt idx="95">
                  <c:v>43973</c:v>
                </c:pt>
                <c:pt idx="96">
                  <c:v>43974</c:v>
                </c:pt>
                <c:pt idx="97">
                  <c:v>43976</c:v>
                </c:pt>
                <c:pt idx="98">
                  <c:v>43977</c:v>
                </c:pt>
                <c:pt idx="99">
                  <c:v>43978</c:v>
                </c:pt>
                <c:pt idx="100">
                  <c:v>43983</c:v>
                </c:pt>
                <c:pt idx="101">
                  <c:v>43984</c:v>
                </c:pt>
                <c:pt idx="102">
                  <c:v>43985</c:v>
                </c:pt>
                <c:pt idx="103">
                  <c:v>43986</c:v>
                </c:pt>
                <c:pt idx="104">
                  <c:v>43987</c:v>
                </c:pt>
                <c:pt idx="105">
                  <c:v>43990</c:v>
                </c:pt>
                <c:pt idx="106">
                  <c:v>43991</c:v>
                </c:pt>
                <c:pt idx="107">
                  <c:v>43992</c:v>
                </c:pt>
                <c:pt idx="108">
                  <c:v>43993</c:v>
                </c:pt>
                <c:pt idx="109">
                  <c:v>43994</c:v>
                </c:pt>
                <c:pt idx="110">
                  <c:v>43997</c:v>
                </c:pt>
                <c:pt idx="111">
                  <c:v>43998</c:v>
                </c:pt>
                <c:pt idx="112">
                  <c:v>43999</c:v>
                </c:pt>
                <c:pt idx="113">
                  <c:v>44000</c:v>
                </c:pt>
                <c:pt idx="114">
                  <c:v>44001</c:v>
                </c:pt>
                <c:pt idx="115">
                  <c:v>44004</c:v>
                </c:pt>
                <c:pt idx="116">
                  <c:v>44005</c:v>
                </c:pt>
                <c:pt idx="117">
                  <c:v>44006</c:v>
                </c:pt>
                <c:pt idx="118">
                  <c:v>44007</c:v>
                </c:pt>
                <c:pt idx="119">
                  <c:v>44008</c:v>
                </c:pt>
                <c:pt idx="120">
                  <c:v>44011</c:v>
                </c:pt>
                <c:pt idx="121">
                  <c:v>44012</c:v>
                </c:pt>
                <c:pt idx="122">
                  <c:v>44013</c:v>
                </c:pt>
                <c:pt idx="123">
                  <c:v>44014</c:v>
                </c:pt>
                <c:pt idx="124">
                  <c:v>44015</c:v>
                </c:pt>
                <c:pt idx="125">
                  <c:v>44018</c:v>
                </c:pt>
                <c:pt idx="126">
                  <c:v>44019</c:v>
                </c:pt>
                <c:pt idx="127">
                  <c:v>44020</c:v>
                </c:pt>
                <c:pt idx="128">
                  <c:v>44021</c:v>
                </c:pt>
                <c:pt idx="129">
                  <c:v>44022</c:v>
                </c:pt>
                <c:pt idx="130">
                  <c:v>44025</c:v>
                </c:pt>
                <c:pt idx="131">
                  <c:v>44026</c:v>
                </c:pt>
                <c:pt idx="132">
                  <c:v>44027</c:v>
                </c:pt>
                <c:pt idx="133">
                  <c:v>44028</c:v>
                </c:pt>
                <c:pt idx="134">
                  <c:v>44029</c:v>
                </c:pt>
                <c:pt idx="135">
                  <c:v>44032</c:v>
                </c:pt>
                <c:pt idx="136">
                  <c:v>44033</c:v>
                </c:pt>
                <c:pt idx="137">
                  <c:v>44034</c:v>
                </c:pt>
                <c:pt idx="138">
                  <c:v>44035</c:v>
                </c:pt>
                <c:pt idx="139">
                  <c:v>44036</c:v>
                </c:pt>
                <c:pt idx="140">
                  <c:v>44039</c:v>
                </c:pt>
                <c:pt idx="141">
                  <c:v>44040</c:v>
                </c:pt>
                <c:pt idx="142">
                  <c:v>44041</c:v>
                </c:pt>
                <c:pt idx="143">
                  <c:v>44042</c:v>
                </c:pt>
                <c:pt idx="144">
                  <c:v>44043</c:v>
                </c:pt>
                <c:pt idx="145">
                  <c:v>44046</c:v>
                </c:pt>
                <c:pt idx="146">
                  <c:v>44047</c:v>
                </c:pt>
                <c:pt idx="147">
                  <c:v>44048</c:v>
                </c:pt>
                <c:pt idx="148">
                  <c:v>44049</c:v>
                </c:pt>
                <c:pt idx="149">
                  <c:v>44050</c:v>
                </c:pt>
                <c:pt idx="150">
                  <c:v>44053</c:v>
                </c:pt>
                <c:pt idx="151">
                  <c:v>44054</c:v>
                </c:pt>
                <c:pt idx="152">
                  <c:v>44055</c:v>
                </c:pt>
                <c:pt idx="153">
                  <c:v>44056</c:v>
                </c:pt>
                <c:pt idx="154">
                  <c:v>44057</c:v>
                </c:pt>
                <c:pt idx="155">
                  <c:v>44060</c:v>
                </c:pt>
                <c:pt idx="156">
                  <c:v>44061</c:v>
                </c:pt>
                <c:pt idx="157">
                  <c:v>44062</c:v>
                </c:pt>
                <c:pt idx="158">
                  <c:v>44063</c:v>
                </c:pt>
                <c:pt idx="159">
                  <c:v>44064</c:v>
                </c:pt>
                <c:pt idx="160">
                  <c:v>44067</c:v>
                </c:pt>
                <c:pt idx="161">
                  <c:v>44068</c:v>
                </c:pt>
                <c:pt idx="162">
                  <c:v>44069</c:v>
                </c:pt>
                <c:pt idx="163">
                  <c:v>44070</c:v>
                </c:pt>
                <c:pt idx="164">
                  <c:v>44071</c:v>
                </c:pt>
                <c:pt idx="165">
                  <c:v>44074</c:v>
                </c:pt>
                <c:pt idx="166">
                  <c:v>44075</c:v>
                </c:pt>
                <c:pt idx="167">
                  <c:v>44076</c:v>
                </c:pt>
                <c:pt idx="168">
                  <c:v>44077</c:v>
                </c:pt>
                <c:pt idx="169">
                  <c:v>44078</c:v>
                </c:pt>
                <c:pt idx="170">
                  <c:v>44081</c:v>
                </c:pt>
                <c:pt idx="171">
                  <c:v>44082</c:v>
                </c:pt>
                <c:pt idx="172">
                  <c:v>44083</c:v>
                </c:pt>
                <c:pt idx="173">
                  <c:v>44084</c:v>
                </c:pt>
                <c:pt idx="174">
                  <c:v>44085</c:v>
                </c:pt>
                <c:pt idx="175">
                  <c:v>44088</c:v>
                </c:pt>
                <c:pt idx="176">
                  <c:v>44089</c:v>
                </c:pt>
                <c:pt idx="177">
                  <c:v>44090</c:v>
                </c:pt>
                <c:pt idx="178">
                  <c:v>44091</c:v>
                </c:pt>
                <c:pt idx="179">
                  <c:v>44092</c:v>
                </c:pt>
                <c:pt idx="180">
                  <c:v>44096</c:v>
                </c:pt>
                <c:pt idx="181">
                  <c:v>44097</c:v>
                </c:pt>
                <c:pt idx="182">
                  <c:v>44098</c:v>
                </c:pt>
                <c:pt idx="183">
                  <c:v>44099</c:v>
                </c:pt>
                <c:pt idx="184">
                  <c:v>44102</c:v>
                </c:pt>
                <c:pt idx="185">
                  <c:v>44103</c:v>
                </c:pt>
                <c:pt idx="186">
                  <c:v>44104</c:v>
                </c:pt>
                <c:pt idx="187">
                  <c:v>44105</c:v>
                </c:pt>
                <c:pt idx="188">
                  <c:v>44106</c:v>
                </c:pt>
                <c:pt idx="189">
                  <c:v>44109</c:v>
                </c:pt>
                <c:pt idx="190">
                  <c:v>44110</c:v>
                </c:pt>
                <c:pt idx="191">
                  <c:v>44111</c:v>
                </c:pt>
                <c:pt idx="192">
                  <c:v>44112</c:v>
                </c:pt>
                <c:pt idx="193">
                  <c:v>44113</c:v>
                </c:pt>
                <c:pt idx="194">
                  <c:v>44116</c:v>
                </c:pt>
                <c:pt idx="195">
                  <c:v>44117</c:v>
                </c:pt>
                <c:pt idx="196">
                  <c:v>44118</c:v>
                </c:pt>
                <c:pt idx="197">
                  <c:v>44119</c:v>
                </c:pt>
                <c:pt idx="198">
                  <c:v>44120</c:v>
                </c:pt>
                <c:pt idx="199">
                  <c:v>44123</c:v>
                </c:pt>
                <c:pt idx="200">
                  <c:v>44124</c:v>
                </c:pt>
                <c:pt idx="201">
                  <c:v>44125</c:v>
                </c:pt>
                <c:pt idx="202">
                  <c:v>44126</c:v>
                </c:pt>
                <c:pt idx="203">
                  <c:v>44127</c:v>
                </c:pt>
                <c:pt idx="204">
                  <c:v>44130</c:v>
                </c:pt>
                <c:pt idx="205">
                  <c:v>44131</c:v>
                </c:pt>
                <c:pt idx="206">
                  <c:v>44132</c:v>
                </c:pt>
                <c:pt idx="207">
                  <c:v>44133</c:v>
                </c:pt>
                <c:pt idx="208">
                  <c:v>44134</c:v>
                </c:pt>
                <c:pt idx="209">
                  <c:v>44137</c:v>
                </c:pt>
                <c:pt idx="210">
                  <c:v>44138</c:v>
                </c:pt>
                <c:pt idx="211">
                  <c:v>44139</c:v>
                </c:pt>
                <c:pt idx="212">
                  <c:v>44140</c:v>
                </c:pt>
                <c:pt idx="213">
                  <c:v>44141</c:v>
                </c:pt>
                <c:pt idx="214">
                  <c:v>44144</c:v>
                </c:pt>
                <c:pt idx="215">
                  <c:v>44145</c:v>
                </c:pt>
                <c:pt idx="216">
                  <c:v>44146</c:v>
                </c:pt>
                <c:pt idx="217">
                  <c:v>44147</c:v>
                </c:pt>
                <c:pt idx="218">
                  <c:v>44148</c:v>
                </c:pt>
                <c:pt idx="219">
                  <c:v>44151</c:v>
                </c:pt>
                <c:pt idx="220">
                  <c:v>44152</c:v>
                </c:pt>
                <c:pt idx="221">
                  <c:v>44153</c:v>
                </c:pt>
                <c:pt idx="222">
                  <c:v>44154</c:v>
                </c:pt>
                <c:pt idx="223">
                  <c:v>44155</c:v>
                </c:pt>
                <c:pt idx="224">
                  <c:v>44158</c:v>
                </c:pt>
                <c:pt idx="225">
                  <c:v>44159</c:v>
                </c:pt>
                <c:pt idx="226">
                  <c:v>44160</c:v>
                </c:pt>
                <c:pt idx="227">
                  <c:v>44161</c:v>
                </c:pt>
                <c:pt idx="228">
                  <c:v>44162</c:v>
                </c:pt>
                <c:pt idx="229">
                  <c:v>44165</c:v>
                </c:pt>
                <c:pt idx="230">
                  <c:v>44166</c:v>
                </c:pt>
                <c:pt idx="231">
                  <c:v>44167</c:v>
                </c:pt>
                <c:pt idx="232">
                  <c:v>44168</c:v>
                </c:pt>
                <c:pt idx="233">
                  <c:v>44169</c:v>
                </c:pt>
                <c:pt idx="234">
                  <c:v>44172</c:v>
                </c:pt>
                <c:pt idx="235">
                  <c:v>44173</c:v>
                </c:pt>
                <c:pt idx="236">
                  <c:v>44174</c:v>
                </c:pt>
                <c:pt idx="237">
                  <c:v>44175</c:v>
                </c:pt>
                <c:pt idx="238">
                  <c:v>44176</c:v>
                </c:pt>
                <c:pt idx="239">
                  <c:v>44179</c:v>
                </c:pt>
                <c:pt idx="240">
                  <c:v>44180</c:v>
                </c:pt>
                <c:pt idx="241">
                  <c:v>44181</c:v>
                </c:pt>
                <c:pt idx="242">
                  <c:v>44182</c:v>
                </c:pt>
                <c:pt idx="243">
                  <c:v>44183</c:v>
                </c:pt>
                <c:pt idx="244">
                  <c:v>44186</c:v>
                </c:pt>
                <c:pt idx="245">
                  <c:v>44187</c:v>
                </c:pt>
                <c:pt idx="246">
                  <c:v>44188</c:v>
                </c:pt>
                <c:pt idx="247">
                  <c:v>44189</c:v>
                </c:pt>
                <c:pt idx="248">
                  <c:v>44190</c:v>
                </c:pt>
                <c:pt idx="249">
                  <c:v>44193</c:v>
                </c:pt>
                <c:pt idx="250">
                  <c:v>44194</c:v>
                </c:pt>
                <c:pt idx="251">
                  <c:v>44195</c:v>
                </c:pt>
                <c:pt idx="252">
                  <c:v>44196</c:v>
                </c:pt>
                <c:pt idx="253">
                  <c:v>44204</c:v>
                </c:pt>
                <c:pt idx="254">
                  <c:v>44207</c:v>
                </c:pt>
                <c:pt idx="255">
                  <c:v>44208</c:v>
                </c:pt>
                <c:pt idx="256">
                  <c:v>44209</c:v>
                </c:pt>
                <c:pt idx="257">
                  <c:v>44210</c:v>
                </c:pt>
                <c:pt idx="258">
                  <c:v>44211</c:v>
                </c:pt>
                <c:pt idx="259">
                  <c:v>44214</c:v>
                </c:pt>
                <c:pt idx="260">
                  <c:v>44215</c:v>
                </c:pt>
                <c:pt idx="261">
                  <c:v>44216</c:v>
                </c:pt>
                <c:pt idx="262">
                  <c:v>44217</c:v>
                </c:pt>
                <c:pt idx="263">
                  <c:v>44218</c:v>
                </c:pt>
                <c:pt idx="264">
                  <c:v>44221</c:v>
                </c:pt>
                <c:pt idx="265">
                  <c:v>44222</c:v>
                </c:pt>
                <c:pt idx="266">
                  <c:v>44223</c:v>
                </c:pt>
                <c:pt idx="267">
                  <c:v>44225</c:v>
                </c:pt>
                <c:pt idx="268">
                  <c:v>44228</c:v>
                </c:pt>
                <c:pt idx="269">
                  <c:v>44229</c:v>
                </c:pt>
                <c:pt idx="270">
                  <c:v>44230</c:v>
                </c:pt>
                <c:pt idx="271">
                  <c:v>44231</c:v>
                </c:pt>
                <c:pt idx="272">
                  <c:v>44232</c:v>
                </c:pt>
                <c:pt idx="273">
                  <c:v>44235</c:v>
                </c:pt>
                <c:pt idx="274">
                  <c:v>44236</c:v>
                </c:pt>
                <c:pt idx="275">
                  <c:v>44237</c:v>
                </c:pt>
                <c:pt idx="276">
                  <c:v>44238</c:v>
                </c:pt>
                <c:pt idx="277">
                  <c:v>44239</c:v>
                </c:pt>
                <c:pt idx="278">
                  <c:v>44242</c:v>
                </c:pt>
                <c:pt idx="279">
                  <c:v>44243</c:v>
                </c:pt>
                <c:pt idx="280">
                  <c:v>44244</c:v>
                </c:pt>
                <c:pt idx="281">
                  <c:v>44245</c:v>
                </c:pt>
                <c:pt idx="282">
                  <c:v>44246</c:v>
                </c:pt>
                <c:pt idx="283">
                  <c:v>44249</c:v>
                </c:pt>
                <c:pt idx="284">
                  <c:v>44250</c:v>
                </c:pt>
                <c:pt idx="285">
                  <c:v>44251</c:v>
                </c:pt>
                <c:pt idx="286">
                  <c:v>44252</c:v>
                </c:pt>
                <c:pt idx="287">
                  <c:v>44253</c:v>
                </c:pt>
                <c:pt idx="288">
                  <c:v>44256</c:v>
                </c:pt>
                <c:pt idx="289">
                  <c:v>44257</c:v>
                </c:pt>
                <c:pt idx="290">
                  <c:v>44258</c:v>
                </c:pt>
                <c:pt idx="291">
                  <c:v>44259</c:v>
                </c:pt>
                <c:pt idx="292">
                  <c:v>44260</c:v>
                </c:pt>
                <c:pt idx="293">
                  <c:v>44264</c:v>
                </c:pt>
                <c:pt idx="294">
                  <c:v>44265</c:v>
                </c:pt>
                <c:pt idx="295">
                  <c:v>44266</c:v>
                </c:pt>
                <c:pt idx="296">
                  <c:v>44267</c:v>
                </c:pt>
                <c:pt idx="297">
                  <c:v>44270</c:v>
                </c:pt>
                <c:pt idx="298">
                  <c:v>44271</c:v>
                </c:pt>
                <c:pt idx="299">
                  <c:v>44272</c:v>
                </c:pt>
                <c:pt idx="300">
                  <c:v>44273</c:v>
                </c:pt>
                <c:pt idx="301">
                  <c:v>44274</c:v>
                </c:pt>
                <c:pt idx="302">
                  <c:v>44277</c:v>
                </c:pt>
                <c:pt idx="303">
                  <c:v>44278</c:v>
                </c:pt>
                <c:pt idx="304">
                  <c:v>44279</c:v>
                </c:pt>
                <c:pt idx="305">
                  <c:v>44280</c:v>
                </c:pt>
                <c:pt idx="306">
                  <c:v>44281</c:v>
                </c:pt>
                <c:pt idx="307">
                  <c:v>44284</c:v>
                </c:pt>
                <c:pt idx="308">
                  <c:v>44285</c:v>
                </c:pt>
                <c:pt idx="309">
                  <c:v>44286</c:v>
                </c:pt>
                <c:pt idx="310">
                  <c:v>44287</c:v>
                </c:pt>
                <c:pt idx="311">
                  <c:v>44288</c:v>
                </c:pt>
                <c:pt idx="312">
                  <c:v>44291</c:v>
                </c:pt>
                <c:pt idx="313">
                  <c:v>44292</c:v>
                </c:pt>
                <c:pt idx="314">
                  <c:v>44293</c:v>
                </c:pt>
                <c:pt idx="315">
                  <c:v>44294</c:v>
                </c:pt>
                <c:pt idx="316">
                  <c:v>44295</c:v>
                </c:pt>
                <c:pt idx="317">
                  <c:v>44298</c:v>
                </c:pt>
                <c:pt idx="318">
                  <c:v>44299</c:v>
                </c:pt>
                <c:pt idx="319">
                  <c:v>44300</c:v>
                </c:pt>
                <c:pt idx="320">
                  <c:v>44301</c:v>
                </c:pt>
                <c:pt idx="321">
                  <c:v>44302</c:v>
                </c:pt>
                <c:pt idx="322">
                  <c:v>44305</c:v>
                </c:pt>
                <c:pt idx="323">
                  <c:v>44306</c:v>
                </c:pt>
                <c:pt idx="324">
                  <c:v>44307</c:v>
                </c:pt>
                <c:pt idx="325">
                  <c:v>44308</c:v>
                </c:pt>
                <c:pt idx="326">
                  <c:v>44309</c:v>
                </c:pt>
                <c:pt idx="327">
                  <c:v>44312</c:v>
                </c:pt>
                <c:pt idx="328">
                  <c:v>44313</c:v>
                </c:pt>
                <c:pt idx="329">
                  <c:v>44314</c:v>
                </c:pt>
                <c:pt idx="330">
                  <c:v>44315</c:v>
                </c:pt>
                <c:pt idx="331">
                  <c:v>44316</c:v>
                </c:pt>
                <c:pt idx="332">
                  <c:v>44319</c:v>
                </c:pt>
                <c:pt idx="333">
                  <c:v>44320</c:v>
                </c:pt>
                <c:pt idx="334">
                  <c:v>44321</c:v>
                </c:pt>
                <c:pt idx="335">
                  <c:v>44322</c:v>
                </c:pt>
                <c:pt idx="336">
                  <c:v>44323</c:v>
                </c:pt>
                <c:pt idx="337">
                  <c:v>44326</c:v>
                </c:pt>
                <c:pt idx="338">
                  <c:v>44327</c:v>
                </c:pt>
                <c:pt idx="339">
                  <c:v>44328</c:v>
                </c:pt>
                <c:pt idx="340">
                  <c:v>44329</c:v>
                </c:pt>
                <c:pt idx="341">
                  <c:v>44330</c:v>
                </c:pt>
                <c:pt idx="342">
                  <c:v>44333</c:v>
                </c:pt>
                <c:pt idx="343">
                  <c:v>44334</c:v>
                </c:pt>
                <c:pt idx="344">
                  <c:v>44335</c:v>
                </c:pt>
                <c:pt idx="345">
                  <c:v>44336</c:v>
                </c:pt>
                <c:pt idx="346">
                  <c:v>44337</c:v>
                </c:pt>
                <c:pt idx="347">
                  <c:v>44340</c:v>
                </c:pt>
                <c:pt idx="348">
                  <c:v>44341</c:v>
                </c:pt>
                <c:pt idx="349">
                  <c:v>44342</c:v>
                </c:pt>
                <c:pt idx="350">
                  <c:v>44343</c:v>
                </c:pt>
                <c:pt idx="351">
                  <c:v>44347</c:v>
                </c:pt>
                <c:pt idx="352">
                  <c:v>44348</c:v>
                </c:pt>
                <c:pt idx="353">
                  <c:v>44349</c:v>
                </c:pt>
                <c:pt idx="354">
                  <c:v>44350</c:v>
                </c:pt>
                <c:pt idx="355">
                  <c:v>44351</c:v>
                </c:pt>
                <c:pt idx="356">
                  <c:v>44354</c:v>
                </c:pt>
                <c:pt idx="357">
                  <c:v>44355</c:v>
                </c:pt>
                <c:pt idx="358">
                  <c:v>44356</c:v>
                </c:pt>
                <c:pt idx="359">
                  <c:v>44357</c:v>
                </c:pt>
                <c:pt idx="360">
                  <c:v>44358</c:v>
                </c:pt>
                <c:pt idx="361">
                  <c:v>44361</c:v>
                </c:pt>
                <c:pt idx="362">
                  <c:v>44362</c:v>
                </c:pt>
                <c:pt idx="363">
                  <c:v>44363</c:v>
                </c:pt>
                <c:pt idx="364">
                  <c:v>44364</c:v>
                </c:pt>
                <c:pt idx="365">
                  <c:v>44365</c:v>
                </c:pt>
                <c:pt idx="366">
                  <c:v>44368</c:v>
                </c:pt>
                <c:pt idx="367">
                  <c:v>44369</c:v>
                </c:pt>
                <c:pt idx="368">
                  <c:v>44370</c:v>
                </c:pt>
                <c:pt idx="369">
                  <c:v>44371</c:v>
                </c:pt>
                <c:pt idx="370">
                  <c:v>44372</c:v>
                </c:pt>
                <c:pt idx="371">
                  <c:v>44375</c:v>
                </c:pt>
                <c:pt idx="372">
                  <c:v>44376</c:v>
                </c:pt>
                <c:pt idx="373">
                  <c:v>44377</c:v>
                </c:pt>
                <c:pt idx="374">
                  <c:v>44378</c:v>
                </c:pt>
                <c:pt idx="375">
                  <c:v>44379</c:v>
                </c:pt>
                <c:pt idx="376">
                  <c:v>44383</c:v>
                </c:pt>
                <c:pt idx="377">
                  <c:v>44384</c:v>
                </c:pt>
                <c:pt idx="378">
                  <c:v>44385</c:v>
                </c:pt>
                <c:pt idx="379">
                  <c:v>44386</c:v>
                </c:pt>
                <c:pt idx="380">
                  <c:v>44389</c:v>
                </c:pt>
                <c:pt idx="381">
                  <c:v>44390</c:v>
                </c:pt>
                <c:pt idx="382">
                  <c:v>44391</c:v>
                </c:pt>
                <c:pt idx="383">
                  <c:v>44392</c:v>
                </c:pt>
                <c:pt idx="384">
                  <c:v>44393</c:v>
                </c:pt>
                <c:pt idx="385">
                  <c:v>44396</c:v>
                </c:pt>
                <c:pt idx="386">
                  <c:v>44397</c:v>
                </c:pt>
                <c:pt idx="387">
                  <c:v>44398</c:v>
                </c:pt>
                <c:pt idx="388">
                  <c:v>44399</c:v>
                </c:pt>
                <c:pt idx="389">
                  <c:v>44400</c:v>
                </c:pt>
                <c:pt idx="390">
                  <c:v>44403</c:v>
                </c:pt>
                <c:pt idx="391">
                  <c:v>44404</c:v>
                </c:pt>
                <c:pt idx="392">
                  <c:v>44405</c:v>
                </c:pt>
                <c:pt idx="393">
                  <c:v>44406</c:v>
                </c:pt>
                <c:pt idx="394">
                  <c:v>44407</c:v>
                </c:pt>
                <c:pt idx="395">
                  <c:v>44410</c:v>
                </c:pt>
                <c:pt idx="396">
                  <c:v>44411</c:v>
                </c:pt>
                <c:pt idx="397">
                  <c:v>44412</c:v>
                </c:pt>
                <c:pt idx="398">
                  <c:v>44413</c:v>
                </c:pt>
                <c:pt idx="399">
                  <c:v>44414</c:v>
                </c:pt>
                <c:pt idx="400">
                  <c:v>44417</c:v>
                </c:pt>
                <c:pt idx="401">
                  <c:v>44418</c:v>
                </c:pt>
                <c:pt idx="402">
                  <c:v>44419</c:v>
                </c:pt>
                <c:pt idx="403">
                  <c:v>44420</c:v>
                </c:pt>
                <c:pt idx="404">
                  <c:v>44421</c:v>
                </c:pt>
                <c:pt idx="405">
                  <c:v>44424</c:v>
                </c:pt>
                <c:pt idx="406">
                  <c:v>44425</c:v>
                </c:pt>
                <c:pt idx="407">
                  <c:v>44426</c:v>
                </c:pt>
                <c:pt idx="408">
                  <c:v>44427</c:v>
                </c:pt>
                <c:pt idx="409">
                  <c:v>44428</c:v>
                </c:pt>
                <c:pt idx="410">
                  <c:v>44431</c:v>
                </c:pt>
                <c:pt idx="411">
                  <c:v>44432</c:v>
                </c:pt>
                <c:pt idx="412">
                  <c:v>44433</c:v>
                </c:pt>
                <c:pt idx="413">
                  <c:v>44434</c:v>
                </c:pt>
                <c:pt idx="414">
                  <c:v>44435</c:v>
                </c:pt>
                <c:pt idx="415">
                  <c:v>44438</c:v>
                </c:pt>
                <c:pt idx="416">
                  <c:v>44439</c:v>
                </c:pt>
                <c:pt idx="417">
                  <c:v>44440</c:v>
                </c:pt>
                <c:pt idx="418">
                  <c:v>44441</c:v>
                </c:pt>
                <c:pt idx="419">
                  <c:v>44442</c:v>
                </c:pt>
                <c:pt idx="420">
                  <c:v>44445</c:v>
                </c:pt>
                <c:pt idx="421">
                  <c:v>44446</c:v>
                </c:pt>
                <c:pt idx="422">
                  <c:v>44447</c:v>
                </c:pt>
                <c:pt idx="423">
                  <c:v>44448</c:v>
                </c:pt>
                <c:pt idx="424">
                  <c:v>44449</c:v>
                </c:pt>
                <c:pt idx="425">
                  <c:v>44452</c:v>
                </c:pt>
                <c:pt idx="426">
                  <c:v>44453</c:v>
                </c:pt>
                <c:pt idx="427">
                  <c:v>44454</c:v>
                </c:pt>
                <c:pt idx="428">
                  <c:v>44455</c:v>
                </c:pt>
                <c:pt idx="429">
                  <c:v>44456</c:v>
                </c:pt>
                <c:pt idx="430">
                  <c:v>44461</c:v>
                </c:pt>
                <c:pt idx="431">
                  <c:v>44462</c:v>
                </c:pt>
                <c:pt idx="432">
                  <c:v>44463</c:v>
                </c:pt>
                <c:pt idx="433">
                  <c:v>44464</c:v>
                </c:pt>
                <c:pt idx="434">
                  <c:v>44466</c:v>
                </c:pt>
                <c:pt idx="435">
                  <c:v>44467</c:v>
                </c:pt>
                <c:pt idx="436">
                  <c:v>44468</c:v>
                </c:pt>
                <c:pt idx="437">
                  <c:v>44469</c:v>
                </c:pt>
                <c:pt idx="438">
                  <c:v>44470</c:v>
                </c:pt>
                <c:pt idx="439">
                  <c:v>44473</c:v>
                </c:pt>
                <c:pt idx="440">
                  <c:v>44474</c:v>
                </c:pt>
                <c:pt idx="441">
                  <c:v>44475</c:v>
                </c:pt>
                <c:pt idx="442">
                  <c:v>44476</c:v>
                </c:pt>
                <c:pt idx="443">
                  <c:v>44477</c:v>
                </c:pt>
                <c:pt idx="444">
                  <c:v>44480</c:v>
                </c:pt>
                <c:pt idx="445">
                  <c:v>44481</c:v>
                </c:pt>
                <c:pt idx="446">
                  <c:v>44482</c:v>
                </c:pt>
                <c:pt idx="447">
                  <c:v>44483</c:v>
                </c:pt>
                <c:pt idx="448">
                  <c:v>44484</c:v>
                </c:pt>
                <c:pt idx="449">
                  <c:v>44487</c:v>
                </c:pt>
                <c:pt idx="450">
                  <c:v>44488</c:v>
                </c:pt>
                <c:pt idx="451">
                  <c:v>44489</c:v>
                </c:pt>
                <c:pt idx="452">
                  <c:v>44490</c:v>
                </c:pt>
                <c:pt idx="453">
                  <c:v>44491</c:v>
                </c:pt>
                <c:pt idx="454">
                  <c:v>44494</c:v>
                </c:pt>
                <c:pt idx="455">
                  <c:v>44495</c:v>
                </c:pt>
                <c:pt idx="456">
                  <c:v>44496</c:v>
                </c:pt>
                <c:pt idx="457">
                  <c:v>44497</c:v>
                </c:pt>
                <c:pt idx="458">
                  <c:v>44498</c:v>
                </c:pt>
                <c:pt idx="459">
                  <c:v>44501</c:v>
                </c:pt>
                <c:pt idx="460">
                  <c:v>44502</c:v>
                </c:pt>
                <c:pt idx="461">
                  <c:v>44503</c:v>
                </c:pt>
                <c:pt idx="462">
                  <c:v>44504</c:v>
                </c:pt>
                <c:pt idx="463">
                  <c:v>44505</c:v>
                </c:pt>
                <c:pt idx="464">
                  <c:v>44508</c:v>
                </c:pt>
                <c:pt idx="465">
                  <c:v>44509</c:v>
                </c:pt>
                <c:pt idx="466">
                  <c:v>44510</c:v>
                </c:pt>
                <c:pt idx="467">
                  <c:v>44511</c:v>
                </c:pt>
                <c:pt idx="468">
                  <c:v>44512</c:v>
                </c:pt>
                <c:pt idx="469">
                  <c:v>44515</c:v>
                </c:pt>
                <c:pt idx="470">
                  <c:v>44516</c:v>
                </c:pt>
                <c:pt idx="471">
                  <c:v>44517</c:v>
                </c:pt>
                <c:pt idx="472">
                  <c:v>44518</c:v>
                </c:pt>
                <c:pt idx="473">
                  <c:v>44519</c:v>
                </c:pt>
                <c:pt idx="474">
                  <c:v>44522</c:v>
                </c:pt>
                <c:pt idx="475">
                  <c:v>44523</c:v>
                </c:pt>
                <c:pt idx="476">
                  <c:v>44524</c:v>
                </c:pt>
                <c:pt idx="477">
                  <c:v>44525</c:v>
                </c:pt>
                <c:pt idx="478">
                  <c:v>44526</c:v>
                </c:pt>
                <c:pt idx="479">
                  <c:v>44529</c:v>
                </c:pt>
                <c:pt idx="480">
                  <c:v>44530</c:v>
                </c:pt>
                <c:pt idx="481">
                  <c:v>44531</c:v>
                </c:pt>
                <c:pt idx="482">
                  <c:v>44532</c:v>
                </c:pt>
                <c:pt idx="483">
                  <c:v>44533</c:v>
                </c:pt>
                <c:pt idx="484">
                  <c:v>44536</c:v>
                </c:pt>
                <c:pt idx="485">
                  <c:v>44537</c:v>
                </c:pt>
                <c:pt idx="486">
                  <c:v>44538</c:v>
                </c:pt>
                <c:pt idx="487">
                  <c:v>44539</c:v>
                </c:pt>
                <c:pt idx="488">
                  <c:v>44540</c:v>
                </c:pt>
                <c:pt idx="489">
                  <c:v>44543</c:v>
                </c:pt>
                <c:pt idx="490">
                  <c:v>44544</c:v>
                </c:pt>
                <c:pt idx="491">
                  <c:v>44545</c:v>
                </c:pt>
                <c:pt idx="492">
                  <c:v>44546</c:v>
                </c:pt>
                <c:pt idx="493">
                  <c:v>44547</c:v>
                </c:pt>
                <c:pt idx="494">
                  <c:v>44550</c:v>
                </c:pt>
                <c:pt idx="495">
                  <c:v>44551</c:v>
                </c:pt>
                <c:pt idx="496">
                  <c:v>44552</c:v>
                </c:pt>
                <c:pt idx="497">
                  <c:v>44553</c:v>
                </c:pt>
                <c:pt idx="498">
                  <c:v>44554</c:v>
                </c:pt>
                <c:pt idx="499">
                  <c:v>44557</c:v>
                </c:pt>
                <c:pt idx="500">
                  <c:v>44558</c:v>
                </c:pt>
                <c:pt idx="501">
                  <c:v>44559</c:v>
                </c:pt>
                <c:pt idx="502">
                  <c:v>44560</c:v>
                </c:pt>
                <c:pt idx="503">
                  <c:v>44561</c:v>
                </c:pt>
                <c:pt idx="504">
                  <c:v>44562</c:v>
                </c:pt>
                <c:pt idx="505">
                  <c:v>44565</c:v>
                </c:pt>
                <c:pt idx="506">
                  <c:v>44566</c:v>
                </c:pt>
                <c:pt idx="507">
                  <c:v>44568</c:v>
                </c:pt>
                <c:pt idx="508">
                  <c:v>44571</c:v>
                </c:pt>
                <c:pt idx="509">
                  <c:v>44572</c:v>
                </c:pt>
                <c:pt idx="510">
                  <c:v>44573</c:v>
                </c:pt>
                <c:pt idx="511">
                  <c:v>44574</c:v>
                </c:pt>
                <c:pt idx="512">
                  <c:v>44575</c:v>
                </c:pt>
                <c:pt idx="513">
                  <c:v>44578</c:v>
                </c:pt>
                <c:pt idx="514">
                  <c:v>44579</c:v>
                </c:pt>
                <c:pt idx="515">
                  <c:v>44580</c:v>
                </c:pt>
                <c:pt idx="516">
                  <c:v>44581</c:v>
                </c:pt>
                <c:pt idx="517">
                  <c:v>44582</c:v>
                </c:pt>
                <c:pt idx="518">
                  <c:v>44585</c:v>
                </c:pt>
                <c:pt idx="519">
                  <c:v>44586</c:v>
                </c:pt>
                <c:pt idx="520">
                  <c:v>44587</c:v>
                </c:pt>
                <c:pt idx="521">
                  <c:v>44588</c:v>
                </c:pt>
                <c:pt idx="522">
                  <c:v>44592</c:v>
                </c:pt>
                <c:pt idx="523">
                  <c:v>44593</c:v>
                </c:pt>
                <c:pt idx="524">
                  <c:v>44594</c:v>
                </c:pt>
                <c:pt idx="525">
                  <c:v>44595</c:v>
                </c:pt>
                <c:pt idx="526">
                  <c:v>44596</c:v>
                </c:pt>
                <c:pt idx="527">
                  <c:v>44599</c:v>
                </c:pt>
                <c:pt idx="528">
                  <c:v>44600</c:v>
                </c:pt>
                <c:pt idx="529">
                  <c:v>44601</c:v>
                </c:pt>
                <c:pt idx="530">
                  <c:v>44602</c:v>
                </c:pt>
                <c:pt idx="531">
                  <c:v>44603</c:v>
                </c:pt>
                <c:pt idx="532">
                  <c:v>44606</c:v>
                </c:pt>
                <c:pt idx="533">
                  <c:v>44607</c:v>
                </c:pt>
                <c:pt idx="534">
                  <c:v>44608</c:v>
                </c:pt>
                <c:pt idx="535">
                  <c:v>44609</c:v>
                </c:pt>
                <c:pt idx="536">
                  <c:v>44610</c:v>
                </c:pt>
                <c:pt idx="537">
                  <c:v>44613</c:v>
                </c:pt>
                <c:pt idx="538">
                  <c:v>44614</c:v>
                </c:pt>
                <c:pt idx="539">
                  <c:v>44615</c:v>
                </c:pt>
                <c:pt idx="540">
                  <c:v>44616</c:v>
                </c:pt>
                <c:pt idx="541">
                  <c:v>44617</c:v>
                </c:pt>
                <c:pt idx="542">
                  <c:v>44620</c:v>
                </c:pt>
                <c:pt idx="543">
                  <c:v>44621</c:v>
                </c:pt>
                <c:pt idx="544">
                  <c:v>44622</c:v>
                </c:pt>
                <c:pt idx="545">
                  <c:v>44623</c:v>
                </c:pt>
                <c:pt idx="546">
                  <c:v>44624</c:v>
                </c:pt>
                <c:pt idx="547">
                  <c:v>44627</c:v>
                </c:pt>
                <c:pt idx="548">
                  <c:v>44629</c:v>
                </c:pt>
                <c:pt idx="549">
                  <c:v>44630</c:v>
                </c:pt>
                <c:pt idx="550">
                  <c:v>44631</c:v>
                </c:pt>
                <c:pt idx="551">
                  <c:v>44634</c:v>
                </c:pt>
                <c:pt idx="552">
                  <c:v>44635</c:v>
                </c:pt>
                <c:pt idx="553">
                  <c:v>44636</c:v>
                </c:pt>
                <c:pt idx="554">
                  <c:v>44637</c:v>
                </c:pt>
                <c:pt idx="555">
                  <c:v>44638</c:v>
                </c:pt>
                <c:pt idx="556">
                  <c:v>44641</c:v>
                </c:pt>
                <c:pt idx="557">
                  <c:v>44642</c:v>
                </c:pt>
                <c:pt idx="558">
                  <c:v>44643</c:v>
                </c:pt>
                <c:pt idx="559">
                  <c:v>44644</c:v>
                </c:pt>
                <c:pt idx="560">
                  <c:v>44645</c:v>
                </c:pt>
                <c:pt idx="561">
                  <c:v>44648</c:v>
                </c:pt>
                <c:pt idx="562">
                  <c:v>44649</c:v>
                </c:pt>
                <c:pt idx="563">
                  <c:v>44650</c:v>
                </c:pt>
                <c:pt idx="564">
                  <c:v>44651</c:v>
                </c:pt>
                <c:pt idx="565">
                  <c:v>44652</c:v>
                </c:pt>
                <c:pt idx="566">
                  <c:v>44655</c:v>
                </c:pt>
                <c:pt idx="567">
                  <c:v>44656</c:v>
                </c:pt>
                <c:pt idx="568">
                  <c:v>44657</c:v>
                </c:pt>
                <c:pt idx="569">
                  <c:v>44658</c:v>
                </c:pt>
                <c:pt idx="570">
                  <c:v>44659</c:v>
                </c:pt>
                <c:pt idx="571">
                  <c:v>44662</c:v>
                </c:pt>
                <c:pt idx="572">
                  <c:v>44663</c:v>
                </c:pt>
                <c:pt idx="573">
                  <c:v>44664</c:v>
                </c:pt>
                <c:pt idx="574">
                  <c:v>44665</c:v>
                </c:pt>
                <c:pt idx="575">
                  <c:v>44666</c:v>
                </c:pt>
                <c:pt idx="576">
                  <c:v>44669</c:v>
                </c:pt>
                <c:pt idx="577">
                  <c:v>44670</c:v>
                </c:pt>
                <c:pt idx="578">
                  <c:v>44671</c:v>
                </c:pt>
                <c:pt idx="579">
                  <c:v>44672</c:v>
                </c:pt>
                <c:pt idx="580">
                  <c:v>44673</c:v>
                </c:pt>
                <c:pt idx="581">
                  <c:v>44676</c:v>
                </c:pt>
                <c:pt idx="582">
                  <c:v>44677</c:v>
                </c:pt>
                <c:pt idx="583">
                  <c:v>44678</c:v>
                </c:pt>
                <c:pt idx="584">
                  <c:v>44679</c:v>
                </c:pt>
                <c:pt idx="585">
                  <c:v>44680</c:v>
                </c:pt>
                <c:pt idx="586">
                  <c:v>44683</c:v>
                </c:pt>
                <c:pt idx="587">
                  <c:v>44684</c:v>
                </c:pt>
                <c:pt idx="588">
                  <c:v>44685</c:v>
                </c:pt>
                <c:pt idx="589">
                  <c:v>44686</c:v>
                </c:pt>
                <c:pt idx="590">
                  <c:v>44687</c:v>
                </c:pt>
                <c:pt idx="591">
                  <c:v>44691</c:v>
                </c:pt>
                <c:pt idx="592">
                  <c:v>44692</c:v>
                </c:pt>
                <c:pt idx="593">
                  <c:v>44693</c:v>
                </c:pt>
                <c:pt idx="594">
                  <c:v>44694</c:v>
                </c:pt>
                <c:pt idx="595">
                  <c:v>44697</c:v>
                </c:pt>
                <c:pt idx="596">
                  <c:v>44698</c:v>
                </c:pt>
                <c:pt idx="597">
                  <c:v>44699</c:v>
                </c:pt>
                <c:pt idx="598">
                  <c:v>44700</c:v>
                </c:pt>
                <c:pt idx="599">
                  <c:v>44701</c:v>
                </c:pt>
                <c:pt idx="600">
                  <c:v>44704</c:v>
                </c:pt>
                <c:pt idx="601">
                  <c:v>44705</c:v>
                </c:pt>
                <c:pt idx="602">
                  <c:v>44706</c:v>
                </c:pt>
                <c:pt idx="603">
                  <c:v>44707</c:v>
                </c:pt>
                <c:pt idx="604">
                  <c:v>44708</c:v>
                </c:pt>
                <c:pt idx="605">
                  <c:v>44711</c:v>
                </c:pt>
                <c:pt idx="606">
                  <c:v>44712</c:v>
                </c:pt>
                <c:pt idx="607">
                  <c:v>44713</c:v>
                </c:pt>
                <c:pt idx="608">
                  <c:v>44714</c:v>
                </c:pt>
                <c:pt idx="609">
                  <c:v>44715</c:v>
                </c:pt>
                <c:pt idx="610">
                  <c:v>44718</c:v>
                </c:pt>
                <c:pt idx="611">
                  <c:v>44719</c:v>
                </c:pt>
                <c:pt idx="612">
                  <c:v>44720</c:v>
                </c:pt>
                <c:pt idx="613">
                  <c:v>44721</c:v>
                </c:pt>
                <c:pt idx="614">
                  <c:v>44722</c:v>
                </c:pt>
                <c:pt idx="615">
                  <c:v>44725</c:v>
                </c:pt>
                <c:pt idx="616">
                  <c:v>44726</c:v>
                </c:pt>
                <c:pt idx="617">
                  <c:v>44727</c:v>
                </c:pt>
                <c:pt idx="618">
                  <c:v>44728</c:v>
                </c:pt>
                <c:pt idx="619">
                  <c:v>44729</c:v>
                </c:pt>
                <c:pt idx="620">
                  <c:v>44732</c:v>
                </c:pt>
                <c:pt idx="621">
                  <c:v>44733</c:v>
                </c:pt>
                <c:pt idx="622">
                  <c:v>44734</c:v>
                </c:pt>
                <c:pt idx="623">
                  <c:v>44735</c:v>
                </c:pt>
                <c:pt idx="624">
                  <c:v>44736</c:v>
                </c:pt>
                <c:pt idx="625">
                  <c:v>44739</c:v>
                </c:pt>
                <c:pt idx="626">
                  <c:v>44740</c:v>
                </c:pt>
                <c:pt idx="627">
                  <c:v>44741</c:v>
                </c:pt>
                <c:pt idx="628">
                  <c:v>44742</c:v>
                </c:pt>
                <c:pt idx="629">
                  <c:v>44743</c:v>
                </c:pt>
                <c:pt idx="630">
                  <c:v>44746</c:v>
                </c:pt>
                <c:pt idx="631">
                  <c:v>44748</c:v>
                </c:pt>
                <c:pt idx="632">
                  <c:v>44749</c:v>
                </c:pt>
                <c:pt idx="633">
                  <c:v>44750</c:v>
                </c:pt>
                <c:pt idx="634">
                  <c:v>44753</c:v>
                </c:pt>
                <c:pt idx="635">
                  <c:v>44754</c:v>
                </c:pt>
                <c:pt idx="636">
                  <c:v>44755</c:v>
                </c:pt>
                <c:pt idx="637">
                  <c:v>44756</c:v>
                </c:pt>
                <c:pt idx="638">
                  <c:v>44757</c:v>
                </c:pt>
                <c:pt idx="639">
                  <c:v>44760</c:v>
                </c:pt>
                <c:pt idx="640">
                  <c:v>44761</c:v>
                </c:pt>
                <c:pt idx="641">
                  <c:v>44762</c:v>
                </c:pt>
                <c:pt idx="642">
                  <c:v>44763</c:v>
                </c:pt>
                <c:pt idx="643">
                  <c:v>44764</c:v>
                </c:pt>
                <c:pt idx="644">
                  <c:v>44767</c:v>
                </c:pt>
                <c:pt idx="645">
                  <c:v>44768</c:v>
                </c:pt>
                <c:pt idx="646">
                  <c:v>44769</c:v>
                </c:pt>
                <c:pt idx="647">
                  <c:v>44770</c:v>
                </c:pt>
                <c:pt idx="648">
                  <c:v>44771</c:v>
                </c:pt>
                <c:pt idx="649">
                  <c:v>44774</c:v>
                </c:pt>
                <c:pt idx="650">
                  <c:v>44775</c:v>
                </c:pt>
                <c:pt idx="651">
                  <c:v>44776</c:v>
                </c:pt>
                <c:pt idx="652">
                  <c:v>44777</c:v>
                </c:pt>
                <c:pt idx="653">
                  <c:v>44778</c:v>
                </c:pt>
                <c:pt idx="654">
                  <c:v>44781</c:v>
                </c:pt>
                <c:pt idx="655">
                  <c:v>44782</c:v>
                </c:pt>
                <c:pt idx="656">
                  <c:v>44783</c:v>
                </c:pt>
                <c:pt idx="657">
                  <c:v>44784</c:v>
                </c:pt>
                <c:pt idx="658">
                  <c:v>44785</c:v>
                </c:pt>
                <c:pt idx="659">
                  <c:v>44788</c:v>
                </c:pt>
                <c:pt idx="660">
                  <c:v>44789</c:v>
                </c:pt>
                <c:pt idx="661">
                  <c:v>44790</c:v>
                </c:pt>
                <c:pt idx="662">
                  <c:v>44791</c:v>
                </c:pt>
                <c:pt idx="663">
                  <c:v>44792</c:v>
                </c:pt>
                <c:pt idx="664">
                  <c:v>44795</c:v>
                </c:pt>
                <c:pt idx="665">
                  <c:v>44796</c:v>
                </c:pt>
                <c:pt idx="666">
                  <c:v>44797</c:v>
                </c:pt>
                <c:pt idx="667">
                  <c:v>44798</c:v>
                </c:pt>
                <c:pt idx="668">
                  <c:v>44799</c:v>
                </c:pt>
                <c:pt idx="669">
                  <c:v>44802</c:v>
                </c:pt>
                <c:pt idx="670">
                  <c:v>44803</c:v>
                </c:pt>
                <c:pt idx="671">
                  <c:v>44804</c:v>
                </c:pt>
                <c:pt idx="672">
                  <c:v>44805</c:v>
                </c:pt>
                <c:pt idx="673">
                  <c:v>44806</c:v>
                </c:pt>
                <c:pt idx="674">
                  <c:v>44809</c:v>
                </c:pt>
                <c:pt idx="675">
                  <c:v>44810</c:v>
                </c:pt>
                <c:pt idx="676">
                  <c:v>44811</c:v>
                </c:pt>
                <c:pt idx="677">
                  <c:v>44812</c:v>
                </c:pt>
                <c:pt idx="678">
                  <c:v>44813</c:v>
                </c:pt>
                <c:pt idx="679">
                  <c:v>44816</c:v>
                </c:pt>
                <c:pt idx="680">
                  <c:v>44817</c:v>
                </c:pt>
                <c:pt idx="681">
                  <c:v>44818</c:v>
                </c:pt>
                <c:pt idx="682">
                  <c:v>44819</c:v>
                </c:pt>
                <c:pt idx="683">
                  <c:v>44820</c:v>
                </c:pt>
                <c:pt idx="684">
                  <c:v>44823</c:v>
                </c:pt>
                <c:pt idx="685">
                  <c:v>44824</c:v>
                </c:pt>
                <c:pt idx="686">
                  <c:v>44826</c:v>
                </c:pt>
                <c:pt idx="687">
                  <c:v>44827</c:v>
                </c:pt>
                <c:pt idx="688">
                  <c:v>44830</c:v>
                </c:pt>
                <c:pt idx="689">
                  <c:v>44831</c:v>
                </c:pt>
                <c:pt idx="690">
                  <c:v>44832</c:v>
                </c:pt>
                <c:pt idx="691">
                  <c:v>44833</c:v>
                </c:pt>
                <c:pt idx="692">
                  <c:v>44834</c:v>
                </c:pt>
                <c:pt idx="693">
                  <c:v>44837</c:v>
                </c:pt>
                <c:pt idx="694">
                  <c:v>44838</c:v>
                </c:pt>
                <c:pt idx="695">
                  <c:v>44839</c:v>
                </c:pt>
                <c:pt idx="696">
                  <c:v>44840</c:v>
                </c:pt>
                <c:pt idx="697">
                  <c:v>44841</c:v>
                </c:pt>
                <c:pt idx="698">
                  <c:v>44844</c:v>
                </c:pt>
                <c:pt idx="699">
                  <c:v>44845</c:v>
                </c:pt>
                <c:pt idx="700">
                  <c:v>44846</c:v>
                </c:pt>
                <c:pt idx="701">
                  <c:v>44847</c:v>
                </c:pt>
                <c:pt idx="702">
                  <c:v>44848</c:v>
                </c:pt>
                <c:pt idx="703">
                  <c:v>44851</c:v>
                </c:pt>
                <c:pt idx="704">
                  <c:v>44852</c:v>
                </c:pt>
                <c:pt idx="705">
                  <c:v>44853</c:v>
                </c:pt>
                <c:pt idx="706">
                  <c:v>44854</c:v>
                </c:pt>
                <c:pt idx="707">
                  <c:v>44855</c:v>
                </c:pt>
                <c:pt idx="708">
                  <c:v>44858</c:v>
                </c:pt>
                <c:pt idx="709">
                  <c:v>44859</c:v>
                </c:pt>
                <c:pt idx="710">
                  <c:v>44860</c:v>
                </c:pt>
                <c:pt idx="711">
                  <c:v>44861</c:v>
                </c:pt>
                <c:pt idx="712">
                  <c:v>44862</c:v>
                </c:pt>
                <c:pt idx="713">
                  <c:v>44865</c:v>
                </c:pt>
                <c:pt idx="714">
                  <c:v>44866</c:v>
                </c:pt>
                <c:pt idx="715">
                  <c:v>44867</c:v>
                </c:pt>
                <c:pt idx="716">
                  <c:v>44868</c:v>
                </c:pt>
                <c:pt idx="717">
                  <c:v>44869</c:v>
                </c:pt>
                <c:pt idx="718">
                  <c:v>44872</c:v>
                </c:pt>
                <c:pt idx="719">
                  <c:v>44873</c:v>
                </c:pt>
                <c:pt idx="720">
                  <c:v>44874</c:v>
                </c:pt>
                <c:pt idx="721">
                  <c:v>44875</c:v>
                </c:pt>
                <c:pt idx="722">
                  <c:v>44876</c:v>
                </c:pt>
                <c:pt idx="723">
                  <c:v>44879</c:v>
                </c:pt>
                <c:pt idx="724">
                  <c:v>44880</c:v>
                </c:pt>
                <c:pt idx="725">
                  <c:v>44881</c:v>
                </c:pt>
                <c:pt idx="726">
                  <c:v>44882</c:v>
                </c:pt>
                <c:pt idx="727">
                  <c:v>44883</c:v>
                </c:pt>
                <c:pt idx="728">
                  <c:v>44886</c:v>
                </c:pt>
                <c:pt idx="729">
                  <c:v>44887</c:v>
                </c:pt>
                <c:pt idx="730">
                  <c:v>44888</c:v>
                </c:pt>
                <c:pt idx="731">
                  <c:v>44889</c:v>
                </c:pt>
                <c:pt idx="732">
                  <c:v>44890</c:v>
                </c:pt>
                <c:pt idx="733">
                  <c:v>44893</c:v>
                </c:pt>
                <c:pt idx="734">
                  <c:v>44894</c:v>
                </c:pt>
                <c:pt idx="735">
                  <c:v>44895</c:v>
                </c:pt>
                <c:pt idx="736">
                  <c:v>44896</c:v>
                </c:pt>
                <c:pt idx="737">
                  <c:v>44897</c:v>
                </c:pt>
                <c:pt idx="738">
                  <c:v>44900</c:v>
                </c:pt>
                <c:pt idx="739">
                  <c:v>44901</c:v>
                </c:pt>
                <c:pt idx="740">
                  <c:v>44902</c:v>
                </c:pt>
                <c:pt idx="741">
                  <c:v>44903</c:v>
                </c:pt>
                <c:pt idx="742">
                  <c:v>44904</c:v>
                </c:pt>
                <c:pt idx="743">
                  <c:v>44907</c:v>
                </c:pt>
                <c:pt idx="744">
                  <c:v>44908</c:v>
                </c:pt>
                <c:pt idx="745">
                  <c:v>44909</c:v>
                </c:pt>
                <c:pt idx="746">
                  <c:v>44910</c:v>
                </c:pt>
                <c:pt idx="747">
                  <c:v>44911</c:v>
                </c:pt>
                <c:pt idx="748">
                  <c:v>44914</c:v>
                </c:pt>
                <c:pt idx="749">
                  <c:v>44915</c:v>
                </c:pt>
                <c:pt idx="750">
                  <c:v>44916</c:v>
                </c:pt>
                <c:pt idx="751">
                  <c:v>44917</c:v>
                </c:pt>
                <c:pt idx="752">
                  <c:v>44918</c:v>
                </c:pt>
                <c:pt idx="753">
                  <c:v>44921</c:v>
                </c:pt>
                <c:pt idx="754">
                  <c:v>44922</c:v>
                </c:pt>
                <c:pt idx="755">
                  <c:v>44923</c:v>
                </c:pt>
                <c:pt idx="756">
                  <c:v>44924</c:v>
                </c:pt>
                <c:pt idx="757">
                  <c:v>44925</c:v>
                </c:pt>
              </c:numCache>
            </c:numRef>
          </c:cat>
          <c:val>
            <c:numRef>
              <c:f>'Graf yield'!$E$572:$E$1329</c:f>
              <c:numCache>
                <c:formatCode>General</c:formatCode>
                <c:ptCount val="758"/>
                <c:pt idx="510" formatCode="0.00">
                  <c:v>10.603100000000001</c:v>
                </c:pt>
                <c:pt idx="511" formatCode="0.00">
                  <c:v>10.603100000000001</c:v>
                </c:pt>
                <c:pt idx="512" formatCode="0.00">
                  <c:v>10.603100000000001</c:v>
                </c:pt>
                <c:pt idx="513" formatCode="0.00">
                  <c:v>10.603100000000001</c:v>
                </c:pt>
                <c:pt idx="514" formatCode="0.00">
                  <c:v>10.520371950240609</c:v>
                </c:pt>
                <c:pt idx="515" formatCode="0.00">
                  <c:v>10.520371950240609</c:v>
                </c:pt>
                <c:pt idx="516" formatCode="0.00">
                  <c:v>10.520371950240609</c:v>
                </c:pt>
                <c:pt idx="517" formatCode="0.00">
                  <c:v>10.520371950240609</c:v>
                </c:pt>
                <c:pt idx="518" formatCode="0.00">
                  <c:v>10.520371950240609</c:v>
                </c:pt>
                <c:pt idx="519" formatCode="0.00">
                  <c:v>10.432523197027155</c:v>
                </c:pt>
                <c:pt idx="520" formatCode="0.00">
                  <c:v>10.432523197027155</c:v>
                </c:pt>
                <c:pt idx="521" formatCode="0.00">
                  <c:v>10.432523197027155</c:v>
                </c:pt>
                <c:pt idx="522" formatCode="0.00">
                  <c:v>10.432523197027155</c:v>
                </c:pt>
                <c:pt idx="523" formatCode="0.00">
                  <c:v>10.39358125767478</c:v>
                </c:pt>
                <c:pt idx="524" formatCode="0.00">
                  <c:v>10.39358125767478</c:v>
                </c:pt>
                <c:pt idx="525" formatCode="0.00">
                  <c:v>10.39358125767478</c:v>
                </c:pt>
                <c:pt idx="526" formatCode="0.00">
                  <c:v>10.39358125767478</c:v>
                </c:pt>
                <c:pt idx="527" formatCode="0.00">
                  <c:v>10.39358125767478</c:v>
                </c:pt>
                <c:pt idx="528" formatCode="0.00">
                  <c:v>10.39358125767478</c:v>
                </c:pt>
                <c:pt idx="529" formatCode="0.00">
                  <c:v>10.192963731577969</c:v>
                </c:pt>
                <c:pt idx="530" formatCode="0.00">
                  <c:v>10.192963731577969</c:v>
                </c:pt>
                <c:pt idx="531" formatCode="0.00">
                  <c:v>10.192963731577969</c:v>
                </c:pt>
                <c:pt idx="532" formatCode="0.00">
                  <c:v>10.192963731577969</c:v>
                </c:pt>
                <c:pt idx="533" formatCode="0.00">
                  <c:v>10.159670333118244</c:v>
                </c:pt>
                <c:pt idx="534" formatCode="0.00">
                  <c:v>10.159670333118244</c:v>
                </c:pt>
                <c:pt idx="535" formatCode="0.00">
                  <c:v>10.159670333118244</c:v>
                </c:pt>
                <c:pt idx="536" formatCode="0.00">
                  <c:v>10.159670333118244</c:v>
                </c:pt>
                <c:pt idx="537" formatCode="0.00">
                  <c:v>10.159670333118244</c:v>
                </c:pt>
                <c:pt idx="538" formatCode="0.00">
                  <c:v>10.121208849766965</c:v>
                </c:pt>
                <c:pt idx="539" formatCode="0.00">
                  <c:v>10.121208849766965</c:v>
                </c:pt>
                <c:pt idx="540" formatCode="0.00">
                  <c:v>10.121208849766965</c:v>
                </c:pt>
                <c:pt idx="541" formatCode="0.00">
                  <c:v>10.121208849766965</c:v>
                </c:pt>
                <c:pt idx="542" formatCode="0.00">
                  <c:v>10.121208849766965</c:v>
                </c:pt>
                <c:pt idx="543" formatCode="0.00">
                  <c:v>10.10760719067115</c:v>
                </c:pt>
                <c:pt idx="544" formatCode="0.00">
                  <c:v>10.10760719067115</c:v>
                </c:pt>
                <c:pt idx="545" formatCode="0.00">
                  <c:v>10.10760719067115</c:v>
                </c:pt>
                <c:pt idx="546" formatCode="0.00">
                  <c:v>10.10760719067115</c:v>
                </c:pt>
                <c:pt idx="547" formatCode="0.00">
                  <c:v>10.10760719067115</c:v>
                </c:pt>
                <c:pt idx="548" formatCode="0.00">
                  <c:v>10.10760719067115</c:v>
                </c:pt>
                <c:pt idx="549" formatCode="0.00">
                  <c:v>10.10760719067115</c:v>
                </c:pt>
                <c:pt idx="550" formatCode="0.00">
                  <c:v>10.10760719067115</c:v>
                </c:pt>
                <c:pt idx="551" formatCode="0.00">
                  <c:v>10.10760719067115</c:v>
                </c:pt>
                <c:pt idx="552" formatCode="0.00">
                  <c:v>10.10760719067115</c:v>
                </c:pt>
                <c:pt idx="553" formatCode="0.00">
                  <c:v>10.162629758329802</c:v>
                </c:pt>
                <c:pt idx="554" formatCode="0.00">
                  <c:v>10.162629758329802</c:v>
                </c:pt>
                <c:pt idx="555" formatCode="0.00">
                  <c:v>10.162629758329802</c:v>
                </c:pt>
                <c:pt idx="556" formatCode="0.00">
                  <c:v>10.162629758329802</c:v>
                </c:pt>
                <c:pt idx="557" formatCode="0.00">
                  <c:v>10.163328019993155</c:v>
                </c:pt>
                <c:pt idx="558" formatCode="0.00">
                  <c:v>10.163328019993155</c:v>
                </c:pt>
                <c:pt idx="559" formatCode="0.00">
                  <c:v>10.163328019993155</c:v>
                </c:pt>
                <c:pt idx="560" formatCode="0.00">
                  <c:v>10.163328019993155</c:v>
                </c:pt>
                <c:pt idx="561" formatCode="0.00">
                  <c:v>10.163328019993155</c:v>
                </c:pt>
                <c:pt idx="562" formatCode="0.00">
                  <c:v>10.160459913809671</c:v>
                </c:pt>
                <c:pt idx="563" formatCode="0.00">
                  <c:v>10.160459913809671</c:v>
                </c:pt>
                <c:pt idx="564" formatCode="0.00">
                  <c:v>10.160459913809671</c:v>
                </c:pt>
                <c:pt idx="565" formatCode="0.00">
                  <c:v>10.160459913809671</c:v>
                </c:pt>
                <c:pt idx="566" formatCode="0.00">
                  <c:v>10.160459913809671</c:v>
                </c:pt>
                <c:pt idx="567" formatCode="0.00">
                  <c:v>10.170728680441394</c:v>
                </c:pt>
                <c:pt idx="568" formatCode="0.00">
                  <c:v>10.170728680441394</c:v>
                </c:pt>
                <c:pt idx="569" formatCode="0.00">
                  <c:v>10.170728680441394</c:v>
                </c:pt>
                <c:pt idx="570" formatCode="0.00">
                  <c:v>10.170728680441394</c:v>
                </c:pt>
                <c:pt idx="571" formatCode="0.00">
                  <c:v>10.170728680441394</c:v>
                </c:pt>
                <c:pt idx="572" formatCode="0.00">
                  <c:v>10.170728680441394</c:v>
                </c:pt>
                <c:pt idx="573" formatCode="0.00">
                  <c:v>10.205336517715061</c:v>
                </c:pt>
                <c:pt idx="574" formatCode="0.00">
                  <c:v>10.205336517715061</c:v>
                </c:pt>
                <c:pt idx="575" formatCode="0.00">
                  <c:v>10.205336517715061</c:v>
                </c:pt>
                <c:pt idx="576" formatCode="0.00">
                  <c:v>10.205336517715061</c:v>
                </c:pt>
                <c:pt idx="577" formatCode="0.00">
                  <c:v>10.208077867941453</c:v>
                </c:pt>
                <c:pt idx="578" formatCode="0.00">
                  <c:v>10.208077867941453</c:v>
                </c:pt>
                <c:pt idx="579" formatCode="0.00">
                  <c:v>10.208077867941453</c:v>
                </c:pt>
                <c:pt idx="580" formatCode="0.00">
                  <c:v>10.208077867941453</c:v>
                </c:pt>
                <c:pt idx="581" formatCode="0.00">
                  <c:v>10.208077867941453</c:v>
                </c:pt>
                <c:pt idx="582" formatCode="0.00">
                  <c:v>10.20738443706451</c:v>
                </c:pt>
                <c:pt idx="583" formatCode="0.00">
                  <c:v>10.20738443706451</c:v>
                </c:pt>
                <c:pt idx="584" formatCode="0.00">
                  <c:v>10.20738443706451</c:v>
                </c:pt>
                <c:pt idx="585" formatCode="0.00">
                  <c:v>10.582048852160181</c:v>
                </c:pt>
                <c:pt idx="586" formatCode="0.00">
                  <c:v>10.582048852160181</c:v>
                </c:pt>
                <c:pt idx="587" formatCode="0.00">
                  <c:v>10.580022098293222</c:v>
                </c:pt>
                <c:pt idx="588" formatCode="0.00">
                  <c:v>10.580022098293222</c:v>
                </c:pt>
                <c:pt idx="589" formatCode="0.00">
                  <c:v>10.580022098293222</c:v>
                </c:pt>
                <c:pt idx="590" formatCode="0.00">
                  <c:v>10.580022098293222</c:v>
                </c:pt>
                <c:pt idx="591" formatCode="0.00">
                  <c:v>10.580022098293222</c:v>
                </c:pt>
                <c:pt idx="592" formatCode="0.00">
                  <c:v>10.669468637499042</c:v>
                </c:pt>
                <c:pt idx="593" formatCode="0.00">
                  <c:v>10.682850821198436</c:v>
                </c:pt>
                <c:pt idx="594" formatCode="0.00">
                  <c:v>10.682850821198436</c:v>
                </c:pt>
                <c:pt idx="595" formatCode="0.00">
                  <c:v>10.682850821198436</c:v>
                </c:pt>
                <c:pt idx="596" formatCode="0.00">
                  <c:v>10.680095227865753</c:v>
                </c:pt>
                <c:pt idx="597" formatCode="0.00">
                  <c:v>10.680095227865753</c:v>
                </c:pt>
                <c:pt idx="598" formatCode="0.00">
                  <c:v>10.680095227865753</c:v>
                </c:pt>
                <c:pt idx="599" formatCode="0.00">
                  <c:v>10.680095227865753</c:v>
                </c:pt>
                <c:pt idx="600" formatCode="0.00">
                  <c:v>10.680095227865753</c:v>
                </c:pt>
                <c:pt idx="601" formatCode="0.00">
                  <c:v>10.676722772719385</c:v>
                </c:pt>
                <c:pt idx="602" formatCode="0.00">
                  <c:v>10.676722772719385</c:v>
                </c:pt>
                <c:pt idx="603" formatCode="0.00">
                  <c:v>10.676722772719385</c:v>
                </c:pt>
                <c:pt idx="604" formatCode="0.00">
                  <c:v>10.676722772719385</c:v>
                </c:pt>
                <c:pt idx="605" formatCode="0.00">
                  <c:v>10.676722772719385</c:v>
                </c:pt>
                <c:pt idx="606" formatCode="0.00">
                  <c:v>10.676722772719385</c:v>
                </c:pt>
                <c:pt idx="607" formatCode="0.00">
                  <c:v>10.676722772719385</c:v>
                </c:pt>
                <c:pt idx="608" formatCode="0.00">
                  <c:v>10.676722772719385</c:v>
                </c:pt>
                <c:pt idx="609" formatCode="0.00">
                  <c:v>10.676722772719385</c:v>
                </c:pt>
                <c:pt idx="610" formatCode="0.00">
                  <c:v>10.676722772719385</c:v>
                </c:pt>
                <c:pt idx="611" formatCode="0.00">
                  <c:v>10.675542747541595</c:v>
                </c:pt>
                <c:pt idx="612" formatCode="0.00">
                  <c:v>10.675542747541595</c:v>
                </c:pt>
                <c:pt idx="613" formatCode="0.00">
                  <c:v>10.675542747541595</c:v>
                </c:pt>
                <c:pt idx="614" formatCode="0.00">
                  <c:v>10.675542747541595</c:v>
                </c:pt>
                <c:pt idx="615" formatCode="0.00">
                  <c:v>10.675542747541595</c:v>
                </c:pt>
                <c:pt idx="616" formatCode="0.00">
                  <c:v>10.675542747541595</c:v>
                </c:pt>
                <c:pt idx="617" formatCode="0.00">
                  <c:v>10.706600632515496</c:v>
                </c:pt>
                <c:pt idx="618" formatCode="0.00">
                  <c:v>10.706600632515496</c:v>
                </c:pt>
                <c:pt idx="619" formatCode="0.00">
                  <c:v>10.706600632515496</c:v>
                </c:pt>
                <c:pt idx="620" formatCode="0.00">
                  <c:v>10.706600632515496</c:v>
                </c:pt>
                <c:pt idx="621" formatCode="0.00">
                  <c:v>10.706121373106237</c:v>
                </c:pt>
                <c:pt idx="622" formatCode="0.00">
                  <c:v>10.706121373106237</c:v>
                </c:pt>
                <c:pt idx="623" formatCode="0.00">
                  <c:v>10.706121373106237</c:v>
                </c:pt>
                <c:pt idx="624" formatCode="0.00">
                  <c:v>10.706121373106237</c:v>
                </c:pt>
                <c:pt idx="625" formatCode="0.00">
                  <c:v>10.706121373106237</c:v>
                </c:pt>
                <c:pt idx="626" formatCode="0.00">
                  <c:v>10.705795295258994</c:v>
                </c:pt>
                <c:pt idx="627" formatCode="0.00">
                  <c:v>10.705795295258994</c:v>
                </c:pt>
                <c:pt idx="628" formatCode="0.00">
                  <c:v>10.705795295258994</c:v>
                </c:pt>
                <c:pt idx="629" formatCode="0.00">
                  <c:v>10.705795295258994</c:v>
                </c:pt>
                <c:pt idx="630" formatCode="0.00">
                  <c:v>10.706380809306548</c:v>
                </c:pt>
                <c:pt idx="631" formatCode="0.00">
                  <c:v>10.706380809306548</c:v>
                </c:pt>
                <c:pt idx="632" formatCode="0.00">
                  <c:v>10.706380809306548</c:v>
                </c:pt>
                <c:pt idx="633" formatCode="0.00">
                  <c:v>10.706380809306548</c:v>
                </c:pt>
                <c:pt idx="634" formatCode="0.00">
                  <c:v>10.706380809306548</c:v>
                </c:pt>
                <c:pt idx="635" formatCode="0.00">
                  <c:v>10.706380809306548</c:v>
                </c:pt>
                <c:pt idx="636" formatCode="0.00">
                  <c:v>10.8574967895985</c:v>
                </c:pt>
                <c:pt idx="637" formatCode="0.00">
                  <c:v>10.8574967895985</c:v>
                </c:pt>
                <c:pt idx="638" formatCode="0.00">
                  <c:v>10.8574967895985</c:v>
                </c:pt>
                <c:pt idx="639" formatCode="0.00">
                  <c:v>10.8574967895985</c:v>
                </c:pt>
                <c:pt idx="640" formatCode="0.00">
                  <c:v>10.85619346872566</c:v>
                </c:pt>
                <c:pt idx="641" formatCode="0.00">
                  <c:v>10.85619346872566</c:v>
                </c:pt>
                <c:pt idx="642" formatCode="0.00">
                  <c:v>10.85619346872566</c:v>
                </c:pt>
                <c:pt idx="643" formatCode="0.00">
                  <c:v>10.85619346872566</c:v>
                </c:pt>
                <c:pt idx="644" formatCode="0.00">
                  <c:v>10.85619346872566</c:v>
                </c:pt>
                <c:pt idx="645" formatCode="0.00">
                  <c:v>10.85619346872566</c:v>
                </c:pt>
                <c:pt idx="646" formatCode="0.00">
                  <c:v>10.85619346872566</c:v>
                </c:pt>
                <c:pt idx="647" formatCode="0.00">
                  <c:v>10.85619346872566</c:v>
                </c:pt>
                <c:pt idx="648" formatCode="0.00">
                  <c:v>10.85619346872566</c:v>
                </c:pt>
                <c:pt idx="649" formatCode="0.00">
                  <c:v>10.85619346872566</c:v>
                </c:pt>
                <c:pt idx="650" formatCode="0.00">
                  <c:v>10.85619346872566</c:v>
                </c:pt>
                <c:pt idx="651" formatCode="0.00">
                  <c:v>10.85619346872566</c:v>
                </c:pt>
                <c:pt idx="652" formatCode="0.00">
                  <c:v>10.85619346872566</c:v>
                </c:pt>
                <c:pt idx="653" formatCode="0.00">
                  <c:v>10.85619346872566</c:v>
                </c:pt>
                <c:pt idx="654" formatCode="0.00">
                  <c:v>10.85619346872566</c:v>
                </c:pt>
                <c:pt idx="655" formatCode="0.00">
                  <c:v>10.85619346872566</c:v>
                </c:pt>
                <c:pt idx="656" formatCode="0.00">
                  <c:v>10.895316220132893</c:v>
                </c:pt>
                <c:pt idx="657" formatCode="0.00">
                  <c:v>10.895316220132893</c:v>
                </c:pt>
                <c:pt idx="658" formatCode="0.00">
                  <c:v>10.895316220132893</c:v>
                </c:pt>
                <c:pt idx="659" formatCode="0.00">
                  <c:v>10.895316220132893</c:v>
                </c:pt>
                <c:pt idx="660" formatCode="0.00">
                  <c:v>10.890915001192317</c:v>
                </c:pt>
                <c:pt idx="661" formatCode="0.00">
                  <c:v>10.890915001192317</c:v>
                </c:pt>
                <c:pt idx="662" formatCode="0.00">
                  <c:v>10.890915001192317</c:v>
                </c:pt>
                <c:pt idx="663" formatCode="0.00">
                  <c:v>10.890915001192317</c:v>
                </c:pt>
                <c:pt idx="664" formatCode="0.00">
                  <c:v>10.890915001192317</c:v>
                </c:pt>
                <c:pt idx="665" formatCode="0.00">
                  <c:v>10.889341808890341</c:v>
                </c:pt>
                <c:pt idx="666" formatCode="0.00">
                  <c:v>10.889341808890341</c:v>
                </c:pt>
                <c:pt idx="667" formatCode="0.00">
                  <c:v>10.889341808890341</c:v>
                </c:pt>
                <c:pt idx="668" formatCode="0.00">
                  <c:v>10.889341808890341</c:v>
                </c:pt>
                <c:pt idx="669" formatCode="0.00">
                  <c:v>10.889341808890341</c:v>
                </c:pt>
                <c:pt idx="670" formatCode="0.00">
                  <c:v>10.889341808890341</c:v>
                </c:pt>
                <c:pt idx="671" formatCode="0.00">
                  <c:v>10.889341808890341</c:v>
                </c:pt>
                <c:pt idx="672" formatCode="0.00">
                  <c:v>10.889341808890341</c:v>
                </c:pt>
                <c:pt idx="673" formatCode="0.00">
                  <c:v>10.889341808890341</c:v>
                </c:pt>
                <c:pt idx="674" formatCode="0.00">
                  <c:v>10.889341808890341</c:v>
                </c:pt>
                <c:pt idx="675" formatCode="0.00">
                  <c:v>10.887808250070098</c:v>
                </c:pt>
                <c:pt idx="676" formatCode="0.00">
                  <c:v>10.887808250070098</c:v>
                </c:pt>
                <c:pt idx="677" formatCode="0.00">
                  <c:v>10.887808250070098</c:v>
                </c:pt>
                <c:pt idx="678" formatCode="0.00">
                  <c:v>10.887808250070098</c:v>
                </c:pt>
                <c:pt idx="679" formatCode="0.00">
                  <c:v>10.887808250070098</c:v>
                </c:pt>
                <c:pt idx="680" formatCode="0.00">
                  <c:v>10.887808250070098</c:v>
                </c:pt>
                <c:pt idx="681" formatCode="0.00">
                  <c:v>10.887808250070098</c:v>
                </c:pt>
                <c:pt idx="682" formatCode="0.00">
                  <c:v>10.898234518095547</c:v>
                </c:pt>
                <c:pt idx="683" formatCode="0.00">
                  <c:v>10.898234518095547</c:v>
                </c:pt>
                <c:pt idx="684" formatCode="0.00">
                  <c:v>10.898234518095547</c:v>
                </c:pt>
                <c:pt idx="685" formatCode="0.00">
                  <c:v>10.898234518095547</c:v>
                </c:pt>
                <c:pt idx="686" formatCode="0.00">
                  <c:v>10.898234518095547</c:v>
                </c:pt>
                <c:pt idx="687" formatCode="0.00">
                  <c:v>10.898234518095547</c:v>
                </c:pt>
                <c:pt idx="688" formatCode="0.00">
                  <c:v>10.898234518095547</c:v>
                </c:pt>
                <c:pt idx="689" formatCode="0.00">
                  <c:v>10.897599036729655</c:v>
                </c:pt>
                <c:pt idx="690" formatCode="0.00">
                  <c:v>10.897599036729655</c:v>
                </c:pt>
                <c:pt idx="691" formatCode="0.00">
                  <c:v>10.897599036729655</c:v>
                </c:pt>
                <c:pt idx="692" formatCode="0.00">
                  <c:v>10.897599036729655</c:v>
                </c:pt>
                <c:pt idx="693" formatCode="0.00">
                  <c:v>10.897599036729655</c:v>
                </c:pt>
                <c:pt idx="694" formatCode="0.00">
                  <c:v>10.900812361342318</c:v>
                </c:pt>
                <c:pt idx="695" formatCode="0.00">
                  <c:v>10.900812361342318</c:v>
                </c:pt>
                <c:pt idx="696" formatCode="0.00">
                  <c:v>10.900812361342318</c:v>
                </c:pt>
                <c:pt idx="697" formatCode="0.00">
                  <c:v>10.900812361342318</c:v>
                </c:pt>
                <c:pt idx="698" formatCode="0.00">
                  <c:v>10.900812361342318</c:v>
                </c:pt>
                <c:pt idx="699" formatCode="0.00">
                  <c:v>10.900812361342318</c:v>
                </c:pt>
                <c:pt idx="700" formatCode="0.00">
                  <c:v>10.900812361342318</c:v>
                </c:pt>
                <c:pt idx="701" formatCode="0.00">
                  <c:v>10.900812361342318</c:v>
                </c:pt>
                <c:pt idx="702" formatCode="0.00">
                  <c:v>10.900812361342318</c:v>
                </c:pt>
                <c:pt idx="703" formatCode="0.00">
                  <c:v>10.900812361342318</c:v>
                </c:pt>
                <c:pt idx="704" formatCode="0.00">
                  <c:v>10.904999134140136</c:v>
                </c:pt>
                <c:pt idx="705" formatCode="0.00">
                  <c:v>10.904999134140136</c:v>
                </c:pt>
                <c:pt idx="706" formatCode="0.00">
                  <c:v>10.904999134140136</c:v>
                </c:pt>
                <c:pt idx="707" formatCode="0.00">
                  <c:v>10.904999134140136</c:v>
                </c:pt>
                <c:pt idx="708" formatCode="0.00">
                  <c:v>10.904999134140136</c:v>
                </c:pt>
                <c:pt idx="709" formatCode="0.00">
                  <c:v>10.911858713247264</c:v>
                </c:pt>
                <c:pt idx="710" formatCode="0.00">
                  <c:v>10.911858713247264</c:v>
                </c:pt>
                <c:pt idx="711" formatCode="0.00">
                  <c:v>10.911858713247264</c:v>
                </c:pt>
                <c:pt idx="712" formatCode="0.00">
                  <c:v>10.911858713247264</c:v>
                </c:pt>
                <c:pt idx="713" formatCode="0.00">
                  <c:v>10.911858713247264</c:v>
                </c:pt>
                <c:pt idx="714" formatCode="0.00">
                  <c:v>10.956947865218112</c:v>
                </c:pt>
                <c:pt idx="715" formatCode="0.00">
                  <c:v>10.956947865218112</c:v>
                </c:pt>
                <c:pt idx="716" formatCode="0.00">
                  <c:v>10.956947865218112</c:v>
                </c:pt>
                <c:pt idx="717" formatCode="0.00">
                  <c:v>10.956947865218112</c:v>
                </c:pt>
                <c:pt idx="718" formatCode="0.00">
                  <c:v>10.956947865218112</c:v>
                </c:pt>
                <c:pt idx="719" formatCode="0.00">
                  <c:v>10.956947865218112</c:v>
                </c:pt>
                <c:pt idx="720" formatCode="0.00">
                  <c:v>10.956947865218112</c:v>
                </c:pt>
                <c:pt idx="721" formatCode="0.00">
                  <c:v>10.956947865218112</c:v>
                </c:pt>
                <c:pt idx="722" formatCode="0.00">
                  <c:v>10.956947865218112</c:v>
                </c:pt>
                <c:pt idx="723" formatCode="0.00">
                  <c:v>10.956947865218112</c:v>
                </c:pt>
                <c:pt idx="724" formatCode="0.00">
                  <c:v>10.967944213136988</c:v>
                </c:pt>
                <c:pt idx="725" formatCode="0.00">
                  <c:v>10.967944213136983</c:v>
                </c:pt>
                <c:pt idx="726" formatCode="0.00">
                  <c:v>10.967944213136983</c:v>
                </c:pt>
                <c:pt idx="727" formatCode="0.00">
                  <c:v>10.967944213136983</c:v>
                </c:pt>
                <c:pt idx="728" formatCode="0.00">
                  <c:v>10.967944213136983</c:v>
                </c:pt>
                <c:pt idx="729" formatCode="0.00">
                  <c:v>10.977984038998903</c:v>
                </c:pt>
                <c:pt idx="730" formatCode="0.00">
                  <c:v>10.977984038998903</c:v>
                </c:pt>
                <c:pt idx="731" formatCode="0.00">
                  <c:v>10.977984038998903</c:v>
                </c:pt>
                <c:pt idx="732" formatCode="0.00">
                  <c:v>10.977984038998903</c:v>
                </c:pt>
                <c:pt idx="733" formatCode="0.00">
                  <c:v>10.977984038998903</c:v>
                </c:pt>
                <c:pt idx="734" formatCode="0.00">
                  <c:v>10.982218114284203</c:v>
                </c:pt>
                <c:pt idx="735" formatCode="0.00">
                  <c:v>10.982218114284203</c:v>
                </c:pt>
                <c:pt idx="736" formatCode="0.00">
                  <c:v>10.982218114284203</c:v>
                </c:pt>
                <c:pt idx="737" formatCode="0.00">
                  <c:v>10.982218114284203</c:v>
                </c:pt>
                <c:pt idx="738" formatCode="0.00">
                  <c:v>10.982218114284203</c:v>
                </c:pt>
                <c:pt idx="739" formatCode="0.00">
                  <c:v>10.992994117753282</c:v>
                </c:pt>
                <c:pt idx="740" formatCode="0.00">
                  <c:v>10.992994117753282</c:v>
                </c:pt>
                <c:pt idx="741" formatCode="0.00">
                  <c:v>10.992994117753282</c:v>
                </c:pt>
                <c:pt idx="742" formatCode="0.00">
                  <c:v>10.992994117753282</c:v>
                </c:pt>
                <c:pt idx="743" formatCode="0.00">
                  <c:v>10.992994117753282</c:v>
                </c:pt>
                <c:pt idx="744" formatCode="0.00">
                  <c:v>10.992994117753282</c:v>
                </c:pt>
                <c:pt idx="745" formatCode="0.00">
                  <c:v>11.056673969558469</c:v>
                </c:pt>
                <c:pt idx="746" formatCode="0.00">
                  <c:v>11.056673969558469</c:v>
                </c:pt>
                <c:pt idx="747" formatCode="0.00">
                  <c:v>11.056673969558469</c:v>
                </c:pt>
                <c:pt idx="748" formatCode="0.00">
                  <c:v>11.056673969558469</c:v>
                </c:pt>
                <c:pt idx="749" formatCode="0.00">
                  <c:v>11.066364616973399</c:v>
                </c:pt>
                <c:pt idx="750" formatCode="0.00">
                  <c:v>11.066364616973399</c:v>
                </c:pt>
                <c:pt idx="751" formatCode="0.00">
                  <c:v>11.066364616973399</c:v>
                </c:pt>
                <c:pt idx="752" formatCode="0.00">
                  <c:v>11.066364616973399</c:v>
                </c:pt>
                <c:pt idx="753" formatCode="0.00">
                  <c:v>11.066364616973399</c:v>
                </c:pt>
                <c:pt idx="754" formatCode="0.00">
                  <c:v>11.066364616973399</c:v>
                </c:pt>
                <c:pt idx="755" formatCode="0.00">
                  <c:v>11.075418062328016</c:v>
                </c:pt>
                <c:pt idx="756" formatCode="0.00">
                  <c:v>11.075418062328016</c:v>
                </c:pt>
                <c:pt idx="757" formatCode="0.00">
                  <c:v>11.075418062328016</c:v>
                </c:pt>
              </c:numCache>
            </c:numRef>
          </c:val>
          <c:smooth val="0"/>
          <c:extLst>
            <c:ext xmlns:c16="http://schemas.microsoft.com/office/drawing/2014/chart" uri="{C3380CC4-5D6E-409C-BE32-E72D297353CC}">
              <c16:uniqueId val="{00000002-FFAB-4A88-BCF5-51785F38940A}"/>
            </c:ext>
          </c:extLst>
        </c:ser>
        <c:dLbls>
          <c:showLegendKey val="0"/>
          <c:showVal val="0"/>
          <c:showCatName val="0"/>
          <c:showSerName val="0"/>
          <c:showPercent val="0"/>
          <c:showBubbleSize val="0"/>
        </c:dLbls>
        <c:smooth val="0"/>
        <c:axId val="251236864"/>
        <c:axId val="250934912"/>
      </c:lineChart>
      <c:dateAx>
        <c:axId val="251236864"/>
        <c:scaling>
          <c:orientation val="minMax"/>
        </c:scaling>
        <c:delete val="0"/>
        <c:axPos val="b"/>
        <c:numFmt formatCode="dd\.mm\.yy;@" sourceLinked="0"/>
        <c:majorTickMark val="out"/>
        <c:minorTickMark val="none"/>
        <c:tickLblPos val="nextTo"/>
        <c:txPr>
          <a:bodyPr rot="-3600000"/>
          <a:lstStyle/>
          <a:p>
            <a:pPr>
              <a:defRPr/>
            </a:pPr>
            <a:endParaRPr lang="en-US"/>
          </a:p>
        </c:txPr>
        <c:crossAx val="250934912"/>
        <c:crosses val="autoZero"/>
        <c:auto val="1"/>
        <c:lblOffset val="100"/>
        <c:baseTimeUnit val="days"/>
        <c:majorUnit val="1"/>
        <c:majorTimeUnit val="months"/>
        <c:minorUnit val="1"/>
        <c:minorTimeUnit val="days"/>
      </c:dateAx>
      <c:valAx>
        <c:axId val="250934912"/>
        <c:scaling>
          <c:orientation val="minMax"/>
          <c:min val="9.8000000000000007"/>
        </c:scaling>
        <c:delete val="0"/>
        <c:axPos val="l"/>
        <c:majorGridlines/>
        <c:numFmt formatCode="0.0" sourceLinked="0"/>
        <c:majorTickMark val="out"/>
        <c:minorTickMark val="none"/>
        <c:tickLblPos val="nextTo"/>
        <c:crossAx val="251236864"/>
        <c:crosses val="autoZero"/>
        <c:crossBetween val="between"/>
        <c:majorUnit val="0.1"/>
      </c:valAx>
    </c:plotArea>
    <c:legend>
      <c:legendPos val="b"/>
      <c:layout>
        <c:manualLayout>
          <c:xMode val="edge"/>
          <c:yMode val="edge"/>
          <c:x val="2.6369245575830536E-2"/>
          <c:y val="0.86574369374899007"/>
          <c:w val="0.95859280153084503"/>
          <c:h val="0.12036742115938835"/>
        </c:manualLayout>
      </c:layout>
      <c:overlay val="0"/>
      <c:txPr>
        <a:bodyPr/>
        <a:lstStyle/>
        <a:p>
          <a:pPr>
            <a:defRPr sz="105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4"/>
      <c:hPercent val="51"/>
      <c:rotY val="8"/>
      <c:depthPercent val="100"/>
      <c:rAngAx val="1"/>
    </c:view3D>
    <c:floor>
      <c:thickness val="0"/>
    </c:floor>
    <c:sideWall>
      <c:thickness val="0"/>
    </c:sideWall>
    <c:backWall>
      <c:thickness val="0"/>
    </c:backWall>
    <c:plotArea>
      <c:layout>
        <c:manualLayout>
          <c:layoutTarget val="inner"/>
          <c:xMode val="edge"/>
          <c:yMode val="edge"/>
          <c:x val="0.11172361083460954"/>
          <c:y val="4.7945285653369855E-2"/>
          <c:w val="0.85744049866478678"/>
          <c:h val="0.6678093358862236"/>
        </c:manualLayout>
      </c:layout>
      <c:bar3DChart>
        <c:barDir val="col"/>
        <c:grouping val="stacked"/>
        <c:varyColors val="0"/>
        <c:ser>
          <c:idx val="0"/>
          <c:order val="0"/>
          <c:tx>
            <c:strRef>
              <c:f>'Graf 3'!$A$12</c:f>
              <c:strCache>
                <c:ptCount val="1"/>
                <c:pt idx="0">
                  <c:v>Foreign Currency Government Debt</c:v>
                </c:pt>
              </c:strCache>
            </c:strRef>
          </c:tx>
          <c:invertIfNegative val="0"/>
          <c:dLbls>
            <c:dLbl>
              <c:idx val="0"/>
              <c:spPr/>
              <c:txPr>
                <a:bodyPr/>
                <a:lstStyle/>
                <a:p>
                  <a:pPr>
                    <a:defRPr sz="1000" b="0" i="0" u="none" strike="noStrike" baseline="0">
                      <a:solidFill>
                        <a:srgbClr val="FFFFFF"/>
                      </a:solidFill>
                      <a:latin typeface="GHEA Grapalat"/>
                      <a:ea typeface="GHEA Grapalat"/>
                      <a:cs typeface="GHEA Grapalat"/>
                    </a:defRPr>
                  </a:pPr>
                  <a:endParaRPr lang="en-US"/>
                </a:p>
              </c:txPr>
              <c:showLegendKey val="0"/>
              <c:showVal val="1"/>
              <c:showCatName val="0"/>
              <c:showSerName val="0"/>
              <c:showPercent val="0"/>
              <c:showBubbleSize val="0"/>
              <c:extLst>
                <c:ext xmlns:c16="http://schemas.microsoft.com/office/drawing/2014/chart" uri="{C3380CC4-5D6E-409C-BE32-E72D297353CC}">
                  <c16:uniqueId val="{00000000-1698-4505-B4B4-0D9A8BE3709F}"/>
                </c:ext>
              </c:extLst>
            </c:dLbl>
            <c:dLbl>
              <c:idx val="1"/>
              <c:spPr/>
              <c:txPr>
                <a:bodyPr/>
                <a:lstStyle/>
                <a:p>
                  <a:pPr>
                    <a:defRPr sz="1000" b="0" i="0" u="none" strike="noStrike" baseline="0">
                      <a:solidFill>
                        <a:srgbClr val="FFFFFF"/>
                      </a:solidFill>
                      <a:latin typeface="GHEA Grapalat"/>
                      <a:ea typeface="GHEA Grapalat"/>
                      <a:cs typeface="GHEA Grapalat"/>
                    </a:defRPr>
                  </a:pPr>
                  <a:endParaRPr lang="en-US"/>
                </a:p>
              </c:txPr>
              <c:showLegendKey val="0"/>
              <c:showVal val="1"/>
              <c:showCatName val="0"/>
              <c:showSerName val="0"/>
              <c:showPercent val="0"/>
              <c:showBubbleSize val="0"/>
              <c:extLst>
                <c:ext xmlns:c16="http://schemas.microsoft.com/office/drawing/2014/chart" uri="{C3380CC4-5D6E-409C-BE32-E72D297353CC}">
                  <c16:uniqueId val="{00000001-1698-4505-B4B4-0D9A8BE3709F}"/>
                </c:ext>
              </c:extLst>
            </c:dLbl>
            <c:spPr>
              <a:noFill/>
              <a:ln w="25400">
                <a:noFill/>
              </a:ln>
            </c:spPr>
            <c:txPr>
              <a:bodyPr wrap="square" lIns="38100" tIns="19050" rIns="38100" bIns="19050" anchor="ctr">
                <a:spAutoFit/>
              </a:bodyPr>
              <a:lstStyle/>
              <a:p>
                <a:pPr>
                  <a:defRPr sz="1000" b="0" i="0" u="none" strike="noStrike" baseline="0">
                    <a:solidFill>
                      <a:srgbClr val="FFFFFF"/>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 3'!$B$11:$C$11</c:f>
              <c:numCache>
                <c:formatCode>General</c:formatCode>
                <c:ptCount val="2"/>
                <c:pt idx="0">
                  <c:v>2021</c:v>
                </c:pt>
                <c:pt idx="1">
                  <c:v>2022</c:v>
                </c:pt>
              </c:numCache>
            </c:numRef>
          </c:cat>
          <c:val>
            <c:numRef>
              <c:f>'Graf 3'!$B$12:$C$12</c:f>
              <c:numCache>
                <c:formatCode>_(* #,##0.0_);_(* \(#,##0.0\);_(* "-"??_);_(@_)</c:formatCode>
                <c:ptCount val="2"/>
                <c:pt idx="0">
                  <c:v>71.157062542322294</c:v>
                </c:pt>
                <c:pt idx="1">
                  <c:v>62.077185849060577</c:v>
                </c:pt>
              </c:numCache>
            </c:numRef>
          </c:val>
          <c:extLst>
            <c:ext xmlns:c16="http://schemas.microsoft.com/office/drawing/2014/chart" uri="{C3380CC4-5D6E-409C-BE32-E72D297353CC}">
              <c16:uniqueId val="{00000002-1698-4505-B4B4-0D9A8BE3709F}"/>
            </c:ext>
          </c:extLst>
        </c:ser>
        <c:ser>
          <c:idx val="1"/>
          <c:order val="1"/>
          <c:tx>
            <c:strRef>
              <c:f>'Graf 3'!$A$13</c:f>
              <c:strCache>
                <c:ptCount val="1"/>
                <c:pt idx="0">
                  <c:v>AMD Government Debt</c:v>
                </c:pt>
              </c:strCache>
            </c:strRef>
          </c:tx>
          <c:invertIfNegative val="0"/>
          <c:dLbls>
            <c:dLbl>
              <c:idx val="0"/>
              <c:spPr>
                <a:noFill/>
                <a:ln>
                  <a:noFill/>
                </a:ln>
              </c:spPr>
              <c:txPr>
                <a:bodyPr/>
                <a:lstStyle/>
                <a:p>
                  <a:pPr>
                    <a:defRPr sz="1000" b="0" i="0" u="none" strike="noStrike" baseline="0">
                      <a:solidFill>
                        <a:srgbClr val="FFFFFF"/>
                      </a:solidFill>
                      <a:latin typeface="GHEA Grapalat"/>
                      <a:ea typeface="GHEA Grapalat"/>
                      <a:cs typeface="GHEA Grapalat"/>
                    </a:defRPr>
                  </a:pPr>
                  <a:endParaRPr lang="en-US"/>
                </a:p>
              </c:txPr>
              <c:showLegendKey val="0"/>
              <c:showVal val="1"/>
              <c:showCatName val="0"/>
              <c:showSerName val="0"/>
              <c:showPercent val="0"/>
              <c:showBubbleSize val="0"/>
              <c:extLst>
                <c:ext xmlns:c16="http://schemas.microsoft.com/office/drawing/2014/chart" uri="{C3380CC4-5D6E-409C-BE32-E72D297353CC}">
                  <c16:uniqueId val="{00000003-1698-4505-B4B4-0D9A8BE3709F}"/>
                </c:ext>
              </c:extLst>
            </c:dLbl>
            <c:dLbl>
              <c:idx val="1"/>
              <c:spPr/>
              <c:txPr>
                <a:bodyPr/>
                <a:lstStyle/>
                <a:p>
                  <a:pPr>
                    <a:defRPr sz="1000" b="0" i="0" u="none" strike="noStrike" baseline="0">
                      <a:solidFill>
                        <a:srgbClr val="FFFFFF"/>
                      </a:solidFill>
                      <a:latin typeface="GHEA Grapalat"/>
                      <a:ea typeface="GHEA Grapalat"/>
                      <a:cs typeface="GHEA Grapalat"/>
                    </a:defRPr>
                  </a:pPr>
                  <a:endParaRPr lang="en-US"/>
                </a:p>
              </c:txPr>
              <c:showLegendKey val="0"/>
              <c:showVal val="1"/>
              <c:showCatName val="0"/>
              <c:showSerName val="0"/>
              <c:showPercent val="0"/>
              <c:showBubbleSize val="0"/>
              <c:extLst>
                <c:ext xmlns:c16="http://schemas.microsoft.com/office/drawing/2014/chart" uri="{C3380CC4-5D6E-409C-BE32-E72D297353CC}">
                  <c16:uniqueId val="{00000004-1698-4505-B4B4-0D9A8BE3709F}"/>
                </c:ext>
              </c:extLst>
            </c:dLbl>
            <c:spPr>
              <a:noFill/>
              <a:ln w="25400">
                <a:noFill/>
              </a:ln>
            </c:spPr>
            <c:txPr>
              <a:bodyPr wrap="square" lIns="38100" tIns="19050" rIns="38100" bIns="19050" anchor="ctr">
                <a:spAutoFit/>
              </a:bodyPr>
              <a:lstStyle/>
              <a:p>
                <a:pPr>
                  <a:defRPr sz="1000" b="0" i="0" u="none" strike="noStrike" baseline="0">
                    <a:solidFill>
                      <a:srgbClr val="FFFFFF"/>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 3'!$B$11:$C$11</c:f>
              <c:numCache>
                <c:formatCode>General</c:formatCode>
                <c:ptCount val="2"/>
                <c:pt idx="0">
                  <c:v>2021</c:v>
                </c:pt>
                <c:pt idx="1">
                  <c:v>2022</c:v>
                </c:pt>
              </c:numCache>
            </c:numRef>
          </c:cat>
          <c:val>
            <c:numRef>
              <c:f>'Graf 3'!$B$13:$C$13</c:f>
              <c:numCache>
                <c:formatCode>_(* #,##0.0_);_(* \(#,##0.0\);_(* "-"??_);_(@_)</c:formatCode>
                <c:ptCount val="2"/>
                <c:pt idx="0">
                  <c:v>28.715750090457</c:v>
                </c:pt>
                <c:pt idx="1">
                  <c:v>37.691911704167616</c:v>
                </c:pt>
              </c:numCache>
            </c:numRef>
          </c:val>
          <c:extLst>
            <c:ext xmlns:c16="http://schemas.microsoft.com/office/drawing/2014/chart" uri="{C3380CC4-5D6E-409C-BE32-E72D297353CC}">
              <c16:uniqueId val="{00000005-1698-4505-B4B4-0D9A8BE3709F}"/>
            </c:ext>
          </c:extLst>
        </c:ser>
        <c:dLbls>
          <c:showLegendKey val="0"/>
          <c:showVal val="0"/>
          <c:showCatName val="0"/>
          <c:showSerName val="0"/>
          <c:showPercent val="0"/>
          <c:showBubbleSize val="0"/>
        </c:dLbls>
        <c:gapWidth val="150"/>
        <c:shape val="cylinder"/>
        <c:axId val="43160576"/>
        <c:axId val="140897664"/>
        <c:axId val="0"/>
      </c:bar3DChart>
      <c:catAx>
        <c:axId val="43160576"/>
        <c:scaling>
          <c:orientation val="minMax"/>
        </c:scaling>
        <c:delete val="0"/>
        <c:axPos val="b"/>
        <c:numFmt formatCode="General" sourceLinked="1"/>
        <c:majorTickMark val="out"/>
        <c:minorTickMark val="none"/>
        <c:tickLblPos val="low"/>
        <c:txPr>
          <a:bodyPr rot="0" vert="horz"/>
          <a:lstStyle/>
          <a:p>
            <a:pPr>
              <a:defRPr sz="1000" b="0" i="0" u="none" strike="noStrike" baseline="0">
                <a:solidFill>
                  <a:srgbClr val="000000"/>
                </a:solidFill>
                <a:latin typeface="GHEA Grapalat"/>
                <a:ea typeface="GHEA Grapalat"/>
                <a:cs typeface="GHEA Grapalat"/>
              </a:defRPr>
            </a:pPr>
            <a:endParaRPr lang="en-US"/>
          </a:p>
        </c:txPr>
        <c:crossAx val="140897664"/>
        <c:crosses val="autoZero"/>
        <c:auto val="1"/>
        <c:lblAlgn val="ctr"/>
        <c:lblOffset val="100"/>
        <c:tickLblSkip val="1"/>
        <c:tickMarkSkip val="1"/>
        <c:noMultiLvlLbl val="0"/>
      </c:catAx>
      <c:valAx>
        <c:axId val="140897664"/>
        <c:scaling>
          <c:orientation val="minMax"/>
          <c:min val="0"/>
        </c:scaling>
        <c:delete val="0"/>
        <c:axPos val="l"/>
        <c:majorGridlines/>
        <c:numFmt formatCode="0" sourceLinked="0"/>
        <c:majorTickMark val="out"/>
        <c:minorTickMark val="none"/>
        <c:tickLblPos val="nextTo"/>
        <c:txPr>
          <a:bodyPr rot="0" vert="horz"/>
          <a:lstStyle/>
          <a:p>
            <a:pPr>
              <a:defRPr sz="1000" b="0" i="0" u="none" strike="noStrike" baseline="0">
                <a:solidFill>
                  <a:srgbClr val="000000"/>
                </a:solidFill>
                <a:latin typeface="GHEA Grapalat"/>
                <a:ea typeface="GHEA Grapalat"/>
                <a:cs typeface="GHEA Grapalat"/>
              </a:defRPr>
            </a:pPr>
            <a:endParaRPr lang="en-US"/>
          </a:p>
        </c:txPr>
        <c:crossAx val="43160576"/>
        <c:crosses val="autoZero"/>
        <c:crossBetween val="between"/>
        <c:majorUnit val="10"/>
      </c:valAx>
      <c:spPr>
        <a:noFill/>
        <a:ln w="25400">
          <a:noFill/>
        </a:ln>
      </c:spPr>
    </c:plotArea>
    <c:legend>
      <c:legendPos val="r"/>
      <c:layout>
        <c:manualLayout>
          <c:xMode val="edge"/>
          <c:yMode val="edge"/>
          <c:x val="0.14821761490639493"/>
          <c:y val="0.81988375657461565"/>
          <c:w val="0.75852544099154595"/>
          <c:h val="0.13901143277562794"/>
        </c:manualLayout>
      </c:layout>
      <c:overlay val="0"/>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txPr>
    <a:bodyPr/>
    <a:lstStyle/>
    <a:p>
      <a:pPr>
        <a:defRPr sz="1000" b="0" i="0" u="none" strike="noStrike" baseline="0">
          <a:solidFill>
            <a:srgbClr val="000000"/>
          </a:solidFill>
          <a:latin typeface="GHEA Grapalat"/>
          <a:ea typeface="GHEA Grapalat"/>
          <a:cs typeface="GHEA Grapala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7092253388750819E-2"/>
          <c:y val="6.8670085964025143E-2"/>
          <c:w val="0.94290776586954406"/>
          <c:h val="0.74068897637795272"/>
        </c:manualLayout>
      </c:layout>
      <c:bar3DChart>
        <c:barDir val="col"/>
        <c:grouping val="stacked"/>
        <c:varyColors val="0"/>
        <c:ser>
          <c:idx val="0"/>
          <c:order val="0"/>
          <c:tx>
            <c:strRef>
              <c:f>'Graf 9'!$A$27</c:f>
              <c:strCache>
                <c:ptCount val="1"/>
                <c:pt idx="0">
                  <c:v>External Loans</c:v>
                </c:pt>
              </c:strCache>
            </c:strRef>
          </c:tx>
          <c:invertIfNegative val="0"/>
          <c:cat>
            <c:numRef>
              <c:f>'Graf 9'!$B$26:$AI$26</c:f>
              <c:numCache>
                <c:formatCode>General</c:formatCode>
                <c:ptCount val="3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2053</c:v>
                </c:pt>
                <c:pt idx="33">
                  <c:v>2054</c:v>
                </c:pt>
              </c:numCache>
            </c:numRef>
          </c:cat>
          <c:val>
            <c:numRef>
              <c:f>'Graf 9'!$B$27:$AI$27</c:f>
              <c:numCache>
                <c:formatCode>_(* #,##0.0_);_(* \(#,##0.0\);_(* "-"??_);_(@_)</c:formatCode>
                <c:ptCount val="34"/>
                <c:pt idx="0">
                  <c:v>121.0008239254262</c:v>
                </c:pt>
                <c:pt idx="1">
                  <c:v>159.15942819627864</c:v>
                </c:pt>
                <c:pt idx="2">
                  <c:v>149.64930456038752</c:v>
                </c:pt>
                <c:pt idx="3">
                  <c:v>157.98068548347356</c:v>
                </c:pt>
                <c:pt idx="4">
                  <c:v>116.89488292347741</c:v>
                </c:pt>
                <c:pt idx="5">
                  <c:v>107.83679344988873</c:v>
                </c:pt>
                <c:pt idx="6">
                  <c:v>105.47007525777717</c:v>
                </c:pt>
                <c:pt idx="7">
                  <c:v>102.93779116367574</c:v>
                </c:pt>
                <c:pt idx="8">
                  <c:v>100.81793097351746</c:v>
                </c:pt>
                <c:pt idx="9">
                  <c:v>101.28800556205857</c:v>
                </c:pt>
                <c:pt idx="10">
                  <c:v>94.418624801123372</c:v>
                </c:pt>
                <c:pt idx="11">
                  <c:v>91.47475248925771</c:v>
                </c:pt>
                <c:pt idx="12">
                  <c:v>75.875201173798771</c:v>
                </c:pt>
                <c:pt idx="13">
                  <c:v>63.452140510771201</c:v>
                </c:pt>
                <c:pt idx="14">
                  <c:v>57.846214515077101</c:v>
                </c:pt>
                <c:pt idx="15">
                  <c:v>44.655133304370587</c:v>
                </c:pt>
                <c:pt idx="16">
                  <c:v>35.723361365963093</c:v>
                </c:pt>
                <c:pt idx="17">
                  <c:v>25.741210331814596</c:v>
                </c:pt>
                <c:pt idx="18">
                  <c:v>19.128356337161698</c:v>
                </c:pt>
                <c:pt idx="19">
                  <c:v>14.364401520708</c:v>
                </c:pt>
                <c:pt idx="20">
                  <c:v>10.525102710000299</c:v>
                </c:pt>
                <c:pt idx="21">
                  <c:v>8.8670258479070974</c:v>
                </c:pt>
                <c:pt idx="22">
                  <c:v>3.6168771410631009</c:v>
                </c:pt>
                <c:pt idx="23">
                  <c:v>1.0434227282864998</c:v>
                </c:pt>
                <c:pt idx="24">
                  <c:v>0.85869194301810003</c:v>
                </c:pt>
                <c:pt idx="25">
                  <c:v>0.6392596618584</c:v>
                </c:pt>
                <c:pt idx="26">
                  <c:v>0.5888524599396</c:v>
                </c:pt>
                <c:pt idx="27">
                  <c:v>0.33597633582359998</c:v>
                </c:pt>
                <c:pt idx="28">
                  <c:v>0.23432181746399999</c:v>
                </c:pt>
                <c:pt idx="29">
                  <c:v>0.12510621724230001</c:v>
                </c:pt>
                <c:pt idx="30">
                  <c:v>1.58906170206E-2</c:v>
                </c:pt>
                <c:pt idx="31">
                  <c:v>1.58906170206E-2</c:v>
                </c:pt>
                <c:pt idx="32">
                  <c:v>1.7307516249E-2</c:v>
                </c:pt>
                <c:pt idx="33">
                  <c:v>1.7307516249E-2</c:v>
                </c:pt>
              </c:numCache>
            </c:numRef>
          </c:val>
          <c:extLst>
            <c:ext xmlns:c16="http://schemas.microsoft.com/office/drawing/2014/chart" uri="{C3380CC4-5D6E-409C-BE32-E72D297353CC}">
              <c16:uniqueId val="{00000000-1537-47E6-A588-E2B1FEBFBF9E}"/>
            </c:ext>
          </c:extLst>
        </c:ser>
        <c:ser>
          <c:idx val="1"/>
          <c:order val="1"/>
          <c:tx>
            <c:strRef>
              <c:f>'Graf 9'!$A$29</c:f>
              <c:strCache>
                <c:ptCount val="1"/>
                <c:pt idx="0">
                  <c:v>AMD Government Securities </c:v>
                </c:pt>
              </c:strCache>
            </c:strRef>
          </c:tx>
          <c:invertIfNegative val="0"/>
          <c:cat>
            <c:numRef>
              <c:f>'Graf 9'!$B$26:$AI$26</c:f>
              <c:numCache>
                <c:formatCode>General</c:formatCode>
                <c:ptCount val="3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2053</c:v>
                </c:pt>
                <c:pt idx="33">
                  <c:v>2054</c:v>
                </c:pt>
              </c:numCache>
            </c:numRef>
          </c:cat>
          <c:val>
            <c:numRef>
              <c:f>'Graf 9'!$B$29:$AI$29</c:f>
              <c:numCache>
                <c:formatCode>_(* #,##0.0_);_(* \(#,##0.0\);_(* "-"??_);_(@_)</c:formatCode>
                <c:ptCount val="34"/>
                <c:pt idx="0">
                  <c:v>192.85315800000001</c:v>
                </c:pt>
                <c:pt idx="1">
                  <c:v>125.879795</c:v>
                </c:pt>
                <c:pt idx="2">
                  <c:v>188.06766200000001</c:v>
                </c:pt>
                <c:pt idx="3">
                  <c:v>102.941615</c:v>
                </c:pt>
                <c:pt idx="4">
                  <c:v>100.64755599999999</c:v>
                </c:pt>
                <c:pt idx="5">
                  <c:v>16.690090000000001</c:v>
                </c:pt>
                <c:pt idx="6">
                  <c:v>147.761459</c:v>
                </c:pt>
                <c:pt idx="7">
                  <c:v>0</c:v>
                </c:pt>
                <c:pt idx="8">
                  <c:v>194.804</c:v>
                </c:pt>
                <c:pt idx="9">
                  <c:v>35.5</c:v>
                </c:pt>
                <c:pt idx="10">
                  <c:v>0</c:v>
                </c:pt>
                <c:pt idx="11">
                  <c:v>0</c:v>
                </c:pt>
                <c:pt idx="12">
                  <c:v>0</c:v>
                </c:pt>
                <c:pt idx="13">
                  <c:v>71</c:v>
                </c:pt>
                <c:pt idx="14">
                  <c:v>75.266499999999994</c:v>
                </c:pt>
                <c:pt idx="15">
                  <c:v>0</c:v>
                </c:pt>
                <c:pt idx="16">
                  <c:v>0</c:v>
                </c:pt>
                <c:pt idx="17">
                  <c:v>0</c:v>
                </c:pt>
                <c:pt idx="18">
                  <c:v>0</c:v>
                </c:pt>
                <c:pt idx="19">
                  <c:v>0</c:v>
                </c:pt>
                <c:pt idx="20">
                  <c:v>0</c:v>
                </c:pt>
                <c:pt idx="21">
                  <c:v>0</c:v>
                </c:pt>
                <c:pt idx="22">
                  <c:v>0</c:v>
                </c:pt>
                <c:pt idx="23">
                  <c:v>0</c:v>
                </c:pt>
                <c:pt idx="24">
                  <c:v>119.70040500000002</c:v>
                </c:pt>
                <c:pt idx="25">
                  <c:v>0</c:v>
                </c:pt>
                <c:pt idx="26">
                  <c:v>0</c:v>
                </c:pt>
                <c:pt idx="27">
                  <c:v>125.13836299999998</c:v>
                </c:pt>
                <c:pt idx="28">
                  <c:v>0</c:v>
                </c:pt>
                <c:pt idx="29">
                  <c:v>0</c:v>
                </c:pt>
                <c:pt idx="30">
                  <c:v>0</c:v>
                </c:pt>
                <c:pt idx="31">
                  <c:v>0</c:v>
                </c:pt>
                <c:pt idx="32">
                  <c:v>0</c:v>
                </c:pt>
                <c:pt idx="33">
                  <c:v>0</c:v>
                </c:pt>
              </c:numCache>
            </c:numRef>
          </c:val>
          <c:extLst>
            <c:ext xmlns:c16="http://schemas.microsoft.com/office/drawing/2014/chart" uri="{C3380CC4-5D6E-409C-BE32-E72D297353CC}">
              <c16:uniqueId val="{00000001-1537-47E6-A588-E2B1FEBFBF9E}"/>
            </c:ext>
          </c:extLst>
        </c:ser>
        <c:ser>
          <c:idx val="2"/>
          <c:order val="2"/>
          <c:tx>
            <c:strRef>
              <c:f>'Graf 9'!$A$28</c:f>
              <c:strCache>
                <c:ptCount val="1"/>
                <c:pt idx="0">
                  <c:v>Eurobonds</c:v>
                </c:pt>
              </c:strCache>
            </c:strRef>
          </c:tx>
          <c:invertIfNegative val="0"/>
          <c:cat>
            <c:numRef>
              <c:f>'Graf 9'!$B$26:$AI$26</c:f>
              <c:numCache>
                <c:formatCode>General</c:formatCode>
                <c:ptCount val="3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2053</c:v>
                </c:pt>
                <c:pt idx="33">
                  <c:v>2054</c:v>
                </c:pt>
              </c:numCache>
            </c:numRef>
          </c:cat>
          <c:val>
            <c:numRef>
              <c:f>'Graf 9'!$B$28:$AI$28</c:f>
              <c:numCache>
                <c:formatCode>_(* #,##0.0_);_(* \(#,##0.0\);_(* "-"??_);_(@_)</c:formatCode>
                <c:ptCount val="34"/>
                <c:pt idx="0">
                  <c:v>0</c:v>
                </c:pt>
                <c:pt idx="1">
                  <c:v>0</c:v>
                </c:pt>
                <c:pt idx="2">
                  <c:v>196.785</c:v>
                </c:pt>
                <c:pt idx="3">
                  <c:v>0</c:v>
                </c:pt>
                <c:pt idx="4">
                  <c:v>0</c:v>
                </c:pt>
                <c:pt idx="5">
                  <c:v>0</c:v>
                </c:pt>
                <c:pt idx="6">
                  <c:v>196.785</c:v>
                </c:pt>
                <c:pt idx="7">
                  <c:v>0</c:v>
                </c:pt>
                <c:pt idx="8">
                  <c:v>295.17750000000001</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numCache>
            </c:numRef>
          </c:val>
          <c:extLst>
            <c:ext xmlns:c16="http://schemas.microsoft.com/office/drawing/2014/chart" uri="{C3380CC4-5D6E-409C-BE32-E72D297353CC}">
              <c16:uniqueId val="{00000002-1537-47E6-A588-E2B1FEBFBF9E}"/>
            </c:ext>
          </c:extLst>
        </c:ser>
        <c:ser>
          <c:idx val="3"/>
          <c:order val="3"/>
          <c:tx>
            <c:strRef>
              <c:f>'Graf 9'!$A$30</c:f>
              <c:strCache>
                <c:ptCount val="1"/>
                <c:pt idx="0">
                  <c:v>Guarantees</c:v>
                </c:pt>
              </c:strCache>
            </c:strRef>
          </c:tx>
          <c:invertIfNegative val="0"/>
          <c:cat>
            <c:numRef>
              <c:f>'Graf 9'!$B$26:$AI$26</c:f>
              <c:numCache>
                <c:formatCode>General</c:formatCode>
                <c:ptCount val="3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2053</c:v>
                </c:pt>
                <c:pt idx="33">
                  <c:v>2054</c:v>
                </c:pt>
              </c:numCache>
            </c:numRef>
          </c:cat>
          <c:val>
            <c:numRef>
              <c:f>'Graf 9'!$B$30:$AI$30</c:f>
              <c:numCache>
                <c:formatCode>_(* #,##0.0_);_(* \(#,##0.0\);_(* "-"??_);_(@_)</c:formatCode>
                <c:ptCount val="34"/>
                <c:pt idx="0">
                  <c:v>4.2450028879637802</c:v>
                </c:pt>
                <c:pt idx="1">
                  <c:v>1.1811185833847724</c:v>
                </c:pt>
                <c:pt idx="2">
                  <c:v>3.4488352140532212</c:v>
                </c:pt>
                <c:pt idx="3">
                  <c:v>0.29114579112044814</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numCache>
            </c:numRef>
          </c:val>
          <c:extLst>
            <c:ext xmlns:c16="http://schemas.microsoft.com/office/drawing/2014/chart" uri="{C3380CC4-5D6E-409C-BE32-E72D297353CC}">
              <c16:uniqueId val="{00000003-1537-47E6-A588-E2B1FEBFBF9E}"/>
            </c:ext>
          </c:extLst>
        </c:ser>
        <c:dLbls>
          <c:showLegendKey val="0"/>
          <c:showVal val="0"/>
          <c:showCatName val="0"/>
          <c:showSerName val="0"/>
          <c:showPercent val="0"/>
          <c:showBubbleSize val="0"/>
        </c:dLbls>
        <c:gapWidth val="89"/>
        <c:shape val="box"/>
        <c:axId val="250019840"/>
        <c:axId val="249342784"/>
        <c:axId val="0"/>
      </c:bar3DChart>
      <c:catAx>
        <c:axId val="250019840"/>
        <c:scaling>
          <c:orientation val="minMax"/>
        </c:scaling>
        <c:delete val="0"/>
        <c:axPos val="b"/>
        <c:numFmt formatCode="General" sourceLinked="1"/>
        <c:majorTickMark val="none"/>
        <c:minorTickMark val="none"/>
        <c:tickLblPos val="nextTo"/>
        <c:txPr>
          <a:bodyPr rot="-4500000" vert="horz" anchor="ctr" anchorCtr="0"/>
          <a:lstStyle/>
          <a:p>
            <a:pPr>
              <a:defRPr sz="850" b="0">
                <a:solidFill>
                  <a:sysClr val="windowText" lastClr="000000"/>
                </a:solidFill>
                <a:latin typeface="GHEA Grapalat" panose="02000506050000020003" pitchFamily="50" charset="0"/>
              </a:defRPr>
            </a:pPr>
            <a:endParaRPr lang="en-US"/>
          </a:p>
        </c:txPr>
        <c:crossAx val="249342784"/>
        <c:crossesAt val="0"/>
        <c:auto val="1"/>
        <c:lblAlgn val="ctr"/>
        <c:lblOffset val="0"/>
        <c:noMultiLvlLbl val="0"/>
      </c:catAx>
      <c:valAx>
        <c:axId val="249342784"/>
        <c:scaling>
          <c:orientation val="minMax"/>
        </c:scaling>
        <c:delete val="0"/>
        <c:axPos val="l"/>
        <c:majorGridlines/>
        <c:numFmt formatCode="General" sourceLinked="0"/>
        <c:majorTickMark val="none"/>
        <c:minorTickMark val="none"/>
        <c:tickLblPos val="nextTo"/>
        <c:spPr>
          <a:ln/>
        </c:spPr>
        <c:txPr>
          <a:bodyPr/>
          <a:lstStyle/>
          <a:p>
            <a:pPr>
              <a:defRPr sz="1000" b="0">
                <a:solidFill>
                  <a:sysClr val="windowText" lastClr="000000"/>
                </a:solidFill>
                <a:latin typeface="GHEA Grapalat" panose="02000506050000020003" pitchFamily="50" charset="0"/>
              </a:defRPr>
            </a:pPr>
            <a:endParaRPr lang="en-US"/>
          </a:p>
        </c:txPr>
        <c:crossAx val="250019840"/>
        <c:crossesAt val="1"/>
        <c:crossBetween val="between"/>
        <c:majorUnit val="50"/>
      </c:valAx>
    </c:plotArea>
    <c:legend>
      <c:legendPos val="b"/>
      <c:layout>
        <c:manualLayout>
          <c:xMode val="edge"/>
          <c:yMode val="edge"/>
          <c:x val="2.1957991325354888E-2"/>
          <c:y val="0.90415162948381456"/>
          <c:w val="0.97804200177789025"/>
          <c:h val="9.5848286569812577E-2"/>
        </c:manualLayout>
      </c:layout>
      <c:overlay val="0"/>
      <c:txPr>
        <a:bodyPr/>
        <a:lstStyle/>
        <a:p>
          <a:pPr>
            <a:defRPr sz="1000">
              <a:solidFill>
                <a:sysClr val="windowText" lastClr="000000"/>
              </a:solidFill>
              <a:latin typeface="GHEA Grapalat" panose="02000506050000020003" pitchFamily="50" charset="0"/>
            </a:defRPr>
          </a:pPr>
          <a:endParaRPr lang="en-US"/>
        </a:p>
      </c:txPr>
    </c:legend>
    <c:plotVisOnly val="1"/>
    <c:dispBlanksAs val="gap"/>
    <c:showDLblsOverMax val="0"/>
  </c:chart>
  <c:txPr>
    <a:bodyPr/>
    <a:lstStyle/>
    <a:p>
      <a:pPr>
        <a:defRPr sz="1200">
          <a:solidFill>
            <a:schemeClr val="bg1">
              <a:lumMod val="50000"/>
            </a:schemeClr>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36427024834875"/>
          <c:y val="3.9299749910682386E-2"/>
          <c:w val="0.86441420936388313"/>
          <c:h val="0.7733417271019456"/>
        </c:manualLayout>
      </c:layout>
      <c:barChart>
        <c:barDir val="bar"/>
        <c:grouping val="percentStacked"/>
        <c:varyColors val="0"/>
        <c:ser>
          <c:idx val="0"/>
          <c:order val="0"/>
          <c:tx>
            <c:strRef>
              <c:f>'Graf def 6'!$A$11</c:f>
              <c:strCache>
                <c:ptCount val="1"/>
                <c:pt idx="0">
                  <c:v>From Domestic Sources (net), %</c:v>
                </c:pt>
              </c:strCache>
            </c:strRef>
          </c:tx>
          <c:spPr>
            <a:solidFill>
              <a:schemeClr val="tx2"/>
            </a:solidFill>
            <a:ln cap="rnd">
              <a:round/>
            </a:ln>
          </c:spPr>
          <c:invertIfNegative val="0"/>
          <c:dLbls>
            <c:spPr>
              <a:noFill/>
              <a:ln w="25400">
                <a:noFill/>
              </a:ln>
            </c:spPr>
            <c:txPr>
              <a:bodyPr wrap="square" lIns="38100" tIns="19050" rIns="38100" bIns="19050" anchor="ctr">
                <a:spAutoFit/>
              </a:bodyPr>
              <a:lstStyle/>
              <a:p>
                <a:pPr>
                  <a:defRPr sz="1200" b="1" i="0" u="none" strike="noStrike" baseline="0">
                    <a:solidFill>
                      <a:srgbClr val="FFFFFF"/>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'Graf def 6'!$C$10:$G$10</c:f>
              <c:numCache>
                <c:formatCode>General</c:formatCode>
                <c:ptCount val="5"/>
                <c:pt idx="0">
                  <c:v>2022</c:v>
                </c:pt>
                <c:pt idx="1">
                  <c:v>2023</c:v>
                </c:pt>
                <c:pt idx="2">
                  <c:v>2024</c:v>
                </c:pt>
                <c:pt idx="3">
                  <c:v>2025</c:v>
                </c:pt>
                <c:pt idx="4">
                  <c:v>2026</c:v>
                </c:pt>
              </c:numCache>
            </c:numRef>
          </c:cat>
          <c:val>
            <c:numRef>
              <c:f>'Graf def 6'!$C$11:$G$11</c:f>
              <c:numCache>
                <c:formatCode>_(* #,##0.0_);_(* \(#,##0.0\);_(* "-"??_);_(@_)</c:formatCode>
                <c:ptCount val="5"/>
                <c:pt idx="0">
                  <c:v>79.195229892539004</c:v>
                </c:pt>
                <c:pt idx="1">
                  <c:v>69.874462546440213</c:v>
                </c:pt>
                <c:pt idx="2">
                  <c:v>73.635793066475642</c:v>
                </c:pt>
                <c:pt idx="3">
                  <c:v>70.606983989179867</c:v>
                </c:pt>
                <c:pt idx="4">
                  <c:v>62.680118933963378</c:v>
                </c:pt>
              </c:numCache>
            </c:numRef>
          </c:val>
          <c:extLst>
            <c:ext xmlns:c16="http://schemas.microsoft.com/office/drawing/2014/chart" uri="{C3380CC4-5D6E-409C-BE32-E72D297353CC}">
              <c16:uniqueId val="{00000000-A3E8-4310-833B-52CAAEA90516}"/>
            </c:ext>
          </c:extLst>
        </c:ser>
        <c:ser>
          <c:idx val="1"/>
          <c:order val="1"/>
          <c:tx>
            <c:strRef>
              <c:f>'Graf def 6'!$A$12</c:f>
              <c:strCache>
                <c:ptCount val="1"/>
                <c:pt idx="0">
                  <c:v>From External Sources(net), %</c:v>
                </c:pt>
              </c:strCache>
            </c:strRef>
          </c:tx>
          <c:spPr>
            <a:solidFill>
              <a:schemeClr val="accent2"/>
            </a:solidFill>
          </c:spPr>
          <c:invertIfNegative val="0"/>
          <c:dLbls>
            <c:spPr>
              <a:noFill/>
              <a:ln w="25400">
                <a:noFill/>
              </a:ln>
            </c:spPr>
            <c:txPr>
              <a:bodyPr wrap="square" lIns="38100" tIns="19050" rIns="38100" bIns="19050" anchor="ctr">
                <a:spAutoFit/>
              </a:bodyPr>
              <a:lstStyle/>
              <a:p>
                <a:pPr>
                  <a:defRPr sz="1200" b="1" i="0" u="none" strike="noStrike" baseline="0">
                    <a:solidFill>
                      <a:srgbClr val="FFFFFF"/>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'Graf def 6'!$C$10:$G$10</c:f>
              <c:numCache>
                <c:formatCode>General</c:formatCode>
                <c:ptCount val="5"/>
                <c:pt idx="0">
                  <c:v>2022</c:v>
                </c:pt>
                <c:pt idx="1">
                  <c:v>2023</c:v>
                </c:pt>
                <c:pt idx="2">
                  <c:v>2024</c:v>
                </c:pt>
                <c:pt idx="3">
                  <c:v>2025</c:v>
                </c:pt>
                <c:pt idx="4">
                  <c:v>2026</c:v>
                </c:pt>
              </c:numCache>
            </c:numRef>
          </c:cat>
          <c:val>
            <c:numRef>
              <c:f>'Graf def 6'!$C$12:$G$12</c:f>
              <c:numCache>
                <c:formatCode>_(* #,##0.0_);_(* \(#,##0.0\);_(* "-"??_);_(@_)</c:formatCode>
                <c:ptCount val="5"/>
                <c:pt idx="0">
                  <c:v>20.804770107461003</c:v>
                </c:pt>
                <c:pt idx="1">
                  <c:v>30.125537453559794</c:v>
                </c:pt>
                <c:pt idx="2">
                  <c:v>26.364206933524354</c:v>
                </c:pt>
                <c:pt idx="3">
                  <c:v>29.393016010820126</c:v>
                </c:pt>
                <c:pt idx="4">
                  <c:v>37.319881066036622</c:v>
                </c:pt>
              </c:numCache>
            </c:numRef>
          </c:val>
          <c:extLst>
            <c:ext xmlns:c16="http://schemas.microsoft.com/office/drawing/2014/chart" uri="{C3380CC4-5D6E-409C-BE32-E72D297353CC}">
              <c16:uniqueId val="{00000001-A3E8-4310-833B-52CAAEA90516}"/>
            </c:ext>
          </c:extLst>
        </c:ser>
        <c:dLbls>
          <c:showLegendKey val="0"/>
          <c:showVal val="0"/>
          <c:showCatName val="0"/>
          <c:showSerName val="0"/>
          <c:showPercent val="0"/>
          <c:showBubbleSize val="0"/>
        </c:dLbls>
        <c:gapWidth val="67"/>
        <c:overlap val="100"/>
        <c:axId val="249511424"/>
        <c:axId val="140971392"/>
      </c:barChart>
      <c:catAx>
        <c:axId val="249511424"/>
        <c:scaling>
          <c:orientation val="minMax"/>
        </c:scaling>
        <c:delete val="0"/>
        <c:axPos val="l"/>
        <c:numFmt formatCode="General" sourceLinked="0"/>
        <c:majorTickMark val="out"/>
        <c:minorTickMark val="none"/>
        <c:tickLblPos val="nextTo"/>
        <c:txPr>
          <a:bodyPr rot="0" vert="horz"/>
          <a:lstStyle/>
          <a:p>
            <a:pPr>
              <a:defRPr sz="1200" b="0" i="0" u="none" strike="noStrike" baseline="0">
                <a:solidFill>
                  <a:srgbClr val="000000"/>
                </a:solidFill>
                <a:latin typeface="GHEA Grapalat"/>
                <a:ea typeface="GHEA Grapalat"/>
                <a:cs typeface="GHEA Grapalat"/>
              </a:defRPr>
            </a:pPr>
            <a:endParaRPr lang="en-US"/>
          </a:p>
        </c:txPr>
        <c:crossAx val="140971392"/>
        <c:crosses val="autoZero"/>
        <c:auto val="1"/>
        <c:lblAlgn val="ctr"/>
        <c:lblOffset val="100"/>
        <c:noMultiLvlLbl val="0"/>
      </c:catAx>
      <c:valAx>
        <c:axId val="140971392"/>
        <c:scaling>
          <c:orientation val="minMax"/>
          <c:min val="0"/>
        </c:scaling>
        <c:delete val="0"/>
        <c:axPos val="b"/>
        <c:majorGridlines/>
        <c:numFmt formatCode="0%" sourceLinked="1"/>
        <c:majorTickMark val="out"/>
        <c:minorTickMark val="none"/>
        <c:tickLblPos val="nextTo"/>
        <c:txPr>
          <a:bodyPr rot="0" vert="horz"/>
          <a:lstStyle/>
          <a:p>
            <a:pPr>
              <a:defRPr sz="1200" b="0" i="0" u="none" strike="noStrike" baseline="0">
                <a:solidFill>
                  <a:srgbClr val="000000"/>
                </a:solidFill>
                <a:latin typeface="GHEA Grapalat" pitchFamily="50" charset="0"/>
                <a:ea typeface="Calibri"/>
                <a:cs typeface="Calibri"/>
              </a:defRPr>
            </a:pPr>
            <a:endParaRPr lang="en-US"/>
          </a:p>
        </c:txPr>
        <c:crossAx val="249511424"/>
        <c:crosses val="autoZero"/>
        <c:crossBetween val="between"/>
        <c:majorUnit val="0.1"/>
      </c:valAx>
    </c:plotArea>
    <c:legend>
      <c:legendPos val="r"/>
      <c:layout>
        <c:manualLayout>
          <c:xMode val="edge"/>
          <c:yMode val="edge"/>
          <c:x val="0.11478748677014625"/>
          <c:y val="0.90735538251624359"/>
          <c:w val="0.76664275347065491"/>
          <c:h val="7.8642416976583418E-2"/>
        </c:manualLayout>
      </c:layout>
      <c:overlay val="0"/>
      <c:txPr>
        <a:bodyPr/>
        <a:lstStyle/>
        <a:p>
          <a:pPr>
            <a:defRPr sz="1200" b="0" i="0" u="none" strike="noStrike" baseline="0">
              <a:solidFill>
                <a:srgbClr val="000000"/>
              </a:solidFill>
              <a:latin typeface="GHEA Grapalat" pitchFamily="50" charset="0"/>
              <a:ea typeface="GHEA Grapalat"/>
              <a:cs typeface="Estrangelo Edessa" pitchFamily="66" charset="0"/>
            </a:defRPr>
          </a:pPr>
          <a:endParaRPr lang="en-US"/>
        </a:p>
      </c:txPr>
    </c:legend>
    <c:plotVisOnly val="1"/>
    <c:dispBlanksAs val="gap"/>
    <c:showDLblsOverMax val="0"/>
  </c:chart>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253568591489883E-2"/>
          <c:y val="4.8428453267162865E-2"/>
          <c:w val="0.89242128342871663"/>
          <c:h val="0.62684104475878566"/>
        </c:manualLayout>
      </c:layout>
      <c:barChart>
        <c:barDir val="col"/>
        <c:grouping val="clustered"/>
        <c:varyColors val="0"/>
        <c:ser>
          <c:idx val="1"/>
          <c:order val="0"/>
          <c:tx>
            <c:strRef>
              <c:f>'Graf 4'!$A$4</c:f>
              <c:strCache>
                <c:ptCount val="1"/>
                <c:pt idx="0">
                  <c:v>Արտարժութային արտաքին ակտիվներ (%)</c:v>
                </c:pt>
              </c:strCache>
            </c:strRef>
          </c:tx>
          <c:spPr>
            <a:solidFill>
              <a:sysClr val="window" lastClr="FFFFFF"/>
            </a:solidFill>
            <a:ln>
              <a:solidFill>
                <a:schemeClr val="tx1"/>
              </a:solidFill>
            </a:ln>
            <a:effectLst/>
          </c:spPr>
          <c:invertIfNegative val="0"/>
          <c:cat>
            <c:strRef>
              <c:f>'Graf 4'!$C$3:$G$3</c:f>
              <c:strCache>
                <c:ptCount val="5"/>
                <c:pt idx="0">
                  <c:v>2022
Actual</c:v>
                </c:pt>
                <c:pt idx="1">
                  <c:v>2023
Forecast</c:v>
                </c:pt>
                <c:pt idx="2">
                  <c:v>2024
Forecast</c:v>
                </c:pt>
                <c:pt idx="3">
                  <c:v>2025
Forecast</c:v>
                </c:pt>
                <c:pt idx="4">
                  <c:v>2026
Forecast</c:v>
                </c:pt>
              </c:strCache>
            </c:strRef>
          </c:cat>
          <c:val>
            <c:numRef>
              <c:f>'Graf 4'!$C$4:$G$4</c:f>
              <c:numCache>
                <c:formatCode>0%</c:formatCode>
                <c:ptCount val="5"/>
                <c:pt idx="0">
                  <c:v>1</c:v>
                </c:pt>
                <c:pt idx="1">
                  <c:v>1</c:v>
                </c:pt>
                <c:pt idx="2">
                  <c:v>1</c:v>
                </c:pt>
                <c:pt idx="3">
                  <c:v>1</c:v>
                </c:pt>
                <c:pt idx="4">
                  <c:v>1</c:v>
                </c:pt>
              </c:numCache>
            </c:numRef>
          </c:val>
          <c:extLst>
            <c:ext xmlns:c16="http://schemas.microsoft.com/office/drawing/2014/chart" uri="{C3380CC4-5D6E-409C-BE32-E72D297353CC}">
              <c16:uniqueId val="{00000000-AB96-4308-A44A-0AC289F3789C}"/>
            </c:ext>
          </c:extLst>
        </c:ser>
        <c:ser>
          <c:idx val="0"/>
          <c:order val="1"/>
          <c:tx>
            <c:strRef>
              <c:f>'Graf 4'!$A$5</c:f>
              <c:strCache>
                <c:ptCount val="1"/>
                <c:pt idx="0">
                  <c:v>The share of RA Government foreign currency debt redemptions and interest payments in foreign currency external assets at the end of the previous year (%) </c:v>
                </c:pt>
              </c:strCache>
            </c:strRef>
          </c:tx>
          <c:spPr>
            <a:solidFill>
              <a:srgbClr val="31859C"/>
            </a:solidFill>
            <a:ln>
              <a:solidFill>
                <a:schemeClr val="tx1"/>
              </a:solidFill>
            </a:ln>
            <a:effectLst/>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GHEA Grapalat"/>
                    <a:ea typeface="GHEA Grapalat"/>
                    <a:cs typeface="GHEA Grapalat"/>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 4'!$C$3:$G$3</c:f>
              <c:strCache>
                <c:ptCount val="5"/>
                <c:pt idx="0">
                  <c:v>2022
Actual</c:v>
                </c:pt>
                <c:pt idx="1">
                  <c:v>2023
Forecast</c:v>
                </c:pt>
                <c:pt idx="2">
                  <c:v>2024
Forecast</c:v>
                </c:pt>
                <c:pt idx="3">
                  <c:v>2025
Forecast</c:v>
                </c:pt>
                <c:pt idx="4">
                  <c:v>2026
Forecast</c:v>
                </c:pt>
              </c:strCache>
            </c:strRef>
          </c:cat>
          <c:val>
            <c:numRef>
              <c:f>'Graf 4'!$C$5:$G$5</c:f>
              <c:numCache>
                <c:formatCode>0.0%</c:formatCode>
                <c:ptCount val="5"/>
                <c:pt idx="0">
                  <c:v>0.1222086353969007</c:v>
                </c:pt>
                <c:pt idx="1">
                  <c:v>0.13818457902423487</c:v>
                </c:pt>
                <c:pt idx="2">
                  <c:v>0.17557935467392355</c:v>
                </c:pt>
                <c:pt idx="3">
                  <c:v>0.30531384129723788</c:v>
                </c:pt>
                <c:pt idx="4">
                  <c:v>0.19075023057469051</c:v>
                </c:pt>
              </c:numCache>
            </c:numRef>
          </c:val>
          <c:extLst>
            <c:ext xmlns:c16="http://schemas.microsoft.com/office/drawing/2014/chart" uri="{C3380CC4-5D6E-409C-BE32-E72D297353CC}">
              <c16:uniqueId val="{00000001-AB96-4308-A44A-0AC289F3789C}"/>
            </c:ext>
          </c:extLst>
        </c:ser>
        <c:dLbls>
          <c:showLegendKey val="0"/>
          <c:showVal val="0"/>
          <c:showCatName val="0"/>
          <c:showSerName val="0"/>
          <c:showPercent val="0"/>
          <c:showBubbleSize val="0"/>
        </c:dLbls>
        <c:gapWidth val="150"/>
        <c:overlap val="100"/>
        <c:axId val="249509376"/>
        <c:axId val="140969088"/>
      </c:barChart>
      <c:catAx>
        <c:axId val="24950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050" b="0" i="0" u="none" strike="noStrike" baseline="0">
                <a:solidFill>
                  <a:srgbClr val="000000"/>
                </a:solidFill>
                <a:latin typeface="GHEA Grapalat"/>
                <a:ea typeface="GHEA Grapalat"/>
                <a:cs typeface="GHEA Grapalat"/>
              </a:defRPr>
            </a:pPr>
            <a:endParaRPr lang="en-US"/>
          </a:p>
        </c:txPr>
        <c:crossAx val="140969088"/>
        <c:crosses val="autoZero"/>
        <c:auto val="1"/>
        <c:lblAlgn val="ctr"/>
        <c:lblOffset val="100"/>
        <c:noMultiLvlLbl val="0"/>
      </c:catAx>
      <c:valAx>
        <c:axId val="140969088"/>
        <c:scaling>
          <c:orientation val="minMax"/>
          <c:max val="1"/>
        </c:scaling>
        <c:delete val="0"/>
        <c:axPos val="l"/>
        <c:majorGridlines>
          <c:spPr>
            <a:ln w="9525" cap="flat" cmpd="sng" algn="ctr">
              <a:gradFill>
                <a:gsLst>
                  <a:gs pos="0">
                    <a:schemeClr val="accent1">
                      <a:lumMod val="45000"/>
                      <a:lumOff val="55000"/>
                    </a:schemeClr>
                  </a:gs>
                  <a:gs pos="83000">
                    <a:schemeClr val="accent1">
                      <a:lumMod val="45000"/>
                      <a:lumOff val="55000"/>
                    </a:schemeClr>
                  </a:gs>
                  <a:gs pos="100000">
                    <a:schemeClr val="accent1">
                      <a:lumMod val="40000"/>
                      <a:lumOff val="60000"/>
                    </a:schemeClr>
                  </a:gs>
                </a:gsLst>
                <a:lin ang="5400000" scaled="1"/>
              </a:gradFill>
              <a:round/>
            </a:ln>
            <a:effectLst/>
          </c:spPr>
        </c:majorGridlines>
        <c:numFmt formatCode="0%" sourceLinked="1"/>
        <c:majorTickMark val="none"/>
        <c:minorTickMark val="none"/>
        <c:tickLblPos val="nextTo"/>
        <c:spPr>
          <a:ln w="9525">
            <a:noFill/>
          </a:ln>
        </c:spPr>
        <c:txPr>
          <a:bodyPr rot="0" vert="horz"/>
          <a:lstStyle/>
          <a:p>
            <a:pPr>
              <a:defRPr sz="1000" b="0" i="0" u="none" strike="noStrike" baseline="0">
                <a:solidFill>
                  <a:srgbClr val="000000"/>
                </a:solidFill>
                <a:latin typeface="GHEA Grapalat"/>
                <a:ea typeface="GHEA Grapalat"/>
                <a:cs typeface="GHEA Grapalat"/>
              </a:defRPr>
            </a:pPr>
            <a:endParaRPr lang="en-US"/>
          </a:p>
        </c:txPr>
        <c:crossAx val="249509376"/>
        <c:crosses val="autoZero"/>
        <c:crossBetween val="between"/>
      </c:valAx>
      <c:spPr>
        <a:noFill/>
        <a:ln w="25400">
          <a:noFill/>
        </a:ln>
      </c:spPr>
    </c:plotArea>
    <c:legend>
      <c:legendPos val="r"/>
      <c:legendEntry>
        <c:idx val="0"/>
        <c:delete val="1"/>
      </c:legendEntry>
      <c:layout>
        <c:manualLayout>
          <c:xMode val="edge"/>
          <c:yMode val="edge"/>
          <c:x val="4.9864981805328064E-2"/>
          <c:y val="0.83293353540984372"/>
          <c:w val="0.89961891832351504"/>
          <c:h val="0.13724740436206534"/>
        </c:manualLayout>
      </c:layout>
      <c:overlay val="0"/>
      <c:spPr>
        <a:noFill/>
        <a:ln w="25400">
          <a:noFill/>
        </a:ln>
      </c:spPr>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889998836372023E-2"/>
          <c:y val="3.1630245471804701E-2"/>
          <c:w val="0.8717961559026145"/>
          <c:h val="0.76399208293435161"/>
        </c:manualLayout>
      </c:layout>
      <c:areaChart>
        <c:grouping val="stacked"/>
        <c:varyColors val="0"/>
        <c:ser>
          <c:idx val="0"/>
          <c:order val="0"/>
          <c:tx>
            <c:strRef>
              <c:f>'Graf 2'!$B$3</c:f>
              <c:strCache>
                <c:ptCount val="1"/>
                <c:pt idx="0">
                  <c:v>Interest Payment </c:v>
                </c:pt>
              </c:strCache>
            </c:strRef>
          </c:tx>
          <c:spPr>
            <a:ln w="25400">
              <a:noFill/>
            </a:ln>
          </c:spPr>
          <c:dLbls>
            <c:dLbl>
              <c:idx val="0"/>
              <c:layout>
                <c:manualLayout>
                  <c:x val="3.2258064516129219E-2"/>
                  <c:y val="0"/>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867-4194-AF4F-53869436ABF4}"/>
                </c:ext>
              </c:extLst>
            </c:dLbl>
            <c:dLbl>
              <c:idx val="5"/>
              <c:layout>
                <c:manualLayout>
                  <c:x val="-3.4408602150537794E-2"/>
                  <c:y val="-8.2027389474493307E-17"/>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867-4194-AF4F-53869436ABF4}"/>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'Graf 2'!$D$2:$I$2</c:f>
              <c:numCache>
                <c:formatCode>General</c:formatCode>
                <c:ptCount val="6"/>
                <c:pt idx="0">
                  <c:v>2021</c:v>
                </c:pt>
                <c:pt idx="1">
                  <c:v>2022</c:v>
                </c:pt>
                <c:pt idx="2">
                  <c:v>2023</c:v>
                </c:pt>
                <c:pt idx="3">
                  <c:v>2024</c:v>
                </c:pt>
                <c:pt idx="4">
                  <c:v>2025</c:v>
                </c:pt>
                <c:pt idx="5">
                  <c:v>2026</c:v>
                </c:pt>
              </c:numCache>
            </c:numRef>
          </c:cat>
          <c:val>
            <c:numRef>
              <c:f>'Graf 2'!$D$3:$I$3</c:f>
              <c:numCache>
                <c:formatCode>_ * #,##0.0_ ;_ * \-#,##0.0_ ;_ * "-"??_ ;_ @_ </c:formatCode>
                <c:ptCount val="6"/>
                <c:pt idx="0">
                  <c:v>180.83133069050001</c:v>
                </c:pt>
                <c:pt idx="1">
                  <c:v>198.31195251309998</c:v>
                </c:pt>
                <c:pt idx="2">
                  <c:v>272.94807980000002</c:v>
                </c:pt>
                <c:pt idx="3">
                  <c:v>326.92163470000003</c:v>
                </c:pt>
                <c:pt idx="4">
                  <c:v>368.72032469999999</c:v>
                </c:pt>
                <c:pt idx="5">
                  <c:v>407.16603580000003</c:v>
                </c:pt>
              </c:numCache>
            </c:numRef>
          </c:val>
          <c:extLst>
            <c:ext xmlns:c16="http://schemas.microsoft.com/office/drawing/2014/chart" uri="{C3380CC4-5D6E-409C-BE32-E72D297353CC}">
              <c16:uniqueId val="{00000002-1867-4194-AF4F-53869436ABF4}"/>
            </c:ext>
          </c:extLst>
        </c:ser>
        <c:ser>
          <c:idx val="1"/>
          <c:order val="1"/>
          <c:tx>
            <c:strRef>
              <c:f>'Graf 2'!$B$4</c:f>
              <c:strCache>
                <c:ptCount val="1"/>
                <c:pt idx="0">
                  <c:v>Redemption </c:v>
                </c:pt>
              </c:strCache>
            </c:strRef>
          </c:tx>
          <c:spPr>
            <a:ln w="25400">
              <a:noFill/>
            </a:ln>
          </c:spPr>
          <c:dLbls>
            <c:dLbl>
              <c:idx val="0"/>
              <c:layout>
                <c:manualLayout>
                  <c:x val="3.6559139784946251E-2"/>
                  <c:y val="4.4739206256936498E-3"/>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867-4194-AF4F-53869436ABF4}"/>
                </c:ext>
              </c:extLst>
            </c:dLbl>
            <c:dLbl>
              <c:idx val="1"/>
              <c:layout>
                <c:manualLayout>
                  <c:x val="-2.1505376344086052E-3"/>
                  <c:y val="3.1319910514541492E-2"/>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867-4194-AF4F-53869436ABF4}"/>
                </c:ext>
              </c:extLst>
            </c:dLbl>
            <c:dLbl>
              <c:idx val="4"/>
              <c:layout>
                <c:manualLayout>
                  <c:x val="5.8582308142939403E-3"/>
                  <c:y val="4.3726875210225384E-2"/>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867-4194-AF4F-53869436ABF4}"/>
                </c:ext>
              </c:extLst>
            </c:dLbl>
            <c:dLbl>
              <c:idx val="5"/>
              <c:layout>
                <c:manualLayout>
                  <c:x val="-3.285145156503945E-2"/>
                  <c:y val="-3.5857361926631019E-2"/>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867-4194-AF4F-53869436ABF4}"/>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'Graf 2'!$D$2:$I$2</c:f>
              <c:numCache>
                <c:formatCode>General</c:formatCode>
                <c:ptCount val="6"/>
                <c:pt idx="0">
                  <c:v>2021</c:v>
                </c:pt>
                <c:pt idx="1">
                  <c:v>2022</c:v>
                </c:pt>
                <c:pt idx="2">
                  <c:v>2023</c:v>
                </c:pt>
                <c:pt idx="3">
                  <c:v>2024</c:v>
                </c:pt>
                <c:pt idx="4">
                  <c:v>2025</c:v>
                </c:pt>
                <c:pt idx="5">
                  <c:v>2026</c:v>
                </c:pt>
              </c:numCache>
            </c:numRef>
          </c:cat>
          <c:val>
            <c:numRef>
              <c:f>'Graf 2'!$D$4:$I$4</c:f>
              <c:numCache>
                <c:formatCode>_ * #,##0.0_ ;_ * \-#,##0.0_ ;_ * "-"??_ ;_ @_ </c:formatCode>
                <c:ptCount val="6"/>
                <c:pt idx="0">
                  <c:v>260.98127893829997</c:v>
                </c:pt>
                <c:pt idx="1">
                  <c:v>247.34527803380001</c:v>
                </c:pt>
                <c:pt idx="2">
                  <c:v>369.81898843720001</c:v>
                </c:pt>
                <c:pt idx="3">
                  <c:v>506.12681978000006</c:v>
                </c:pt>
                <c:pt idx="4">
                  <c:v>810.66211188000011</c:v>
                </c:pt>
                <c:pt idx="5">
                  <c:v>630.44081648000008</c:v>
                </c:pt>
              </c:numCache>
            </c:numRef>
          </c:val>
          <c:extLst>
            <c:ext xmlns:c16="http://schemas.microsoft.com/office/drawing/2014/chart" uri="{C3380CC4-5D6E-409C-BE32-E72D297353CC}">
              <c16:uniqueId val="{00000007-1867-4194-AF4F-53869436ABF4}"/>
            </c:ext>
          </c:extLst>
        </c:ser>
        <c:dLbls>
          <c:showLegendKey val="0"/>
          <c:showVal val="0"/>
          <c:showCatName val="0"/>
          <c:showSerName val="0"/>
          <c:showPercent val="0"/>
          <c:showBubbleSize val="0"/>
        </c:dLbls>
        <c:axId val="228921344"/>
        <c:axId val="248492544"/>
      </c:areaChart>
      <c:lineChart>
        <c:grouping val="stacked"/>
        <c:varyColors val="0"/>
        <c:ser>
          <c:idx val="4"/>
          <c:order val="2"/>
          <c:tx>
            <c:strRef>
              <c:f>'Graf 2'!$B$5</c:f>
              <c:strCache>
                <c:ptCount val="1"/>
                <c:pt idx="0">
                  <c:v>RA Government debt payments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2.0151753182750889E-2"/>
                  <c:y val="-5.7915545366955715E-2"/>
                </c:manualLayout>
              </c:layout>
              <c:numFmt formatCode="#,#00" sourceLinked="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867-4194-AF4F-53869436ABF4}"/>
                </c:ext>
              </c:extLst>
            </c:dLbl>
            <c:dLbl>
              <c:idx val="2"/>
              <c:layout>
                <c:manualLayout>
                  <c:x val="-3.6397665481688206E-2"/>
                  <c:y val="-7.7628697094460075E-2"/>
                </c:manualLayout>
              </c:layout>
              <c:numFmt formatCode="#,#00" sourceLinked="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867-4194-AF4F-53869436ABF4}"/>
                </c:ext>
              </c:extLst>
            </c:dLbl>
            <c:dLbl>
              <c:idx val="3"/>
              <c:layout>
                <c:manualLayout>
                  <c:x val="-3.4435727179672158E-2"/>
                  <c:y val="-6.6948556941579959E-2"/>
                </c:manualLayout>
              </c:layout>
              <c:numFmt formatCode="#,#00" sourceLinked="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867-4194-AF4F-53869436ABF4}"/>
                </c:ext>
              </c:extLst>
            </c:dLbl>
            <c:dLbl>
              <c:idx val="4"/>
              <c:layout>
                <c:manualLayout>
                  <c:x val="-1.8637938271775782E-2"/>
                  <c:y val="-6.3626708619041211E-2"/>
                </c:manualLayout>
              </c:layout>
              <c:numFmt formatCode="#,#00" sourceLinked="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867-4194-AF4F-53869436ABF4}"/>
                </c:ext>
              </c:extLst>
            </c:dLbl>
            <c:dLbl>
              <c:idx val="5"/>
              <c:layout>
                <c:manualLayout>
                  <c:x val="-3.3691746352444082E-2"/>
                  <c:y val="-5.2379552455034915E-2"/>
                </c:manualLayout>
              </c:layout>
              <c:numFmt formatCode="#,#00" sourceLinked="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867-4194-AF4F-53869436ABF4}"/>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GHEA Grapalat"/>
                    <a:ea typeface="GHEA Grapalat"/>
                    <a:cs typeface="GHEA Grapala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'Graf 2'!$D$2:$I$2</c:f>
              <c:numCache>
                <c:formatCode>General</c:formatCode>
                <c:ptCount val="6"/>
                <c:pt idx="0">
                  <c:v>2021</c:v>
                </c:pt>
                <c:pt idx="1">
                  <c:v>2022</c:v>
                </c:pt>
                <c:pt idx="2">
                  <c:v>2023</c:v>
                </c:pt>
                <c:pt idx="3">
                  <c:v>2024</c:v>
                </c:pt>
                <c:pt idx="4">
                  <c:v>2025</c:v>
                </c:pt>
                <c:pt idx="5">
                  <c:v>2026</c:v>
                </c:pt>
              </c:numCache>
            </c:numRef>
          </c:cat>
          <c:val>
            <c:numRef>
              <c:f>'Graf 2'!$D$5:$I$5</c:f>
              <c:numCache>
                <c:formatCode>_ * #,##0.0_ ;_ * \-#,##0.0_ ;_ * "-"??_ ;_ @_ </c:formatCode>
                <c:ptCount val="6"/>
                <c:pt idx="0">
                  <c:v>441.81260962880003</c:v>
                </c:pt>
                <c:pt idx="1">
                  <c:v>445.65723054690005</c:v>
                </c:pt>
                <c:pt idx="2">
                  <c:v>642.76706823720008</c:v>
                </c:pt>
                <c:pt idx="3">
                  <c:v>833.04845448000015</c:v>
                </c:pt>
                <c:pt idx="4">
                  <c:v>1179.3824365800001</c:v>
                </c:pt>
                <c:pt idx="5">
                  <c:v>1037.6068522800001</c:v>
                </c:pt>
              </c:numCache>
            </c:numRef>
          </c:val>
          <c:smooth val="0"/>
          <c:extLst>
            <c:ext xmlns:c16="http://schemas.microsoft.com/office/drawing/2014/chart" uri="{C3380CC4-5D6E-409C-BE32-E72D297353CC}">
              <c16:uniqueId val="{0000000D-1867-4194-AF4F-53869436ABF4}"/>
            </c:ext>
          </c:extLst>
        </c:ser>
        <c:dLbls>
          <c:showLegendKey val="0"/>
          <c:showVal val="0"/>
          <c:showCatName val="0"/>
          <c:showSerName val="0"/>
          <c:showPercent val="0"/>
          <c:showBubbleSize val="0"/>
        </c:dLbls>
        <c:marker val="1"/>
        <c:smooth val="0"/>
        <c:axId val="228921344"/>
        <c:axId val="248492544"/>
      </c:lineChart>
      <c:catAx>
        <c:axId val="228921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1000" b="0" i="0" u="none" strike="noStrike" baseline="0">
                <a:solidFill>
                  <a:srgbClr val="000000"/>
                </a:solidFill>
                <a:latin typeface="GHEA Grapalat"/>
                <a:ea typeface="GHEA Grapalat"/>
                <a:cs typeface="GHEA Grapalat"/>
              </a:defRPr>
            </a:pPr>
            <a:endParaRPr lang="en-US"/>
          </a:p>
        </c:txPr>
        <c:crossAx val="248492544"/>
        <c:crosses val="autoZero"/>
        <c:auto val="1"/>
        <c:lblAlgn val="ctr"/>
        <c:lblOffset val="100"/>
        <c:noMultiLvlLbl val="0"/>
      </c:catAx>
      <c:valAx>
        <c:axId val="248492544"/>
        <c:scaling>
          <c:orientation val="minMax"/>
          <c:max val="1300"/>
        </c:scaling>
        <c:delete val="0"/>
        <c:axPos val="l"/>
        <c:majorGridlines>
          <c:spPr>
            <a:ln w="9525" cap="flat" cmpd="sng" algn="ctr">
              <a:solidFill>
                <a:schemeClr val="tx1">
                  <a:lumMod val="15000"/>
                  <a:lumOff val="85000"/>
                </a:schemeClr>
              </a:solidFill>
              <a:round/>
            </a:ln>
            <a:effectLst>
              <a:glow>
                <a:srgbClr val="4F81BD">
                  <a:alpha val="40000"/>
                </a:srgbClr>
              </a:glow>
              <a:outerShdw dir="3540000" sx="1000" sy="1000" algn="ctr" rotWithShape="0">
                <a:srgbClr val="000000"/>
              </a:outerShdw>
              <a:softEdge rad="0"/>
            </a:effectLst>
          </c:spPr>
        </c:majorGridlines>
        <c:numFmt formatCode="#,##0" sourceLinked="0"/>
        <c:majorTickMark val="none"/>
        <c:minorTickMark val="none"/>
        <c:tickLblPos val="nextTo"/>
        <c:spPr>
          <a:ln w="6350">
            <a:noFill/>
          </a:ln>
        </c:spPr>
        <c:txPr>
          <a:bodyPr rot="0" vert="horz"/>
          <a:lstStyle/>
          <a:p>
            <a:pPr>
              <a:defRPr sz="1000" b="0" i="0" u="none" strike="noStrike" baseline="0">
                <a:solidFill>
                  <a:srgbClr val="000000"/>
                </a:solidFill>
                <a:latin typeface="GHEA Grapalat"/>
                <a:ea typeface="GHEA Grapalat"/>
                <a:cs typeface="GHEA Grapalat"/>
              </a:defRPr>
            </a:pPr>
            <a:endParaRPr lang="en-US"/>
          </a:p>
        </c:txPr>
        <c:crossAx val="228921344"/>
        <c:crosses val="autoZero"/>
        <c:crossBetween val="midCat"/>
        <c:majorUnit val="100"/>
      </c:valAx>
      <c:spPr>
        <a:noFill/>
        <a:ln w="25400">
          <a:noFill/>
        </a:ln>
      </c:spPr>
    </c:plotArea>
    <c:legend>
      <c:legendPos val="b"/>
      <c:layout>
        <c:manualLayout>
          <c:xMode val="edge"/>
          <c:yMode val="edge"/>
          <c:x val="5.0968312505240643E-2"/>
          <c:y val="0.89227395747878158"/>
          <c:w val="0.87466199175491133"/>
          <c:h val="9.4502500721976454E-2"/>
        </c:manualLayout>
      </c:layout>
      <c:overlay val="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zero"/>
    <c:showDLblsOverMax val="0"/>
  </c:chart>
  <c:spPr>
    <a:solidFill>
      <a:schemeClr val="bg1"/>
    </a:solidFill>
    <a:ln w="9525" cap="rnd" cmpd="sng" algn="ctr">
      <a:solidFill>
        <a:sysClr val="windowText" lastClr="000000">
          <a:lumMod val="15000"/>
          <a:lumOff val="85000"/>
        </a:sysClr>
      </a:solidFill>
      <a:round/>
    </a:ln>
    <a:effectLst/>
    <a:scene3d>
      <a:camera prst="orthographicFront"/>
      <a:lightRig rig="threePt" dir="t"/>
    </a:scene3d>
    <a:sp3d>
      <a:bevelT w="0"/>
    </a:sp3d>
  </c:spPr>
  <c:txPr>
    <a:bodyPr/>
    <a:lstStyle/>
    <a:p>
      <a:pPr>
        <a:defRPr sz="1000" b="0" i="0" u="none" strike="noStrike" baseline="0">
          <a:solidFill>
            <a:srgbClr val="000000"/>
          </a:solidFill>
          <a:latin typeface="GHEA Grapalat"/>
          <a:ea typeface="GHEA Grapalat"/>
          <a:cs typeface="GHEA Grapalat"/>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418214232654126E-2"/>
          <c:y val="0.29057232507590686"/>
          <c:w val="0.9022861387609511"/>
          <c:h val="0.61103574459207632"/>
        </c:manualLayout>
      </c:layout>
      <c:lineChart>
        <c:grouping val="standard"/>
        <c:varyColors val="0"/>
        <c:ser>
          <c:idx val="0"/>
          <c:order val="0"/>
          <c:tx>
            <c:strRef>
              <c:f>'[2024-2026 Strategy data_ENG.xlsx]Graf Shock 7'!$B$9</c:f>
              <c:strCache>
                <c:ptCount val="1"/>
                <c:pt idx="0">
                  <c:v>Baseline Scenario </c:v>
                </c:pt>
              </c:strCache>
            </c:strRef>
          </c:tx>
          <c:spPr>
            <a:ln>
              <a:solidFill>
                <a:schemeClr val="tx1"/>
              </a:solidFill>
            </a:ln>
          </c:spPr>
          <c:marker>
            <c:symbol val="none"/>
          </c:marker>
          <c:cat>
            <c:numRef>
              <c:f>'[2024-2026 Strategy data_ENG.xlsx]Graf Shock 7'!$C$8:$F$8</c:f>
              <c:numCache>
                <c:formatCode>General</c:formatCode>
                <c:ptCount val="4"/>
                <c:pt idx="0">
                  <c:v>2023</c:v>
                </c:pt>
                <c:pt idx="1">
                  <c:v>2024</c:v>
                </c:pt>
                <c:pt idx="2">
                  <c:v>2025</c:v>
                </c:pt>
                <c:pt idx="3">
                  <c:v>2026</c:v>
                </c:pt>
              </c:numCache>
            </c:numRef>
          </c:cat>
          <c:val>
            <c:numRef>
              <c:f>'[2024-2026 Strategy data_ENG.xlsx]Graf Shock 7'!$C$9:$F$9</c:f>
              <c:numCache>
                <c:formatCode>0.0</c:formatCode>
                <c:ptCount val="4"/>
                <c:pt idx="0">
                  <c:v>49.903691720969718</c:v>
                </c:pt>
                <c:pt idx="1">
                  <c:v>49.928118808318217</c:v>
                </c:pt>
                <c:pt idx="2">
                  <c:v>49.846826698821737</c:v>
                </c:pt>
                <c:pt idx="3">
                  <c:v>49.253937697867663</c:v>
                </c:pt>
              </c:numCache>
            </c:numRef>
          </c:val>
          <c:smooth val="0"/>
          <c:extLst>
            <c:ext xmlns:c16="http://schemas.microsoft.com/office/drawing/2014/chart" uri="{C3380CC4-5D6E-409C-BE32-E72D297353CC}">
              <c16:uniqueId val="{00000000-5739-45E7-979B-578CCB6F9F42}"/>
            </c:ext>
          </c:extLst>
        </c:ser>
        <c:ser>
          <c:idx val="1"/>
          <c:order val="1"/>
          <c:tx>
            <c:strRef>
              <c:f>'[2024-2026 Strategy data_ENG.xlsx]Graf Shock 7'!$B$10</c:f>
              <c:strCache>
                <c:ptCount val="1"/>
                <c:pt idx="0">
                  <c:v>Exchange rate shock (23.6%)</c:v>
                </c:pt>
              </c:strCache>
            </c:strRef>
          </c:tx>
          <c:spPr>
            <a:ln>
              <a:solidFill>
                <a:srgbClr val="0000FF"/>
              </a:solidFill>
            </a:ln>
          </c:spPr>
          <c:marker>
            <c:spPr>
              <a:solidFill>
                <a:srgbClr val="0000FF"/>
              </a:solidFill>
              <a:ln>
                <a:solidFill>
                  <a:srgbClr val="0000FF"/>
                </a:solidFill>
              </a:ln>
            </c:spPr>
          </c:marker>
          <c:cat>
            <c:numRef>
              <c:f>'[2024-2026 Strategy data_ENG.xlsx]Graf Shock 7'!$C$8:$F$8</c:f>
              <c:numCache>
                <c:formatCode>General</c:formatCode>
                <c:ptCount val="4"/>
                <c:pt idx="0">
                  <c:v>2023</c:v>
                </c:pt>
                <c:pt idx="1">
                  <c:v>2024</c:v>
                </c:pt>
                <c:pt idx="2">
                  <c:v>2025</c:v>
                </c:pt>
                <c:pt idx="3">
                  <c:v>2026</c:v>
                </c:pt>
              </c:numCache>
            </c:numRef>
          </c:cat>
          <c:val>
            <c:numRef>
              <c:f>'[2024-2026 Strategy data_ENG.xlsx]Graf Shock 7'!$C$10:$F$10</c:f>
              <c:numCache>
                <c:formatCode>0.0</c:formatCode>
                <c:ptCount val="4"/>
                <c:pt idx="0">
                  <c:v>49.903691720969718</c:v>
                </c:pt>
                <c:pt idx="1">
                  <c:v>56.722616954181881</c:v>
                </c:pt>
                <c:pt idx="2">
                  <c:v>56.494596498697106</c:v>
                </c:pt>
                <c:pt idx="3">
                  <c:v>55.710516782327424</c:v>
                </c:pt>
              </c:numCache>
            </c:numRef>
          </c:val>
          <c:smooth val="0"/>
          <c:extLst>
            <c:ext xmlns:c16="http://schemas.microsoft.com/office/drawing/2014/chart" uri="{C3380CC4-5D6E-409C-BE32-E72D297353CC}">
              <c16:uniqueId val="{00000001-5739-45E7-979B-578CCB6F9F42}"/>
            </c:ext>
          </c:extLst>
        </c:ser>
        <c:ser>
          <c:idx val="2"/>
          <c:order val="2"/>
          <c:tx>
            <c:strRef>
              <c:f>'[2024-2026 Strategy data_ENG.xlsx]Graf Shock 7'!$B$11</c:f>
              <c:strCache>
                <c:ptCount val="1"/>
                <c:pt idx="0">
                  <c:v>Interest rate shock 1</c:v>
                </c:pt>
              </c:strCache>
            </c:strRef>
          </c:tx>
          <c:spPr>
            <a:ln>
              <a:solidFill>
                <a:srgbClr val="6496FA"/>
              </a:solidFill>
            </a:ln>
          </c:spPr>
          <c:marker>
            <c:spPr>
              <a:solidFill>
                <a:srgbClr val="6496FA"/>
              </a:solidFill>
              <a:ln>
                <a:solidFill>
                  <a:srgbClr val="6496FA"/>
                </a:solidFill>
              </a:ln>
            </c:spPr>
          </c:marker>
          <c:cat>
            <c:numRef>
              <c:f>'[2024-2026 Strategy data_ENG.xlsx]Graf Shock 7'!$C$8:$F$8</c:f>
              <c:numCache>
                <c:formatCode>General</c:formatCode>
                <c:ptCount val="4"/>
                <c:pt idx="0">
                  <c:v>2023</c:v>
                </c:pt>
                <c:pt idx="1">
                  <c:v>2024</c:v>
                </c:pt>
                <c:pt idx="2">
                  <c:v>2025</c:v>
                </c:pt>
                <c:pt idx="3">
                  <c:v>2026</c:v>
                </c:pt>
              </c:numCache>
            </c:numRef>
          </c:cat>
          <c:val>
            <c:numRef>
              <c:f>'[2024-2026 Strategy data_ENG.xlsx]Graf Shock 7'!$C$11:$F$11</c:f>
              <c:numCache>
                <c:formatCode>0.0</c:formatCode>
                <c:ptCount val="4"/>
                <c:pt idx="0">
                  <c:v>49.903691720969718</c:v>
                </c:pt>
                <c:pt idx="1">
                  <c:v>50.2223914555858</c:v>
                </c:pt>
                <c:pt idx="2">
                  <c:v>50.497098675697437</c:v>
                </c:pt>
                <c:pt idx="3">
                  <c:v>50.322516659403718</c:v>
                </c:pt>
              </c:numCache>
            </c:numRef>
          </c:val>
          <c:smooth val="0"/>
          <c:extLst>
            <c:ext xmlns:c16="http://schemas.microsoft.com/office/drawing/2014/chart" uri="{C3380CC4-5D6E-409C-BE32-E72D297353CC}">
              <c16:uniqueId val="{00000002-5739-45E7-979B-578CCB6F9F42}"/>
            </c:ext>
          </c:extLst>
        </c:ser>
        <c:ser>
          <c:idx val="3"/>
          <c:order val="3"/>
          <c:tx>
            <c:strRef>
              <c:f>'[2024-2026 Strategy data_ENG.xlsx]Graf Shock 7'!$B$12</c:f>
              <c:strCache>
                <c:ptCount val="1"/>
                <c:pt idx="0">
                  <c:v>Interest rate shock 2</c:v>
                </c:pt>
              </c:strCache>
            </c:strRef>
          </c:tx>
          <c:spPr>
            <a:ln>
              <a:solidFill>
                <a:schemeClr val="bg1">
                  <a:lumMod val="50000"/>
                </a:schemeClr>
              </a:solidFill>
            </a:ln>
          </c:spPr>
          <c:marker>
            <c:symbol val="circle"/>
            <c:size val="7"/>
            <c:spPr>
              <a:solidFill>
                <a:srgbClr val="A0A0A0"/>
              </a:solidFill>
              <a:ln>
                <a:solidFill>
                  <a:sysClr val="window" lastClr="FFFFFF">
                    <a:lumMod val="50000"/>
                  </a:sysClr>
                </a:solidFill>
              </a:ln>
            </c:spPr>
          </c:marker>
          <c:cat>
            <c:numRef>
              <c:f>'[2024-2026 Strategy data_ENG.xlsx]Graf Shock 7'!$C$8:$F$8</c:f>
              <c:numCache>
                <c:formatCode>General</c:formatCode>
                <c:ptCount val="4"/>
                <c:pt idx="0">
                  <c:v>2023</c:v>
                </c:pt>
                <c:pt idx="1">
                  <c:v>2024</c:v>
                </c:pt>
                <c:pt idx="2">
                  <c:v>2025</c:v>
                </c:pt>
                <c:pt idx="3">
                  <c:v>2026</c:v>
                </c:pt>
              </c:numCache>
            </c:numRef>
          </c:cat>
          <c:val>
            <c:numRef>
              <c:f>'[2024-2026 Strategy data_ENG.xlsx]Graf Shock 7'!$C$12:$F$12</c:f>
              <c:numCache>
                <c:formatCode>0.0</c:formatCode>
                <c:ptCount val="4"/>
                <c:pt idx="0">
                  <c:v>49.903691720969718</c:v>
                </c:pt>
                <c:pt idx="1">
                  <c:v>50.51666410285339</c:v>
                </c:pt>
                <c:pt idx="2">
                  <c:v>51.157137041742033</c:v>
                </c:pt>
                <c:pt idx="3">
                  <c:v>51.41945530502413</c:v>
                </c:pt>
              </c:numCache>
            </c:numRef>
          </c:val>
          <c:smooth val="0"/>
          <c:extLst>
            <c:ext xmlns:c16="http://schemas.microsoft.com/office/drawing/2014/chart" uri="{C3380CC4-5D6E-409C-BE32-E72D297353CC}">
              <c16:uniqueId val="{00000003-5739-45E7-979B-578CCB6F9F42}"/>
            </c:ext>
          </c:extLst>
        </c:ser>
        <c:ser>
          <c:idx val="4"/>
          <c:order val="4"/>
          <c:tx>
            <c:strRef>
              <c:f>'[2024-2026 Strategy data_ENG.xlsx]Graf Shock 7'!$B$13</c:f>
              <c:strCache>
                <c:ptCount val="1"/>
                <c:pt idx="0">
                  <c:v>Combined shock (15 percent depreciation and interest rate shock)</c:v>
                </c:pt>
              </c:strCache>
            </c:strRef>
          </c:tx>
          <c:spPr>
            <a:ln>
              <a:solidFill>
                <a:schemeClr val="accent5">
                  <a:lumMod val="75000"/>
                </a:schemeClr>
              </a:solidFill>
              <a:prstDash val="sysDash"/>
            </a:ln>
          </c:spPr>
          <c:marker>
            <c:symbol val="none"/>
          </c:marker>
          <c:cat>
            <c:numRef>
              <c:f>'[2024-2026 Strategy data_ENG.xlsx]Graf Shock 7'!$C$8:$F$8</c:f>
              <c:numCache>
                <c:formatCode>General</c:formatCode>
                <c:ptCount val="4"/>
                <c:pt idx="0">
                  <c:v>2023</c:v>
                </c:pt>
                <c:pt idx="1">
                  <c:v>2024</c:v>
                </c:pt>
                <c:pt idx="2">
                  <c:v>2025</c:v>
                </c:pt>
                <c:pt idx="3">
                  <c:v>2026</c:v>
                </c:pt>
              </c:numCache>
            </c:numRef>
          </c:cat>
          <c:val>
            <c:numRef>
              <c:f>'[2024-2026 Strategy data_ENG.xlsx]Graf Shock 7'!$C$13:$F$13</c:f>
              <c:numCache>
                <c:formatCode>0.0</c:formatCode>
                <c:ptCount val="4"/>
                <c:pt idx="0">
                  <c:v>49.903691720969718</c:v>
                </c:pt>
                <c:pt idx="1">
                  <c:v>54.567625744012048</c:v>
                </c:pt>
                <c:pt idx="2">
                  <c:v>54.777649207095578</c:v>
                </c:pt>
                <c:pt idx="3">
                  <c:v>54.514278688813853</c:v>
                </c:pt>
              </c:numCache>
            </c:numRef>
          </c:val>
          <c:smooth val="0"/>
          <c:extLst>
            <c:ext xmlns:c16="http://schemas.microsoft.com/office/drawing/2014/chart" uri="{C3380CC4-5D6E-409C-BE32-E72D297353CC}">
              <c16:uniqueId val="{00000004-5739-45E7-979B-578CCB6F9F42}"/>
            </c:ext>
          </c:extLst>
        </c:ser>
        <c:dLbls>
          <c:showLegendKey val="0"/>
          <c:showVal val="0"/>
          <c:showCatName val="0"/>
          <c:showSerName val="0"/>
          <c:showPercent val="0"/>
          <c:showBubbleSize val="0"/>
        </c:dLbls>
        <c:smooth val="0"/>
        <c:axId val="249916928"/>
        <c:axId val="140973696"/>
      </c:lineChart>
      <c:catAx>
        <c:axId val="24991692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40973696"/>
        <c:crosses val="autoZero"/>
        <c:auto val="1"/>
        <c:lblAlgn val="ctr"/>
        <c:lblOffset val="100"/>
        <c:noMultiLvlLbl val="0"/>
      </c:catAx>
      <c:valAx>
        <c:axId val="140973696"/>
        <c:scaling>
          <c:orientation val="minMax"/>
          <c:min val="47"/>
        </c:scaling>
        <c:delete val="0"/>
        <c:axPos val="l"/>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49916928"/>
        <c:crosses val="autoZero"/>
        <c:crossBetween val="between"/>
        <c:majorUnit val="1"/>
      </c:valAx>
    </c:plotArea>
    <c:legend>
      <c:legendPos val="r"/>
      <c:layout>
        <c:manualLayout>
          <c:xMode val="edge"/>
          <c:yMode val="edge"/>
          <c:x val="0.13811776082867316"/>
          <c:y val="1.8104972412680893E-2"/>
          <c:w val="0.76002505548893218"/>
          <c:h val="0.25346961377753252"/>
        </c:manualLayout>
      </c:layout>
      <c:overlay val="0"/>
      <c:txPr>
        <a:bodyPr/>
        <a:lstStyle/>
        <a:p>
          <a:pPr>
            <a:defRPr sz="825"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ln>
      <a:solidFill>
        <a:schemeClr val="bg1">
          <a:lumMod val="85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418214232654126E-2"/>
          <c:y val="0.28068199918281983"/>
          <c:w val="0.9022861387609511"/>
          <c:h val="0.62760185319842932"/>
        </c:manualLayout>
      </c:layout>
      <c:lineChart>
        <c:grouping val="standard"/>
        <c:varyColors val="0"/>
        <c:ser>
          <c:idx val="0"/>
          <c:order val="0"/>
          <c:tx>
            <c:strRef>
              <c:f>'[2024-2026 Strategy data_ENG.xlsx]Graf Shock 7'!$B$21</c:f>
              <c:strCache>
                <c:ptCount val="1"/>
                <c:pt idx="0">
                  <c:v>Baseline Scenario </c:v>
                </c:pt>
              </c:strCache>
            </c:strRef>
          </c:tx>
          <c:spPr>
            <a:ln>
              <a:solidFill>
                <a:schemeClr val="tx1"/>
              </a:solidFill>
            </a:ln>
          </c:spPr>
          <c:marker>
            <c:symbol val="none"/>
          </c:marker>
          <c:cat>
            <c:numRef>
              <c:f>'[2024-2026 Strategy data_ENG.xlsx]Graf Shock 7'!$C$20:$F$20</c:f>
              <c:numCache>
                <c:formatCode>General</c:formatCode>
                <c:ptCount val="4"/>
                <c:pt idx="0">
                  <c:v>2023</c:v>
                </c:pt>
                <c:pt idx="1">
                  <c:v>2024</c:v>
                </c:pt>
                <c:pt idx="2">
                  <c:v>2025</c:v>
                </c:pt>
                <c:pt idx="3">
                  <c:v>2026</c:v>
                </c:pt>
              </c:numCache>
            </c:numRef>
          </c:cat>
          <c:val>
            <c:numRef>
              <c:f>'[2024-2026 Strategy data_ENG.xlsx]Graf Shock 7'!$C$21:$F$21</c:f>
              <c:numCache>
                <c:formatCode>0.0</c:formatCode>
                <c:ptCount val="4"/>
                <c:pt idx="0">
                  <c:v>2.8647103477833804</c:v>
                </c:pt>
                <c:pt idx="1">
                  <c:v>3.08339176592091</c:v>
                </c:pt>
                <c:pt idx="2">
                  <c:v>3.1250922456427372</c:v>
                </c:pt>
                <c:pt idx="3">
                  <c:v>3.1011736934672824</c:v>
                </c:pt>
              </c:numCache>
            </c:numRef>
          </c:val>
          <c:smooth val="0"/>
          <c:extLst>
            <c:ext xmlns:c16="http://schemas.microsoft.com/office/drawing/2014/chart" uri="{C3380CC4-5D6E-409C-BE32-E72D297353CC}">
              <c16:uniqueId val="{00000000-344B-4802-B404-01D7702A9ADD}"/>
            </c:ext>
          </c:extLst>
        </c:ser>
        <c:ser>
          <c:idx val="1"/>
          <c:order val="1"/>
          <c:tx>
            <c:strRef>
              <c:f>'[2024-2026 Strategy data_ENG.xlsx]Graf Shock 7'!$B$22</c:f>
              <c:strCache>
                <c:ptCount val="1"/>
                <c:pt idx="0">
                  <c:v>Exchange rate shock (23.6%)</c:v>
                </c:pt>
              </c:strCache>
            </c:strRef>
          </c:tx>
          <c:spPr>
            <a:ln>
              <a:solidFill>
                <a:srgbClr val="0000FF"/>
              </a:solidFill>
            </a:ln>
          </c:spPr>
          <c:marker>
            <c:spPr>
              <a:solidFill>
                <a:srgbClr val="0000FF"/>
              </a:solidFill>
              <a:ln>
                <a:solidFill>
                  <a:srgbClr val="0000FF"/>
                </a:solidFill>
              </a:ln>
            </c:spPr>
          </c:marker>
          <c:cat>
            <c:numRef>
              <c:f>'[2024-2026 Strategy data_ENG.xlsx]Graf Shock 7'!$C$20:$F$20</c:f>
              <c:numCache>
                <c:formatCode>General</c:formatCode>
                <c:ptCount val="4"/>
                <c:pt idx="0">
                  <c:v>2023</c:v>
                </c:pt>
                <c:pt idx="1">
                  <c:v>2024</c:v>
                </c:pt>
                <c:pt idx="2">
                  <c:v>2025</c:v>
                </c:pt>
                <c:pt idx="3">
                  <c:v>2026</c:v>
                </c:pt>
              </c:numCache>
            </c:numRef>
          </c:cat>
          <c:val>
            <c:numRef>
              <c:f>'[2024-2026 Strategy data_ENG.xlsx]Graf Shock 7'!$C$22:$F$22</c:f>
              <c:numCache>
                <c:formatCode>0.0</c:formatCode>
                <c:ptCount val="4"/>
                <c:pt idx="0">
                  <c:v>2.8647103477833804</c:v>
                </c:pt>
                <c:pt idx="1">
                  <c:v>3.3018870828427072</c:v>
                </c:pt>
                <c:pt idx="2">
                  <c:v>3.3637721895840502</c:v>
                </c:pt>
                <c:pt idx="3">
                  <c:v>3.352705509716575</c:v>
                </c:pt>
              </c:numCache>
            </c:numRef>
          </c:val>
          <c:smooth val="0"/>
          <c:extLst>
            <c:ext xmlns:c16="http://schemas.microsoft.com/office/drawing/2014/chart" uri="{C3380CC4-5D6E-409C-BE32-E72D297353CC}">
              <c16:uniqueId val="{00000001-344B-4802-B404-01D7702A9ADD}"/>
            </c:ext>
          </c:extLst>
        </c:ser>
        <c:ser>
          <c:idx val="2"/>
          <c:order val="2"/>
          <c:tx>
            <c:strRef>
              <c:f>'[2024-2026 Strategy data_ENG.xlsx]Graf Shock 7'!$B$23</c:f>
              <c:strCache>
                <c:ptCount val="1"/>
                <c:pt idx="0">
                  <c:v>Interest rate shock 1</c:v>
                </c:pt>
              </c:strCache>
            </c:strRef>
          </c:tx>
          <c:spPr>
            <a:ln>
              <a:solidFill>
                <a:srgbClr val="6496FA"/>
              </a:solidFill>
            </a:ln>
          </c:spPr>
          <c:marker>
            <c:spPr>
              <a:solidFill>
                <a:srgbClr val="6496FA"/>
              </a:solidFill>
              <a:ln>
                <a:solidFill>
                  <a:srgbClr val="6496FA"/>
                </a:solidFill>
              </a:ln>
            </c:spPr>
          </c:marker>
          <c:cat>
            <c:numRef>
              <c:f>'[2024-2026 Strategy data_ENG.xlsx]Graf Shock 7'!$C$20:$F$20</c:f>
              <c:numCache>
                <c:formatCode>General</c:formatCode>
                <c:ptCount val="4"/>
                <c:pt idx="0">
                  <c:v>2023</c:v>
                </c:pt>
                <c:pt idx="1">
                  <c:v>2024</c:v>
                </c:pt>
                <c:pt idx="2">
                  <c:v>2025</c:v>
                </c:pt>
                <c:pt idx="3">
                  <c:v>2026</c:v>
                </c:pt>
              </c:numCache>
            </c:numRef>
          </c:cat>
          <c:val>
            <c:numRef>
              <c:f>'[2024-2026 Strategy data_ENG.xlsx]Graf Shock 7'!$C$23:$F$23</c:f>
              <c:numCache>
                <c:formatCode>0.0</c:formatCode>
                <c:ptCount val="4"/>
                <c:pt idx="0">
                  <c:v>2.8647103477833804</c:v>
                </c:pt>
                <c:pt idx="1">
                  <c:v>3.3776644131885023</c:v>
                </c:pt>
                <c:pt idx="2">
                  <c:v>3.5060758494245157</c:v>
                </c:pt>
                <c:pt idx="3">
                  <c:v>3.5736981215287833</c:v>
                </c:pt>
              </c:numCache>
            </c:numRef>
          </c:val>
          <c:smooth val="0"/>
          <c:extLst>
            <c:ext xmlns:c16="http://schemas.microsoft.com/office/drawing/2014/chart" uri="{C3380CC4-5D6E-409C-BE32-E72D297353CC}">
              <c16:uniqueId val="{00000002-344B-4802-B404-01D7702A9ADD}"/>
            </c:ext>
          </c:extLst>
        </c:ser>
        <c:ser>
          <c:idx val="3"/>
          <c:order val="3"/>
          <c:tx>
            <c:strRef>
              <c:f>'[2024-2026 Strategy data_ENG.xlsx]Graf Shock 7'!$B$24</c:f>
              <c:strCache>
                <c:ptCount val="1"/>
                <c:pt idx="0">
                  <c:v>Interest rate shock 2</c:v>
                </c:pt>
              </c:strCache>
            </c:strRef>
          </c:tx>
          <c:spPr>
            <a:ln>
              <a:solidFill>
                <a:schemeClr val="bg1">
                  <a:lumMod val="50000"/>
                </a:schemeClr>
              </a:solidFill>
            </a:ln>
          </c:spPr>
          <c:marker>
            <c:symbol val="circle"/>
            <c:size val="7"/>
            <c:spPr>
              <a:solidFill>
                <a:srgbClr val="A0A0A0"/>
              </a:solidFill>
              <a:ln>
                <a:solidFill>
                  <a:sysClr val="window" lastClr="FFFFFF">
                    <a:lumMod val="50000"/>
                  </a:sysClr>
                </a:solidFill>
              </a:ln>
            </c:spPr>
          </c:marker>
          <c:cat>
            <c:numRef>
              <c:f>'[2024-2026 Strategy data_ENG.xlsx]Graf Shock 7'!$C$20:$F$20</c:f>
              <c:numCache>
                <c:formatCode>General</c:formatCode>
                <c:ptCount val="4"/>
                <c:pt idx="0">
                  <c:v>2023</c:v>
                </c:pt>
                <c:pt idx="1">
                  <c:v>2024</c:v>
                </c:pt>
                <c:pt idx="2">
                  <c:v>2025</c:v>
                </c:pt>
                <c:pt idx="3">
                  <c:v>2026</c:v>
                </c:pt>
              </c:numCache>
            </c:numRef>
          </c:cat>
          <c:val>
            <c:numRef>
              <c:f>'[2024-2026 Strategy data_ENG.xlsx]Graf Shock 7'!$C$24:$F$24</c:f>
              <c:numCache>
                <c:formatCode>0.0</c:formatCode>
                <c:ptCount val="4"/>
                <c:pt idx="0">
                  <c:v>2.8647103477833804</c:v>
                </c:pt>
                <c:pt idx="1">
                  <c:v>3.6719370604560946</c:v>
                </c:pt>
                <c:pt idx="2">
                  <c:v>3.8968258423751894</c:v>
                </c:pt>
                <c:pt idx="3">
                  <c:v>4.0656245625392966</c:v>
                </c:pt>
              </c:numCache>
            </c:numRef>
          </c:val>
          <c:smooth val="0"/>
          <c:extLst>
            <c:ext xmlns:c16="http://schemas.microsoft.com/office/drawing/2014/chart" uri="{C3380CC4-5D6E-409C-BE32-E72D297353CC}">
              <c16:uniqueId val="{00000003-344B-4802-B404-01D7702A9ADD}"/>
            </c:ext>
          </c:extLst>
        </c:ser>
        <c:ser>
          <c:idx val="4"/>
          <c:order val="4"/>
          <c:tx>
            <c:strRef>
              <c:f>'[2024-2026 Strategy data_ENG.xlsx]Graf Shock 7'!$B$25</c:f>
              <c:strCache>
                <c:ptCount val="1"/>
                <c:pt idx="0">
                  <c:v>Combined shock (15 percent depreciation and interest rate shock)</c:v>
                </c:pt>
              </c:strCache>
            </c:strRef>
          </c:tx>
          <c:spPr>
            <a:ln>
              <a:solidFill>
                <a:schemeClr val="accent5">
                  <a:lumMod val="75000"/>
                </a:schemeClr>
              </a:solidFill>
              <a:prstDash val="sysDash"/>
            </a:ln>
          </c:spPr>
          <c:marker>
            <c:symbol val="none"/>
          </c:marker>
          <c:cat>
            <c:numRef>
              <c:f>'[2024-2026 Strategy data_ENG.xlsx]Graf Shock 7'!$C$20:$F$20</c:f>
              <c:numCache>
                <c:formatCode>General</c:formatCode>
                <c:ptCount val="4"/>
                <c:pt idx="0">
                  <c:v>2023</c:v>
                </c:pt>
                <c:pt idx="1">
                  <c:v>2024</c:v>
                </c:pt>
                <c:pt idx="2">
                  <c:v>2025</c:v>
                </c:pt>
                <c:pt idx="3">
                  <c:v>2026</c:v>
                </c:pt>
              </c:numCache>
            </c:numRef>
          </c:cat>
          <c:val>
            <c:numRef>
              <c:f>'[2024-2026 Strategy data_ENG.xlsx]Graf Shock 7'!$C$25:$F$25</c:f>
              <c:numCache>
                <c:formatCode>0.0</c:formatCode>
                <c:ptCount val="4"/>
                <c:pt idx="0">
                  <c:v>2.8647103477833804</c:v>
                </c:pt>
                <c:pt idx="1">
                  <c:v>3.543235886609315</c:v>
                </c:pt>
                <c:pt idx="2">
                  <c:v>3.6886216397248166</c:v>
                </c:pt>
                <c:pt idx="3">
                  <c:v>3.7709116641804612</c:v>
                </c:pt>
              </c:numCache>
            </c:numRef>
          </c:val>
          <c:smooth val="0"/>
          <c:extLst>
            <c:ext xmlns:c16="http://schemas.microsoft.com/office/drawing/2014/chart" uri="{C3380CC4-5D6E-409C-BE32-E72D297353CC}">
              <c16:uniqueId val="{00000004-344B-4802-B404-01D7702A9ADD}"/>
            </c:ext>
          </c:extLst>
        </c:ser>
        <c:dLbls>
          <c:showLegendKey val="0"/>
          <c:showVal val="0"/>
          <c:showCatName val="0"/>
          <c:showSerName val="0"/>
          <c:showPercent val="0"/>
          <c:showBubbleSize val="0"/>
        </c:dLbls>
        <c:smooth val="0"/>
        <c:axId val="249968128"/>
        <c:axId val="468361216"/>
      </c:lineChart>
      <c:catAx>
        <c:axId val="24996812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68361216"/>
        <c:crosses val="autoZero"/>
        <c:auto val="1"/>
        <c:lblAlgn val="ctr"/>
        <c:lblOffset val="100"/>
        <c:noMultiLvlLbl val="0"/>
      </c:catAx>
      <c:valAx>
        <c:axId val="468361216"/>
        <c:scaling>
          <c:orientation val="minMax"/>
          <c:max val="4.5"/>
          <c:min val="2.5"/>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49968128"/>
        <c:crosses val="autoZero"/>
        <c:crossBetween val="between"/>
        <c:majorUnit val="0.2"/>
      </c:valAx>
    </c:plotArea>
    <c:legend>
      <c:legendPos val="r"/>
      <c:layout>
        <c:manualLayout>
          <c:xMode val="edge"/>
          <c:yMode val="edge"/>
          <c:x val="0.1366082771037696"/>
          <c:y val="1.7745908720909195E-2"/>
          <c:w val="0.76002505548893218"/>
          <c:h val="0.25157435304347736"/>
        </c:manualLayout>
      </c:layout>
      <c:overlay val="0"/>
      <c:txPr>
        <a:bodyPr/>
        <a:lstStyle/>
        <a:p>
          <a:pPr>
            <a:defRPr sz="825"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ln>
      <a:solidFill>
        <a:schemeClr val="bg1">
          <a:lumMod val="85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0.33394</cdr:x>
      <cdr:y>0.01022</cdr:y>
    </cdr:from>
    <cdr:to>
      <cdr:x>0.97984</cdr:x>
      <cdr:y>0.88093</cdr:y>
    </cdr:to>
    <cdr:sp macro="" textlink="">
      <cdr:nvSpPr>
        <cdr:cNvPr id="3" name="Rectangle 2"/>
        <cdr:cNvSpPr/>
      </cdr:nvSpPr>
      <cdr:spPr>
        <a:xfrm xmlns:a="http://schemas.openxmlformats.org/drawingml/2006/main">
          <a:off x="2110765" y="40006"/>
          <a:ext cx="4082598" cy="3406960"/>
        </a:xfrm>
        <a:prstGeom xmlns:a="http://schemas.openxmlformats.org/drawingml/2006/main" prst="rect">
          <a:avLst/>
        </a:prstGeom>
        <a:solidFill xmlns:a="http://schemas.openxmlformats.org/drawingml/2006/main">
          <a:schemeClr val="accent2">
            <a:alpha val="10000"/>
          </a:schemeClr>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0.58684</cdr:x>
      <cdr:y>0.04467</cdr:y>
    </cdr:from>
    <cdr:to>
      <cdr:x>0.76253</cdr:x>
      <cdr:y>0.10366</cdr:y>
    </cdr:to>
    <cdr:sp macro="" textlink="">
      <cdr:nvSpPr>
        <cdr:cNvPr id="4" name="ZoneTexte 3"/>
        <cdr:cNvSpPr txBox="1"/>
      </cdr:nvSpPr>
      <cdr:spPr>
        <a:xfrm xmlns:a="http://schemas.openxmlformats.org/drawingml/2006/main">
          <a:off x="3827733" y="173309"/>
          <a:ext cx="1142760" cy="22269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pPr algn="ctr"/>
          <a:r>
            <a:rPr lang="fr-CH" sz="900" b="0">
              <a:solidFill>
                <a:schemeClr val="accent2"/>
              </a:solidFill>
              <a:latin typeface="GHEA Grapalat" pitchFamily="50" charset="0"/>
            </a:rPr>
            <a:t>Forecast</a:t>
          </a:r>
        </a:p>
      </cdr:txBody>
    </cdr:sp>
  </cdr:relSizeAnchor>
</c:userShapes>
</file>

<file path=word/drawings/drawing2.xml><?xml version="1.0" encoding="utf-8"?>
<c:userShapes xmlns:c="http://schemas.openxmlformats.org/drawingml/2006/chart">
  <cdr:relSizeAnchor xmlns:cdr="http://schemas.openxmlformats.org/drawingml/2006/chartDrawing">
    <cdr:from>
      <cdr:x>0.01276</cdr:x>
      <cdr:y>0.0144</cdr:y>
    </cdr:from>
    <cdr:to>
      <cdr:x>0.15623</cdr:x>
      <cdr:y>0.10355</cdr:y>
    </cdr:to>
    <cdr:sp macro="" textlink="">
      <cdr:nvSpPr>
        <cdr:cNvPr id="2" name="TextBox 1"/>
        <cdr:cNvSpPr txBox="1"/>
      </cdr:nvSpPr>
      <cdr:spPr>
        <a:xfrm xmlns:a="http://schemas.openxmlformats.org/drawingml/2006/main">
          <a:off x="71438" y="33338"/>
          <a:ext cx="797719" cy="2024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Percent</a:t>
          </a:r>
        </a:p>
      </cdr:txBody>
    </cdr:sp>
  </cdr:relSizeAnchor>
</c:userShapes>
</file>

<file path=word/drawings/drawing3.xml><?xml version="1.0" encoding="utf-8"?>
<c:userShapes xmlns:c="http://schemas.openxmlformats.org/drawingml/2006/chart">
  <cdr:relSizeAnchor xmlns:cdr="http://schemas.openxmlformats.org/drawingml/2006/chartDrawing">
    <cdr:from>
      <cdr:x>0.01276</cdr:x>
      <cdr:y>0.0144</cdr:y>
    </cdr:from>
    <cdr:to>
      <cdr:x>0.15525</cdr:x>
      <cdr:y>0.10258</cdr:y>
    </cdr:to>
    <cdr:sp macro="" textlink="">
      <cdr:nvSpPr>
        <cdr:cNvPr id="2" name="TextBox 1"/>
        <cdr:cNvSpPr txBox="1"/>
      </cdr:nvSpPr>
      <cdr:spPr>
        <a:xfrm xmlns:a="http://schemas.openxmlformats.org/drawingml/2006/main">
          <a:off x="71438" y="33338"/>
          <a:ext cx="797719" cy="2024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effectLst/>
              <a:latin typeface="+mn-lt"/>
              <a:ea typeface="+mn-ea"/>
              <a:cs typeface="+mn-cs"/>
            </a:rPr>
            <a:t>Percent</a:t>
          </a:r>
          <a:endParaRPr lang="en-US" sz="900">
            <a:effectLs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288EB-00E6-485F-9519-D224C61C6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2551</TotalTime>
  <Pages>36</Pages>
  <Words>8309</Words>
  <Characters>47363</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¶ÈàôÊ 11</vt:lpstr>
    </vt:vector>
  </TitlesOfParts>
  <Company/>
  <LinksUpToDate>false</LinksUpToDate>
  <CharactersWithSpaces>55561</CharactersWithSpaces>
  <SharedDoc>false</SharedDoc>
  <HLinks>
    <vt:vector size="84" baseType="variant">
      <vt:variant>
        <vt:i4>1441840</vt:i4>
      </vt:variant>
      <vt:variant>
        <vt:i4>80</vt:i4>
      </vt:variant>
      <vt:variant>
        <vt:i4>0</vt:i4>
      </vt:variant>
      <vt:variant>
        <vt:i4>5</vt:i4>
      </vt:variant>
      <vt:variant>
        <vt:lpwstr/>
      </vt:variant>
      <vt:variant>
        <vt:lpwstr>_Toc137513741</vt:lpwstr>
      </vt:variant>
      <vt:variant>
        <vt:i4>1441840</vt:i4>
      </vt:variant>
      <vt:variant>
        <vt:i4>74</vt:i4>
      </vt:variant>
      <vt:variant>
        <vt:i4>0</vt:i4>
      </vt:variant>
      <vt:variant>
        <vt:i4>5</vt:i4>
      </vt:variant>
      <vt:variant>
        <vt:lpwstr/>
      </vt:variant>
      <vt:variant>
        <vt:lpwstr>_Toc137513740</vt:lpwstr>
      </vt:variant>
      <vt:variant>
        <vt:i4>1114160</vt:i4>
      </vt:variant>
      <vt:variant>
        <vt:i4>68</vt:i4>
      </vt:variant>
      <vt:variant>
        <vt:i4>0</vt:i4>
      </vt:variant>
      <vt:variant>
        <vt:i4>5</vt:i4>
      </vt:variant>
      <vt:variant>
        <vt:lpwstr/>
      </vt:variant>
      <vt:variant>
        <vt:lpwstr>_Toc137513739</vt:lpwstr>
      </vt:variant>
      <vt:variant>
        <vt:i4>1114160</vt:i4>
      </vt:variant>
      <vt:variant>
        <vt:i4>62</vt:i4>
      </vt:variant>
      <vt:variant>
        <vt:i4>0</vt:i4>
      </vt:variant>
      <vt:variant>
        <vt:i4>5</vt:i4>
      </vt:variant>
      <vt:variant>
        <vt:lpwstr/>
      </vt:variant>
      <vt:variant>
        <vt:lpwstr>_Toc137513738</vt:lpwstr>
      </vt:variant>
      <vt:variant>
        <vt:i4>1114160</vt:i4>
      </vt:variant>
      <vt:variant>
        <vt:i4>56</vt:i4>
      </vt:variant>
      <vt:variant>
        <vt:i4>0</vt:i4>
      </vt:variant>
      <vt:variant>
        <vt:i4>5</vt:i4>
      </vt:variant>
      <vt:variant>
        <vt:lpwstr/>
      </vt:variant>
      <vt:variant>
        <vt:lpwstr>_Toc137513737</vt:lpwstr>
      </vt:variant>
      <vt:variant>
        <vt:i4>1114160</vt:i4>
      </vt:variant>
      <vt:variant>
        <vt:i4>50</vt:i4>
      </vt:variant>
      <vt:variant>
        <vt:i4>0</vt:i4>
      </vt:variant>
      <vt:variant>
        <vt:i4>5</vt:i4>
      </vt:variant>
      <vt:variant>
        <vt:lpwstr/>
      </vt:variant>
      <vt:variant>
        <vt:lpwstr>_Toc137513736</vt:lpwstr>
      </vt:variant>
      <vt:variant>
        <vt:i4>1114160</vt:i4>
      </vt:variant>
      <vt:variant>
        <vt:i4>44</vt:i4>
      </vt:variant>
      <vt:variant>
        <vt:i4>0</vt:i4>
      </vt:variant>
      <vt:variant>
        <vt:i4>5</vt:i4>
      </vt:variant>
      <vt:variant>
        <vt:lpwstr/>
      </vt:variant>
      <vt:variant>
        <vt:lpwstr>_Toc137513735</vt:lpwstr>
      </vt:variant>
      <vt:variant>
        <vt:i4>1114160</vt:i4>
      </vt:variant>
      <vt:variant>
        <vt:i4>38</vt:i4>
      </vt:variant>
      <vt:variant>
        <vt:i4>0</vt:i4>
      </vt:variant>
      <vt:variant>
        <vt:i4>5</vt:i4>
      </vt:variant>
      <vt:variant>
        <vt:lpwstr/>
      </vt:variant>
      <vt:variant>
        <vt:lpwstr>_Toc137513734</vt:lpwstr>
      </vt:variant>
      <vt:variant>
        <vt:i4>1114160</vt:i4>
      </vt:variant>
      <vt:variant>
        <vt:i4>32</vt:i4>
      </vt:variant>
      <vt:variant>
        <vt:i4>0</vt:i4>
      </vt:variant>
      <vt:variant>
        <vt:i4>5</vt:i4>
      </vt:variant>
      <vt:variant>
        <vt:lpwstr/>
      </vt:variant>
      <vt:variant>
        <vt:lpwstr>_Toc137513733</vt:lpwstr>
      </vt:variant>
      <vt:variant>
        <vt:i4>1114160</vt:i4>
      </vt:variant>
      <vt:variant>
        <vt:i4>26</vt:i4>
      </vt:variant>
      <vt:variant>
        <vt:i4>0</vt:i4>
      </vt:variant>
      <vt:variant>
        <vt:i4>5</vt:i4>
      </vt:variant>
      <vt:variant>
        <vt:lpwstr/>
      </vt:variant>
      <vt:variant>
        <vt:lpwstr>_Toc137513732</vt:lpwstr>
      </vt:variant>
      <vt:variant>
        <vt:i4>1114160</vt:i4>
      </vt:variant>
      <vt:variant>
        <vt:i4>20</vt:i4>
      </vt:variant>
      <vt:variant>
        <vt:i4>0</vt:i4>
      </vt:variant>
      <vt:variant>
        <vt:i4>5</vt:i4>
      </vt:variant>
      <vt:variant>
        <vt:lpwstr/>
      </vt:variant>
      <vt:variant>
        <vt:lpwstr>_Toc137513731</vt:lpwstr>
      </vt:variant>
      <vt:variant>
        <vt:i4>1114160</vt:i4>
      </vt:variant>
      <vt:variant>
        <vt:i4>14</vt:i4>
      </vt:variant>
      <vt:variant>
        <vt:i4>0</vt:i4>
      </vt:variant>
      <vt:variant>
        <vt:i4>5</vt:i4>
      </vt:variant>
      <vt:variant>
        <vt:lpwstr/>
      </vt:variant>
      <vt:variant>
        <vt:lpwstr>_Toc137513730</vt:lpwstr>
      </vt:variant>
      <vt:variant>
        <vt:i4>1048624</vt:i4>
      </vt:variant>
      <vt:variant>
        <vt:i4>8</vt:i4>
      </vt:variant>
      <vt:variant>
        <vt:i4>0</vt:i4>
      </vt:variant>
      <vt:variant>
        <vt:i4>5</vt:i4>
      </vt:variant>
      <vt:variant>
        <vt:lpwstr/>
      </vt:variant>
      <vt:variant>
        <vt:lpwstr>_Toc137513729</vt:lpwstr>
      </vt:variant>
      <vt:variant>
        <vt:i4>1048624</vt:i4>
      </vt:variant>
      <vt:variant>
        <vt:i4>2</vt:i4>
      </vt:variant>
      <vt:variant>
        <vt:i4>0</vt:i4>
      </vt:variant>
      <vt:variant>
        <vt:i4>5</vt:i4>
      </vt:variant>
      <vt:variant>
        <vt:lpwstr/>
      </vt:variant>
      <vt:variant>
        <vt:lpwstr>_Toc137513728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¶ÈàôÊ 11</dc:title>
  <dc:subject/>
  <dc:creator>mariam</dc:creator>
  <cp:keywords>https://mul2-minfin.gov.am/tasks/718239/oneclick/2024-2026_debt_strategy_ENG.docx?token=3977c583b5998cded1f6bcab2d537bea</cp:keywords>
  <cp:lastModifiedBy>Artur_Hambardzumyan</cp:lastModifiedBy>
  <cp:revision>340</cp:revision>
  <cp:lastPrinted>2022-07-14T12:15:00Z</cp:lastPrinted>
  <dcterms:created xsi:type="dcterms:W3CDTF">2023-06-21T12:59:00Z</dcterms:created>
  <dcterms:modified xsi:type="dcterms:W3CDTF">2023-11-11T16:43:00Z</dcterms:modified>
</cp:coreProperties>
</file>