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01CCD" w14:textId="77777777" w:rsidR="00386DCF" w:rsidRPr="00776E6B" w:rsidRDefault="00386DCF" w:rsidP="00386DCF">
      <w:pPr>
        <w:pStyle w:val="mechtex"/>
        <w:jc w:val="right"/>
        <w:rPr>
          <w:u w:val="single"/>
          <w:lang w:val="en-US"/>
        </w:rPr>
      </w:pPr>
      <w:bookmarkStart w:id="0" w:name="_Toc107052575"/>
      <w:bookmarkStart w:id="1" w:name="_Toc456102860"/>
      <w:bookmarkStart w:id="2" w:name="_Toc296702416"/>
      <w:r w:rsidRPr="00776E6B">
        <w:rPr>
          <w:u w:val="single"/>
          <w:lang w:val="en-US"/>
        </w:rPr>
        <w:t>Non-official translation</w:t>
      </w:r>
    </w:p>
    <w:p w14:paraId="396816D1" w14:textId="77777777" w:rsidR="00386DCF" w:rsidRDefault="00386DCF" w:rsidP="00910947">
      <w:pPr>
        <w:pStyle w:val="mechtex"/>
        <w:tabs>
          <w:tab w:val="left" w:pos="0"/>
        </w:tabs>
        <w:spacing w:after="60" w:line="240" w:lineRule="auto"/>
        <w:ind w:firstLine="0"/>
        <w:jc w:val="right"/>
        <w:rPr>
          <w:rFonts w:eastAsiaTheme="minorEastAsia" w:cstheme="minorBidi"/>
          <w:color w:val="323E4F" w:themeColor="text2" w:themeShade="BF"/>
          <w:sz w:val="18"/>
          <w:szCs w:val="18"/>
        </w:rPr>
      </w:pPr>
    </w:p>
    <w:bookmarkEnd w:id="0"/>
    <w:p w14:paraId="4DC5DE31" w14:textId="77777777" w:rsidR="00386DCF" w:rsidRPr="00386DCF" w:rsidRDefault="00386DCF" w:rsidP="00386DCF">
      <w:pPr>
        <w:pStyle w:val="mechtex"/>
        <w:tabs>
          <w:tab w:val="left" w:pos="0"/>
        </w:tabs>
        <w:spacing w:after="60" w:line="240" w:lineRule="auto"/>
        <w:ind w:firstLine="0"/>
        <w:jc w:val="right"/>
        <w:rPr>
          <w:rFonts w:eastAsiaTheme="minorEastAsia" w:cstheme="minorBidi"/>
          <w:color w:val="323E4F" w:themeColor="text2" w:themeShade="BF"/>
          <w:sz w:val="18"/>
          <w:szCs w:val="18"/>
        </w:rPr>
      </w:pPr>
      <w:r w:rsidRPr="00386DCF">
        <w:rPr>
          <w:rFonts w:eastAsiaTheme="minorEastAsia" w:cstheme="minorBidi"/>
          <w:color w:val="323E4F" w:themeColor="text2" w:themeShade="BF"/>
          <w:sz w:val="18"/>
          <w:szCs w:val="18"/>
        </w:rPr>
        <w:t>Approved</w:t>
      </w:r>
    </w:p>
    <w:p w14:paraId="3AE9EAAC" w14:textId="06124686" w:rsidR="00386DCF" w:rsidRPr="00386DCF" w:rsidRDefault="00386DCF" w:rsidP="00386DCF">
      <w:pPr>
        <w:pStyle w:val="mechtex"/>
        <w:tabs>
          <w:tab w:val="left" w:pos="0"/>
        </w:tabs>
        <w:spacing w:after="60" w:line="240" w:lineRule="auto"/>
        <w:ind w:firstLine="0"/>
        <w:jc w:val="right"/>
        <w:rPr>
          <w:rFonts w:eastAsiaTheme="minorEastAsia" w:cstheme="minorBidi"/>
          <w:color w:val="323E4F" w:themeColor="text2" w:themeShade="BF"/>
          <w:sz w:val="18"/>
          <w:szCs w:val="18"/>
        </w:rPr>
      </w:pPr>
      <w:r w:rsidRPr="00386DCF">
        <w:rPr>
          <w:rFonts w:eastAsiaTheme="minorEastAsia" w:cstheme="minorBidi"/>
          <w:color w:val="323E4F" w:themeColor="text2" w:themeShade="BF"/>
          <w:sz w:val="18"/>
          <w:szCs w:val="18"/>
        </w:rPr>
        <w:t xml:space="preserve">by </w:t>
      </w:r>
      <w:r>
        <w:rPr>
          <w:rFonts w:eastAsiaTheme="minorEastAsia" w:cstheme="minorBidi"/>
          <w:color w:val="323E4F" w:themeColor="text2" w:themeShade="BF"/>
          <w:sz w:val="18"/>
          <w:szCs w:val="18"/>
          <w:lang w:val="en-US"/>
        </w:rPr>
        <w:t xml:space="preserve">the </w:t>
      </w:r>
      <w:r w:rsidRPr="00386DCF">
        <w:rPr>
          <w:rFonts w:eastAsiaTheme="minorEastAsia" w:cstheme="minorBidi"/>
          <w:color w:val="323E4F" w:themeColor="text2" w:themeShade="BF"/>
          <w:sz w:val="18"/>
          <w:szCs w:val="18"/>
        </w:rPr>
        <w:t>RA Government Decree No. 741-N</w:t>
      </w:r>
    </w:p>
    <w:p w14:paraId="3ADC9F67" w14:textId="0F1C3611" w:rsidR="00386DCF" w:rsidRPr="00386DCF" w:rsidRDefault="00386DCF" w:rsidP="00386DCF">
      <w:pPr>
        <w:pStyle w:val="mechtex"/>
        <w:tabs>
          <w:tab w:val="left" w:pos="0"/>
        </w:tabs>
        <w:spacing w:after="60" w:line="240" w:lineRule="auto"/>
        <w:ind w:firstLine="0"/>
        <w:jc w:val="right"/>
        <w:rPr>
          <w:rFonts w:eastAsiaTheme="minorEastAsia" w:cstheme="minorBidi"/>
          <w:color w:val="323E4F" w:themeColor="text2" w:themeShade="BF"/>
          <w:sz w:val="18"/>
          <w:szCs w:val="18"/>
        </w:rPr>
      </w:pPr>
      <w:r w:rsidRPr="00386DCF">
        <w:rPr>
          <w:rFonts w:eastAsiaTheme="minorEastAsia" w:cstheme="minorBidi"/>
          <w:color w:val="323E4F" w:themeColor="text2" w:themeShade="BF"/>
          <w:sz w:val="18"/>
          <w:szCs w:val="18"/>
        </w:rPr>
        <w:t>dated June</w:t>
      </w:r>
      <w:r>
        <w:rPr>
          <w:rFonts w:eastAsiaTheme="minorEastAsia" w:cstheme="minorBidi"/>
          <w:color w:val="323E4F" w:themeColor="text2" w:themeShade="BF"/>
          <w:sz w:val="18"/>
          <w:szCs w:val="18"/>
        </w:rPr>
        <w:t xml:space="preserve"> </w:t>
      </w:r>
      <w:r w:rsidRPr="00386DCF">
        <w:rPr>
          <w:rFonts w:eastAsiaTheme="minorEastAsia" w:cstheme="minorBidi"/>
          <w:color w:val="323E4F" w:themeColor="text2" w:themeShade="BF"/>
          <w:sz w:val="18"/>
          <w:szCs w:val="18"/>
        </w:rPr>
        <w:t>5, 2025</w:t>
      </w:r>
    </w:p>
    <w:p w14:paraId="1B3195D0" w14:textId="77777777" w:rsidR="00386DCF" w:rsidRPr="00910947" w:rsidRDefault="00386DCF" w:rsidP="00910947">
      <w:pPr>
        <w:pStyle w:val="mechtex"/>
        <w:tabs>
          <w:tab w:val="left" w:pos="0"/>
        </w:tabs>
        <w:spacing w:after="60" w:line="240" w:lineRule="auto"/>
        <w:ind w:firstLine="0"/>
        <w:jc w:val="right"/>
        <w:rPr>
          <w:rFonts w:eastAsiaTheme="minorEastAsia" w:cstheme="minorBidi"/>
          <w:color w:val="323E4F" w:themeColor="text2" w:themeShade="BF"/>
          <w:sz w:val="18"/>
          <w:szCs w:val="18"/>
        </w:rPr>
      </w:pPr>
    </w:p>
    <w:p w14:paraId="31BAAB26" w14:textId="27B70771" w:rsidR="009058B7" w:rsidRPr="00910947" w:rsidRDefault="009058B7" w:rsidP="00910947">
      <w:pPr>
        <w:pStyle w:val="mechtex"/>
        <w:tabs>
          <w:tab w:val="left" w:pos="0"/>
        </w:tabs>
        <w:spacing w:after="60" w:line="240" w:lineRule="auto"/>
        <w:ind w:firstLine="0"/>
        <w:jc w:val="right"/>
        <w:rPr>
          <w:rFonts w:eastAsiaTheme="minorEastAsia" w:cstheme="minorBidi"/>
          <w:color w:val="323E4F" w:themeColor="text2" w:themeShade="BF"/>
          <w:sz w:val="18"/>
          <w:szCs w:val="18"/>
        </w:rPr>
      </w:pPr>
    </w:p>
    <w:p w14:paraId="33A54AF9" w14:textId="77777777" w:rsidR="000978DE" w:rsidRPr="008D06C1" w:rsidRDefault="000978DE" w:rsidP="00A1274B">
      <w:pPr>
        <w:pStyle w:val="Title"/>
        <w:rPr>
          <w:rFonts w:ascii="GHEA Grapalat" w:hAnsi="GHEA Grapalat"/>
        </w:rPr>
      </w:pPr>
    </w:p>
    <w:p w14:paraId="61449164" w14:textId="77777777" w:rsidR="009058B7" w:rsidRPr="008D06C1" w:rsidRDefault="009058B7" w:rsidP="00A1274B">
      <w:pPr>
        <w:pStyle w:val="Title"/>
        <w:rPr>
          <w:rFonts w:ascii="GHEA Grapalat" w:hAnsi="GHEA Grapalat"/>
        </w:rPr>
      </w:pPr>
    </w:p>
    <w:p w14:paraId="1E8A9933" w14:textId="77777777" w:rsidR="009058B7" w:rsidRPr="008D06C1" w:rsidRDefault="009058B7" w:rsidP="00A1274B">
      <w:pPr>
        <w:pStyle w:val="Title"/>
        <w:rPr>
          <w:rFonts w:ascii="GHEA Grapalat" w:hAnsi="GHEA Grapalat"/>
        </w:rPr>
      </w:pPr>
    </w:p>
    <w:p w14:paraId="4623F445" w14:textId="77777777" w:rsidR="009058B7" w:rsidRPr="008D06C1" w:rsidRDefault="009058B7" w:rsidP="00A1274B">
      <w:pPr>
        <w:pStyle w:val="Title"/>
        <w:rPr>
          <w:rFonts w:ascii="GHEA Grapalat" w:hAnsi="GHEA Grapalat"/>
        </w:rPr>
      </w:pPr>
    </w:p>
    <w:p w14:paraId="6C5EE47D" w14:textId="77777777" w:rsidR="009058B7" w:rsidRPr="008D06C1" w:rsidRDefault="009058B7" w:rsidP="00A1274B">
      <w:pPr>
        <w:pStyle w:val="Title"/>
        <w:rPr>
          <w:rFonts w:ascii="GHEA Grapalat" w:hAnsi="GHEA Grapalat"/>
        </w:rPr>
      </w:pPr>
    </w:p>
    <w:p w14:paraId="6D6C8E2F" w14:textId="77777777" w:rsidR="00386DCF" w:rsidRPr="008D06C1" w:rsidRDefault="000F622B" w:rsidP="00386DCF">
      <w:pPr>
        <w:pStyle w:val="Title"/>
        <w:rPr>
          <w:rFonts w:ascii="GHEA Grapalat" w:hAnsi="GHEA Grapalat"/>
        </w:rPr>
      </w:pPr>
      <w:r w:rsidRPr="008D06C1">
        <w:rPr>
          <w:rFonts w:ascii="GHEA Grapalat" w:hAnsi="GHEA Grapalat"/>
        </w:rPr>
        <w:t>20</w:t>
      </w:r>
      <w:r w:rsidR="00E33808" w:rsidRPr="008D06C1">
        <w:rPr>
          <w:rFonts w:ascii="GHEA Grapalat" w:hAnsi="GHEA Grapalat"/>
        </w:rPr>
        <w:t>2</w:t>
      </w:r>
      <w:r w:rsidR="00654494">
        <w:rPr>
          <w:rFonts w:ascii="GHEA Grapalat" w:hAnsi="GHEA Grapalat"/>
        </w:rPr>
        <w:t>6</w:t>
      </w:r>
      <w:r w:rsidRPr="008D06C1">
        <w:rPr>
          <w:rFonts w:ascii="GHEA Grapalat" w:hAnsi="GHEA Grapalat"/>
        </w:rPr>
        <w:t>-202</w:t>
      </w:r>
      <w:r w:rsidR="00654494">
        <w:rPr>
          <w:rFonts w:ascii="GHEA Grapalat" w:hAnsi="GHEA Grapalat"/>
        </w:rPr>
        <w:t>8</w:t>
      </w:r>
      <w:r w:rsidRPr="008D06C1">
        <w:rPr>
          <w:rFonts w:ascii="GHEA Grapalat" w:hAnsi="GHEA Grapalat"/>
        </w:rPr>
        <w:t xml:space="preserve"> </w:t>
      </w:r>
      <w:bookmarkEnd w:id="1"/>
      <w:r w:rsidR="00386DCF">
        <w:rPr>
          <w:rFonts w:ascii="GHEA Grapalat" w:hAnsi="GHEA Grapalat" w:cs="Arial"/>
        </w:rPr>
        <w:t xml:space="preserve">GOVERNMENT DEBT MANAGEMENT STRATEGY OF THE REPUBLIC OF ARMENIA </w:t>
      </w:r>
    </w:p>
    <w:p w14:paraId="0F707F0E" w14:textId="62AEF7FD" w:rsidR="000F622B" w:rsidRPr="008D06C1" w:rsidRDefault="000F622B" w:rsidP="00A1274B">
      <w:pPr>
        <w:pStyle w:val="Title"/>
        <w:rPr>
          <w:rFonts w:ascii="GHEA Grapalat" w:hAnsi="GHEA Grapalat"/>
        </w:rPr>
      </w:pPr>
    </w:p>
    <w:p w14:paraId="69C70870" w14:textId="77777777" w:rsidR="005D2662" w:rsidRPr="008D06C1" w:rsidRDefault="005D2662" w:rsidP="00A1274B">
      <w:pPr>
        <w:sectPr w:rsidR="005D2662" w:rsidRPr="008D06C1" w:rsidSect="008E36CD">
          <w:footerReference w:type="even" r:id="rId8"/>
          <w:pgSz w:w="11909" w:h="16834" w:code="9"/>
          <w:pgMar w:top="1134" w:right="567" w:bottom="567" w:left="1134" w:header="720" w:footer="284" w:gutter="0"/>
          <w:cols w:space="720"/>
          <w:docGrid w:linePitch="360"/>
        </w:sectPr>
      </w:pPr>
    </w:p>
    <w:p w14:paraId="139B8E0D" w14:textId="7F83F298" w:rsidR="000F622B" w:rsidRPr="00B342A0" w:rsidRDefault="00BA2147" w:rsidP="00B342A0">
      <w:pPr>
        <w:pStyle w:val="Title"/>
        <w:rPr>
          <w:rFonts w:ascii="GHEA Grapalat" w:hAnsi="GHEA Grapalat"/>
          <w:sz w:val="28"/>
          <w:szCs w:val="28"/>
          <w:lang w:val="en-US"/>
        </w:rPr>
      </w:pPr>
      <w:r w:rsidRPr="00B342A0">
        <w:rPr>
          <w:rFonts w:ascii="GHEA Grapalat" w:hAnsi="GHEA Grapalat"/>
          <w:sz w:val="28"/>
          <w:szCs w:val="28"/>
          <w:lang w:val="en-US"/>
        </w:rPr>
        <w:lastRenderedPageBreak/>
        <w:t>Table of Contents</w:t>
      </w:r>
    </w:p>
    <w:p w14:paraId="5F73C34F" w14:textId="63581CBF" w:rsidR="00F10701" w:rsidRDefault="00C41C50">
      <w:pPr>
        <w:pStyle w:val="TOC1"/>
        <w:rPr>
          <w:rFonts w:asciiTheme="minorHAnsi" w:eastAsiaTheme="minorEastAsia" w:hAnsiTheme="minorHAnsi" w:cstheme="minorBidi"/>
          <w:b w:val="0"/>
          <w:color w:val="auto"/>
          <w:lang w:val="en-US"/>
        </w:rPr>
      </w:pPr>
      <w:r w:rsidRPr="008D06C1">
        <w:fldChar w:fldCharType="begin"/>
      </w:r>
      <w:r w:rsidRPr="008D06C1">
        <w:instrText xml:space="preserve"> TOC \o "1-3" \h \z \t "Subtitle;1" </w:instrText>
      </w:r>
      <w:r w:rsidRPr="008D06C1">
        <w:fldChar w:fldCharType="separate"/>
      </w:r>
      <w:hyperlink w:anchor="_Toc205988168" w:history="1">
        <w:r w:rsidR="00F10701" w:rsidRPr="00712B15">
          <w:rPr>
            <w:rStyle w:val="Hyperlink"/>
          </w:rPr>
          <w:t>Introduction</w:t>
        </w:r>
        <w:r w:rsidR="00F10701">
          <w:rPr>
            <w:webHidden/>
          </w:rPr>
          <w:tab/>
        </w:r>
        <w:r w:rsidR="00F10701">
          <w:rPr>
            <w:webHidden/>
          </w:rPr>
          <w:fldChar w:fldCharType="begin"/>
        </w:r>
        <w:r w:rsidR="00F10701">
          <w:rPr>
            <w:webHidden/>
          </w:rPr>
          <w:instrText xml:space="preserve"> PAGEREF _Toc205988168 \h </w:instrText>
        </w:r>
        <w:r w:rsidR="00F10701">
          <w:rPr>
            <w:webHidden/>
          </w:rPr>
        </w:r>
        <w:r w:rsidR="00F10701">
          <w:rPr>
            <w:webHidden/>
          </w:rPr>
          <w:fldChar w:fldCharType="separate"/>
        </w:r>
        <w:r w:rsidR="00F10701">
          <w:rPr>
            <w:webHidden/>
          </w:rPr>
          <w:t>3</w:t>
        </w:r>
        <w:r w:rsidR="00F10701">
          <w:rPr>
            <w:webHidden/>
          </w:rPr>
          <w:fldChar w:fldCharType="end"/>
        </w:r>
      </w:hyperlink>
    </w:p>
    <w:p w14:paraId="7718A25C" w14:textId="144C58D8" w:rsidR="00F10701" w:rsidRDefault="00F10701">
      <w:pPr>
        <w:pStyle w:val="TOC1"/>
        <w:rPr>
          <w:rFonts w:asciiTheme="minorHAnsi" w:eastAsiaTheme="minorEastAsia" w:hAnsiTheme="minorHAnsi" w:cstheme="minorBidi"/>
          <w:b w:val="0"/>
          <w:color w:val="auto"/>
          <w:lang w:val="en-US"/>
        </w:rPr>
      </w:pPr>
      <w:hyperlink w:anchor="_Toc205988169" w:history="1">
        <w:r w:rsidRPr="00712B15">
          <w:rPr>
            <w:rStyle w:val="Hyperlink"/>
            <w:lang w:val="en-US"/>
          </w:rPr>
          <w:t>1.</w:t>
        </w:r>
        <w:r>
          <w:rPr>
            <w:rFonts w:asciiTheme="minorHAnsi" w:eastAsiaTheme="minorEastAsia" w:hAnsiTheme="minorHAnsi" w:cstheme="minorBidi"/>
            <w:b w:val="0"/>
            <w:color w:val="auto"/>
            <w:lang w:val="en-US"/>
          </w:rPr>
          <w:tab/>
        </w:r>
        <w:r w:rsidRPr="00712B15">
          <w:rPr>
            <w:rStyle w:val="Hyperlink"/>
            <w:lang w:val="en-US"/>
          </w:rPr>
          <w:t>Objectives and scope of the RA Government debt management strategy</w:t>
        </w:r>
        <w:r>
          <w:rPr>
            <w:webHidden/>
          </w:rPr>
          <w:tab/>
        </w:r>
        <w:r>
          <w:rPr>
            <w:webHidden/>
          </w:rPr>
          <w:fldChar w:fldCharType="begin"/>
        </w:r>
        <w:r>
          <w:rPr>
            <w:webHidden/>
          </w:rPr>
          <w:instrText xml:space="preserve"> PAGEREF _Toc205988169 \h </w:instrText>
        </w:r>
        <w:r>
          <w:rPr>
            <w:webHidden/>
          </w:rPr>
        </w:r>
        <w:r>
          <w:rPr>
            <w:webHidden/>
          </w:rPr>
          <w:fldChar w:fldCharType="separate"/>
        </w:r>
        <w:r>
          <w:rPr>
            <w:webHidden/>
          </w:rPr>
          <w:t>4</w:t>
        </w:r>
        <w:r>
          <w:rPr>
            <w:webHidden/>
          </w:rPr>
          <w:fldChar w:fldCharType="end"/>
        </w:r>
      </w:hyperlink>
    </w:p>
    <w:p w14:paraId="07199C83" w14:textId="23B3EFE9" w:rsidR="00F10701" w:rsidRDefault="00F10701">
      <w:pPr>
        <w:pStyle w:val="TOC1"/>
        <w:rPr>
          <w:rFonts w:asciiTheme="minorHAnsi" w:eastAsiaTheme="minorEastAsia" w:hAnsiTheme="minorHAnsi" w:cstheme="minorBidi"/>
          <w:b w:val="0"/>
          <w:color w:val="auto"/>
          <w:lang w:val="en-US"/>
        </w:rPr>
      </w:pPr>
      <w:hyperlink w:anchor="_Toc205988170" w:history="1">
        <w:r w:rsidRPr="00712B15">
          <w:rPr>
            <w:rStyle w:val="Hyperlink"/>
          </w:rPr>
          <w:t>2.</w:t>
        </w:r>
        <w:r>
          <w:rPr>
            <w:rFonts w:asciiTheme="minorHAnsi" w:eastAsiaTheme="minorEastAsia" w:hAnsiTheme="minorHAnsi" w:cstheme="minorBidi"/>
            <w:b w:val="0"/>
            <w:color w:val="auto"/>
            <w:lang w:val="en-US"/>
          </w:rPr>
          <w:tab/>
        </w:r>
        <w:r w:rsidRPr="00712B15">
          <w:rPr>
            <w:rStyle w:val="Hyperlink"/>
          </w:rPr>
          <w:t>Developments in the RA Government debt management since the beginning of 2024</w:t>
        </w:r>
        <w:r>
          <w:rPr>
            <w:webHidden/>
          </w:rPr>
          <w:tab/>
        </w:r>
        <w:r>
          <w:rPr>
            <w:webHidden/>
          </w:rPr>
          <w:fldChar w:fldCharType="begin"/>
        </w:r>
        <w:r>
          <w:rPr>
            <w:webHidden/>
          </w:rPr>
          <w:instrText xml:space="preserve"> PAGEREF _Toc205988170 \h </w:instrText>
        </w:r>
        <w:r>
          <w:rPr>
            <w:webHidden/>
          </w:rPr>
        </w:r>
        <w:r>
          <w:rPr>
            <w:webHidden/>
          </w:rPr>
          <w:fldChar w:fldCharType="separate"/>
        </w:r>
        <w:r>
          <w:rPr>
            <w:webHidden/>
          </w:rPr>
          <w:t>5</w:t>
        </w:r>
        <w:r>
          <w:rPr>
            <w:webHidden/>
          </w:rPr>
          <w:fldChar w:fldCharType="end"/>
        </w:r>
      </w:hyperlink>
    </w:p>
    <w:p w14:paraId="7C95EF14" w14:textId="40A4E03D" w:rsidR="00F10701" w:rsidRDefault="00F10701">
      <w:pPr>
        <w:pStyle w:val="TOC1"/>
        <w:rPr>
          <w:rFonts w:asciiTheme="minorHAnsi" w:eastAsiaTheme="minorEastAsia" w:hAnsiTheme="minorHAnsi" w:cstheme="minorBidi"/>
          <w:b w:val="0"/>
          <w:color w:val="auto"/>
          <w:lang w:val="en-US"/>
        </w:rPr>
      </w:pPr>
      <w:hyperlink w:anchor="_Toc205988171" w:history="1">
        <w:r w:rsidRPr="00712B15">
          <w:rPr>
            <w:rStyle w:val="Hyperlink"/>
            <w:lang w:val="en-US"/>
          </w:rPr>
          <w:t>3.</w:t>
        </w:r>
        <w:r>
          <w:rPr>
            <w:rFonts w:asciiTheme="minorHAnsi" w:eastAsiaTheme="minorEastAsia" w:hAnsiTheme="minorHAnsi" w:cstheme="minorBidi"/>
            <w:b w:val="0"/>
            <w:color w:val="auto"/>
            <w:lang w:val="en-US"/>
          </w:rPr>
          <w:tab/>
        </w:r>
        <w:r w:rsidRPr="00712B15">
          <w:rPr>
            <w:rStyle w:val="Hyperlink"/>
          </w:rPr>
          <w:t>Overview of the costs and risks of the RA Government debt portfolio</w:t>
        </w:r>
        <w:r>
          <w:rPr>
            <w:webHidden/>
          </w:rPr>
          <w:tab/>
        </w:r>
        <w:r>
          <w:rPr>
            <w:webHidden/>
          </w:rPr>
          <w:fldChar w:fldCharType="begin"/>
        </w:r>
        <w:r>
          <w:rPr>
            <w:webHidden/>
          </w:rPr>
          <w:instrText xml:space="preserve"> PAGEREF _Toc205988171 \h </w:instrText>
        </w:r>
        <w:r>
          <w:rPr>
            <w:webHidden/>
          </w:rPr>
        </w:r>
        <w:r>
          <w:rPr>
            <w:webHidden/>
          </w:rPr>
          <w:fldChar w:fldCharType="separate"/>
        </w:r>
        <w:r>
          <w:rPr>
            <w:webHidden/>
          </w:rPr>
          <w:t>8</w:t>
        </w:r>
        <w:r>
          <w:rPr>
            <w:webHidden/>
          </w:rPr>
          <w:fldChar w:fldCharType="end"/>
        </w:r>
      </w:hyperlink>
    </w:p>
    <w:p w14:paraId="1F01D9E3" w14:textId="5286212B" w:rsidR="00F10701" w:rsidRDefault="00F10701">
      <w:pPr>
        <w:pStyle w:val="TOC1"/>
        <w:rPr>
          <w:rFonts w:asciiTheme="minorHAnsi" w:eastAsiaTheme="minorEastAsia" w:hAnsiTheme="minorHAnsi" w:cstheme="minorBidi"/>
          <w:b w:val="0"/>
          <w:color w:val="auto"/>
          <w:lang w:val="en-US"/>
        </w:rPr>
      </w:pPr>
      <w:hyperlink w:anchor="_Toc205988172" w:history="1">
        <w:r w:rsidRPr="00712B15">
          <w:rPr>
            <w:rStyle w:val="Hyperlink"/>
          </w:rPr>
          <w:t>4.</w:t>
        </w:r>
        <w:r>
          <w:rPr>
            <w:rFonts w:asciiTheme="minorHAnsi" w:eastAsiaTheme="minorEastAsia" w:hAnsiTheme="minorHAnsi" w:cstheme="minorBidi"/>
            <w:b w:val="0"/>
            <w:color w:val="auto"/>
            <w:lang w:val="en-US"/>
          </w:rPr>
          <w:tab/>
        </w:r>
        <w:r w:rsidRPr="00712B15">
          <w:rPr>
            <w:rStyle w:val="Hyperlink"/>
          </w:rPr>
          <w:t>RA Government Debt Management Strategy for 2026-2028</w:t>
        </w:r>
        <w:r>
          <w:rPr>
            <w:webHidden/>
          </w:rPr>
          <w:tab/>
        </w:r>
        <w:r>
          <w:rPr>
            <w:webHidden/>
          </w:rPr>
          <w:fldChar w:fldCharType="begin"/>
        </w:r>
        <w:r>
          <w:rPr>
            <w:webHidden/>
          </w:rPr>
          <w:instrText xml:space="preserve"> PAGEREF _Toc205988172 \h </w:instrText>
        </w:r>
        <w:r>
          <w:rPr>
            <w:webHidden/>
          </w:rPr>
        </w:r>
        <w:r>
          <w:rPr>
            <w:webHidden/>
          </w:rPr>
          <w:fldChar w:fldCharType="separate"/>
        </w:r>
        <w:r>
          <w:rPr>
            <w:webHidden/>
          </w:rPr>
          <w:t>14</w:t>
        </w:r>
        <w:r>
          <w:rPr>
            <w:webHidden/>
          </w:rPr>
          <w:fldChar w:fldCharType="end"/>
        </w:r>
      </w:hyperlink>
    </w:p>
    <w:p w14:paraId="2510AA9D" w14:textId="40A494E2" w:rsidR="00F10701" w:rsidRDefault="00F10701">
      <w:pPr>
        <w:pStyle w:val="TOC2"/>
        <w:tabs>
          <w:tab w:val="left" w:pos="1200"/>
        </w:tabs>
        <w:rPr>
          <w:rFonts w:asciiTheme="minorHAnsi" w:eastAsiaTheme="minorEastAsia" w:hAnsiTheme="minorHAnsi" w:cstheme="minorBidi"/>
          <w:b w:val="0"/>
          <w:color w:val="auto"/>
          <w:lang w:val="en-US"/>
        </w:rPr>
      </w:pPr>
      <w:hyperlink w:anchor="_Toc205988173" w:history="1">
        <w:r w:rsidRPr="00712B15">
          <w:rPr>
            <w:rStyle w:val="Hyperlink"/>
          </w:rPr>
          <w:t>4.1.</w:t>
        </w:r>
        <w:r>
          <w:rPr>
            <w:rFonts w:asciiTheme="minorHAnsi" w:eastAsiaTheme="minorEastAsia" w:hAnsiTheme="minorHAnsi" w:cstheme="minorBidi"/>
            <w:b w:val="0"/>
            <w:color w:val="auto"/>
            <w:lang w:val="en-US"/>
          </w:rPr>
          <w:tab/>
        </w:r>
        <w:r w:rsidRPr="00712B15">
          <w:rPr>
            <w:rStyle w:val="Hyperlink"/>
          </w:rPr>
          <w:t>Macroeconomic developments and forecasts</w:t>
        </w:r>
        <w:r>
          <w:rPr>
            <w:webHidden/>
          </w:rPr>
          <w:tab/>
        </w:r>
        <w:r>
          <w:rPr>
            <w:webHidden/>
          </w:rPr>
          <w:fldChar w:fldCharType="begin"/>
        </w:r>
        <w:r>
          <w:rPr>
            <w:webHidden/>
          </w:rPr>
          <w:instrText xml:space="preserve"> PAGEREF _Toc205988173 \h </w:instrText>
        </w:r>
        <w:r>
          <w:rPr>
            <w:webHidden/>
          </w:rPr>
        </w:r>
        <w:r>
          <w:rPr>
            <w:webHidden/>
          </w:rPr>
          <w:fldChar w:fldCharType="separate"/>
        </w:r>
        <w:r>
          <w:rPr>
            <w:webHidden/>
          </w:rPr>
          <w:t>14</w:t>
        </w:r>
        <w:r>
          <w:rPr>
            <w:webHidden/>
          </w:rPr>
          <w:fldChar w:fldCharType="end"/>
        </w:r>
      </w:hyperlink>
    </w:p>
    <w:p w14:paraId="0B6E1803" w14:textId="16E13478" w:rsidR="00F10701" w:rsidRDefault="00F10701">
      <w:pPr>
        <w:pStyle w:val="TOC2"/>
        <w:tabs>
          <w:tab w:val="left" w:pos="1200"/>
        </w:tabs>
        <w:rPr>
          <w:rFonts w:asciiTheme="minorHAnsi" w:eastAsiaTheme="minorEastAsia" w:hAnsiTheme="minorHAnsi" w:cstheme="minorBidi"/>
          <w:b w:val="0"/>
          <w:color w:val="auto"/>
          <w:lang w:val="en-US"/>
        </w:rPr>
      </w:pPr>
      <w:hyperlink w:anchor="_Toc205988174" w:history="1">
        <w:r w:rsidRPr="00712B15">
          <w:rPr>
            <w:rStyle w:val="Hyperlink"/>
          </w:rPr>
          <w:t>4.2.</w:t>
        </w:r>
        <w:r>
          <w:rPr>
            <w:rFonts w:asciiTheme="minorHAnsi" w:eastAsiaTheme="minorEastAsia" w:hAnsiTheme="minorHAnsi" w:cstheme="minorBidi"/>
            <w:b w:val="0"/>
            <w:color w:val="auto"/>
            <w:lang w:val="en-US"/>
          </w:rPr>
          <w:tab/>
        </w:r>
        <w:r w:rsidRPr="00712B15">
          <w:rPr>
            <w:rStyle w:val="Hyperlink"/>
          </w:rPr>
          <w:t>Targets and measures to be implemented</w:t>
        </w:r>
        <w:r>
          <w:rPr>
            <w:webHidden/>
          </w:rPr>
          <w:tab/>
        </w:r>
        <w:r>
          <w:rPr>
            <w:webHidden/>
          </w:rPr>
          <w:fldChar w:fldCharType="begin"/>
        </w:r>
        <w:r>
          <w:rPr>
            <w:webHidden/>
          </w:rPr>
          <w:instrText xml:space="preserve"> PAGEREF _Toc205988174 \h </w:instrText>
        </w:r>
        <w:r>
          <w:rPr>
            <w:webHidden/>
          </w:rPr>
        </w:r>
        <w:r>
          <w:rPr>
            <w:webHidden/>
          </w:rPr>
          <w:fldChar w:fldCharType="separate"/>
        </w:r>
        <w:r>
          <w:rPr>
            <w:webHidden/>
          </w:rPr>
          <w:t>16</w:t>
        </w:r>
        <w:r>
          <w:rPr>
            <w:webHidden/>
          </w:rPr>
          <w:fldChar w:fldCharType="end"/>
        </w:r>
      </w:hyperlink>
    </w:p>
    <w:p w14:paraId="199BEFCD" w14:textId="0C110C6F" w:rsidR="00F10701" w:rsidRDefault="00F10701">
      <w:pPr>
        <w:pStyle w:val="TOC2"/>
        <w:tabs>
          <w:tab w:val="left" w:pos="1200"/>
        </w:tabs>
        <w:rPr>
          <w:rFonts w:asciiTheme="minorHAnsi" w:eastAsiaTheme="minorEastAsia" w:hAnsiTheme="minorHAnsi" w:cstheme="minorBidi"/>
          <w:b w:val="0"/>
          <w:color w:val="auto"/>
          <w:lang w:val="en-US"/>
        </w:rPr>
      </w:pPr>
      <w:hyperlink w:anchor="_Toc205988175" w:history="1">
        <w:r w:rsidRPr="00712B15">
          <w:rPr>
            <w:rStyle w:val="Hyperlink"/>
          </w:rPr>
          <w:t>4.3.</w:t>
        </w:r>
        <w:r>
          <w:rPr>
            <w:rFonts w:asciiTheme="minorHAnsi" w:eastAsiaTheme="minorEastAsia" w:hAnsiTheme="minorHAnsi" w:cstheme="minorBidi"/>
            <w:b w:val="0"/>
            <w:color w:val="auto"/>
            <w:lang w:val="en-US"/>
          </w:rPr>
          <w:tab/>
        </w:r>
        <w:r w:rsidRPr="00712B15">
          <w:rPr>
            <w:rStyle w:val="Hyperlink"/>
          </w:rPr>
          <w:t>Selection of the RA Government Debt Management Strategy</w:t>
        </w:r>
        <w:r>
          <w:rPr>
            <w:webHidden/>
          </w:rPr>
          <w:tab/>
        </w:r>
        <w:r>
          <w:rPr>
            <w:webHidden/>
          </w:rPr>
          <w:fldChar w:fldCharType="begin"/>
        </w:r>
        <w:r>
          <w:rPr>
            <w:webHidden/>
          </w:rPr>
          <w:instrText xml:space="preserve"> PAGEREF _Toc205988175 \h </w:instrText>
        </w:r>
        <w:r>
          <w:rPr>
            <w:webHidden/>
          </w:rPr>
        </w:r>
        <w:r>
          <w:rPr>
            <w:webHidden/>
          </w:rPr>
          <w:fldChar w:fldCharType="separate"/>
        </w:r>
        <w:r>
          <w:rPr>
            <w:webHidden/>
          </w:rPr>
          <w:t>18</w:t>
        </w:r>
        <w:r>
          <w:rPr>
            <w:webHidden/>
          </w:rPr>
          <w:fldChar w:fldCharType="end"/>
        </w:r>
      </w:hyperlink>
    </w:p>
    <w:p w14:paraId="0E4B549B" w14:textId="551CBB36" w:rsidR="00F10701" w:rsidRDefault="00F10701">
      <w:pPr>
        <w:pStyle w:val="TOC2"/>
        <w:tabs>
          <w:tab w:val="left" w:pos="1200"/>
        </w:tabs>
        <w:rPr>
          <w:rFonts w:asciiTheme="minorHAnsi" w:eastAsiaTheme="minorEastAsia" w:hAnsiTheme="minorHAnsi" w:cstheme="minorBidi"/>
          <w:b w:val="0"/>
          <w:color w:val="auto"/>
          <w:lang w:val="en-US"/>
        </w:rPr>
      </w:pPr>
      <w:hyperlink w:anchor="_Toc205988176" w:history="1">
        <w:r w:rsidRPr="00712B15">
          <w:rPr>
            <w:rStyle w:val="Hyperlink"/>
          </w:rPr>
          <w:t>4.4.</w:t>
        </w:r>
        <w:r>
          <w:rPr>
            <w:rFonts w:asciiTheme="minorHAnsi" w:eastAsiaTheme="minorEastAsia" w:hAnsiTheme="minorHAnsi" w:cstheme="minorBidi"/>
            <w:b w:val="0"/>
            <w:color w:val="auto"/>
            <w:lang w:val="en-US"/>
          </w:rPr>
          <w:tab/>
        </w:r>
        <w:r w:rsidRPr="00712B15">
          <w:rPr>
            <w:rStyle w:val="Hyperlink"/>
          </w:rPr>
          <w:t>Cost and risk analysis of the selected strategy</w:t>
        </w:r>
        <w:r>
          <w:rPr>
            <w:webHidden/>
          </w:rPr>
          <w:tab/>
        </w:r>
        <w:r>
          <w:rPr>
            <w:webHidden/>
          </w:rPr>
          <w:fldChar w:fldCharType="begin"/>
        </w:r>
        <w:r>
          <w:rPr>
            <w:webHidden/>
          </w:rPr>
          <w:instrText xml:space="preserve"> PAGEREF _Toc205988176 \h </w:instrText>
        </w:r>
        <w:r>
          <w:rPr>
            <w:webHidden/>
          </w:rPr>
        </w:r>
        <w:r>
          <w:rPr>
            <w:webHidden/>
          </w:rPr>
          <w:fldChar w:fldCharType="separate"/>
        </w:r>
        <w:r>
          <w:rPr>
            <w:webHidden/>
          </w:rPr>
          <w:t>20</w:t>
        </w:r>
        <w:r>
          <w:rPr>
            <w:webHidden/>
          </w:rPr>
          <w:fldChar w:fldCharType="end"/>
        </w:r>
      </w:hyperlink>
    </w:p>
    <w:p w14:paraId="7AF97C92" w14:textId="1AE18867" w:rsidR="00F10701" w:rsidRDefault="00F10701">
      <w:pPr>
        <w:pStyle w:val="TOC2"/>
        <w:tabs>
          <w:tab w:val="left" w:pos="1200"/>
        </w:tabs>
        <w:rPr>
          <w:rFonts w:asciiTheme="minorHAnsi" w:eastAsiaTheme="minorEastAsia" w:hAnsiTheme="minorHAnsi" w:cstheme="minorBidi"/>
          <w:b w:val="0"/>
          <w:color w:val="auto"/>
          <w:lang w:val="en-US"/>
        </w:rPr>
      </w:pPr>
      <w:hyperlink w:anchor="_Toc205988177" w:history="1">
        <w:r w:rsidRPr="00712B15">
          <w:rPr>
            <w:rStyle w:val="Hyperlink"/>
          </w:rPr>
          <w:t>4.5.</w:t>
        </w:r>
        <w:r>
          <w:rPr>
            <w:rFonts w:asciiTheme="minorHAnsi" w:eastAsiaTheme="minorEastAsia" w:hAnsiTheme="minorHAnsi" w:cstheme="minorBidi"/>
            <w:b w:val="0"/>
            <w:color w:val="auto"/>
            <w:lang w:val="en-US"/>
          </w:rPr>
          <w:tab/>
        </w:r>
        <w:r w:rsidRPr="00712B15">
          <w:rPr>
            <w:rStyle w:val="Hyperlink"/>
          </w:rPr>
          <w:t>Benchmark indicators</w:t>
        </w:r>
        <w:r>
          <w:rPr>
            <w:webHidden/>
          </w:rPr>
          <w:tab/>
        </w:r>
        <w:r>
          <w:rPr>
            <w:webHidden/>
          </w:rPr>
          <w:fldChar w:fldCharType="begin"/>
        </w:r>
        <w:r>
          <w:rPr>
            <w:webHidden/>
          </w:rPr>
          <w:instrText xml:space="preserve"> PAGEREF _Toc205988177 \h </w:instrText>
        </w:r>
        <w:r>
          <w:rPr>
            <w:webHidden/>
          </w:rPr>
        </w:r>
        <w:r>
          <w:rPr>
            <w:webHidden/>
          </w:rPr>
          <w:fldChar w:fldCharType="separate"/>
        </w:r>
        <w:r>
          <w:rPr>
            <w:webHidden/>
          </w:rPr>
          <w:t>28</w:t>
        </w:r>
        <w:r>
          <w:rPr>
            <w:webHidden/>
          </w:rPr>
          <w:fldChar w:fldCharType="end"/>
        </w:r>
      </w:hyperlink>
    </w:p>
    <w:p w14:paraId="502CEB11" w14:textId="3A8F8F95" w:rsidR="00F10701" w:rsidRDefault="00F10701">
      <w:pPr>
        <w:pStyle w:val="TOC2"/>
        <w:tabs>
          <w:tab w:val="left" w:pos="1200"/>
        </w:tabs>
        <w:rPr>
          <w:rFonts w:asciiTheme="minorHAnsi" w:eastAsiaTheme="minorEastAsia" w:hAnsiTheme="minorHAnsi" w:cstheme="minorBidi"/>
          <w:b w:val="0"/>
          <w:color w:val="auto"/>
          <w:lang w:val="en-US"/>
        </w:rPr>
      </w:pPr>
      <w:hyperlink w:anchor="_Toc205988178" w:history="1">
        <w:r w:rsidRPr="00712B15">
          <w:rPr>
            <w:rStyle w:val="Hyperlink"/>
          </w:rPr>
          <w:t>4.6.</w:t>
        </w:r>
        <w:r>
          <w:rPr>
            <w:rFonts w:asciiTheme="minorHAnsi" w:eastAsiaTheme="minorEastAsia" w:hAnsiTheme="minorHAnsi" w:cstheme="minorBidi"/>
            <w:b w:val="0"/>
            <w:color w:val="auto"/>
            <w:lang w:val="en-US"/>
          </w:rPr>
          <w:tab/>
        </w:r>
        <w:r w:rsidRPr="00712B15">
          <w:rPr>
            <w:rStyle w:val="Hyperlink"/>
          </w:rPr>
          <w:t>Sensitivity analyses</w:t>
        </w:r>
        <w:r>
          <w:rPr>
            <w:webHidden/>
          </w:rPr>
          <w:tab/>
        </w:r>
        <w:r>
          <w:rPr>
            <w:webHidden/>
          </w:rPr>
          <w:fldChar w:fldCharType="begin"/>
        </w:r>
        <w:r>
          <w:rPr>
            <w:webHidden/>
          </w:rPr>
          <w:instrText xml:space="preserve"> PAGEREF _Toc205988178 \h </w:instrText>
        </w:r>
        <w:r>
          <w:rPr>
            <w:webHidden/>
          </w:rPr>
        </w:r>
        <w:r>
          <w:rPr>
            <w:webHidden/>
          </w:rPr>
          <w:fldChar w:fldCharType="separate"/>
        </w:r>
        <w:r>
          <w:rPr>
            <w:webHidden/>
          </w:rPr>
          <w:t>29</w:t>
        </w:r>
        <w:r>
          <w:rPr>
            <w:webHidden/>
          </w:rPr>
          <w:fldChar w:fldCharType="end"/>
        </w:r>
      </w:hyperlink>
    </w:p>
    <w:p w14:paraId="6642D918" w14:textId="5664ED9D" w:rsidR="00F10701" w:rsidRDefault="00F10701">
      <w:pPr>
        <w:pStyle w:val="TOC2"/>
        <w:tabs>
          <w:tab w:val="left" w:pos="1200"/>
        </w:tabs>
        <w:rPr>
          <w:rFonts w:asciiTheme="minorHAnsi" w:eastAsiaTheme="minorEastAsia" w:hAnsiTheme="minorHAnsi" w:cstheme="minorBidi"/>
          <w:b w:val="0"/>
          <w:color w:val="auto"/>
          <w:lang w:val="en-US"/>
        </w:rPr>
      </w:pPr>
      <w:hyperlink w:anchor="_Toc205988179" w:history="1">
        <w:r w:rsidRPr="00712B15">
          <w:rPr>
            <w:rStyle w:val="Hyperlink"/>
          </w:rPr>
          <w:t>4.7.</w:t>
        </w:r>
        <w:r>
          <w:rPr>
            <w:rFonts w:asciiTheme="minorHAnsi" w:eastAsiaTheme="minorEastAsia" w:hAnsiTheme="minorHAnsi" w:cstheme="minorBidi"/>
            <w:b w:val="0"/>
            <w:color w:val="auto"/>
            <w:lang w:val="en-US"/>
          </w:rPr>
          <w:tab/>
        </w:r>
        <w:r w:rsidRPr="00712B15">
          <w:rPr>
            <w:rStyle w:val="Hyperlink"/>
          </w:rPr>
          <w:t>Conclusions</w:t>
        </w:r>
        <w:r>
          <w:rPr>
            <w:webHidden/>
          </w:rPr>
          <w:tab/>
        </w:r>
        <w:r>
          <w:rPr>
            <w:webHidden/>
          </w:rPr>
          <w:fldChar w:fldCharType="begin"/>
        </w:r>
        <w:r>
          <w:rPr>
            <w:webHidden/>
          </w:rPr>
          <w:instrText xml:space="preserve"> PAGEREF _Toc205988179 \h </w:instrText>
        </w:r>
        <w:r>
          <w:rPr>
            <w:webHidden/>
          </w:rPr>
        </w:r>
        <w:r>
          <w:rPr>
            <w:webHidden/>
          </w:rPr>
          <w:fldChar w:fldCharType="separate"/>
        </w:r>
        <w:r>
          <w:rPr>
            <w:webHidden/>
          </w:rPr>
          <w:t>31</w:t>
        </w:r>
        <w:r>
          <w:rPr>
            <w:webHidden/>
          </w:rPr>
          <w:fldChar w:fldCharType="end"/>
        </w:r>
      </w:hyperlink>
    </w:p>
    <w:p w14:paraId="2D8F5978" w14:textId="07C86477" w:rsidR="00F10701" w:rsidRDefault="00F10701">
      <w:pPr>
        <w:pStyle w:val="TOC1"/>
        <w:rPr>
          <w:rFonts w:asciiTheme="minorHAnsi" w:eastAsiaTheme="minorEastAsia" w:hAnsiTheme="minorHAnsi" w:cstheme="minorBidi"/>
          <w:b w:val="0"/>
          <w:color w:val="auto"/>
          <w:lang w:val="en-US"/>
        </w:rPr>
      </w:pPr>
      <w:hyperlink w:anchor="_Toc205988180" w:history="1">
        <w:r w:rsidRPr="00712B15">
          <w:rPr>
            <w:rStyle w:val="Hyperlink"/>
          </w:rPr>
          <w:t>Appendix</w:t>
        </w:r>
        <w:r>
          <w:rPr>
            <w:webHidden/>
          </w:rPr>
          <w:tab/>
        </w:r>
        <w:r>
          <w:rPr>
            <w:webHidden/>
          </w:rPr>
          <w:fldChar w:fldCharType="begin"/>
        </w:r>
        <w:r>
          <w:rPr>
            <w:webHidden/>
          </w:rPr>
          <w:instrText xml:space="preserve"> PAGEREF _Toc205988180 \h </w:instrText>
        </w:r>
        <w:r>
          <w:rPr>
            <w:webHidden/>
          </w:rPr>
        </w:r>
        <w:r>
          <w:rPr>
            <w:webHidden/>
          </w:rPr>
          <w:fldChar w:fldCharType="separate"/>
        </w:r>
        <w:r>
          <w:rPr>
            <w:webHidden/>
          </w:rPr>
          <w:t>33</w:t>
        </w:r>
        <w:r>
          <w:rPr>
            <w:webHidden/>
          </w:rPr>
          <w:fldChar w:fldCharType="end"/>
        </w:r>
      </w:hyperlink>
    </w:p>
    <w:p w14:paraId="54A813EE" w14:textId="6ADA9ADB" w:rsidR="00751510" w:rsidRDefault="00C41C50" w:rsidP="00751510">
      <w:pPr>
        <w:pStyle w:val="TOC2"/>
        <w:tabs>
          <w:tab w:val="left" w:pos="1200"/>
        </w:tabs>
      </w:pPr>
      <w:r w:rsidRPr="008D06C1">
        <w:fldChar w:fldCharType="end"/>
      </w:r>
    </w:p>
    <w:p w14:paraId="41AB9F5C" w14:textId="59D62713" w:rsidR="00830BDD" w:rsidRPr="00012554" w:rsidRDefault="00830BDD" w:rsidP="00A92CBE">
      <w:pPr>
        <w:pStyle w:val="TOC1"/>
        <w:ind w:left="0" w:firstLine="0"/>
        <w:rPr>
          <w:rStyle w:val="Hyperlink"/>
        </w:rPr>
        <w:sectPr w:rsidR="00830BDD" w:rsidRPr="00012554" w:rsidSect="008E36CD">
          <w:footerReference w:type="default" r:id="rId9"/>
          <w:pgSz w:w="11909" w:h="16834" w:code="9"/>
          <w:pgMar w:top="1134" w:right="567" w:bottom="567" w:left="1134" w:header="720" w:footer="284" w:gutter="0"/>
          <w:cols w:space="720"/>
          <w:docGrid w:linePitch="360"/>
        </w:sectPr>
      </w:pPr>
      <w:bookmarkStart w:id="3" w:name="_GoBack"/>
      <w:bookmarkEnd w:id="3"/>
    </w:p>
    <w:p w14:paraId="700D625D" w14:textId="2D259C59" w:rsidR="00025E2D" w:rsidRPr="00841EC9" w:rsidRDefault="00635A28" w:rsidP="00C1444D">
      <w:pPr>
        <w:pStyle w:val="Heading1"/>
        <w:numPr>
          <w:ilvl w:val="0"/>
          <w:numId w:val="0"/>
        </w:numPr>
        <w:ind w:left="357"/>
      </w:pPr>
      <w:bookmarkStart w:id="4" w:name="_Toc205988168"/>
      <w:r w:rsidRPr="00841EC9">
        <w:lastRenderedPageBreak/>
        <w:t>Introduction</w:t>
      </w:r>
      <w:bookmarkEnd w:id="4"/>
    </w:p>
    <w:p w14:paraId="127A3075" w14:textId="30226477" w:rsidR="004C0E78" w:rsidRPr="004C0E78" w:rsidRDefault="004C0E78" w:rsidP="004C0E78">
      <w:r w:rsidRPr="004C0E78">
        <w:t xml:space="preserve">The </w:t>
      </w:r>
      <w:r>
        <w:rPr>
          <w:lang w:val="en-US"/>
        </w:rPr>
        <w:t xml:space="preserve">RA </w:t>
      </w:r>
      <w:r w:rsidRPr="004C0E78">
        <w:t xml:space="preserve">Government Debt Management Strategy </w:t>
      </w:r>
      <w:r w:rsidR="00117C2E">
        <w:rPr>
          <w:lang w:val="en-US"/>
        </w:rPr>
        <w:t xml:space="preserve">represents </w:t>
      </w:r>
      <w:r w:rsidRPr="004C0E78">
        <w:t>the strategy for mobilizing the necessary borrowing resources to finance the state budget deficit and refinance existing debt, as well as for managing the costs and risks of the government’s debt portfolio. It is a three-year program that is reviewed and published on an annual basis, contributing to the predictability and transparency of government debt management.</w:t>
      </w:r>
    </w:p>
    <w:p w14:paraId="2612BBD5" w14:textId="02A96FD7" w:rsidR="004C0E78" w:rsidRPr="004C0E78" w:rsidRDefault="004C0E78" w:rsidP="00A1274B">
      <w:pPr>
        <w:rPr>
          <w:lang w:val="en-US"/>
        </w:rPr>
      </w:pPr>
      <w:r>
        <w:t xml:space="preserve">The </w:t>
      </w:r>
      <w:r>
        <w:rPr>
          <w:lang w:val="en-US"/>
        </w:rPr>
        <w:t xml:space="preserve">RA </w:t>
      </w:r>
      <w:r>
        <w:t xml:space="preserve">Government Debt Management Strategy </w:t>
      </w:r>
      <w:r>
        <w:rPr>
          <w:lang w:val="en-US"/>
        </w:rPr>
        <w:t>clarifies the borrowing policy</w:t>
      </w:r>
      <w:r>
        <w:t xml:space="preserve">, </w:t>
      </w:r>
      <w:r>
        <w:rPr>
          <w:lang w:val="en-US"/>
        </w:rPr>
        <w:t>including benchmark indicators for the Government debt management</w:t>
      </w:r>
      <w:r>
        <w:t xml:space="preserve">. It </w:t>
      </w:r>
      <w:r w:rsidR="00117C2E">
        <w:rPr>
          <w:lang w:val="en-US"/>
        </w:rPr>
        <w:t xml:space="preserve">reveals </w:t>
      </w:r>
      <w:r>
        <w:t>and assesses the risks associated with the management of the government’s debt portfolio, and sets forth the principles, objectives, and measures of debt policy to be implemented in the medium term.</w:t>
      </w:r>
      <w:r>
        <w:rPr>
          <w:lang w:val="en-US"/>
        </w:rPr>
        <w:t xml:space="preserve"> </w:t>
      </w:r>
    </w:p>
    <w:p w14:paraId="3CF48C15" w14:textId="7DBAB266" w:rsidR="004C0E78" w:rsidRPr="00AA6A06" w:rsidRDefault="004C0E78" w:rsidP="00AA6A06">
      <w:r>
        <w:t xml:space="preserve">The </w:t>
      </w:r>
      <w:r w:rsidR="00AA6A06">
        <w:rPr>
          <w:lang w:val="en-US"/>
        </w:rPr>
        <w:t xml:space="preserve">RA </w:t>
      </w:r>
      <w:r>
        <w:t xml:space="preserve">Government Debt Management Strategy is developed within the framework of the main fiscal policy objectives set out in the Medium-Term Expenditure </w:t>
      </w:r>
      <w:r w:rsidR="00BC2098">
        <w:rPr>
          <w:lang w:val="en-US"/>
        </w:rPr>
        <w:t xml:space="preserve">Framework </w:t>
      </w:r>
      <w:r>
        <w:t xml:space="preserve">. These objectives assume that </w:t>
      </w:r>
      <w:r w:rsidR="00FD103E">
        <w:t>the state budget will continue to run a deficit</w:t>
      </w:r>
      <w:r w:rsidR="008E49DA" w:rsidRPr="008E49DA">
        <w:t xml:space="preserve"> </w:t>
      </w:r>
      <w:r>
        <w:t>over the medium-term horizon; however, in accordance with fiscal rules, the deficit is planned at a level that ensures the sustainability and manageability of the government debt.</w:t>
      </w:r>
    </w:p>
    <w:p w14:paraId="12121B7F" w14:textId="1E084628" w:rsidR="0059454F" w:rsidRPr="009A02E2" w:rsidRDefault="00AA6A06" w:rsidP="009A02E2">
      <w:r>
        <w:t xml:space="preserve">To establish an acceptable government debt portfolio, the Ministry of Finance of the Republic of Armenia conducts analyses of costs and risks. These analyses enable the assessment of cost and risk indicators of the government debt portfolio, as well as the potential impact of shocks on them. The </w:t>
      </w:r>
      <w:r>
        <w:rPr>
          <w:lang w:val="en-US"/>
        </w:rPr>
        <w:t xml:space="preserve">RA </w:t>
      </w:r>
      <w:r>
        <w:t xml:space="preserve">Government Debt Management Strategy presents and analyzes the market risks of the government debt portfolio, including exchange rate and interest rate risks, as well as refinancing risk. </w:t>
      </w:r>
      <w:r w:rsidR="003B4963" w:rsidRPr="003B4963">
        <w:t xml:space="preserve">When formulating the strategy, </w:t>
      </w:r>
      <w:r w:rsidR="003B4963">
        <w:t>constraints</w:t>
      </w:r>
      <w:r w:rsidR="009A02E2">
        <w:t xml:space="preserve"> on the RA government</w:t>
      </w:r>
      <w:r w:rsidR="003B4963" w:rsidRPr="003B4963">
        <w:t xml:space="preserve"> debt management, such as the capacity of the domestic market or the ability to access external loans, were also taken into account.</w:t>
      </w:r>
    </w:p>
    <w:p w14:paraId="6AC9C2D0" w14:textId="012D51EE" w:rsidR="009A02E2" w:rsidRDefault="00412B99" w:rsidP="007911A2">
      <w:pPr>
        <w:rPr>
          <w:lang w:val="en-US"/>
        </w:rPr>
      </w:pPr>
      <w:r w:rsidRPr="00412B99">
        <w:t xml:space="preserve">Overall, </w:t>
      </w:r>
      <w:r>
        <w:rPr>
          <w:lang w:val="en-US"/>
        </w:rPr>
        <w:t>t</w:t>
      </w:r>
      <w:r w:rsidRPr="00412B99">
        <w:t>he RA Government Debt Management Strategy represents the preferred option among possible risk-cost trade-offs, with the selection based on meeting financial needs at acceptable levels of cost and risk.</w:t>
      </w:r>
      <w:r>
        <w:rPr>
          <w:lang w:val="en-US"/>
        </w:rPr>
        <w:t xml:space="preserve"> </w:t>
      </w:r>
    </w:p>
    <w:p w14:paraId="07A28C82" w14:textId="17DB3908" w:rsidR="00412B99" w:rsidRPr="009A02E2" w:rsidRDefault="009A02E2" w:rsidP="009A02E2">
      <w:pPr>
        <w:spacing w:line="240" w:lineRule="auto"/>
        <w:ind w:firstLine="0"/>
        <w:jc w:val="left"/>
        <w:rPr>
          <w:lang w:val="en-US"/>
        </w:rPr>
      </w:pPr>
      <w:r>
        <w:rPr>
          <w:lang w:val="en-US"/>
        </w:rPr>
        <w:br w:type="page"/>
      </w:r>
    </w:p>
    <w:p w14:paraId="28FBDC84" w14:textId="0071D600" w:rsidR="00025E2D" w:rsidRPr="009A02E2" w:rsidRDefault="00415629" w:rsidP="009A02E2">
      <w:pPr>
        <w:pStyle w:val="Heading1"/>
        <w:rPr>
          <w:lang w:val="en-US"/>
        </w:rPr>
      </w:pPr>
      <w:bookmarkStart w:id="5" w:name="_Toc205988169"/>
      <w:r w:rsidRPr="00415629">
        <w:rPr>
          <w:lang w:val="en-US"/>
        </w:rPr>
        <w:lastRenderedPageBreak/>
        <w:t>Objectives and scope of the RA Government debt management strategy</w:t>
      </w:r>
      <w:bookmarkEnd w:id="5"/>
    </w:p>
    <w:p w14:paraId="61478C97" w14:textId="591A571D" w:rsidR="0018173E" w:rsidRPr="009A02E2" w:rsidRDefault="00415629" w:rsidP="009A02E2">
      <w:r>
        <w:t xml:space="preserve">The </w:t>
      </w:r>
      <w:r>
        <w:rPr>
          <w:lang w:val="en-US"/>
        </w:rPr>
        <w:t xml:space="preserve">RA </w:t>
      </w:r>
      <w:r>
        <w:t>Government Debt Management Strategy is developed in accordance with the provisions of the Law of the Repu</w:t>
      </w:r>
      <w:r w:rsidR="00BA2B0B">
        <w:t>blic of Armenia “On Public Debt</w:t>
      </w:r>
      <w:r>
        <w:t>” adopted in 2008.</w:t>
      </w:r>
    </w:p>
    <w:p w14:paraId="3D972B1E" w14:textId="6F7496C8" w:rsidR="004A0A9D" w:rsidRPr="004A0A9D" w:rsidDel="0018173E" w:rsidRDefault="004A0A9D" w:rsidP="004A0A9D">
      <w:r>
        <w:t>According to the Law of the Repu</w:t>
      </w:r>
      <w:r w:rsidR="00BA2B0B">
        <w:t>blic of Armenia “On Public Debt</w:t>
      </w:r>
      <w:r>
        <w:t xml:space="preserve">” </w:t>
      </w:r>
      <w:r w:rsidR="00BA2B0B">
        <w:t>t</w:t>
      </w:r>
      <w:r w:rsidRPr="004A0A9D">
        <w:t xml:space="preserve">he main </w:t>
      </w:r>
      <w:r>
        <w:t>objective of the RA Government</w:t>
      </w:r>
      <w:r w:rsidRPr="004A0A9D">
        <w:t xml:space="preserve"> debt management is the assurance of a permanent capacity to meet the Government’s financial needs</w:t>
      </w:r>
      <w:r>
        <w:t xml:space="preserve">, while reducing debt servicing costs over the long term. Another objective of </w:t>
      </w:r>
      <w:r>
        <w:rPr>
          <w:lang w:val="en-US"/>
        </w:rPr>
        <w:t>the RA G</w:t>
      </w:r>
      <w:r>
        <w:t xml:space="preserve">overnment debt management is to establish an optimal structure of the government debt, taking into account potential risks. In other words, the main </w:t>
      </w:r>
      <w:r>
        <w:rPr>
          <w:lang w:val="en-US"/>
        </w:rPr>
        <w:t>objective</w:t>
      </w:r>
      <w:r>
        <w:t xml:space="preserve"> of the Government’s debt management is to ensure, over the medium and long term, the </w:t>
      </w:r>
      <w:r>
        <w:rPr>
          <w:lang w:val="en-US"/>
        </w:rPr>
        <w:t>permanent</w:t>
      </w:r>
      <w:r>
        <w:t xml:space="preserve"> ability to meet the government’s financing needs and fulfill payment obligations at the lowest possible cost and with a prudent level of risk in the debt portfolio.</w:t>
      </w:r>
    </w:p>
    <w:p w14:paraId="4C6A2AE3" w14:textId="77777777" w:rsidR="006F336F" w:rsidRDefault="006F336F" w:rsidP="00A1274B">
      <w:r>
        <w:t>The Law of the Republic of Armenia “On Public Debt” also defines the objectives for raising public debt, which include financing the state budget deficit, ensuring the maintenance of current liquidity, and preserving and developing the domestic government debt market.</w:t>
      </w:r>
    </w:p>
    <w:p w14:paraId="595B077D" w14:textId="34803F65" w:rsidR="006F336F" w:rsidRPr="005A68E6" w:rsidRDefault="006F336F" w:rsidP="006F336F">
      <w:r>
        <w:t xml:space="preserve">The </w:t>
      </w:r>
      <w:r>
        <w:rPr>
          <w:lang w:val="en-US"/>
        </w:rPr>
        <w:t xml:space="preserve">RA </w:t>
      </w:r>
      <w:r>
        <w:t xml:space="preserve">Government Debt Management Strategy covers only the debt of the Government of the Republic of Armenia; the analyses conducted do not include the external debt of the Central Bank of the Republic of Armenia. The latter is undertaken on behalf of and by the Central Bank. According to the </w:t>
      </w:r>
      <w:r>
        <w:rPr>
          <w:lang w:val="en-US"/>
        </w:rPr>
        <w:t xml:space="preserve">RA </w:t>
      </w:r>
      <w:r>
        <w:t xml:space="preserve">Law “On Public Debt,” the objectives of the Central Bank’s debt management are determined by the </w:t>
      </w:r>
      <w:r>
        <w:rPr>
          <w:lang w:val="en-US"/>
        </w:rPr>
        <w:t xml:space="preserve">RA </w:t>
      </w:r>
      <w:r>
        <w:t>Law “On the Central Bank of the Republic of Armenia.”</w:t>
      </w:r>
    </w:p>
    <w:p w14:paraId="72C31B62" w14:textId="77777777" w:rsidR="006F336F" w:rsidRPr="0070296A" w:rsidRDefault="006F336F" w:rsidP="00A1274B"/>
    <w:p w14:paraId="50E59552" w14:textId="77777777" w:rsidR="00F34155" w:rsidRPr="008D06C1" w:rsidRDefault="00F34155" w:rsidP="00A1274B"/>
    <w:p w14:paraId="129E4887" w14:textId="02EA5382" w:rsidR="00025E2D" w:rsidRPr="008D06C1" w:rsidRDefault="004A5795" w:rsidP="00CF0C2B">
      <w:pPr>
        <w:pStyle w:val="Heading1"/>
        <w:spacing w:before="0" w:line="276" w:lineRule="auto"/>
      </w:pPr>
      <w:r w:rsidRPr="008D06C1">
        <w:rPr>
          <w:sz w:val="22"/>
        </w:rPr>
        <w:br w:type="page"/>
      </w:r>
      <w:r w:rsidR="00A2248D" w:rsidRPr="00A2248D">
        <w:rPr>
          <w:color w:val="FF0000"/>
        </w:rPr>
        <w:lastRenderedPageBreak/>
        <w:t xml:space="preserve"> </w:t>
      </w:r>
      <w:bookmarkStart w:id="6" w:name="_Toc205988170"/>
      <w:r w:rsidR="00A2248D" w:rsidRPr="00A2248D">
        <w:t>Developments in the</w:t>
      </w:r>
      <w:r w:rsidR="00AB5AE0">
        <w:t xml:space="preserve"> RA Government debt management since the beginning of 2024</w:t>
      </w:r>
      <w:bookmarkEnd w:id="6"/>
    </w:p>
    <w:p w14:paraId="137BA101" w14:textId="313A4FD3" w:rsidR="0019636A" w:rsidRPr="0019636A" w:rsidRDefault="0019636A" w:rsidP="0019636A">
      <w:pPr>
        <w:ind w:firstLine="720"/>
      </w:pPr>
      <w:r>
        <w:t xml:space="preserve">As of the end of 2024, the </w:t>
      </w:r>
      <w:r>
        <w:rPr>
          <w:lang w:val="en-US"/>
        </w:rPr>
        <w:t xml:space="preserve">RA </w:t>
      </w:r>
      <w:r>
        <w:t>Government debt amounted to AMD 4,892.8 billion, representing 48.0% of GDP. The actual government debt-to-GDP ratio corresponds to the programmed level set forth in the 2024 state budget and is lower by 0.2 percentage points compared to the same indicator of the previous year.</w:t>
      </w:r>
    </w:p>
    <w:p w14:paraId="3E2F804C" w14:textId="6B073F82" w:rsidR="0019636A" w:rsidRPr="00970FE0" w:rsidRDefault="0019636A" w:rsidP="0019636A">
      <w:pPr>
        <w:ind w:firstLine="720"/>
      </w:pPr>
      <w:r>
        <w:t xml:space="preserve">As at the end of 2023, the Government debt-to-GDP ratio remains below the 50% threshold established by fiscal rules and is within a more lenient range of expenditure constraints or rules </w:t>
      </w:r>
      <w:r w:rsidRPr="0019636A">
        <w:t>that apply when the ratio exceeds the 40% threshold.</w:t>
      </w:r>
    </w:p>
    <w:p w14:paraId="752C7319" w14:textId="1FE024A6" w:rsidR="00DB73D3" w:rsidRPr="00970FE0" w:rsidRDefault="00F60185" w:rsidP="009A02E2">
      <w:pPr>
        <w:ind w:firstLine="720"/>
      </w:pPr>
      <w:r>
        <w:t xml:space="preserve">Almost all </w:t>
      </w:r>
      <w:r>
        <w:rPr>
          <w:lang w:val="en-US"/>
        </w:rPr>
        <w:t>benchmark</w:t>
      </w:r>
      <w:r>
        <w:t xml:space="preserve"> indicators set forth in the 2025–2027 strategy were within the targeted ranges based on the actual results of 2024. The only slight deviation was observed in the average </w:t>
      </w:r>
      <w:r>
        <w:rPr>
          <w:lang w:val="en-US"/>
        </w:rPr>
        <w:t xml:space="preserve">time to </w:t>
      </w:r>
      <w:r>
        <w:t xml:space="preserve">maturity indicator, which stood at 6.9 years compared to the benchmark minimum of 7 years. This was primarily due to the lower actual average maturity of treasury bonds </w:t>
      </w:r>
      <w:r>
        <w:rPr>
          <w:lang w:val="en-US"/>
        </w:rPr>
        <w:t>compared</w:t>
      </w:r>
      <w:r>
        <w:t xml:space="preserve"> to the programmed average maturity</w:t>
      </w:r>
      <w:r>
        <w:rPr>
          <w:lang w:val="en-US"/>
        </w:rPr>
        <w:t>,</w:t>
      </w:r>
      <w:r>
        <w:t xml:space="preserve"> influenced by market demand.</w:t>
      </w:r>
      <w:r w:rsidR="00903749">
        <w:t xml:space="preserve">  </w:t>
      </w:r>
    </w:p>
    <w:p w14:paraId="5672DC53" w14:textId="2BD80C0A" w:rsidR="0009278B" w:rsidRPr="0070296A" w:rsidRDefault="00DB73D3" w:rsidP="00AD0801">
      <w:pPr>
        <w:pStyle w:val="af6"/>
        <w:numPr>
          <w:ilvl w:val="0"/>
          <w:numId w:val="18"/>
        </w:numPr>
        <w:ind w:left="1276" w:hanging="1276"/>
      </w:pPr>
      <w:r w:rsidRPr="00DB73D3">
        <w:t>P</w:t>
      </w:r>
      <w:r w:rsidRPr="008D4715">
        <w:t>erformance of benc</w:t>
      </w:r>
      <w:r>
        <w:t xml:space="preserve">hmark indicators </w:t>
      </w:r>
      <w:r w:rsidRPr="00DB73D3">
        <w:t>defined by the RA Government Debt Management Strategy</w:t>
      </w:r>
      <w:r>
        <w:t xml:space="preserve"> </w:t>
      </w:r>
      <w:r w:rsidRPr="00DB73D3">
        <w:t>for</w:t>
      </w:r>
      <w:r>
        <w:t xml:space="preserve"> 2025-2027</w:t>
      </w:r>
      <w:r w:rsidRPr="008D4715">
        <w:t xml:space="preserve"> </w:t>
      </w:r>
      <w:r>
        <w:t>in 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7"/>
        <w:gridCol w:w="2106"/>
        <w:gridCol w:w="2103"/>
      </w:tblGrid>
      <w:tr w:rsidR="001F2522" w:rsidRPr="0070296A" w14:paraId="4B75F803" w14:textId="77777777" w:rsidTr="00903749">
        <w:trPr>
          <w:tblHeader/>
          <w:jc w:val="center"/>
        </w:trPr>
        <w:tc>
          <w:tcPr>
            <w:tcW w:w="5817" w:type="dxa"/>
            <w:tcBorders>
              <w:top w:val="thinThickThinSmallGap" w:sz="24" w:space="0" w:color="auto"/>
              <w:left w:val="nil"/>
              <w:bottom w:val="thinThickSmallGap" w:sz="24" w:space="0" w:color="auto"/>
              <w:right w:val="nil"/>
            </w:tcBorders>
            <w:shd w:val="clear" w:color="auto" w:fill="5B9BD5"/>
          </w:tcPr>
          <w:p w14:paraId="0F7B5132" w14:textId="77777777" w:rsidR="00025E2D" w:rsidRPr="0070296A" w:rsidRDefault="00025E2D" w:rsidP="00A1274B"/>
        </w:tc>
        <w:tc>
          <w:tcPr>
            <w:tcW w:w="2106" w:type="dxa"/>
            <w:tcBorders>
              <w:top w:val="thinThickThinSmallGap" w:sz="24" w:space="0" w:color="auto"/>
              <w:left w:val="nil"/>
              <w:bottom w:val="thinThickSmallGap" w:sz="24" w:space="0" w:color="auto"/>
              <w:right w:val="nil"/>
            </w:tcBorders>
            <w:shd w:val="clear" w:color="auto" w:fill="5B9BD5"/>
            <w:vAlign w:val="center"/>
          </w:tcPr>
          <w:p w14:paraId="08E69401" w14:textId="3914E6C6" w:rsidR="00025E2D" w:rsidRPr="0070296A" w:rsidRDefault="004C71DD" w:rsidP="00975131">
            <w:pPr>
              <w:ind w:firstLine="0"/>
              <w:jc w:val="center"/>
            </w:pPr>
            <w:r>
              <w:rPr>
                <w:lang w:val="en-US"/>
              </w:rPr>
              <w:t>Benchmark</w:t>
            </w:r>
          </w:p>
        </w:tc>
        <w:tc>
          <w:tcPr>
            <w:tcW w:w="2103" w:type="dxa"/>
            <w:tcBorders>
              <w:top w:val="thinThickThinSmallGap" w:sz="24" w:space="0" w:color="auto"/>
              <w:left w:val="nil"/>
              <w:bottom w:val="thinThickSmallGap" w:sz="24" w:space="0" w:color="auto"/>
              <w:right w:val="nil"/>
            </w:tcBorders>
            <w:shd w:val="clear" w:color="auto" w:fill="5B9BD5"/>
            <w:vAlign w:val="center"/>
          </w:tcPr>
          <w:p w14:paraId="10C89D9E" w14:textId="77777777" w:rsidR="00F010C3" w:rsidRPr="0070296A" w:rsidRDefault="00025E2D" w:rsidP="00975131">
            <w:pPr>
              <w:spacing w:line="240" w:lineRule="auto"/>
              <w:ind w:firstLine="0"/>
              <w:jc w:val="center"/>
            </w:pPr>
            <w:r w:rsidRPr="0070296A">
              <w:t>31.12.</w:t>
            </w:r>
            <w:r w:rsidR="003641B1" w:rsidRPr="0070296A">
              <w:t>20</w:t>
            </w:r>
            <w:r w:rsidR="00365842" w:rsidRPr="0070296A">
              <w:t>2</w:t>
            </w:r>
            <w:r w:rsidR="00903749">
              <w:t>4</w:t>
            </w:r>
          </w:p>
          <w:p w14:paraId="7B537329" w14:textId="2A6D82CC" w:rsidR="00025E2D" w:rsidRPr="004C71DD" w:rsidRDefault="004C71DD" w:rsidP="00975131">
            <w:pPr>
              <w:spacing w:line="240" w:lineRule="auto"/>
              <w:ind w:firstLine="0"/>
              <w:jc w:val="center"/>
              <w:rPr>
                <w:lang w:val="en-US"/>
              </w:rPr>
            </w:pPr>
            <w:r>
              <w:rPr>
                <w:lang w:val="en-US"/>
              </w:rPr>
              <w:t>actual</w:t>
            </w:r>
          </w:p>
        </w:tc>
      </w:tr>
      <w:tr w:rsidR="004C71DD" w:rsidRPr="00E06CCC" w14:paraId="39B6822F" w14:textId="77777777" w:rsidTr="00CF0C2B">
        <w:trPr>
          <w:trHeight w:val="324"/>
          <w:jc w:val="center"/>
        </w:trPr>
        <w:tc>
          <w:tcPr>
            <w:tcW w:w="5817" w:type="dxa"/>
            <w:tcBorders>
              <w:top w:val="thinThickSmallGap" w:sz="24" w:space="0" w:color="auto"/>
              <w:left w:val="nil"/>
              <w:right w:val="nil"/>
            </w:tcBorders>
          </w:tcPr>
          <w:p w14:paraId="07B85858" w14:textId="64331B25" w:rsidR="004C71DD" w:rsidRPr="004C71DD" w:rsidRDefault="004C71DD" w:rsidP="004C71DD">
            <w:pPr>
              <w:spacing w:line="240" w:lineRule="auto"/>
              <w:ind w:firstLine="559"/>
              <w:rPr>
                <w:b/>
              </w:rPr>
            </w:pPr>
            <w:r w:rsidRPr="004C71DD">
              <w:rPr>
                <w:b/>
              </w:rPr>
              <w:t>Refinancing risk</w:t>
            </w:r>
          </w:p>
        </w:tc>
        <w:tc>
          <w:tcPr>
            <w:tcW w:w="2106" w:type="dxa"/>
            <w:tcBorders>
              <w:top w:val="thinThickSmallGap" w:sz="24" w:space="0" w:color="auto"/>
              <w:left w:val="nil"/>
              <w:right w:val="nil"/>
            </w:tcBorders>
            <w:vAlign w:val="center"/>
          </w:tcPr>
          <w:p w14:paraId="4621E5DC" w14:textId="77777777" w:rsidR="004C71DD" w:rsidRPr="0070296A" w:rsidRDefault="004C71DD" w:rsidP="004C71DD">
            <w:pPr>
              <w:ind w:firstLine="0"/>
              <w:jc w:val="center"/>
              <w:rPr>
                <w:b/>
              </w:rPr>
            </w:pPr>
          </w:p>
        </w:tc>
        <w:tc>
          <w:tcPr>
            <w:tcW w:w="2103" w:type="dxa"/>
            <w:tcBorders>
              <w:top w:val="thinThickSmallGap" w:sz="24" w:space="0" w:color="auto"/>
              <w:left w:val="nil"/>
              <w:right w:val="nil"/>
            </w:tcBorders>
            <w:vAlign w:val="center"/>
          </w:tcPr>
          <w:p w14:paraId="1D7C041D" w14:textId="77777777" w:rsidR="004C71DD" w:rsidRPr="00E06CCC" w:rsidRDefault="004C71DD" w:rsidP="004C71DD">
            <w:pPr>
              <w:ind w:firstLine="0"/>
              <w:jc w:val="center"/>
              <w:rPr>
                <w:b/>
                <w:color w:val="FF0000"/>
              </w:rPr>
            </w:pPr>
          </w:p>
        </w:tc>
      </w:tr>
      <w:tr w:rsidR="004C71DD" w:rsidRPr="00E06CCC" w14:paraId="35EC6BEC" w14:textId="77777777" w:rsidTr="00903749">
        <w:trPr>
          <w:jc w:val="center"/>
        </w:trPr>
        <w:tc>
          <w:tcPr>
            <w:tcW w:w="5817" w:type="dxa"/>
            <w:tcBorders>
              <w:left w:val="nil"/>
              <w:right w:val="nil"/>
            </w:tcBorders>
          </w:tcPr>
          <w:p w14:paraId="29AD2103" w14:textId="3C73CA8C" w:rsidR="004C71DD" w:rsidRPr="0070296A" w:rsidRDefault="004C71DD" w:rsidP="004C71DD">
            <w:pPr>
              <w:spacing w:line="240" w:lineRule="auto"/>
              <w:ind w:firstLine="0"/>
            </w:pPr>
            <w:r w:rsidRPr="00D67773">
              <w:t>Average time to maturity</w:t>
            </w:r>
          </w:p>
        </w:tc>
        <w:tc>
          <w:tcPr>
            <w:tcW w:w="2106" w:type="dxa"/>
            <w:tcBorders>
              <w:left w:val="nil"/>
              <w:right w:val="nil"/>
            </w:tcBorders>
            <w:vAlign w:val="center"/>
          </w:tcPr>
          <w:p w14:paraId="71D8450E" w14:textId="361F4B56" w:rsidR="004C71DD" w:rsidRPr="004C71DD" w:rsidRDefault="004C71DD" w:rsidP="004C71DD">
            <w:pPr>
              <w:ind w:firstLine="0"/>
              <w:jc w:val="center"/>
              <w:rPr>
                <w:lang w:val="en-US"/>
              </w:rPr>
            </w:pPr>
            <w:r w:rsidRPr="0070296A">
              <w:t xml:space="preserve">7 – 10 </w:t>
            </w:r>
            <w:r>
              <w:rPr>
                <w:lang w:val="en-US"/>
              </w:rPr>
              <w:t>years</w:t>
            </w:r>
          </w:p>
        </w:tc>
        <w:tc>
          <w:tcPr>
            <w:tcW w:w="2103" w:type="dxa"/>
            <w:tcBorders>
              <w:left w:val="nil"/>
              <w:right w:val="nil"/>
            </w:tcBorders>
            <w:vAlign w:val="center"/>
          </w:tcPr>
          <w:p w14:paraId="10DE298B" w14:textId="765FC737" w:rsidR="004C71DD" w:rsidRPr="00545585" w:rsidRDefault="004C71DD">
            <w:pPr>
              <w:ind w:firstLine="0"/>
              <w:jc w:val="center"/>
              <w:rPr>
                <w:lang w:val="en-US"/>
              </w:rPr>
            </w:pPr>
            <w:r w:rsidRPr="00903749">
              <w:t xml:space="preserve">6.9 </w:t>
            </w:r>
            <w:r w:rsidR="00ED59C2">
              <w:rPr>
                <w:lang w:val="en-US"/>
              </w:rPr>
              <w:t>years</w:t>
            </w:r>
          </w:p>
        </w:tc>
      </w:tr>
      <w:tr w:rsidR="004C71DD" w:rsidRPr="00E06CCC" w14:paraId="5D05ADD1" w14:textId="77777777" w:rsidTr="00903749">
        <w:trPr>
          <w:jc w:val="center"/>
        </w:trPr>
        <w:tc>
          <w:tcPr>
            <w:tcW w:w="5817" w:type="dxa"/>
            <w:tcBorders>
              <w:left w:val="nil"/>
              <w:right w:val="nil"/>
            </w:tcBorders>
          </w:tcPr>
          <w:p w14:paraId="49F51FF0" w14:textId="2368948C" w:rsidR="004C71DD" w:rsidRPr="0070296A" w:rsidRDefault="004C71DD" w:rsidP="004C71DD">
            <w:pPr>
              <w:spacing w:line="240" w:lineRule="auto"/>
              <w:ind w:firstLine="0"/>
            </w:pPr>
            <w:r w:rsidRPr="00D67773">
              <w:t xml:space="preserve">Share of debt maturing within the coming three years in total debt  </w:t>
            </w:r>
          </w:p>
        </w:tc>
        <w:tc>
          <w:tcPr>
            <w:tcW w:w="2106" w:type="dxa"/>
            <w:tcBorders>
              <w:left w:val="nil"/>
              <w:right w:val="nil"/>
            </w:tcBorders>
            <w:vAlign w:val="center"/>
          </w:tcPr>
          <w:p w14:paraId="5BD726E8" w14:textId="201B39B3" w:rsidR="004C71DD" w:rsidRPr="0070296A" w:rsidRDefault="004C71DD" w:rsidP="004C71DD">
            <w:pPr>
              <w:ind w:firstLine="0"/>
              <w:jc w:val="center"/>
            </w:pPr>
            <w:r>
              <w:rPr>
                <w:lang w:val="en-US"/>
              </w:rPr>
              <w:t>max</w:t>
            </w:r>
            <w:r w:rsidRPr="00B76333">
              <w:t xml:space="preserve"> 35%</w:t>
            </w:r>
          </w:p>
        </w:tc>
        <w:tc>
          <w:tcPr>
            <w:tcW w:w="2103" w:type="dxa"/>
            <w:tcBorders>
              <w:left w:val="nil"/>
              <w:right w:val="nil"/>
            </w:tcBorders>
            <w:vAlign w:val="center"/>
          </w:tcPr>
          <w:p w14:paraId="67FC819F" w14:textId="77777777" w:rsidR="004C71DD" w:rsidRPr="00903749" w:rsidRDefault="004C71DD" w:rsidP="004C71DD">
            <w:pPr>
              <w:ind w:firstLine="0"/>
              <w:jc w:val="center"/>
            </w:pPr>
            <w:r w:rsidRPr="00903749">
              <w:t>29.6%</w:t>
            </w:r>
          </w:p>
        </w:tc>
      </w:tr>
      <w:tr w:rsidR="00903749" w:rsidRPr="00E06CCC" w14:paraId="0829D3DB" w14:textId="77777777" w:rsidTr="00CF0C2B">
        <w:trPr>
          <w:trHeight w:val="764"/>
          <w:jc w:val="center"/>
        </w:trPr>
        <w:tc>
          <w:tcPr>
            <w:tcW w:w="5817" w:type="dxa"/>
            <w:tcBorders>
              <w:left w:val="nil"/>
              <w:right w:val="nil"/>
            </w:tcBorders>
          </w:tcPr>
          <w:p w14:paraId="3DEA0AD6" w14:textId="2506A80A" w:rsidR="00903749" w:rsidRPr="0070296A" w:rsidRDefault="004C71DD" w:rsidP="00903749">
            <w:pPr>
              <w:spacing w:line="240" w:lineRule="auto"/>
              <w:ind w:firstLine="0"/>
            </w:pPr>
            <w:r w:rsidRPr="004C71DD">
              <w:t>Share of the Government treasury bonds maturing within a year in the outstanding Government treasury bonds (at the end of the year)</w:t>
            </w:r>
          </w:p>
        </w:tc>
        <w:tc>
          <w:tcPr>
            <w:tcW w:w="2106" w:type="dxa"/>
            <w:tcBorders>
              <w:left w:val="nil"/>
              <w:right w:val="nil"/>
            </w:tcBorders>
            <w:vAlign w:val="center"/>
          </w:tcPr>
          <w:p w14:paraId="56AE7A66" w14:textId="4E9419E3" w:rsidR="00903749" w:rsidRPr="0070296A" w:rsidRDefault="004C71DD" w:rsidP="00903749">
            <w:pPr>
              <w:ind w:firstLine="0"/>
              <w:jc w:val="center"/>
            </w:pPr>
            <w:r>
              <w:rPr>
                <w:lang w:val="en-US"/>
              </w:rPr>
              <w:t>max</w:t>
            </w:r>
            <w:r w:rsidR="00903749" w:rsidRPr="0070296A">
              <w:t xml:space="preserve"> 20%</w:t>
            </w:r>
          </w:p>
        </w:tc>
        <w:tc>
          <w:tcPr>
            <w:tcW w:w="2103" w:type="dxa"/>
            <w:tcBorders>
              <w:left w:val="nil"/>
              <w:right w:val="nil"/>
            </w:tcBorders>
            <w:vAlign w:val="center"/>
          </w:tcPr>
          <w:p w14:paraId="7E9A7FE8" w14:textId="77777777" w:rsidR="00903749" w:rsidRPr="00903749" w:rsidRDefault="00903749" w:rsidP="00903749">
            <w:pPr>
              <w:ind w:firstLine="0"/>
              <w:jc w:val="center"/>
            </w:pPr>
            <w:r w:rsidRPr="00903749">
              <w:t>14.3 %</w:t>
            </w:r>
          </w:p>
        </w:tc>
      </w:tr>
      <w:tr w:rsidR="004C71DD" w:rsidRPr="00E06CCC" w14:paraId="2EDD1489" w14:textId="77777777" w:rsidTr="00903749">
        <w:trPr>
          <w:jc w:val="center"/>
        </w:trPr>
        <w:tc>
          <w:tcPr>
            <w:tcW w:w="5817" w:type="dxa"/>
            <w:tcBorders>
              <w:left w:val="nil"/>
              <w:right w:val="nil"/>
            </w:tcBorders>
          </w:tcPr>
          <w:p w14:paraId="47B133AD" w14:textId="0D7E9A00" w:rsidR="004C71DD" w:rsidRPr="0070296A" w:rsidRDefault="004C71DD" w:rsidP="004C71DD">
            <w:pPr>
              <w:spacing w:line="240" w:lineRule="auto"/>
              <w:ind w:firstLine="559"/>
              <w:rPr>
                <w:b/>
              </w:rPr>
            </w:pPr>
            <w:r w:rsidRPr="005A68E6">
              <w:rPr>
                <w:b/>
                <w:lang w:val="en-US"/>
              </w:rPr>
              <w:t>Interest rate risk</w:t>
            </w:r>
          </w:p>
        </w:tc>
        <w:tc>
          <w:tcPr>
            <w:tcW w:w="2106" w:type="dxa"/>
            <w:tcBorders>
              <w:left w:val="nil"/>
              <w:right w:val="nil"/>
            </w:tcBorders>
            <w:vAlign w:val="center"/>
          </w:tcPr>
          <w:p w14:paraId="741859BF" w14:textId="77777777" w:rsidR="004C71DD" w:rsidRPr="0070296A" w:rsidRDefault="004C71DD" w:rsidP="004C71DD">
            <w:pPr>
              <w:ind w:firstLine="0"/>
              <w:jc w:val="center"/>
              <w:rPr>
                <w:b/>
              </w:rPr>
            </w:pPr>
          </w:p>
        </w:tc>
        <w:tc>
          <w:tcPr>
            <w:tcW w:w="2103" w:type="dxa"/>
            <w:tcBorders>
              <w:left w:val="nil"/>
              <w:right w:val="nil"/>
            </w:tcBorders>
            <w:vAlign w:val="center"/>
          </w:tcPr>
          <w:p w14:paraId="6537F5C9" w14:textId="77777777" w:rsidR="004C71DD" w:rsidRPr="00903749" w:rsidRDefault="004C71DD" w:rsidP="004C71DD">
            <w:pPr>
              <w:ind w:firstLine="0"/>
              <w:jc w:val="center"/>
            </w:pPr>
          </w:p>
        </w:tc>
      </w:tr>
      <w:tr w:rsidR="004C71DD" w:rsidRPr="00E06CCC" w14:paraId="4C722E8A" w14:textId="77777777" w:rsidTr="00903749">
        <w:trPr>
          <w:jc w:val="center"/>
        </w:trPr>
        <w:tc>
          <w:tcPr>
            <w:tcW w:w="5817" w:type="dxa"/>
            <w:tcBorders>
              <w:left w:val="nil"/>
              <w:right w:val="nil"/>
            </w:tcBorders>
          </w:tcPr>
          <w:p w14:paraId="7269908D" w14:textId="492A56B0" w:rsidR="004C71DD" w:rsidRPr="0070296A" w:rsidRDefault="004C71DD" w:rsidP="004C71DD">
            <w:pPr>
              <w:spacing w:line="240" w:lineRule="auto"/>
              <w:ind w:firstLine="0"/>
            </w:pPr>
            <w:r w:rsidRPr="005A68E6">
              <w:t>Share of fixed rate debt in total debt</w:t>
            </w:r>
          </w:p>
        </w:tc>
        <w:tc>
          <w:tcPr>
            <w:tcW w:w="2106" w:type="dxa"/>
            <w:tcBorders>
              <w:left w:val="nil"/>
              <w:right w:val="nil"/>
            </w:tcBorders>
            <w:vAlign w:val="center"/>
          </w:tcPr>
          <w:p w14:paraId="56DB67AF" w14:textId="1ACB5D67" w:rsidR="004C71DD" w:rsidRPr="0070296A" w:rsidRDefault="004C71DD" w:rsidP="004C71DD">
            <w:pPr>
              <w:ind w:firstLine="0"/>
              <w:jc w:val="center"/>
            </w:pPr>
            <w:r>
              <w:rPr>
                <w:lang w:val="en-US"/>
              </w:rPr>
              <w:t>min</w:t>
            </w:r>
            <w:r w:rsidRPr="0070296A">
              <w:t xml:space="preserve"> 80%</w:t>
            </w:r>
          </w:p>
        </w:tc>
        <w:tc>
          <w:tcPr>
            <w:tcW w:w="2103" w:type="dxa"/>
            <w:tcBorders>
              <w:left w:val="nil"/>
              <w:right w:val="nil"/>
            </w:tcBorders>
            <w:vAlign w:val="center"/>
          </w:tcPr>
          <w:p w14:paraId="3A258528" w14:textId="77777777" w:rsidR="004C71DD" w:rsidRPr="00903749" w:rsidRDefault="004C71DD" w:rsidP="004C71DD">
            <w:pPr>
              <w:ind w:firstLine="0"/>
              <w:jc w:val="center"/>
            </w:pPr>
            <w:r w:rsidRPr="00903749">
              <w:t>84.4 %</w:t>
            </w:r>
          </w:p>
        </w:tc>
      </w:tr>
      <w:tr w:rsidR="004C71DD" w:rsidRPr="00E06CCC" w14:paraId="04E75AB9" w14:textId="77777777" w:rsidTr="00903749">
        <w:trPr>
          <w:jc w:val="center"/>
        </w:trPr>
        <w:tc>
          <w:tcPr>
            <w:tcW w:w="5817" w:type="dxa"/>
            <w:tcBorders>
              <w:left w:val="nil"/>
              <w:right w:val="nil"/>
            </w:tcBorders>
          </w:tcPr>
          <w:p w14:paraId="53704A42" w14:textId="67EDF0C7" w:rsidR="004C71DD" w:rsidRPr="0070296A" w:rsidRDefault="004C71DD" w:rsidP="004C71DD">
            <w:pPr>
              <w:spacing w:line="240" w:lineRule="auto"/>
              <w:ind w:firstLine="559"/>
              <w:rPr>
                <w:b/>
              </w:rPr>
            </w:pPr>
            <w:r w:rsidRPr="005A68E6">
              <w:rPr>
                <w:b/>
                <w:lang w:val="en-US"/>
              </w:rPr>
              <w:t>Exchange rate risk</w:t>
            </w:r>
          </w:p>
        </w:tc>
        <w:tc>
          <w:tcPr>
            <w:tcW w:w="2106" w:type="dxa"/>
            <w:tcBorders>
              <w:left w:val="nil"/>
              <w:right w:val="nil"/>
            </w:tcBorders>
            <w:vAlign w:val="center"/>
          </w:tcPr>
          <w:p w14:paraId="15DDB5EC" w14:textId="77777777" w:rsidR="004C71DD" w:rsidRPr="0070296A" w:rsidRDefault="004C71DD" w:rsidP="004C71DD">
            <w:pPr>
              <w:ind w:firstLine="0"/>
              <w:jc w:val="center"/>
              <w:rPr>
                <w:b/>
              </w:rPr>
            </w:pPr>
          </w:p>
        </w:tc>
        <w:tc>
          <w:tcPr>
            <w:tcW w:w="2103" w:type="dxa"/>
            <w:tcBorders>
              <w:left w:val="nil"/>
              <w:right w:val="nil"/>
            </w:tcBorders>
            <w:vAlign w:val="center"/>
          </w:tcPr>
          <w:p w14:paraId="7598E072" w14:textId="77777777" w:rsidR="004C71DD" w:rsidRPr="00903749" w:rsidRDefault="004C71DD" w:rsidP="004C71DD">
            <w:pPr>
              <w:ind w:firstLine="0"/>
              <w:jc w:val="center"/>
            </w:pPr>
          </w:p>
        </w:tc>
      </w:tr>
      <w:tr w:rsidR="004C71DD" w:rsidRPr="00E06CCC" w14:paraId="48CFE138" w14:textId="77777777" w:rsidTr="00903749">
        <w:trPr>
          <w:jc w:val="center"/>
        </w:trPr>
        <w:tc>
          <w:tcPr>
            <w:tcW w:w="5817" w:type="dxa"/>
            <w:tcBorders>
              <w:left w:val="nil"/>
              <w:right w:val="nil"/>
            </w:tcBorders>
          </w:tcPr>
          <w:p w14:paraId="3A900E80" w14:textId="26FE6947" w:rsidR="004C71DD" w:rsidRPr="0070296A" w:rsidRDefault="004C71DD" w:rsidP="004C71DD">
            <w:pPr>
              <w:spacing w:line="240" w:lineRule="auto"/>
              <w:ind w:firstLine="0"/>
              <w:rPr>
                <w:b/>
              </w:rPr>
            </w:pPr>
            <w:r w:rsidRPr="005A68E6">
              <w:t>Share of domestic debt in total debt</w:t>
            </w:r>
          </w:p>
        </w:tc>
        <w:tc>
          <w:tcPr>
            <w:tcW w:w="2106" w:type="dxa"/>
            <w:tcBorders>
              <w:left w:val="nil"/>
              <w:right w:val="nil"/>
            </w:tcBorders>
            <w:vAlign w:val="center"/>
          </w:tcPr>
          <w:p w14:paraId="43890D2E" w14:textId="28AA2D4C" w:rsidR="004C71DD" w:rsidRPr="0070296A" w:rsidRDefault="004C71DD" w:rsidP="004C71DD">
            <w:pPr>
              <w:ind w:firstLine="0"/>
              <w:jc w:val="center"/>
              <w:rPr>
                <w:b/>
              </w:rPr>
            </w:pPr>
            <w:r>
              <w:rPr>
                <w:lang w:val="en-US"/>
              </w:rPr>
              <w:t>min</w:t>
            </w:r>
            <w:r w:rsidRPr="0070296A">
              <w:t xml:space="preserve"> </w:t>
            </w:r>
            <w:r>
              <w:t>4</w:t>
            </w:r>
            <w:r w:rsidRPr="0070296A">
              <w:t>0%</w:t>
            </w:r>
          </w:p>
        </w:tc>
        <w:tc>
          <w:tcPr>
            <w:tcW w:w="2103" w:type="dxa"/>
            <w:tcBorders>
              <w:left w:val="nil"/>
              <w:right w:val="nil"/>
            </w:tcBorders>
            <w:vAlign w:val="center"/>
          </w:tcPr>
          <w:p w14:paraId="7BCB7EE4" w14:textId="77777777" w:rsidR="004C71DD" w:rsidRPr="00903749" w:rsidRDefault="004C71DD" w:rsidP="004C71DD">
            <w:pPr>
              <w:ind w:firstLine="0"/>
              <w:jc w:val="center"/>
            </w:pPr>
            <w:r w:rsidRPr="00903749">
              <w:t>51.8%</w:t>
            </w:r>
          </w:p>
        </w:tc>
      </w:tr>
      <w:tr w:rsidR="004C71DD" w:rsidRPr="00E06CCC" w14:paraId="2A80CB5F" w14:textId="77777777" w:rsidTr="00CF0C2B">
        <w:trPr>
          <w:trHeight w:val="71"/>
          <w:jc w:val="center"/>
        </w:trPr>
        <w:tc>
          <w:tcPr>
            <w:tcW w:w="5817" w:type="dxa"/>
            <w:tcBorders>
              <w:left w:val="nil"/>
              <w:bottom w:val="thickThinSmallGap" w:sz="24" w:space="0" w:color="auto"/>
              <w:right w:val="nil"/>
            </w:tcBorders>
          </w:tcPr>
          <w:p w14:paraId="6A000CDD" w14:textId="36787E6C" w:rsidR="004C71DD" w:rsidRPr="0070296A" w:rsidRDefault="004C71DD" w:rsidP="004C71DD">
            <w:pPr>
              <w:spacing w:line="240" w:lineRule="auto"/>
              <w:ind w:firstLine="0"/>
            </w:pPr>
            <w:r w:rsidRPr="005A68E6">
              <w:t>Share of AMD denominated debt in total debt</w:t>
            </w:r>
          </w:p>
        </w:tc>
        <w:tc>
          <w:tcPr>
            <w:tcW w:w="2106" w:type="dxa"/>
            <w:tcBorders>
              <w:left w:val="nil"/>
              <w:bottom w:val="thickThinSmallGap" w:sz="24" w:space="0" w:color="auto"/>
              <w:right w:val="nil"/>
            </w:tcBorders>
            <w:vAlign w:val="center"/>
          </w:tcPr>
          <w:p w14:paraId="1EFA6D3A" w14:textId="1E596354" w:rsidR="004C71DD" w:rsidRPr="0070296A" w:rsidRDefault="004C71DD" w:rsidP="004C71DD">
            <w:pPr>
              <w:ind w:firstLine="0"/>
              <w:jc w:val="center"/>
            </w:pPr>
            <w:r>
              <w:rPr>
                <w:lang w:val="en-US"/>
              </w:rPr>
              <w:t>min</w:t>
            </w:r>
            <w:r w:rsidRPr="0070296A">
              <w:t xml:space="preserve"> </w:t>
            </w:r>
            <w:r>
              <w:t>4</w:t>
            </w:r>
            <w:r w:rsidRPr="0070296A">
              <w:t>0%</w:t>
            </w:r>
          </w:p>
        </w:tc>
        <w:tc>
          <w:tcPr>
            <w:tcW w:w="2103" w:type="dxa"/>
            <w:tcBorders>
              <w:left w:val="nil"/>
              <w:bottom w:val="thickThinSmallGap" w:sz="24" w:space="0" w:color="auto"/>
              <w:right w:val="nil"/>
            </w:tcBorders>
            <w:vAlign w:val="center"/>
          </w:tcPr>
          <w:p w14:paraId="083D15FA" w14:textId="77777777" w:rsidR="004C71DD" w:rsidRPr="00903749" w:rsidRDefault="004C71DD" w:rsidP="004C71DD">
            <w:pPr>
              <w:ind w:firstLine="0"/>
              <w:jc w:val="center"/>
            </w:pPr>
            <w:r w:rsidRPr="00903749">
              <w:t>50.8%</w:t>
            </w:r>
          </w:p>
        </w:tc>
      </w:tr>
    </w:tbl>
    <w:p w14:paraId="6C74E449" w14:textId="39D6FBAA" w:rsidR="00645A98" w:rsidRDefault="006E221C" w:rsidP="00CF0C2B">
      <w:pPr>
        <w:keepNext/>
        <w:ind w:firstLine="0"/>
        <w:rPr>
          <w:sz w:val="18"/>
        </w:rPr>
      </w:pPr>
      <w:r w:rsidRPr="006E221C">
        <w:rPr>
          <w:sz w:val="18"/>
        </w:rPr>
        <w:t>Source: RA MoF calculations</w:t>
      </w:r>
    </w:p>
    <w:p w14:paraId="07817D95" w14:textId="77777777" w:rsidR="00CF0C2B" w:rsidRPr="00CF0C2B" w:rsidRDefault="00CF0C2B" w:rsidP="00CF0C2B">
      <w:pPr>
        <w:keepNext/>
        <w:ind w:firstLine="0"/>
        <w:rPr>
          <w:sz w:val="18"/>
        </w:rPr>
      </w:pPr>
    </w:p>
    <w:p w14:paraId="09923833" w14:textId="4A448F8E" w:rsidR="00F40B31" w:rsidRDefault="00F40B31" w:rsidP="00F40B31">
      <w:pPr>
        <w:keepNext/>
      </w:pPr>
      <w:r>
        <w:t xml:space="preserve">In 2024, the state budget deficit was financed through net borrowing in the amount of AMD 399.9 billion. Of this, AMD 369.0 billion—or 92.3% of the total financing—was provided through net domestic </w:t>
      </w:r>
      <w:r>
        <w:lastRenderedPageBreak/>
        <w:t>borrowing (excluding promissory notes), while AMD 30.9 billion</w:t>
      </w:r>
      <w:r w:rsidR="00ED59C2">
        <w:rPr>
          <w:lang w:val="en-US"/>
        </w:rPr>
        <w:t xml:space="preserve"> </w:t>
      </w:r>
      <w:r>
        <w:t>or 7.7%</w:t>
      </w:r>
      <w:r w:rsidR="00ED59C2">
        <w:rPr>
          <w:lang w:val="en-US"/>
        </w:rPr>
        <w:t xml:space="preserve"> </w:t>
      </w:r>
      <w:r>
        <w:t>was financed through net external borrowing. This indicates that the financing of the state budget deficit in 2024 relied primarily on domestic/local</w:t>
      </w:r>
      <w:r w:rsidR="00ED59C2">
        <w:rPr>
          <w:lang w:val="en-US"/>
        </w:rPr>
        <w:t xml:space="preserve"> </w:t>
      </w:r>
      <w:r>
        <w:t>currency sources.</w:t>
      </w:r>
    </w:p>
    <w:p w14:paraId="25C2368A" w14:textId="76667DD8" w:rsidR="00340B22" w:rsidRDefault="009102C6" w:rsidP="00F40B31">
      <w:pPr>
        <w:keepNext/>
      </w:pPr>
      <w:r>
        <w:rPr>
          <w:lang w:val="en-US"/>
        </w:rPr>
        <w:t>Government</w:t>
      </w:r>
      <w:r w:rsidR="00340B22" w:rsidRPr="00340B22">
        <w:t xml:space="preserve"> treasury bonds have a significant share in the RA government debt operations carried out during 2024.</w:t>
      </w:r>
    </w:p>
    <w:p w14:paraId="5B66B31D" w14:textId="751709A0" w:rsidR="004D52E6" w:rsidRPr="0070296A" w:rsidRDefault="00841EC9" w:rsidP="00AD0801">
      <w:pPr>
        <w:pStyle w:val="af6"/>
        <w:numPr>
          <w:ilvl w:val="0"/>
          <w:numId w:val="18"/>
        </w:numPr>
        <w:ind w:left="1276" w:hanging="1276"/>
      </w:pPr>
      <w:r w:rsidRPr="00841EC9">
        <w:t xml:space="preserve">RA Government debt </w:t>
      </w:r>
      <w:r>
        <w:t>operations by instrument</w:t>
      </w:r>
      <w:r w:rsidRPr="00841EC9">
        <w:t xml:space="preserve"> </w:t>
      </w: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1786"/>
        <w:gridCol w:w="31"/>
        <w:gridCol w:w="1963"/>
        <w:gridCol w:w="1736"/>
        <w:gridCol w:w="24"/>
        <w:gridCol w:w="1915"/>
      </w:tblGrid>
      <w:tr w:rsidR="00645A98" w:rsidRPr="00887722" w14:paraId="3CC32A04" w14:textId="77777777" w:rsidTr="00BF56E4">
        <w:trPr>
          <w:trHeight w:val="724"/>
          <w:tblHeader/>
          <w:jc w:val="center"/>
        </w:trPr>
        <w:tc>
          <w:tcPr>
            <w:tcW w:w="3330" w:type="dxa"/>
            <w:tcBorders>
              <w:top w:val="thinThickThinSmallGap" w:sz="24" w:space="0" w:color="auto"/>
              <w:left w:val="nil"/>
              <w:bottom w:val="thinThickSmallGap" w:sz="24" w:space="0" w:color="auto"/>
              <w:right w:val="nil"/>
            </w:tcBorders>
            <w:shd w:val="clear" w:color="auto" w:fill="5B9BD5"/>
            <w:vAlign w:val="center"/>
          </w:tcPr>
          <w:p w14:paraId="0DF23D46" w14:textId="77777777" w:rsidR="00645A98" w:rsidRPr="00887722" w:rsidRDefault="00645A98" w:rsidP="00E45932">
            <w:pPr>
              <w:spacing w:line="240" w:lineRule="auto"/>
              <w:ind w:firstLine="0"/>
              <w:jc w:val="center"/>
              <w:rPr>
                <w:lang w:val="en-US"/>
              </w:rPr>
            </w:pPr>
            <w:r w:rsidRPr="00887722">
              <w:t>202</w:t>
            </w:r>
            <w:r w:rsidR="00E45932">
              <w:t>4</w:t>
            </w:r>
          </w:p>
        </w:tc>
        <w:tc>
          <w:tcPr>
            <w:tcW w:w="1786" w:type="dxa"/>
            <w:tcBorders>
              <w:top w:val="thinThickThinSmallGap" w:sz="24" w:space="0" w:color="auto"/>
              <w:left w:val="nil"/>
              <w:bottom w:val="thinThickSmallGap" w:sz="24" w:space="0" w:color="auto"/>
              <w:right w:val="nil"/>
            </w:tcBorders>
            <w:shd w:val="clear" w:color="auto" w:fill="5B9BD5"/>
            <w:vAlign w:val="center"/>
          </w:tcPr>
          <w:p w14:paraId="212562D3" w14:textId="2C00E561" w:rsidR="00645A98" w:rsidRPr="00887722" w:rsidRDefault="00841EC9" w:rsidP="00C12899">
            <w:pPr>
              <w:spacing w:line="240" w:lineRule="auto"/>
              <w:ind w:firstLine="0"/>
              <w:jc w:val="center"/>
            </w:pPr>
            <w:r w:rsidRPr="005A68E6">
              <w:t>Placement volume</w:t>
            </w:r>
          </w:p>
        </w:tc>
        <w:tc>
          <w:tcPr>
            <w:tcW w:w="1994" w:type="dxa"/>
            <w:gridSpan w:val="2"/>
            <w:tcBorders>
              <w:top w:val="thinThickThinSmallGap" w:sz="24" w:space="0" w:color="auto"/>
              <w:left w:val="nil"/>
              <w:bottom w:val="thinThickSmallGap" w:sz="24" w:space="0" w:color="auto"/>
              <w:right w:val="nil"/>
            </w:tcBorders>
            <w:shd w:val="clear" w:color="auto" w:fill="5B9BD5"/>
            <w:vAlign w:val="center"/>
          </w:tcPr>
          <w:p w14:paraId="324CFB91" w14:textId="33C0F02C" w:rsidR="00645A98" w:rsidRPr="00887722" w:rsidRDefault="00841EC9" w:rsidP="00C12899">
            <w:pPr>
              <w:spacing w:line="240" w:lineRule="auto"/>
              <w:ind w:firstLine="0"/>
              <w:jc w:val="center"/>
            </w:pPr>
            <w:r w:rsidRPr="00841EC9">
              <w:t>Proceeds from Placement</w:t>
            </w:r>
          </w:p>
        </w:tc>
        <w:tc>
          <w:tcPr>
            <w:tcW w:w="1736" w:type="dxa"/>
            <w:tcBorders>
              <w:top w:val="thinThickThinSmallGap" w:sz="24" w:space="0" w:color="auto"/>
              <w:left w:val="nil"/>
              <w:bottom w:val="thinThickSmallGap" w:sz="24" w:space="0" w:color="auto"/>
              <w:right w:val="nil"/>
            </w:tcBorders>
            <w:shd w:val="clear" w:color="auto" w:fill="5B9BD5"/>
            <w:vAlign w:val="center"/>
          </w:tcPr>
          <w:p w14:paraId="4E5BA505" w14:textId="709310EA" w:rsidR="00645A98" w:rsidRPr="00887722" w:rsidRDefault="00841EC9" w:rsidP="00AA0328">
            <w:pPr>
              <w:spacing w:line="240" w:lineRule="auto"/>
              <w:ind w:firstLine="0"/>
              <w:jc w:val="center"/>
            </w:pPr>
            <w:r w:rsidRPr="00841EC9">
              <w:t>Redemption and/or Buyback Volume</w:t>
            </w:r>
          </w:p>
        </w:tc>
        <w:tc>
          <w:tcPr>
            <w:tcW w:w="1939" w:type="dxa"/>
            <w:gridSpan w:val="2"/>
            <w:tcBorders>
              <w:top w:val="thinThickThinSmallGap" w:sz="24" w:space="0" w:color="auto"/>
              <w:left w:val="nil"/>
              <w:bottom w:val="thinThickSmallGap" w:sz="24" w:space="0" w:color="auto"/>
              <w:right w:val="nil"/>
            </w:tcBorders>
            <w:shd w:val="clear" w:color="auto" w:fill="5B9BD5"/>
            <w:vAlign w:val="center"/>
          </w:tcPr>
          <w:p w14:paraId="2CD68543" w14:textId="71AA2B42" w:rsidR="00645A98" w:rsidRPr="00887722" w:rsidRDefault="00841EC9" w:rsidP="00C12899">
            <w:pPr>
              <w:spacing w:line="240" w:lineRule="auto"/>
              <w:ind w:firstLine="0"/>
              <w:jc w:val="center"/>
            </w:pPr>
            <w:r w:rsidRPr="00841EC9">
              <w:t>Interest Paid</w:t>
            </w:r>
          </w:p>
        </w:tc>
      </w:tr>
      <w:tr w:rsidR="00841EC9" w:rsidRPr="00887722" w14:paraId="5BEAC2CC" w14:textId="77777777" w:rsidTr="00BF56E4">
        <w:trPr>
          <w:trHeight w:val="485"/>
          <w:jc w:val="center"/>
        </w:trPr>
        <w:tc>
          <w:tcPr>
            <w:tcW w:w="3330" w:type="dxa"/>
            <w:tcBorders>
              <w:top w:val="thinThickSmallGap" w:sz="24" w:space="0" w:color="auto"/>
              <w:left w:val="nil"/>
              <w:bottom w:val="thinThickSmallGap" w:sz="24" w:space="0" w:color="auto"/>
              <w:right w:val="nil"/>
            </w:tcBorders>
          </w:tcPr>
          <w:p w14:paraId="262FAAA7" w14:textId="381F4FD6" w:rsidR="00841EC9" w:rsidRPr="00887722" w:rsidRDefault="00841EC9" w:rsidP="00841EC9">
            <w:pPr>
              <w:spacing w:line="240" w:lineRule="auto"/>
              <w:ind w:firstLine="0"/>
              <w:jc w:val="left"/>
            </w:pPr>
            <w:r w:rsidRPr="005A68E6">
              <w:t>Government treasury bonds, billion AMD</w:t>
            </w:r>
          </w:p>
        </w:tc>
        <w:tc>
          <w:tcPr>
            <w:tcW w:w="1786" w:type="dxa"/>
            <w:tcBorders>
              <w:top w:val="thinThickSmallGap" w:sz="24" w:space="0" w:color="auto"/>
              <w:left w:val="nil"/>
              <w:bottom w:val="thinThickSmallGap" w:sz="24" w:space="0" w:color="auto"/>
              <w:right w:val="nil"/>
            </w:tcBorders>
            <w:vAlign w:val="center"/>
          </w:tcPr>
          <w:p w14:paraId="0DB2A249" w14:textId="4E64B6EC" w:rsidR="00841EC9" w:rsidRPr="00BF56E4" w:rsidRDefault="00841EC9" w:rsidP="00841EC9">
            <w:pPr>
              <w:spacing w:line="240" w:lineRule="auto"/>
              <w:ind w:firstLine="0"/>
              <w:jc w:val="center"/>
            </w:pPr>
            <w:r w:rsidRPr="00E45932">
              <w:t>679.4</w:t>
            </w:r>
          </w:p>
        </w:tc>
        <w:tc>
          <w:tcPr>
            <w:tcW w:w="1994" w:type="dxa"/>
            <w:gridSpan w:val="2"/>
            <w:tcBorders>
              <w:top w:val="thinThickSmallGap" w:sz="24" w:space="0" w:color="auto"/>
              <w:left w:val="nil"/>
              <w:bottom w:val="thinThickSmallGap" w:sz="24" w:space="0" w:color="auto"/>
              <w:right w:val="nil"/>
            </w:tcBorders>
            <w:vAlign w:val="center"/>
          </w:tcPr>
          <w:p w14:paraId="1908874A" w14:textId="77777777" w:rsidR="00841EC9" w:rsidRPr="00BF56E4" w:rsidRDefault="00841EC9" w:rsidP="00841EC9">
            <w:pPr>
              <w:spacing w:line="240" w:lineRule="auto"/>
              <w:ind w:firstLine="0"/>
              <w:jc w:val="center"/>
            </w:pPr>
            <w:r w:rsidRPr="00E45932">
              <w:t>654.2</w:t>
            </w:r>
          </w:p>
        </w:tc>
        <w:tc>
          <w:tcPr>
            <w:tcW w:w="1736" w:type="dxa"/>
            <w:tcBorders>
              <w:top w:val="thinThickSmallGap" w:sz="24" w:space="0" w:color="auto"/>
              <w:left w:val="nil"/>
              <w:bottom w:val="thinThickSmallGap" w:sz="24" w:space="0" w:color="auto"/>
              <w:right w:val="nil"/>
            </w:tcBorders>
            <w:vAlign w:val="center"/>
          </w:tcPr>
          <w:p w14:paraId="773AE145" w14:textId="77777777" w:rsidR="00841EC9" w:rsidRPr="00BF56E4" w:rsidRDefault="00841EC9" w:rsidP="00841EC9">
            <w:pPr>
              <w:spacing w:line="240" w:lineRule="auto"/>
              <w:ind w:firstLine="0"/>
              <w:jc w:val="center"/>
            </w:pPr>
            <w:r w:rsidRPr="00E45932">
              <w:t>285.2</w:t>
            </w:r>
          </w:p>
        </w:tc>
        <w:tc>
          <w:tcPr>
            <w:tcW w:w="1939" w:type="dxa"/>
            <w:gridSpan w:val="2"/>
            <w:tcBorders>
              <w:top w:val="thinThickSmallGap" w:sz="24" w:space="0" w:color="auto"/>
              <w:left w:val="nil"/>
              <w:bottom w:val="thinThickSmallGap" w:sz="24" w:space="0" w:color="auto"/>
              <w:right w:val="nil"/>
            </w:tcBorders>
            <w:vAlign w:val="center"/>
          </w:tcPr>
          <w:p w14:paraId="28E10788" w14:textId="77777777" w:rsidR="00841EC9" w:rsidRPr="00BF56E4" w:rsidRDefault="00841EC9" w:rsidP="00841EC9">
            <w:pPr>
              <w:spacing w:line="240" w:lineRule="auto"/>
              <w:ind w:firstLine="0"/>
              <w:jc w:val="center"/>
            </w:pPr>
            <w:r>
              <w:t>219.8</w:t>
            </w:r>
          </w:p>
        </w:tc>
      </w:tr>
      <w:tr w:rsidR="00841EC9" w:rsidRPr="0070296A" w14:paraId="7BD40D4A" w14:textId="77777777" w:rsidTr="00BF56E4">
        <w:trPr>
          <w:trHeight w:val="319"/>
          <w:jc w:val="center"/>
        </w:trPr>
        <w:tc>
          <w:tcPr>
            <w:tcW w:w="3330" w:type="dxa"/>
            <w:tcBorders>
              <w:top w:val="thinThickSmallGap" w:sz="24" w:space="0" w:color="auto"/>
              <w:left w:val="nil"/>
              <w:bottom w:val="single" w:sz="4" w:space="0" w:color="auto"/>
              <w:right w:val="nil"/>
            </w:tcBorders>
            <w:vAlign w:val="center"/>
          </w:tcPr>
          <w:p w14:paraId="583FF682" w14:textId="410590EB" w:rsidR="00841EC9" w:rsidRPr="0070296A" w:rsidRDefault="00841EC9" w:rsidP="00841EC9">
            <w:pPr>
              <w:spacing w:line="240" w:lineRule="auto"/>
              <w:ind w:firstLine="0"/>
              <w:jc w:val="left"/>
            </w:pPr>
            <w:r w:rsidRPr="005A68E6">
              <w:t>Foreign currency denominated Government bonds, million USD</w:t>
            </w:r>
          </w:p>
        </w:tc>
        <w:tc>
          <w:tcPr>
            <w:tcW w:w="1817" w:type="dxa"/>
            <w:gridSpan w:val="2"/>
            <w:tcBorders>
              <w:top w:val="thinThickSmallGap" w:sz="24" w:space="0" w:color="auto"/>
              <w:left w:val="nil"/>
              <w:bottom w:val="single" w:sz="4" w:space="0" w:color="auto"/>
              <w:right w:val="nil"/>
            </w:tcBorders>
            <w:vAlign w:val="center"/>
          </w:tcPr>
          <w:p w14:paraId="28E0B05F" w14:textId="77777777" w:rsidR="00841EC9" w:rsidRPr="0070296A" w:rsidRDefault="00841EC9" w:rsidP="00841EC9">
            <w:pPr>
              <w:spacing w:line="240" w:lineRule="auto"/>
              <w:ind w:firstLine="0"/>
              <w:jc w:val="center"/>
            </w:pPr>
            <w:r w:rsidRPr="0070296A">
              <w:t>-</w:t>
            </w:r>
          </w:p>
        </w:tc>
        <w:tc>
          <w:tcPr>
            <w:tcW w:w="1963" w:type="dxa"/>
            <w:tcBorders>
              <w:top w:val="thinThickSmallGap" w:sz="24" w:space="0" w:color="auto"/>
              <w:left w:val="nil"/>
              <w:bottom w:val="single" w:sz="4" w:space="0" w:color="auto"/>
              <w:right w:val="nil"/>
            </w:tcBorders>
            <w:vAlign w:val="center"/>
          </w:tcPr>
          <w:p w14:paraId="4EDAE981" w14:textId="77777777" w:rsidR="00841EC9" w:rsidRPr="0070296A" w:rsidRDefault="00841EC9" w:rsidP="00841EC9">
            <w:pPr>
              <w:spacing w:line="240" w:lineRule="auto"/>
              <w:ind w:firstLine="0"/>
              <w:jc w:val="center"/>
            </w:pPr>
            <w:r w:rsidRPr="0070296A">
              <w:t>-</w:t>
            </w:r>
          </w:p>
        </w:tc>
        <w:tc>
          <w:tcPr>
            <w:tcW w:w="1760" w:type="dxa"/>
            <w:gridSpan w:val="2"/>
            <w:tcBorders>
              <w:top w:val="thinThickSmallGap" w:sz="24" w:space="0" w:color="auto"/>
              <w:left w:val="nil"/>
              <w:bottom w:val="single" w:sz="4" w:space="0" w:color="auto"/>
              <w:right w:val="nil"/>
            </w:tcBorders>
            <w:vAlign w:val="center"/>
          </w:tcPr>
          <w:p w14:paraId="3F3CCE28" w14:textId="77777777" w:rsidR="00841EC9" w:rsidRPr="00BF56E4" w:rsidRDefault="00841EC9" w:rsidP="00841EC9">
            <w:pPr>
              <w:spacing w:line="240" w:lineRule="auto"/>
              <w:ind w:firstLine="0"/>
              <w:jc w:val="center"/>
            </w:pPr>
            <w:r>
              <w:t>-</w:t>
            </w:r>
          </w:p>
        </w:tc>
        <w:tc>
          <w:tcPr>
            <w:tcW w:w="1915" w:type="dxa"/>
            <w:tcBorders>
              <w:top w:val="thinThickSmallGap" w:sz="24" w:space="0" w:color="auto"/>
              <w:left w:val="nil"/>
              <w:bottom w:val="single" w:sz="4" w:space="0" w:color="auto"/>
              <w:right w:val="nil"/>
            </w:tcBorders>
            <w:vAlign w:val="center"/>
          </w:tcPr>
          <w:p w14:paraId="1ABDBBA3" w14:textId="77777777" w:rsidR="00841EC9" w:rsidRPr="00BF56E4" w:rsidRDefault="00841EC9" w:rsidP="00841EC9">
            <w:pPr>
              <w:spacing w:line="240" w:lineRule="auto"/>
              <w:ind w:firstLine="0"/>
              <w:jc w:val="center"/>
            </w:pPr>
            <w:r>
              <w:t>69.1</w:t>
            </w:r>
          </w:p>
        </w:tc>
      </w:tr>
      <w:tr w:rsidR="00841EC9" w:rsidRPr="0070296A" w14:paraId="700EF17E" w14:textId="77777777" w:rsidTr="00BF56E4">
        <w:trPr>
          <w:trHeight w:val="319"/>
          <w:jc w:val="center"/>
        </w:trPr>
        <w:tc>
          <w:tcPr>
            <w:tcW w:w="3330" w:type="dxa"/>
            <w:tcBorders>
              <w:top w:val="single" w:sz="4" w:space="0" w:color="auto"/>
              <w:left w:val="nil"/>
              <w:bottom w:val="thickThinSmallGap" w:sz="24" w:space="0" w:color="auto"/>
              <w:right w:val="nil"/>
            </w:tcBorders>
            <w:vAlign w:val="center"/>
          </w:tcPr>
          <w:p w14:paraId="110ECF1D" w14:textId="35B3D251" w:rsidR="00841EC9" w:rsidRPr="0070296A" w:rsidRDefault="00841EC9" w:rsidP="00841EC9">
            <w:pPr>
              <w:spacing w:line="240" w:lineRule="auto"/>
              <w:ind w:firstLine="0"/>
              <w:jc w:val="left"/>
            </w:pPr>
            <w:r w:rsidRPr="005A68E6">
              <w:t>Foreign currency denominated Government bonds, billion AMD</w:t>
            </w:r>
          </w:p>
        </w:tc>
        <w:tc>
          <w:tcPr>
            <w:tcW w:w="1817" w:type="dxa"/>
            <w:gridSpan w:val="2"/>
            <w:tcBorders>
              <w:top w:val="single" w:sz="4" w:space="0" w:color="auto"/>
              <w:left w:val="nil"/>
              <w:bottom w:val="thickThinSmallGap" w:sz="24" w:space="0" w:color="auto"/>
              <w:right w:val="nil"/>
            </w:tcBorders>
            <w:vAlign w:val="center"/>
          </w:tcPr>
          <w:p w14:paraId="002C4F80" w14:textId="77777777" w:rsidR="00841EC9" w:rsidRPr="0070296A" w:rsidRDefault="00841EC9" w:rsidP="00841EC9">
            <w:pPr>
              <w:spacing w:line="240" w:lineRule="auto"/>
              <w:ind w:firstLine="0"/>
              <w:jc w:val="center"/>
            </w:pPr>
            <w:r w:rsidRPr="0070296A">
              <w:t>-</w:t>
            </w:r>
          </w:p>
        </w:tc>
        <w:tc>
          <w:tcPr>
            <w:tcW w:w="1963" w:type="dxa"/>
            <w:tcBorders>
              <w:top w:val="single" w:sz="4" w:space="0" w:color="auto"/>
              <w:left w:val="nil"/>
              <w:bottom w:val="thickThinSmallGap" w:sz="24" w:space="0" w:color="auto"/>
              <w:right w:val="nil"/>
            </w:tcBorders>
            <w:vAlign w:val="center"/>
          </w:tcPr>
          <w:p w14:paraId="3EF28B4F" w14:textId="77777777" w:rsidR="00841EC9" w:rsidRPr="0070296A" w:rsidRDefault="00841EC9" w:rsidP="00841EC9">
            <w:pPr>
              <w:spacing w:line="240" w:lineRule="auto"/>
              <w:ind w:firstLine="0"/>
              <w:jc w:val="center"/>
            </w:pPr>
            <w:r w:rsidRPr="0070296A">
              <w:t>-</w:t>
            </w:r>
          </w:p>
        </w:tc>
        <w:tc>
          <w:tcPr>
            <w:tcW w:w="1760" w:type="dxa"/>
            <w:gridSpan w:val="2"/>
            <w:tcBorders>
              <w:top w:val="single" w:sz="4" w:space="0" w:color="auto"/>
              <w:left w:val="nil"/>
              <w:bottom w:val="thickThinSmallGap" w:sz="24" w:space="0" w:color="auto"/>
              <w:right w:val="nil"/>
            </w:tcBorders>
            <w:vAlign w:val="center"/>
          </w:tcPr>
          <w:p w14:paraId="79D73D2C" w14:textId="77777777" w:rsidR="00841EC9" w:rsidRPr="00EB44EE" w:rsidRDefault="00841EC9" w:rsidP="00841EC9">
            <w:pPr>
              <w:spacing w:line="240" w:lineRule="auto"/>
              <w:ind w:firstLine="0"/>
              <w:jc w:val="center"/>
            </w:pPr>
            <w:r>
              <w:t>-</w:t>
            </w:r>
          </w:p>
        </w:tc>
        <w:tc>
          <w:tcPr>
            <w:tcW w:w="1915" w:type="dxa"/>
            <w:tcBorders>
              <w:top w:val="single" w:sz="4" w:space="0" w:color="auto"/>
              <w:left w:val="nil"/>
              <w:bottom w:val="thickThinSmallGap" w:sz="24" w:space="0" w:color="auto"/>
              <w:right w:val="nil"/>
            </w:tcBorders>
            <w:vAlign w:val="center"/>
          </w:tcPr>
          <w:p w14:paraId="5152C9A7" w14:textId="77777777" w:rsidR="00841EC9" w:rsidRPr="00EB44EE" w:rsidRDefault="00841EC9" w:rsidP="00841EC9">
            <w:pPr>
              <w:spacing w:line="240" w:lineRule="auto"/>
              <w:ind w:firstLine="0"/>
              <w:jc w:val="center"/>
            </w:pPr>
            <w:r>
              <w:t>27.4</w:t>
            </w:r>
          </w:p>
        </w:tc>
      </w:tr>
      <w:tr w:rsidR="00043614" w:rsidRPr="00043614" w14:paraId="09F751B1" w14:textId="77777777" w:rsidTr="00841EC9">
        <w:trPr>
          <w:trHeight w:val="265"/>
          <w:jc w:val="center"/>
        </w:trPr>
        <w:tc>
          <w:tcPr>
            <w:tcW w:w="3330" w:type="dxa"/>
            <w:tcBorders>
              <w:top w:val="thinThickSmallGap" w:sz="24" w:space="0" w:color="auto"/>
              <w:left w:val="nil"/>
              <w:bottom w:val="thinThickSmallGap" w:sz="24" w:space="0" w:color="auto"/>
              <w:right w:val="nil"/>
            </w:tcBorders>
            <w:shd w:val="clear" w:color="auto" w:fill="5B9BD5"/>
          </w:tcPr>
          <w:p w14:paraId="08536936" w14:textId="77777777" w:rsidR="00043614" w:rsidRPr="00581010" w:rsidRDefault="00043614" w:rsidP="00043614">
            <w:pPr>
              <w:spacing w:line="240" w:lineRule="auto"/>
              <w:ind w:firstLine="0"/>
              <w:jc w:val="left"/>
              <w:rPr>
                <w:sz w:val="24"/>
                <w:szCs w:val="8"/>
              </w:rPr>
            </w:pPr>
          </w:p>
        </w:tc>
        <w:tc>
          <w:tcPr>
            <w:tcW w:w="1786" w:type="dxa"/>
            <w:tcBorders>
              <w:top w:val="thinThickSmallGap" w:sz="24" w:space="0" w:color="auto"/>
              <w:left w:val="nil"/>
              <w:bottom w:val="thinThickSmallGap" w:sz="24" w:space="0" w:color="auto"/>
              <w:right w:val="nil"/>
            </w:tcBorders>
            <w:shd w:val="clear" w:color="auto" w:fill="5B9BD5"/>
            <w:vAlign w:val="center"/>
          </w:tcPr>
          <w:p w14:paraId="02F7E89B" w14:textId="77777777" w:rsidR="00043614" w:rsidRPr="00043614" w:rsidRDefault="00043614" w:rsidP="00043614">
            <w:pPr>
              <w:ind w:firstLine="0"/>
              <w:jc w:val="center"/>
              <w:rPr>
                <w:rFonts w:cs="Sylfaen"/>
                <w:sz w:val="24"/>
                <w:szCs w:val="8"/>
                <w:lang w:val="en-US"/>
              </w:rPr>
            </w:pPr>
          </w:p>
        </w:tc>
        <w:tc>
          <w:tcPr>
            <w:tcW w:w="1994" w:type="dxa"/>
            <w:gridSpan w:val="2"/>
            <w:tcBorders>
              <w:top w:val="thinThickSmallGap" w:sz="24" w:space="0" w:color="auto"/>
              <w:left w:val="nil"/>
              <w:bottom w:val="thinThickSmallGap" w:sz="24" w:space="0" w:color="auto"/>
              <w:right w:val="nil"/>
            </w:tcBorders>
            <w:shd w:val="clear" w:color="auto" w:fill="5B9BD5"/>
          </w:tcPr>
          <w:p w14:paraId="7BA32752" w14:textId="125D88F5" w:rsidR="00043614" w:rsidRPr="00581010" w:rsidRDefault="00841EC9" w:rsidP="00581010">
            <w:pPr>
              <w:spacing w:line="240" w:lineRule="auto"/>
              <w:ind w:firstLine="0"/>
              <w:jc w:val="center"/>
            </w:pPr>
            <w:r w:rsidRPr="00841EC9">
              <w:t>Disbursement Volume</w:t>
            </w:r>
          </w:p>
        </w:tc>
        <w:tc>
          <w:tcPr>
            <w:tcW w:w="1736" w:type="dxa"/>
            <w:tcBorders>
              <w:top w:val="thinThickSmallGap" w:sz="24" w:space="0" w:color="auto"/>
              <w:left w:val="nil"/>
              <w:bottom w:val="thinThickSmallGap" w:sz="24" w:space="0" w:color="auto"/>
              <w:right w:val="nil"/>
            </w:tcBorders>
            <w:shd w:val="clear" w:color="auto" w:fill="5B9BD5"/>
          </w:tcPr>
          <w:p w14:paraId="3D286AA7" w14:textId="7D57B1E0" w:rsidR="00043614" w:rsidRPr="00581010" w:rsidRDefault="00841EC9" w:rsidP="00581010">
            <w:pPr>
              <w:spacing w:line="240" w:lineRule="auto"/>
              <w:ind w:firstLine="0"/>
              <w:jc w:val="center"/>
            </w:pPr>
            <w:r w:rsidRPr="00841EC9">
              <w:t>Redemption Volume</w:t>
            </w:r>
          </w:p>
        </w:tc>
        <w:tc>
          <w:tcPr>
            <w:tcW w:w="1939" w:type="dxa"/>
            <w:gridSpan w:val="2"/>
            <w:tcBorders>
              <w:top w:val="thinThickSmallGap" w:sz="24" w:space="0" w:color="auto"/>
              <w:left w:val="nil"/>
              <w:bottom w:val="thinThickSmallGap" w:sz="24" w:space="0" w:color="auto"/>
              <w:right w:val="nil"/>
            </w:tcBorders>
            <w:shd w:val="clear" w:color="auto" w:fill="5B9BD5"/>
            <w:vAlign w:val="center"/>
          </w:tcPr>
          <w:p w14:paraId="52906ECB" w14:textId="68EE5210" w:rsidR="00043614" w:rsidRPr="00581010" w:rsidRDefault="00841EC9" w:rsidP="00841EC9">
            <w:pPr>
              <w:spacing w:line="240" w:lineRule="auto"/>
              <w:ind w:firstLine="0"/>
              <w:jc w:val="center"/>
            </w:pPr>
            <w:r w:rsidRPr="00841EC9">
              <w:t>Interest Paid</w:t>
            </w:r>
          </w:p>
        </w:tc>
      </w:tr>
      <w:tr w:rsidR="00841EC9" w:rsidRPr="00887722" w14:paraId="57392775" w14:textId="77777777" w:rsidTr="00BF56E4">
        <w:trPr>
          <w:trHeight w:val="485"/>
          <w:jc w:val="center"/>
        </w:trPr>
        <w:tc>
          <w:tcPr>
            <w:tcW w:w="3330" w:type="dxa"/>
            <w:tcBorders>
              <w:top w:val="thinThickSmallGap" w:sz="24" w:space="0" w:color="auto"/>
              <w:left w:val="nil"/>
              <w:bottom w:val="single" w:sz="4" w:space="0" w:color="auto"/>
              <w:right w:val="nil"/>
            </w:tcBorders>
          </w:tcPr>
          <w:p w14:paraId="7005B503" w14:textId="2AB3069E" w:rsidR="00841EC9" w:rsidRPr="00887722" w:rsidRDefault="00841EC9" w:rsidP="00841EC9">
            <w:pPr>
              <w:spacing w:line="240" w:lineRule="auto"/>
              <w:ind w:firstLine="0"/>
              <w:jc w:val="left"/>
            </w:pPr>
            <w:r w:rsidRPr="005A68E6">
              <w:t>External loans, million USD</w:t>
            </w:r>
          </w:p>
        </w:tc>
        <w:tc>
          <w:tcPr>
            <w:tcW w:w="1786" w:type="dxa"/>
            <w:tcBorders>
              <w:top w:val="thinThickSmallGap" w:sz="24" w:space="0" w:color="auto"/>
              <w:left w:val="nil"/>
              <w:bottom w:val="single" w:sz="4" w:space="0" w:color="auto"/>
              <w:right w:val="nil"/>
            </w:tcBorders>
          </w:tcPr>
          <w:p w14:paraId="25FE1965" w14:textId="77777777" w:rsidR="00841EC9" w:rsidRPr="00E067EF" w:rsidRDefault="00841EC9" w:rsidP="00841EC9">
            <w:pPr>
              <w:ind w:firstLine="0"/>
              <w:jc w:val="center"/>
              <w:rPr>
                <w:rFonts w:cs="Sylfaen"/>
                <w:sz w:val="24"/>
                <w:szCs w:val="24"/>
              </w:rPr>
            </w:pPr>
          </w:p>
        </w:tc>
        <w:tc>
          <w:tcPr>
            <w:tcW w:w="1994" w:type="dxa"/>
            <w:gridSpan w:val="2"/>
            <w:tcBorders>
              <w:top w:val="thinThickSmallGap" w:sz="24" w:space="0" w:color="auto"/>
              <w:left w:val="nil"/>
              <w:bottom w:val="single" w:sz="4" w:space="0" w:color="auto"/>
              <w:right w:val="nil"/>
            </w:tcBorders>
            <w:vAlign w:val="center"/>
          </w:tcPr>
          <w:p w14:paraId="20210159" w14:textId="77777777" w:rsidR="00841EC9" w:rsidRPr="00887722" w:rsidRDefault="00841EC9" w:rsidP="00841EC9">
            <w:pPr>
              <w:ind w:firstLine="0"/>
              <w:jc w:val="center"/>
              <w:rPr>
                <w:rFonts w:cs="Sylfaen"/>
                <w:sz w:val="24"/>
                <w:szCs w:val="24"/>
                <w:lang w:val="en-US"/>
              </w:rPr>
            </w:pPr>
            <w:r>
              <w:rPr>
                <w:sz w:val="24"/>
                <w:szCs w:val="24"/>
              </w:rPr>
              <w:t>504.1</w:t>
            </w:r>
          </w:p>
        </w:tc>
        <w:tc>
          <w:tcPr>
            <w:tcW w:w="1736" w:type="dxa"/>
            <w:tcBorders>
              <w:top w:val="thinThickSmallGap" w:sz="24" w:space="0" w:color="auto"/>
              <w:left w:val="nil"/>
              <w:bottom w:val="single" w:sz="4" w:space="0" w:color="auto"/>
              <w:right w:val="nil"/>
            </w:tcBorders>
            <w:vAlign w:val="center"/>
          </w:tcPr>
          <w:p w14:paraId="2D3D7C04" w14:textId="77777777" w:rsidR="00841EC9" w:rsidRPr="00BF56E4" w:rsidRDefault="00841EC9" w:rsidP="00841EC9">
            <w:pPr>
              <w:ind w:firstLine="0"/>
              <w:jc w:val="center"/>
              <w:rPr>
                <w:rFonts w:cs="Sylfaen"/>
                <w:sz w:val="24"/>
                <w:szCs w:val="24"/>
              </w:rPr>
            </w:pPr>
            <w:r>
              <w:t>421.6</w:t>
            </w:r>
          </w:p>
        </w:tc>
        <w:tc>
          <w:tcPr>
            <w:tcW w:w="1939" w:type="dxa"/>
            <w:gridSpan w:val="2"/>
            <w:tcBorders>
              <w:top w:val="thinThickSmallGap" w:sz="24" w:space="0" w:color="auto"/>
              <w:left w:val="nil"/>
              <w:bottom w:val="single" w:sz="4" w:space="0" w:color="auto"/>
              <w:right w:val="nil"/>
            </w:tcBorders>
            <w:vAlign w:val="center"/>
          </w:tcPr>
          <w:p w14:paraId="2ACB6046" w14:textId="77777777" w:rsidR="00841EC9" w:rsidRPr="00BF56E4" w:rsidRDefault="00841EC9" w:rsidP="00841EC9">
            <w:pPr>
              <w:ind w:firstLine="0"/>
              <w:jc w:val="center"/>
            </w:pPr>
            <w:r>
              <w:t>168.9</w:t>
            </w:r>
          </w:p>
        </w:tc>
      </w:tr>
      <w:tr w:rsidR="00841EC9" w:rsidRPr="00887722" w14:paraId="6E101D64" w14:textId="77777777" w:rsidTr="00BF56E4">
        <w:trPr>
          <w:trHeight w:val="485"/>
          <w:jc w:val="center"/>
        </w:trPr>
        <w:tc>
          <w:tcPr>
            <w:tcW w:w="3330" w:type="dxa"/>
            <w:tcBorders>
              <w:top w:val="single" w:sz="4" w:space="0" w:color="auto"/>
              <w:left w:val="nil"/>
              <w:bottom w:val="thickThinSmallGap" w:sz="24" w:space="0" w:color="auto"/>
              <w:right w:val="nil"/>
            </w:tcBorders>
          </w:tcPr>
          <w:p w14:paraId="46AB9F07" w14:textId="0BE1DF2F" w:rsidR="00841EC9" w:rsidRPr="0070296A" w:rsidRDefault="00841EC9" w:rsidP="00841EC9">
            <w:pPr>
              <w:spacing w:line="240" w:lineRule="auto"/>
              <w:ind w:firstLine="0"/>
              <w:jc w:val="left"/>
            </w:pPr>
            <w:r w:rsidRPr="005A68E6">
              <w:t>External loans, billion AMD</w:t>
            </w:r>
          </w:p>
        </w:tc>
        <w:tc>
          <w:tcPr>
            <w:tcW w:w="1786" w:type="dxa"/>
            <w:tcBorders>
              <w:top w:val="single" w:sz="4" w:space="0" w:color="auto"/>
              <w:left w:val="nil"/>
              <w:bottom w:val="thickThinSmallGap" w:sz="24" w:space="0" w:color="auto"/>
              <w:right w:val="nil"/>
            </w:tcBorders>
          </w:tcPr>
          <w:p w14:paraId="41009C1F" w14:textId="77777777" w:rsidR="00841EC9" w:rsidRPr="00887722" w:rsidRDefault="00841EC9" w:rsidP="00841EC9">
            <w:pPr>
              <w:ind w:firstLine="0"/>
              <w:jc w:val="center"/>
              <w:rPr>
                <w:rFonts w:cs="Sylfaen"/>
                <w:sz w:val="24"/>
                <w:szCs w:val="24"/>
                <w:lang w:val="en-US"/>
              </w:rPr>
            </w:pPr>
          </w:p>
        </w:tc>
        <w:tc>
          <w:tcPr>
            <w:tcW w:w="1994" w:type="dxa"/>
            <w:gridSpan w:val="2"/>
            <w:tcBorders>
              <w:top w:val="single" w:sz="4" w:space="0" w:color="auto"/>
              <w:left w:val="nil"/>
              <w:bottom w:val="thickThinSmallGap" w:sz="24" w:space="0" w:color="auto"/>
              <w:right w:val="nil"/>
            </w:tcBorders>
            <w:vAlign w:val="center"/>
          </w:tcPr>
          <w:p w14:paraId="4F721D2A" w14:textId="77777777" w:rsidR="00841EC9" w:rsidRPr="00BF56E4" w:rsidRDefault="00841EC9" w:rsidP="00841EC9">
            <w:pPr>
              <w:ind w:firstLine="0"/>
              <w:jc w:val="center"/>
              <w:rPr>
                <w:sz w:val="24"/>
                <w:szCs w:val="24"/>
              </w:rPr>
            </w:pPr>
            <w:r>
              <w:t>196.9</w:t>
            </w:r>
          </w:p>
        </w:tc>
        <w:tc>
          <w:tcPr>
            <w:tcW w:w="1736" w:type="dxa"/>
            <w:tcBorders>
              <w:top w:val="single" w:sz="4" w:space="0" w:color="auto"/>
              <w:left w:val="nil"/>
              <w:bottom w:val="thickThinSmallGap" w:sz="24" w:space="0" w:color="auto"/>
              <w:right w:val="nil"/>
            </w:tcBorders>
            <w:vAlign w:val="center"/>
          </w:tcPr>
          <w:p w14:paraId="67D5AE2B" w14:textId="77777777" w:rsidR="00841EC9" w:rsidRPr="00BF56E4" w:rsidRDefault="00841EC9" w:rsidP="00841EC9">
            <w:pPr>
              <w:ind w:firstLine="0"/>
              <w:jc w:val="center"/>
            </w:pPr>
            <w:r>
              <w:t>166.0</w:t>
            </w:r>
          </w:p>
        </w:tc>
        <w:tc>
          <w:tcPr>
            <w:tcW w:w="1939" w:type="dxa"/>
            <w:gridSpan w:val="2"/>
            <w:tcBorders>
              <w:top w:val="single" w:sz="4" w:space="0" w:color="auto"/>
              <w:left w:val="nil"/>
              <w:bottom w:val="thickThinSmallGap" w:sz="24" w:space="0" w:color="auto"/>
              <w:right w:val="nil"/>
            </w:tcBorders>
            <w:vAlign w:val="center"/>
          </w:tcPr>
          <w:p w14:paraId="0B87A6A1" w14:textId="77777777" w:rsidR="00841EC9" w:rsidRPr="00BF56E4" w:rsidRDefault="00841EC9" w:rsidP="00841EC9">
            <w:pPr>
              <w:ind w:firstLine="0"/>
              <w:jc w:val="center"/>
            </w:pPr>
            <w:r>
              <w:t>66.3</w:t>
            </w:r>
          </w:p>
        </w:tc>
      </w:tr>
    </w:tbl>
    <w:p w14:paraId="6D1D96C7" w14:textId="77777777" w:rsidR="00841EC9" w:rsidRPr="00E06CCC" w:rsidRDefault="00841EC9" w:rsidP="008049A9">
      <w:pPr>
        <w:shd w:val="clear" w:color="auto" w:fill="FFFFFF"/>
        <w:spacing w:before="120" w:after="120" w:line="312" w:lineRule="auto"/>
        <w:ind w:firstLine="0"/>
        <w:rPr>
          <w:color w:val="FF0000"/>
        </w:rPr>
      </w:pPr>
      <w:r>
        <w:rPr>
          <w:sz w:val="16"/>
          <w:lang w:val="en-US"/>
        </w:rPr>
        <w:t>Source: RA MoF</w:t>
      </w:r>
    </w:p>
    <w:p w14:paraId="2870370F" w14:textId="77777777" w:rsidR="008A2321" w:rsidRDefault="00865539" w:rsidP="008A2321">
      <w:pPr>
        <w:rPr>
          <w:lang w:val="en-US"/>
        </w:rPr>
      </w:pPr>
      <w:r w:rsidRPr="008A2321">
        <w:rPr>
          <w:rFonts w:cs="Arial"/>
          <w:color w:val="000000"/>
        </w:rPr>
        <w:t>During</w:t>
      </w:r>
      <w:r>
        <w:rPr>
          <w:lang w:val="en-US"/>
        </w:rPr>
        <w:t xml:space="preserve"> </w:t>
      </w:r>
      <w:r w:rsidR="00535D83" w:rsidRPr="00865539">
        <w:t xml:space="preserve">2024, the weighted average yield of primary placements of government treasury bonds amounted to 9.84%, </w:t>
      </w:r>
      <w:r w:rsidRPr="00865539">
        <w:t xml:space="preserve">decreasing by 0.99 percentage points </w:t>
      </w:r>
      <w:r w:rsidR="00535D83" w:rsidRPr="00865539">
        <w:t>compared to 10.83%</w:t>
      </w:r>
      <w:r w:rsidRPr="00865539">
        <w:t xml:space="preserve"> in</w:t>
      </w:r>
      <w:r w:rsidR="00535D83" w:rsidRPr="00865539">
        <w:t xml:space="preserve"> the previous year</w:t>
      </w:r>
      <w:r w:rsidRPr="00865539">
        <w:t xml:space="preserve">. </w:t>
      </w:r>
      <w:r w:rsidR="00535D83" w:rsidRPr="00865539">
        <w:t xml:space="preserve">During the same period, the weighted average maturity of government treasury bonds placed amounted to 1,771 days or 4.9 years, compared to 2,381 days or </w:t>
      </w:r>
      <w:r>
        <w:t>6.5 years</w:t>
      </w:r>
      <w:r w:rsidR="00535D83" w:rsidRPr="00865539">
        <w:t xml:space="preserve"> in the previous year.</w:t>
      </w:r>
      <w:r>
        <w:rPr>
          <w:lang w:val="en-US"/>
        </w:rPr>
        <w:t xml:space="preserve"> </w:t>
      </w:r>
    </w:p>
    <w:p w14:paraId="0E84CDF0" w14:textId="058B8512" w:rsidR="00535D83" w:rsidRPr="00865539" w:rsidRDefault="00535D83" w:rsidP="008A2321">
      <w:r w:rsidRPr="00865539">
        <w:t xml:space="preserve">Excluding the direct placement of bonds with a </w:t>
      </w:r>
      <w:r w:rsidR="00865539" w:rsidRPr="00865539">
        <w:t>face</w:t>
      </w:r>
      <w:r w:rsidRPr="00865539">
        <w:t xml:space="preserve"> value of AMD 13.8 billion in December 2024, the weighted average yield of primary placements in 2024 would still be 9.84%, which is 1.39 percentage points lower than the corresponding figure for the previous year (11.23%, excluding direct placements).</w:t>
      </w:r>
      <w:r w:rsidR="00247A74">
        <w:rPr>
          <w:lang w:val="en-US"/>
        </w:rPr>
        <w:t xml:space="preserve"> </w:t>
      </w:r>
      <w:r w:rsidR="00865539" w:rsidRPr="00865539">
        <w:t xml:space="preserve">Excluding </w:t>
      </w:r>
      <w:r w:rsidRPr="00865539">
        <w:t xml:space="preserve">the </w:t>
      </w:r>
      <w:r w:rsidR="008A2321">
        <w:t>d</w:t>
      </w:r>
      <w:r w:rsidR="008A2321" w:rsidRPr="008A2321">
        <w:t>irect placements of bonds in exchange for the assignment of monetary claims</w:t>
      </w:r>
      <w:r w:rsidR="008A2321">
        <w:rPr>
          <w:lang w:val="en-US"/>
        </w:rPr>
        <w:t xml:space="preserve"> </w:t>
      </w:r>
      <w:r w:rsidR="008A2321" w:rsidRPr="00865539">
        <w:t>(property rights)</w:t>
      </w:r>
      <w:r w:rsidR="008A2321" w:rsidRPr="008A2321">
        <w:t xml:space="preserve"> of certain financial institutions, </w:t>
      </w:r>
      <w:r w:rsidR="008A2321">
        <w:t>carried out in 2023–2024</w:t>
      </w:r>
      <w:r w:rsidRPr="00865539">
        <w:t xml:space="preserve"> in accordance with the RA Government Decision No. 2326-N of December 28, 2023 (as amended by Decision N</w:t>
      </w:r>
      <w:r w:rsidR="008A2321">
        <w:t>o. 1638-N of October 17, 2024)</w:t>
      </w:r>
      <w:r w:rsidRPr="00865539">
        <w:t>, the weighted average maturity of primary placements in 2024 would amount to 4.8 years, compared to 5.4 years in the previous year.</w:t>
      </w:r>
    </w:p>
    <w:p w14:paraId="606FA100" w14:textId="7A212CF0" w:rsidR="009F5D8D" w:rsidRPr="009102C6" w:rsidRDefault="00730E55" w:rsidP="009102C6">
      <w:r>
        <w:rPr>
          <w:lang w:val="en-US"/>
        </w:rPr>
        <w:lastRenderedPageBreak/>
        <w:t>I</w:t>
      </w:r>
      <w:r w:rsidRPr="00865539">
        <w:t>n 2024</w:t>
      </w:r>
      <w:r>
        <w:rPr>
          <w:lang w:val="en-US"/>
        </w:rPr>
        <w:t>,</w:t>
      </w:r>
      <w:r w:rsidRPr="00865539">
        <w:t xml:space="preserve"> </w:t>
      </w:r>
      <w:r w:rsidR="00535D83" w:rsidRPr="00865539">
        <w:t xml:space="preserve">despite the notable decline in yields, the weighted average maturity of </w:t>
      </w:r>
      <w:r w:rsidR="008A2321" w:rsidRPr="00865539">
        <w:t xml:space="preserve">primary placements </w:t>
      </w:r>
      <w:r w:rsidR="008A2321">
        <w:rPr>
          <w:lang w:val="en-US"/>
        </w:rPr>
        <w:t xml:space="preserve">of </w:t>
      </w:r>
      <w:r w:rsidR="00535D83" w:rsidRPr="00865539">
        <w:t>government treasury b</w:t>
      </w:r>
      <w:r w:rsidR="008A2321">
        <w:t xml:space="preserve">onds </w:t>
      </w:r>
      <w:r w:rsidR="00535D83" w:rsidRPr="00865539">
        <w:t>decreased by 237 days</w:t>
      </w:r>
      <w:r w:rsidR="008A2321">
        <w:t xml:space="preserve"> </w:t>
      </w:r>
      <w:r>
        <w:t>(or 0.6 years)</w:t>
      </w:r>
      <w:r w:rsidR="00535D83" w:rsidRPr="00865539">
        <w:t>, compared to the previous year. This was mainly due to moderate demand for long-term bonds amid a saturated domestic market.</w:t>
      </w:r>
    </w:p>
    <w:p w14:paraId="02242C40" w14:textId="77777777" w:rsidR="009102C6" w:rsidRPr="007B6E36" w:rsidRDefault="009102C6" w:rsidP="009102C6">
      <w:r>
        <w:rPr>
          <w:lang w:val="en-US"/>
        </w:rPr>
        <w:t>D</w:t>
      </w:r>
      <w:r w:rsidRPr="007B6E36">
        <w:t>uring the first quarter of 2025</w:t>
      </w:r>
      <w:r>
        <w:rPr>
          <w:lang w:val="en-US"/>
        </w:rPr>
        <w:t>, a</w:t>
      </w:r>
      <w:r w:rsidRPr="007B6E36">
        <w:t xml:space="preserve"> significant milestone in public debt management </w:t>
      </w:r>
      <w:r>
        <w:rPr>
          <w:lang w:val="en-US"/>
        </w:rPr>
        <w:t xml:space="preserve">of the </w:t>
      </w:r>
      <w:r w:rsidRPr="007B6E36">
        <w:t xml:space="preserve">Republic of Armenia was the successful placement of foreign currency-denominated government bonds in the international capital market on March 12. </w:t>
      </w:r>
      <w:r w:rsidRPr="00BD0E83">
        <w:t>The issuance amounted to USD 750 million</w:t>
      </w:r>
      <w:r>
        <w:rPr>
          <w:lang w:val="en-US"/>
        </w:rPr>
        <w:t xml:space="preserve"> </w:t>
      </w:r>
      <w:r>
        <w:t>with a 10-year maturity, a placement yield of 7.10%</w:t>
      </w:r>
      <w:r>
        <w:rPr>
          <w:lang w:val="en-US"/>
        </w:rPr>
        <w:t xml:space="preserve">, </w:t>
      </w:r>
      <w:r w:rsidRPr="007B6E36">
        <w:t xml:space="preserve">and </w:t>
      </w:r>
      <w:r>
        <w:rPr>
          <w:lang w:val="en-US"/>
        </w:rPr>
        <w:t>a</w:t>
      </w:r>
      <w:r w:rsidRPr="007B6E36">
        <w:t xml:space="preserve">coupon rate </w:t>
      </w:r>
      <w:r>
        <w:rPr>
          <w:lang w:val="en-US"/>
        </w:rPr>
        <w:t>of</w:t>
      </w:r>
      <w:r w:rsidRPr="007B6E36">
        <w:t xml:space="preserve"> 6.75%</w:t>
      </w:r>
      <w:r>
        <w:rPr>
          <w:lang w:val="en-US"/>
        </w:rPr>
        <w:t>. T</w:t>
      </w:r>
      <w:r>
        <w:t xml:space="preserve">his </w:t>
      </w:r>
      <w:r>
        <w:rPr>
          <w:lang w:val="en-US"/>
        </w:rPr>
        <w:t>marked</w:t>
      </w:r>
      <w:r>
        <w:t xml:space="preserve"> Armenia’s fifth issuance of foreign currency-denominated government bonds in the international capital marke</w:t>
      </w:r>
      <w:r>
        <w:rPr>
          <w:lang w:val="en-US"/>
        </w:rPr>
        <w:t>t</w:t>
      </w:r>
      <w:r w:rsidRPr="007B6E36">
        <w:t>.</w:t>
      </w:r>
    </w:p>
    <w:p w14:paraId="40C2466D" w14:textId="77777777" w:rsidR="009102C6" w:rsidRPr="005F1089" w:rsidRDefault="009102C6" w:rsidP="009102C6">
      <w:r w:rsidRPr="007B6E36">
        <w:t xml:space="preserve">According to the 2025 State Budget of the Republic of Armenia, the issuance of foreign currency government bonds was planned at USD 500 million  (AMD 193.6 billion). The additional USD 250 million issuance aimed to mitigate potential risks associated with financing sources </w:t>
      </w:r>
      <w:r>
        <w:rPr>
          <w:lang w:val="en-US"/>
        </w:rPr>
        <w:t>of</w:t>
      </w:r>
      <w:r w:rsidRPr="007B6E36">
        <w:t xml:space="preserve"> the 2025 budget deficit, while avoiding pressure on the domestic debt market. Furthermore, this measure </w:t>
      </w:r>
      <w:r>
        <w:rPr>
          <w:lang w:val="en-US"/>
        </w:rPr>
        <w:t>will</w:t>
      </w:r>
      <w:r w:rsidRPr="007B6E36">
        <w:t xml:space="preserve"> </w:t>
      </w:r>
      <w:r>
        <w:rPr>
          <w:lang w:val="en-US"/>
        </w:rPr>
        <w:t>support the stability of</w:t>
      </w:r>
      <w:r w:rsidRPr="007B6E36">
        <w:t xml:space="preserve"> balance of payments and enhance international reserves through increased foreign currency inflows.</w:t>
      </w:r>
      <w:r>
        <w:rPr>
          <w:lang w:val="en-US"/>
        </w:rPr>
        <w:t xml:space="preserve"> </w:t>
      </w:r>
      <w:r w:rsidRPr="007B6E36">
        <w:t>The actual proceeds from the USD 750 million bond placement in</w:t>
      </w:r>
      <w:r>
        <w:t xml:space="preserve"> 2025 totaled AMD 287.4 billion</w:t>
      </w:r>
      <w:r w:rsidRPr="007B6E36">
        <w:t xml:space="preserve"> </w:t>
      </w:r>
      <w:r>
        <w:t>(equivalent to USD 731.4 million)</w:t>
      </w:r>
      <w:r w:rsidRPr="007B6E36">
        <w:t>.</w:t>
      </w:r>
    </w:p>
    <w:p w14:paraId="6F1EF2E2" w14:textId="77777777" w:rsidR="009102C6" w:rsidRPr="00210254" w:rsidRDefault="009102C6" w:rsidP="009102C6">
      <w:pPr>
        <w:rPr>
          <w:rFonts w:cs="Arial"/>
          <w:color w:val="000000"/>
        </w:rPr>
      </w:pPr>
      <w:r>
        <w:rPr>
          <w:rFonts w:cs="Arial"/>
          <w:color w:val="000000"/>
          <w:lang w:val="en-US"/>
        </w:rPr>
        <w:t>T</w:t>
      </w:r>
      <w:r w:rsidRPr="00821A5F">
        <w:rPr>
          <w:rFonts w:cs="Arial"/>
          <w:color w:val="000000"/>
        </w:rPr>
        <w:t xml:space="preserve">he previous issuance of 10-year foreign currency-denominated government bonds took place on February 2, 2021, with a placement yield of 3.875%. </w:t>
      </w:r>
      <w:r w:rsidRPr="00210254">
        <w:rPr>
          <w:rFonts w:cs="Arial"/>
          <w:color w:val="000000"/>
        </w:rPr>
        <w:t xml:space="preserve">At that point, the yield </w:t>
      </w:r>
      <w:r>
        <w:rPr>
          <w:rFonts w:cs="Arial"/>
          <w:color w:val="000000"/>
          <w:lang w:val="en-US"/>
        </w:rPr>
        <w:t>of</w:t>
      </w:r>
      <w:r w:rsidRPr="00210254">
        <w:rPr>
          <w:rFonts w:cs="Arial"/>
          <w:color w:val="000000"/>
        </w:rPr>
        <w:t xml:space="preserve"> the benchmark 10-year U.S. Treasury bond was 1.039%, leading to a 2.836 percentage point spread</w:t>
      </w:r>
      <w:r w:rsidRPr="00821A5F">
        <w:rPr>
          <w:rFonts w:cs="Arial"/>
          <w:color w:val="000000"/>
        </w:rPr>
        <w:t>—an indicator of the country's risk premium.</w:t>
      </w:r>
      <w:r>
        <w:rPr>
          <w:rFonts w:cs="Arial"/>
          <w:color w:val="000000"/>
          <w:lang w:val="en-US"/>
        </w:rPr>
        <w:t xml:space="preserve"> </w:t>
      </w:r>
      <w:r>
        <w:t>Importantly</w:t>
      </w:r>
      <w:r w:rsidRPr="00821A5F">
        <w:rPr>
          <w:rFonts w:cs="Arial"/>
          <w:color w:val="000000"/>
        </w:rPr>
        <w:t xml:space="preserve">, for the bonds issued in 2025 with a yield of 7.1%, the yield on the benchmark 10-year U.S. Treasury bond was 4.24%, while the spread relative to the benchmark amounted to 2.86 percentage points. In other words, the 3.2 percentage point increase in the yield of Armenia’s foreign currency government bonds compared to the previous issuance is almost entirely attributable to the rise in U.S. Treasury yields. Armenia’s country risk premium in international markets has remained </w:t>
      </w:r>
      <w:r>
        <w:t xml:space="preserve">nearly </w:t>
      </w:r>
      <w:r w:rsidRPr="00821A5F">
        <w:rPr>
          <w:rFonts w:cs="Arial"/>
          <w:color w:val="000000"/>
        </w:rPr>
        <w:t>unchanged.</w:t>
      </w:r>
    </w:p>
    <w:p w14:paraId="1E9A1660" w14:textId="3D88C8B1" w:rsidR="00210254" w:rsidRPr="00210254" w:rsidRDefault="00210254" w:rsidP="00210254">
      <w:pPr>
        <w:rPr>
          <w:rFonts w:cs="Arial"/>
          <w:color w:val="000000"/>
          <w:lang w:val="en-US"/>
        </w:rPr>
      </w:pPr>
      <w:r w:rsidRPr="00210254">
        <w:rPr>
          <w:rFonts w:cs="Arial"/>
          <w:color w:val="000000"/>
        </w:rPr>
        <w:t>On March 24, 2025, the redemption of foreign currency-denominated government bonds maturing in 2025 with a 7.15% coupon yield was also executed,</w:t>
      </w:r>
      <w:r>
        <w:rPr>
          <w:rFonts w:cs="Arial"/>
          <w:color w:val="000000"/>
          <w:lang w:val="en-US"/>
        </w:rPr>
        <w:t xml:space="preserve"> </w:t>
      </w:r>
      <w:r>
        <w:t>with an outstanding value of USD 313.166 million.</w:t>
      </w:r>
    </w:p>
    <w:p w14:paraId="364D6784" w14:textId="77777777" w:rsidR="009F5D8D" w:rsidRDefault="009F5D8D" w:rsidP="006267A8">
      <w:pPr>
        <w:rPr>
          <w:color w:val="FF0000"/>
        </w:rPr>
      </w:pPr>
    </w:p>
    <w:p w14:paraId="528915A2" w14:textId="028F4A76" w:rsidR="00425637" w:rsidRPr="0088683F" w:rsidRDefault="00F9519E" w:rsidP="00136C65">
      <w:pPr>
        <w:pStyle w:val="Heading1"/>
        <w:rPr>
          <w:b w:val="0"/>
          <w:bCs w:val="0"/>
          <w:lang w:val="en-US"/>
        </w:rPr>
      </w:pPr>
      <w:r w:rsidRPr="006267A8">
        <w:rPr>
          <w:color w:val="FF0000"/>
        </w:rPr>
        <w:br w:type="page"/>
      </w:r>
      <w:r w:rsidR="0088683F" w:rsidRPr="00136C65">
        <w:rPr>
          <w:color w:val="FF0000"/>
        </w:rPr>
        <w:lastRenderedPageBreak/>
        <w:t xml:space="preserve"> </w:t>
      </w:r>
      <w:bookmarkStart w:id="7" w:name="_Toc205988171"/>
      <w:r w:rsidR="0088683F" w:rsidRPr="00136C65">
        <w:t>Overview of the costs and risks of the RA Government debt portfolio</w:t>
      </w:r>
      <w:bookmarkEnd w:id="7"/>
    </w:p>
    <w:p w14:paraId="3DB64543" w14:textId="01AE8BB8" w:rsidR="00B50BF9" w:rsidRPr="00B50BF9" w:rsidRDefault="00B50BF9" w:rsidP="00290C57">
      <w:pPr>
        <w:rPr>
          <w:lang w:val="en-US"/>
        </w:rPr>
      </w:pPr>
      <w:r>
        <w:rPr>
          <w:lang w:val="en-US"/>
        </w:rPr>
        <w:t>At the end of 202</w:t>
      </w:r>
      <w:r w:rsidR="00290C57">
        <w:rPr>
          <w:lang w:val="en-US"/>
        </w:rPr>
        <w:t>4</w:t>
      </w:r>
      <w:r>
        <w:rPr>
          <w:lang w:val="en-US"/>
        </w:rPr>
        <w:t xml:space="preserve">, the cost and risk indicators of the RA Government provide a complete overview and characterize the RA Government debt portfolio. </w:t>
      </w:r>
    </w:p>
    <w:p w14:paraId="28CB465C" w14:textId="6254B592" w:rsidR="000B18AF" w:rsidRDefault="00290C57" w:rsidP="00807452">
      <w:pPr>
        <w:pStyle w:val="af6"/>
        <w:numPr>
          <w:ilvl w:val="0"/>
          <w:numId w:val="18"/>
        </w:numPr>
        <w:ind w:left="1276" w:hanging="1276"/>
      </w:pPr>
      <w:r w:rsidRPr="009F7D43">
        <w:t xml:space="preserve">RA Government debt cost and risk indicators </w:t>
      </w:r>
      <w:r>
        <w:t>as of 31.12.2024</w:t>
      </w:r>
    </w:p>
    <w:tbl>
      <w:tblPr>
        <w:tblW w:w="10070" w:type="dxa"/>
        <w:tblLayout w:type="fixed"/>
        <w:tblLook w:val="04A0" w:firstRow="1" w:lastRow="0" w:firstColumn="1" w:lastColumn="0" w:noHBand="0" w:noVBand="1"/>
      </w:tblPr>
      <w:tblGrid>
        <w:gridCol w:w="2606"/>
        <w:gridCol w:w="2348"/>
        <w:gridCol w:w="1705"/>
        <w:gridCol w:w="1705"/>
        <w:gridCol w:w="1706"/>
      </w:tblGrid>
      <w:tr w:rsidR="00290C57" w:rsidRPr="006C09A2" w14:paraId="727B6B5A" w14:textId="77777777" w:rsidTr="006C09A2">
        <w:trPr>
          <w:trHeight w:val="345"/>
        </w:trPr>
        <w:tc>
          <w:tcPr>
            <w:tcW w:w="4954" w:type="dxa"/>
            <w:gridSpan w:val="2"/>
            <w:tcBorders>
              <w:top w:val="single" w:sz="8" w:space="0" w:color="auto"/>
              <w:left w:val="single" w:sz="8" w:space="0" w:color="auto"/>
              <w:bottom w:val="single" w:sz="8" w:space="0" w:color="auto"/>
              <w:right w:val="single" w:sz="8" w:space="0" w:color="000000"/>
            </w:tcBorders>
            <w:shd w:val="clear" w:color="000000" w:fill="5B9BD5"/>
            <w:noWrap/>
            <w:vAlign w:val="bottom"/>
            <w:hideMark/>
          </w:tcPr>
          <w:p w14:paraId="19570B92" w14:textId="77777777" w:rsidR="00290C57" w:rsidRPr="00C90F43" w:rsidRDefault="00290C57" w:rsidP="00290C57">
            <w:pPr>
              <w:spacing w:line="240" w:lineRule="auto"/>
              <w:ind w:firstLine="0"/>
              <w:jc w:val="left"/>
              <w:rPr>
                <w:rFonts w:ascii="Times New Roman" w:hAnsi="Times New Roman" w:cs="Times New Roman"/>
                <w:sz w:val="20"/>
                <w:szCs w:val="20"/>
              </w:rPr>
            </w:pPr>
            <w:r w:rsidRPr="00C90F43">
              <w:rPr>
                <w:rFonts w:ascii="Times New Roman" w:hAnsi="Times New Roman" w:cs="Times New Roman"/>
                <w:sz w:val="20"/>
                <w:szCs w:val="20"/>
              </w:rPr>
              <w:t> </w:t>
            </w:r>
          </w:p>
        </w:tc>
        <w:tc>
          <w:tcPr>
            <w:tcW w:w="1705" w:type="dxa"/>
            <w:tcBorders>
              <w:top w:val="single" w:sz="8" w:space="0" w:color="auto"/>
              <w:left w:val="nil"/>
              <w:bottom w:val="single" w:sz="8" w:space="0" w:color="auto"/>
              <w:right w:val="single" w:sz="8" w:space="0" w:color="auto"/>
            </w:tcBorders>
            <w:shd w:val="clear" w:color="000000" w:fill="5B9BD5"/>
            <w:noWrap/>
            <w:vAlign w:val="center"/>
            <w:hideMark/>
          </w:tcPr>
          <w:p w14:paraId="3B6392D7" w14:textId="372961BD" w:rsidR="00290C57" w:rsidRPr="006C09A2" w:rsidRDefault="00290C57" w:rsidP="00290C57">
            <w:pPr>
              <w:spacing w:line="240" w:lineRule="auto"/>
              <w:ind w:firstLine="0"/>
              <w:jc w:val="center"/>
              <w:rPr>
                <w:rFonts w:cs="Times New Roman"/>
                <w:lang w:val="en-US"/>
              </w:rPr>
            </w:pPr>
            <w:r w:rsidRPr="005A68E6">
              <w:t>Foreign currency debt</w:t>
            </w:r>
          </w:p>
        </w:tc>
        <w:tc>
          <w:tcPr>
            <w:tcW w:w="1705" w:type="dxa"/>
            <w:tcBorders>
              <w:top w:val="single" w:sz="8" w:space="0" w:color="auto"/>
              <w:left w:val="nil"/>
              <w:bottom w:val="single" w:sz="8" w:space="0" w:color="auto"/>
              <w:right w:val="single" w:sz="8" w:space="0" w:color="auto"/>
            </w:tcBorders>
            <w:shd w:val="clear" w:color="000000" w:fill="5B9BD5"/>
            <w:noWrap/>
            <w:vAlign w:val="center"/>
            <w:hideMark/>
          </w:tcPr>
          <w:p w14:paraId="51975B15" w14:textId="77777777" w:rsidR="00290C57" w:rsidRPr="005A68E6" w:rsidRDefault="00290C57" w:rsidP="00290C57">
            <w:pPr>
              <w:spacing w:line="240" w:lineRule="auto"/>
              <w:ind w:firstLine="0"/>
              <w:jc w:val="center"/>
            </w:pPr>
            <w:r w:rsidRPr="005A68E6">
              <w:t xml:space="preserve">AMD </w:t>
            </w:r>
          </w:p>
          <w:p w14:paraId="760521C9" w14:textId="368E25D9" w:rsidR="00290C57" w:rsidRPr="006C09A2" w:rsidRDefault="00290C57" w:rsidP="00290C57">
            <w:pPr>
              <w:spacing w:line="240" w:lineRule="auto"/>
              <w:ind w:firstLine="0"/>
              <w:jc w:val="center"/>
              <w:rPr>
                <w:rFonts w:cs="Times New Roman"/>
                <w:lang w:val="en-US"/>
              </w:rPr>
            </w:pPr>
            <w:r w:rsidRPr="005A68E6">
              <w:t>debt</w:t>
            </w:r>
          </w:p>
        </w:tc>
        <w:tc>
          <w:tcPr>
            <w:tcW w:w="1706" w:type="dxa"/>
            <w:tcBorders>
              <w:top w:val="single" w:sz="8" w:space="0" w:color="auto"/>
              <w:left w:val="nil"/>
              <w:bottom w:val="single" w:sz="8" w:space="0" w:color="auto"/>
              <w:right w:val="single" w:sz="8" w:space="0" w:color="auto"/>
            </w:tcBorders>
            <w:shd w:val="clear" w:color="000000" w:fill="5B9BD5"/>
            <w:noWrap/>
            <w:vAlign w:val="center"/>
            <w:hideMark/>
          </w:tcPr>
          <w:p w14:paraId="3DEE1A80" w14:textId="15658EFB" w:rsidR="00290C57" w:rsidRPr="006C09A2" w:rsidRDefault="00290C57" w:rsidP="00290C57">
            <w:pPr>
              <w:spacing w:line="240" w:lineRule="auto"/>
              <w:ind w:firstLine="0"/>
              <w:jc w:val="center"/>
              <w:rPr>
                <w:rFonts w:cs="Times New Roman"/>
                <w:lang w:val="en-US"/>
              </w:rPr>
            </w:pPr>
            <w:r w:rsidRPr="005A68E6">
              <w:t>Total</w:t>
            </w:r>
          </w:p>
        </w:tc>
      </w:tr>
      <w:tr w:rsidR="00290C57" w:rsidRPr="006C09A2" w14:paraId="3C5A76AA" w14:textId="77777777" w:rsidTr="006C09A2">
        <w:trPr>
          <w:trHeight w:val="345"/>
        </w:trPr>
        <w:tc>
          <w:tcPr>
            <w:tcW w:w="4954" w:type="dxa"/>
            <w:gridSpan w:val="2"/>
            <w:tcBorders>
              <w:top w:val="single" w:sz="8" w:space="0" w:color="auto"/>
              <w:left w:val="single" w:sz="8" w:space="0" w:color="auto"/>
              <w:bottom w:val="single" w:sz="8" w:space="0" w:color="auto"/>
              <w:right w:val="nil"/>
            </w:tcBorders>
            <w:shd w:val="clear" w:color="auto" w:fill="auto"/>
            <w:noWrap/>
            <w:vAlign w:val="center"/>
            <w:hideMark/>
          </w:tcPr>
          <w:p w14:paraId="03D24726" w14:textId="179EF016" w:rsidR="00290C57" w:rsidRPr="00C90F43" w:rsidRDefault="00290C57" w:rsidP="00290C57">
            <w:pPr>
              <w:spacing w:line="240" w:lineRule="auto"/>
              <w:ind w:firstLine="0"/>
              <w:jc w:val="left"/>
              <w:rPr>
                <w:rFonts w:cs="Times New Roman"/>
              </w:rPr>
            </w:pPr>
            <w:r w:rsidRPr="005A68E6">
              <w:t>RA Government debt (billion AMD</w:t>
            </w:r>
            <w:r w:rsidRPr="005A68E6">
              <w:rPr>
                <w:lang w:val="en-US"/>
              </w:rPr>
              <w:t>)</w:t>
            </w:r>
          </w:p>
        </w:tc>
        <w:tc>
          <w:tcPr>
            <w:tcW w:w="1705" w:type="dxa"/>
            <w:tcBorders>
              <w:top w:val="nil"/>
              <w:left w:val="single" w:sz="8" w:space="0" w:color="auto"/>
              <w:bottom w:val="single" w:sz="8" w:space="0" w:color="auto"/>
              <w:right w:val="single" w:sz="8" w:space="0" w:color="auto"/>
            </w:tcBorders>
            <w:shd w:val="clear" w:color="auto" w:fill="auto"/>
            <w:noWrap/>
            <w:vAlign w:val="bottom"/>
            <w:hideMark/>
          </w:tcPr>
          <w:p w14:paraId="35001C33" w14:textId="4BE17433" w:rsidR="00290C57" w:rsidRPr="006C09A2" w:rsidRDefault="00290C57" w:rsidP="00290C57">
            <w:pPr>
              <w:spacing w:line="240" w:lineRule="auto"/>
              <w:ind w:firstLine="0"/>
              <w:jc w:val="center"/>
              <w:rPr>
                <w:rFonts w:cs="Times New Roman"/>
                <w:lang w:val="en-US"/>
              </w:rPr>
            </w:pPr>
            <w:r w:rsidRPr="006C09A2">
              <w:rPr>
                <w:rFonts w:cs="Times New Roman"/>
                <w:lang w:val="en-US"/>
              </w:rPr>
              <w:t>2</w:t>
            </w:r>
            <w:r>
              <w:rPr>
                <w:rFonts w:cs="Times New Roman"/>
                <w:lang w:val="en-US"/>
              </w:rPr>
              <w:t>,</w:t>
            </w:r>
            <w:r w:rsidRPr="006C09A2">
              <w:rPr>
                <w:rFonts w:cs="Times New Roman"/>
                <w:lang w:val="en-US"/>
              </w:rPr>
              <w:t>409.3</w:t>
            </w:r>
          </w:p>
        </w:tc>
        <w:tc>
          <w:tcPr>
            <w:tcW w:w="1705" w:type="dxa"/>
            <w:tcBorders>
              <w:top w:val="nil"/>
              <w:left w:val="nil"/>
              <w:bottom w:val="single" w:sz="8" w:space="0" w:color="auto"/>
              <w:right w:val="single" w:sz="8" w:space="0" w:color="auto"/>
            </w:tcBorders>
            <w:shd w:val="clear" w:color="auto" w:fill="auto"/>
            <w:noWrap/>
            <w:vAlign w:val="bottom"/>
            <w:hideMark/>
          </w:tcPr>
          <w:p w14:paraId="6046AE7C" w14:textId="2333B566" w:rsidR="00290C57" w:rsidRPr="006C09A2" w:rsidRDefault="00290C57" w:rsidP="00290C57">
            <w:pPr>
              <w:spacing w:line="240" w:lineRule="auto"/>
              <w:ind w:firstLine="0"/>
              <w:jc w:val="center"/>
              <w:rPr>
                <w:rFonts w:cs="Times New Roman"/>
                <w:lang w:val="en-US"/>
              </w:rPr>
            </w:pPr>
            <w:r w:rsidRPr="006C09A2">
              <w:rPr>
                <w:rFonts w:cs="Times New Roman"/>
                <w:lang w:val="en-US"/>
              </w:rPr>
              <w:t>2</w:t>
            </w:r>
            <w:r>
              <w:rPr>
                <w:rFonts w:cs="Times New Roman"/>
                <w:lang w:val="en-US"/>
              </w:rPr>
              <w:t>,</w:t>
            </w:r>
            <w:r w:rsidRPr="006C09A2">
              <w:rPr>
                <w:rFonts w:cs="Times New Roman"/>
                <w:lang w:val="en-US"/>
              </w:rPr>
              <w:t>483.6</w:t>
            </w:r>
          </w:p>
        </w:tc>
        <w:tc>
          <w:tcPr>
            <w:tcW w:w="1706" w:type="dxa"/>
            <w:tcBorders>
              <w:top w:val="nil"/>
              <w:left w:val="nil"/>
              <w:bottom w:val="single" w:sz="8" w:space="0" w:color="auto"/>
              <w:right w:val="single" w:sz="8" w:space="0" w:color="auto"/>
            </w:tcBorders>
            <w:shd w:val="clear" w:color="auto" w:fill="auto"/>
            <w:noWrap/>
            <w:vAlign w:val="bottom"/>
            <w:hideMark/>
          </w:tcPr>
          <w:p w14:paraId="12A0C2B6"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4892.8</w:t>
            </w:r>
          </w:p>
        </w:tc>
      </w:tr>
      <w:tr w:rsidR="00290C57" w:rsidRPr="006C09A2" w14:paraId="483A23AB" w14:textId="77777777" w:rsidTr="006C09A2">
        <w:trPr>
          <w:trHeight w:val="345"/>
        </w:trPr>
        <w:tc>
          <w:tcPr>
            <w:tcW w:w="4954" w:type="dxa"/>
            <w:gridSpan w:val="2"/>
            <w:tcBorders>
              <w:top w:val="single" w:sz="8" w:space="0" w:color="auto"/>
              <w:left w:val="single" w:sz="8" w:space="0" w:color="auto"/>
              <w:bottom w:val="single" w:sz="8" w:space="0" w:color="auto"/>
              <w:right w:val="nil"/>
            </w:tcBorders>
            <w:shd w:val="clear" w:color="auto" w:fill="auto"/>
            <w:noWrap/>
            <w:vAlign w:val="center"/>
            <w:hideMark/>
          </w:tcPr>
          <w:p w14:paraId="75873A96" w14:textId="46BF525B" w:rsidR="00290C57" w:rsidRPr="00C90F43" w:rsidRDefault="00290C57" w:rsidP="00290C57">
            <w:pPr>
              <w:spacing w:line="240" w:lineRule="auto"/>
              <w:ind w:firstLine="0"/>
              <w:jc w:val="left"/>
              <w:rPr>
                <w:rFonts w:cs="Times New Roman"/>
              </w:rPr>
            </w:pPr>
            <w:r w:rsidRPr="005A68E6">
              <w:t>RA Government debt (million USD)</w:t>
            </w:r>
          </w:p>
        </w:tc>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5FDF7CBC" w14:textId="11C2E0FA" w:rsidR="00290C57" w:rsidRPr="006C09A2" w:rsidRDefault="00290C57" w:rsidP="00290C57">
            <w:pPr>
              <w:spacing w:line="240" w:lineRule="auto"/>
              <w:ind w:firstLine="0"/>
              <w:jc w:val="center"/>
              <w:rPr>
                <w:rFonts w:cs="Times New Roman"/>
                <w:lang w:val="en-US"/>
              </w:rPr>
            </w:pPr>
            <w:r w:rsidRPr="006C09A2">
              <w:rPr>
                <w:rFonts w:cs="Times New Roman"/>
                <w:lang w:val="en-US"/>
              </w:rPr>
              <w:t>6</w:t>
            </w:r>
            <w:r>
              <w:rPr>
                <w:rFonts w:cs="Times New Roman"/>
                <w:lang w:val="en-US"/>
              </w:rPr>
              <w:t>,</w:t>
            </w:r>
            <w:r w:rsidRPr="006C09A2">
              <w:rPr>
                <w:rFonts w:cs="Times New Roman"/>
                <w:lang w:val="en-US"/>
              </w:rPr>
              <w:t>075.4</w:t>
            </w:r>
          </w:p>
        </w:tc>
        <w:tc>
          <w:tcPr>
            <w:tcW w:w="1705" w:type="dxa"/>
            <w:tcBorders>
              <w:top w:val="nil"/>
              <w:left w:val="nil"/>
              <w:bottom w:val="single" w:sz="8" w:space="0" w:color="auto"/>
              <w:right w:val="single" w:sz="8" w:space="0" w:color="auto"/>
            </w:tcBorders>
            <w:shd w:val="clear" w:color="auto" w:fill="auto"/>
            <w:noWrap/>
            <w:vAlign w:val="center"/>
            <w:hideMark/>
          </w:tcPr>
          <w:p w14:paraId="1BC11609" w14:textId="7C3D7EE7" w:rsidR="00290C57" w:rsidRPr="006C09A2" w:rsidRDefault="00290C57" w:rsidP="00290C57">
            <w:pPr>
              <w:spacing w:line="240" w:lineRule="auto"/>
              <w:ind w:firstLine="0"/>
              <w:jc w:val="center"/>
              <w:rPr>
                <w:rFonts w:cs="Times New Roman"/>
                <w:lang w:val="en-US"/>
              </w:rPr>
            </w:pPr>
            <w:r w:rsidRPr="006C09A2">
              <w:rPr>
                <w:rFonts w:cs="Times New Roman"/>
                <w:lang w:val="en-US"/>
              </w:rPr>
              <w:t>6</w:t>
            </w:r>
            <w:r>
              <w:rPr>
                <w:rFonts w:cs="Times New Roman"/>
                <w:lang w:val="en-US"/>
              </w:rPr>
              <w:t>,</w:t>
            </w:r>
            <w:r w:rsidRPr="006C09A2">
              <w:rPr>
                <w:rFonts w:cs="Times New Roman"/>
                <w:lang w:val="en-US"/>
              </w:rPr>
              <w:t>262.8</w:t>
            </w:r>
          </w:p>
        </w:tc>
        <w:tc>
          <w:tcPr>
            <w:tcW w:w="1706" w:type="dxa"/>
            <w:tcBorders>
              <w:top w:val="nil"/>
              <w:left w:val="nil"/>
              <w:bottom w:val="single" w:sz="8" w:space="0" w:color="auto"/>
              <w:right w:val="single" w:sz="8" w:space="0" w:color="auto"/>
            </w:tcBorders>
            <w:shd w:val="clear" w:color="auto" w:fill="auto"/>
            <w:noWrap/>
            <w:vAlign w:val="center"/>
            <w:hideMark/>
          </w:tcPr>
          <w:p w14:paraId="597713A9" w14:textId="5E3A6AF0" w:rsidR="00290C57" w:rsidRPr="006C09A2" w:rsidRDefault="00290C57" w:rsidP="00290C57">
            <w:pPr>
              <w:spacing w:line="240" w:lineRule="auto"/>
              <w:ind w:firstLine="0"/>
              <w:jc w:val="center"/>
              <w:rPr>
                <w:rFonts w:cs="Times New Roman"/>
                <w:lang w:val="en-US"/>
              </w:rPr>
            </w:pPr>
            <w:r w:rsidRPr="006C09A2">
              <w:rPr>
                <w:rFonts w:cs="Times New Roman"/>
                <w:lang w:val="en-US"/>
              </w:rPr>
              <w:t>12</w:t>
            </w:r>
            <w:r>
              <w:rPr>
                <w:rFonts w:cs="Times New Roman"/>
                <w:lang w:val="en-US"/>
              </w:rPr>
              <w:t>,</w:t>
            </w:r>
            <w:r w:rsidRPr="006C09A2">
              <w:rPr>
                <w:rFonts w:cs="Times New Roman"/>
                <w:lang w:val="en-US"/>
              </w:rPr>
              <w:t>338.2</w:t>
            </w:r>
          </w:p>
        </w:tc>
      </w:tr>
      <w:tr w:rsidR="00290C57" w:rsidRPr="006C09A2" w14:paraId="0F57E10B" w14:textId="77777777" w:rsidTr="006C09A2">
        <w:trPr>
          <w:trHeight w:val="345"/>
        </w:trPr>
        <w:tc>
          <w:tcPr>
            <w:tcW w:w="4954" w:type="dxa"/>
            <w:gridSpan w:val="2"/>
            <w:tcBorders>
              <w:top w:val="single" w:sz="8" w:space="0" w:color="auto"/>
              <w:left w:val="single" w:sz="8" w:space="0" w:color="auto"/>
              <w:bottom w:val="double" w:sz="6" w:space="0" w:color="auto"/>
              <w:right w:val="single" w:sz="8" w:space="0" w:color="000000"/>
            </w:tcBorders>
            <w:shd w:val="clear" w:color="auto" w:fill="auto"/>
            <w:noWrap/>
            <w:vAlign w:val="center"/>
            <w:hideMark/>
          </w:tcPr>
          <w:p w14:paraId="797738D3" w14:textId="5B2020ED" w:rsidR="00290C57" w:rsidRPr="006C09A2" w:rsidRDefault="00290C57" w:rsidP="00290C57">
            <w:pPr>
              <w:spacing w:line="240" w:lineRule="auto"/>
              <w:ind w:firstLine="0"/>
              <w:jc w:val="left"/>
              <w:rPr>
                <w:rFonts w:cs="Times New Roman"/>
                <w:lang w:val="en-US"/>
              </w:rPr>
            </w:pPr>
            <w:r w:rsidRPr="005A68E6">
              <w:t>RA Government debt / GDP, (%)</w:t>
            </w:r>
          </w:p>
        </w:tc>
        <w:tc>
          <w:tcPr>
            <w:tcW w:w="1705" w:type="dxa"/>
            <w:tcBorders>
              <w:top w:val="nil"/>
              <w:left w:val="nil"/>
              <w:bottom w:val="double" w:sz="6" w:space="0" w:color="auto"/>
              <w:right w:val="single" w:sz="8" w:space="0" w:color="auto"/>
            </w:tcBorders>
            <w:shd w:val="clear" w:color="auto" w:fill="auto"/>
            <w:noWrap/>
            <w:vAlign w:val="center"/>
            <w:hideMark/>
          </w:tcPr>
          <w:p w14:paraId="6DCBF175" w14:textId="1D606703" w:rsidR="00290C57" w:rsidRPr="006C09A2" w:rsidRDefault="00290C57" w:rsidP="00290C57">
            <w:pPr>
              <w:spacing w:line="240" w:lineRule="auto"/>
              <w:ind w:firstLine="0"/>
              <w:jc w:val="center"/>
              <w:rPr>
                <w:rFonts w:cs="Times New Roman"/>
                <w:lang w:val="en-US"/>
              </w:rPr>
            </w:pPr>
            <w:r w:rsidRPr="006C09A2">
              <w:rPr>
                <w:rFonts w:cs="Times New Roman"/>
                <w:lang w:val="en-US"/>
              </w:rPr>
              <w:t>23.</w:t>
            </w:r>
            <w:r>
              <w:rPr>
                <w:rFonts w:cs="Times New Roman"/>
                <w:lang w:val="en-US"/>
              </w:rPr>
              <w:t>6</w:t>
            </w:r>
          </w:p>
        </w:tc>
        <w:tc>
          <w:tcPr>
            <w:tcW w:w="1705" w:type="dxa"/>
            <w:tcBorders>
              <w:top w:val="nil"/>
              <w:left w:val="nil"/>
              <w:bottom w:val="double" w:sz="6" w:space="0" w:color="auto"/>
              <w:right w:val="single" w:sz="8" w:space="0" w:color="auto"/>
            </w:tcBorders>
            <w:shd w:val="clear" w:color="auto" w:fill="auto"/>
            <w:noWrap/>
            <w:vAlign w:val="center"/>
            <w:hideMark/>
          </w:tcPr>
          <w:p w14:paraId="43FB0A9E" w14:textId="5195B628" w:rsidR="00290C57" w:rsidRPr="006C09A2" w:rsidRDefault="00290C57" w:rsidP="00290C57">
            <w:pPr>
              <w:spacing w:line="240" w:lineRule="auto"/>
              <w:ind w:firstLine="0"/>
              <w:jc w:val="center"/>
              <w:rPr>
                <w:rFonts w:cs="Times New Roman"/>
                <w:lang w:val="en-US"/>
              </w:rPr>
            </w:pPr>
            <w:r w:rsidRPr="006C09A2">
              <w:rPr>
                <w:rFonts w:cs="Times New Roman"/>
                <w:lang w:val="en-US"/>
              </w:rPr>
              <w:t>24.</w:t>
            </w:r>
            <w:r>
              <w:rPr>
                <w:rFonts w:cs="Times New Roman"/>
                <w:lang w:val="en-US"/>
              </w:rPr>
              <w:t>4</w:t>
            </w:r>
          </w:p>
        </w:tc>
        <w:tc>
          <w:tcPr>
            <w:tcW w:w="1706" w:type="dxa"/>
            <w:tcBorders>
              <w:top w:val="nil"/>
              <w:left w:val="nil"/>
              <w:bottom w:val="double" w:sz="6" w:space="0" w:color="auto"/>
              <w:right w:val="single" w:sz="8" w:space="0" w:color="auto"/>
            </w:tcBorders>
            <w:shd w:val="clear" w:color="auto" w:fill="auto"/>
            <w:noWrap/>
            <w:vAlign w:val="center"/>
            <w:hideMark/>
          </w:tcPr>
          <w:p w14:paraId="10D325A5" w14:textId="7C488B4E" w:rsidR="00290C57" w:rsidRPr="006C09A2" w:rsidRDefault="00290C57" w:rsidP="00290C57">
            <w:pPr>
              <w:spacing w:line="240" w:lineRule="auto"/>
              <w:ind w:firstLine="0"/>
              <w:jc w:val="center"/>
              <w:rPr>
                <w:rFonts w:cs="Times New Roman"/>
                <w:lang w:val="en-US"/>
              </w:rPr>
            </w:pPr>
            <w:r w:rsidRPr="006C09A2">
              <w:rPr>
                <w:rFonts w:cs="Times New Roman"/>
                <w:lang w:val="en-US"/>
              </w:rPr>
              <w:t>48.</w:t>
            </w:r>
            <w:r>
              <w:rPr>
                <w:rFonts w:cs="Times New Roman"/>
                <w:lang w:val="en-US"/>
              </w:rPr>
              <w:t>0</w:t>
            </w:r>
          </w:p>
        </w:tc>
      </w:tr>
      <w:tr w:rsidR="00290C57" w:rsidRPr="006C09A2" w14:paraId="358BF62D" w14:textId="77777777" w:rsidTr="006C09A2">
        <w:trPr>
          <w:trHeight w:val="360"/>
        </w:trPr>
        <w:tc>
          <w:tcPr>
            <w:tcW w:w="2606" w:type="dxa"/>
            <w:vMerge w:val="restart"/>
            <w:tcBorders>
              <w:top w:val="nil"/>
              <w:left w:val="single" w:sz="8" w:space="0" w:color="auto"/>
              <w:bottom w:val="double" w:sz="6" w:space="0" w:color="000000"/>
              <w:right w:val="single" w:sz="8" w:space="0" w:color="auto"/>
            </w:tcBorders>
            <w:shd w:val="clear" w:color="auto" w:fill="auto"/>
            <w:noWrap/>
            <w:vAlign w:val="center"/>
            <w:hideMark/>
          </w:tcPr>
          <w:p w14:paraId="39611C04" w14:textId="26FFAE61" w:rsidR="00290C57" w:rsidRPr="006C09A2" w:rsidRDefault="00290C57" w:rsidP="00290C57">
            <w:pPr>
              <w:spacing w:line="240" w:lineRule="auto"/>
              <w:ind w:firstLine="0"/>
              <w:jc w:val="left"/>
              <w:rPr>
                <w:rFonts w:cs="Times New Roman"/>
                <w:lang w:val="en-US"/>
              </w:rPr>
            </w:pPr>
            <w:r w:rsidRPr="005A68E6">
              <w:t>Cost Indicators</w:t>
            </w:r>
          </w:p>
        </w:tc>
        <w:tc>
          <w:tcPr>
            <w:tcW w:w="2348" w:type="dxa"/>
            <w:tcBorders>
              <w:top w:val="nil"/>
              <w:left w:val="nil"/>
              <w:bottom w:val="single" w:sz="8" w:space="0" w:color="auto"/>
              <w:right w:val="single" w:sz="8" w:space="0" w:color="auto"/>
            </w:tcBorders>
            <w:shd w:val="clear" w:color="auto" w:fill="auto"/>
            <w:noWrap/>
            <w:vAlign w:val="center"/>
            <w:hideMark/>
          </w:tcPr>
          <w:p w14:paraId="5D7CA80F" w14:textId="20D79971" w:rsidR="00290C57" w:rsidRPr="006C09A2" w:rsidRDefault="00290C57" w:rsidP="00290C57">
            <w:pPr>
              <w:spacing w:line="240" w:lineRule="auto"/>
              <w:ind w:firstLine="0"/>
              <w:jc w:val="left"/>
              <w:rPr>
                <w:rFonts w:cs="Times New Roman"/>
                <w:lang w:val="en-US"/>
              </w:rPr>
            </w:pPr>
            <w:r w:rsidRPr="005A68E6">
              <w:t>Interest payment / GDP, (%)</w:t>
            </w:r>
          </w:p>
        </w:tc>
        <w:tc>
          <w:tcPr>
            <w:tcW w:w="1705" w:type="dxa"/>
            <w:tcBorders>
              <w:top w:val="nil"/>
              <w:left w:val="nil"/>
              <w:bottom w:val="single" w:sz="8" w:space="0" w:color="auto"/>
              <w:right w:val="single" w:sz="8" w:space="0" w:color="auto"/>
            </w:tcBorders>
            <w:shd w:val="clear" w:color="auto" w:fill="auto"/>
            <w:noWrap/>
            <w:vAlign w:val="center"/>
            <w:hideMark/>
          </w:tcPr>
          <w:p w14:paraId="124822CA"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0.93</w:t>
            </w:r>
          </w:p>
        </w:tc>
        <w:tc>
          <w:tcPr>
            <w:tcW w:w="1705" w:type="dxa"/>
            <w:tcBorders>
              <w:top w:val="nil"/>
              <w:left w:val="nil"/>
              <w:bottom w:val="single" w:sz="8" w:space="0" w:color="auto"/>
              <w:right w:val="single" w:sz="8" w:space="0" w:color="auto"/>
            </w:tcBorders>
            <w:shd w:val="clear" w:color="auto" w:fill="auto"/>
            <w:noWrap/>
            <w:vAlign w:val="center"/>
            <w:hideMark/>
          </w:tcPr>
          <w:p w14:paraId="746B62F7"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2.17</w:t>
            </w:r>
          </w:p>
        </w:tc>
        <w:tc>
          <w:tcPr>
            <w:tcW w:w="1706" w:type="dxa"/>
            <w:tcBorders>
              <w:top w:val="nil"/>
              <w:left w:val="nil"/>
              <w:bottom w:val="single" w:sz="8" w:space="0" w:color="auto"/>
              <w:right w:val="single" w:sz="8" w:space="0" w:color="auto"/>
            </w:tcBorders>
            <w:shd w:val="clear" w:color="auto" w:fill="auto"/>
            <w:noWrap/>
            <w:vAlign w:val="center"/>
            <w:hideMark/>
          </w:tcPr>
          <w:p w14:paraId="56C097CA"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3.10</w:t>
            </w:r>
          </w:p>
        </w:tc>
      </w:tr>
      <w:tr w:rsidR="00290C57" w:rsidRPr="006C09A2" w14:paraId="170C1F6B" w14:textId="77777777" w:rsidTr="006C09A2">
        <w:trPr>
          <w:trHeight w:val="345"/>
        </w:trPr>
        <w:tc>
          <w:tcPr>
            <w:tcW w:w="2606" w:type="dxa"/>
            <w:vMerge/>
            <w:tcBorders>
              <w:top w:val="nil"/>
              <w:left w:val="single" w:sz="8" w:space="0" w:color="auto"/>
              <w:bottom w:val="double" w:sz="6" w:space="0" w:color="000000"/>
              <w:right w:val="single" w:sz="8" w:space="0" w:color="auto"/>
            </w:tcBorders>
            <w:vAlign w:val="center"/>
            <w:hideMark/>
          </w:tcPr>
          <w:p w14:paraId="556FF55D" w14:textId="77777777" w:rsidR="00290C57" w:rsidRPr="006C09A2" w:rsidRDefault="00290C57" w:rsidP="00290C57">
            <w:pPr>
              <w:spacing w:line="240" w:lineRule="auto"/>
              <w:ind w:firstLine="0"/>
              <w:jc w:val="left"/>
              <w:rPr>
                <w:rFonts w:cs="Times New Roman"/>
                <w:lang w:val="en-US"/>
              </w:rPr>
            </w:pPr>
          </w:p>
        </w:tc>
        <w:tc>
          <w:tcPr>
            <w:tcW w:w="2348" w:type="dxa"/>
            <w:tcBorders>
              <w:top w:val="nil"/>
              <w:left w:val="nil"/>
              <w:bottom w:val="double" w:sz="6" w:space="0" w:color="auto"/>
              <w:right w:val="single" w:sz="8" w:space="0" w:color="auto"/>
            </w:tcBorders>
            <w:shd w:val="clear" w:color="auto" w:fill="auto"/>
            <w:noWrap/>
            <w:vAlign w:val="center"/>
            <w:hideMark/>
          </w:tcPr>
          <w:p w14:paraId="4324C288" w14:textId="7B20DA30" w:rsidR="00290C57" w:rsidRPr="006C09A2" w:rsidRDefault="00290C57" w:rsidP="00290C57">
            <w:pPr>
              <w:spacing w:line="240" w:lineRule="auto"/>
              <w:ind w:firstLine="0"/>
              <w:jc w:val="left"/>
              <w:rPr>
                <w:rFonts w:cs="Times New Roman"/>
                <w:lang w:val="en-US"/>
              </w:rPr>
            </w:pPr>
            <w:r w:rsidRPr="005A68E6">
              <w:t>Weighted average interest rate (%)</w:t>
            </w:r>
          </w:p>
        </w:tc>
        <w:tc>
          <w:tcPr>
            <w:tcW w:w="1705" w:type="dxa"/>
            <w:tcBorders>
              <w:top w:val="nil"/>
              <w:left w:val="nil"/>
              <w:bottom w:val="double" w:sz="6" w:space="0" w:color="auto"/>
              <w:right w:val="single" w:sz="8" w:space="0" w:color="auto"/>
            </w:tcBorders>
            <w:shd w:val="clear" w:color="auto" w:fill="auto"/>
            <w:noWrap/>
            <w:vAlign w:val="center"/>
            <w:hideMark/>
          </w:tcPr>
          <w:p w14:paraId="7447BBC3" w14:textId="77777777" w:rsidR="00290C57" w:rsidRPr="006C09A2" w:rsidRDefault="00290C57" w:rsidP="00290C57">
            <w:pPr>
              <w:spacing w:line="240" w:lineRule="auto"/>
              <w:ind w:firstLine="0"/>
              <w:jc w:val="center"/>
              <w:rPr>
                <w:rFonts w:cs="Times New Roman"/>
              </w:rPr>
            </w:pPr>
            <w:r>
              <w:rPr>
                <w:rFonts w:cs="Times New Roman"/>
              </w:rPr>
              <w:t>3.8</w:t>
            </w:r>
          </w:p>
        </w:tc>
        <w:tc>
          <w:tcPr>
            <w:tcW w:w="1705" w:type="dxa"/>
            <w:tcBorders>
              <w:top w:val="nil"/>
              <w:left w:val="nil"/>
              <w:bottom w:val="double" w:sz="6" w:space="0" w:color="auto"/>
              <w:right w:val="single" w:sz="8" w:space="0" w:color="auto"/>
            </w:tcBorders>
            <w:shd w:val="clear" w:color="auto" w:fill="auto"/>
            <w:noWrap/>
            <w:vAlign w:val="center"/>
            <w:hideMark/>
          </w:tcPr>
          <w:p w14:paraId="7EFB184E" w14:textId="5466D345" w:rsidR="00290C57" w:rsidRPr="00EF2D19" w:rsidRDefault="00290C57" w:rsidP="009D1747">
            <w:pPr>
              <w:spacing w:line="240" w:lineRule="auto"/>
              <w:ind w:firstLine="0"/>
              <w:jc w:val="center"/>
              <w:rPr>
                <w:rFonts w:cs="Times New Roman"/>
                <w:lang w:val="en-US"/>
              </w:rPr>
            </w:pPr>
            <w:r>
              <w:rPr>
                <w:rFonts w:cs="Times New Roman"/>
                <w:lang w:val="en-US"/>
              </w:rPr>
              <w:t>10.</w:t>
            </w:r>
            <w:r w:rsidR="009102C6">
              <w:rPr>
                <w:rFonts w:cs="Times New Roman"/>
                <w:lang w:val="en-US"/>
              </w:rPr>
              <w:t>6</w:t>
            </w:r>
          </w:p>
        </w:tc>
        <w:tc>
          <w:tcPr>
            <w:tcW w:w="1706" w:type="dxa"/>
            <w:tcBorders>
              <w:top w:val="nil"/>
              <w:left w:val="nil"/>
              <w:bottom w:val="double" w:sz="6" w:space="0" w:color="auto"/>
              <w:right w:val="single" w:sz="8" w:space="0" w:color="auto"/>
            </w:tcBorders>
            <w:shd w:val="clear" w:color="auto" w:fill="auto"/>
            <w:noWrap/>
            <w:vAlign w:val="center"/>
            <w:hideMark/>
          </w:tcPr>
          <w:p w14:paraId="01E05AE8" w14:textId="67E5128C" w:rsidR="00290C57" w:rsidRPr="006C09A2" w:rsidRDefault="00290C57" w:rsidP="00290C57">
            <w:pPr>
              <w:spacing w:line="240" w:lineRule="auto"/>
              <w:ind w:firstLine="0"/>
              <w:jc w:val="center"/>
              <w:rPr>
                <w:rFonts w:cs="Times New Roman"/>
                <w:lang w:val="en-US"/>
              </w:rPr>
            </w:pPr>
            <w:r>
              <w:rPr>
                <w:rFonts w:cs="Times New Roman"/>
                <w:lang w:val="en-US"/>
              </w:rPr>
              <w:t>7.2</w:t>
            </w:r>
          </w:p>
        </w:tc>
      </w:tr>
      <w:tr w:rsidR="00290C57" w:rsidRPr="006C09A2" w14:paraId="316D6D29" w14:textId="77777777" w:rsidTr="006C09A2">
        <w:trPr>
          <w:trHeight w:val="675"/>
        </w:trPr>
        <w:tc>
          <w:tcPr>
            <w:tcW w:w="2606" w:type="dxa"/>
            <w:vMerge w:val="restart"/>
            <w:tcBorders>
              <w:top w:val="nil"/>
              <w:left w:val="single" w:sz="8" w:space="0" w:color="auto"/>
              <w:bottom w:val="double" w:sz="6" w:space="0" w:color="000000"/>
              <w:right w:val="single" w:sz="8" w:space="0" w:color="auto"/>
            </w:tcBorders>
            <w:shd w:val="clear" w:color="auto" w:fill="auto"/>
            <w:vAlign w:val="center"/>
            <w:hideMark/>
          </w:tcPr>
          <w:p w14:paraId="471E1AFF" w14:textId="37B6D3C7" w:rsidR="00290C57" w:rsidRPr="006C09A2" w:rsidRDefault="00290C57" w:rsidP="00290C57">
            <w:pPr>
              <w:spacing w:line="240" w:lineRule="auto"/>
              <w:ind w:firstLine="0"/>
              <w:jc w:val="left"/>
              <w:rPr>
                <w:rFonts w:cs="Times New Roman"/>
                <w:lang w:val="en-US"/>
              </w:rPr>
            </w:pPr>
            <w:r w:rsidRPr="005A68E6">
              <w:t>Refinancing risk</w:t>
            </w:r>
          </w:p>
        </w:tc>
        <w:tc>
          <w:tcPr>
            <w:tcW w:w="2348" w:type="dxa"/>
            <w:tcBorders>
              <w:top w:val="nil"/>
              <w:left w:val="nil"/>
              <w:bottom w:val="nil"/>
              <w:right w:val="single" w:sz="8" w:space="0" w:color="auto"/>
            </w:tcBorders>
            <w:shd w:val="clear" w:color="auto" w:fill="auto"/>
            <w:vAlign w:val="center"/>
            <w:hideMark/>
          </w:tcPr>
          <w:p w14:paraId="68FE9249" w14:textId="058110B1" w:rsidR="00290C57" w:rsidRPr="006C09A2" w:rsidRDefault="00290C57" w:rsidP="00290C57">
            <w:pPr>
              <w:spacing w:line="240" w:lineRule="auto"/>
              <w:ind w:firstLine="0"/>
              <w:jc w:val="left"/>
              <w:rPr>
                <w:rFonts w:cs="Times New Roman"/>
                <w:lang w:val="en-US"/>
              </w:rPr>
            </w:pPr>
            <w:r w:rsidRPr="005A68E6">
              <w:t>Average Time to Maturity (years)</w:t>
            </w:r>
          </w:p>
        </w:tc>
        <w:tc>
          <w:tcPr>
            <w:tcW w:w="1705" w:type="dxa"/>
            <w:tcBorders>
              <w:top w:val="nil"/>
              <w:left w:val="nil"/>
              <w:bottom w:val="nil"/>
              <w:right w:val="single" w:sz="8" w:space="0" w:color="auto"/>
            </w:tcBorders>
            <w:shd w:val="clear" w:color="auto" w:fill="auto"/>
            <w:noWrap/>
            <w:vAlign w:val="center"/>
            <w:hideMark/>
          </w:tcPr>
          <w:p w14:paraId="093ED8B5"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6.6</w:t>
            </w:r>
          </w:p>
        </w:tc>
        <w:tc>
          <w:tcPr>
            <w:tcW w:w="1705" w:type="dxa"/>
            <w:tcBorders>
              <w:top w:val="nil"/>
              <w:left w:val="nil"/>
              <w:bottom w:val="nil"/>
              <w:right w:val="single" w:sz="8" w:space="0" w:color="auto"/>
            </w:tcBorders>
            <w:shd w:val="clear" w:color="auto" w:fill="auto"/>
            <w:noWrap/>
            <w:vAlign w:val="center"/>
            <w:hideMark/>
          </w:tcPr>
          <w:p w14:paraId="4B0C5798"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7.2</w:t>
            </w:r>
          </w:p>
        </w:tc>
        <w:tc>
          <w:tcPr>
            <w:tcW w:w="1706" w:type="dxa"/>
            <w:tcBorders>
              <w:top w:val="nil"/>
              <w:left w:val="nil"/>
              <w:bottom w:val="nil"/>
              <w:right w:val="single" w:sz="8" w:space="0" w:color="auto"/>
            </w:tcBorders>
            <w:shd w:val="clear" w:color="auto" w:fill="auto"/>
            <w:noWrap/>
            <w:vAlign w:val="center"/>
            <w:hideMark/>
          </w:tcPr>
          <w:p w14:paraId="338932C5"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6.9</w:t>
            </w:r>
          </w:p>
        </w:tc>
      </w:tr>
      <w:tr w:rsidR="00290C57" w:rsidRPr="006C09A2" w14:paraId="00A2F940" w14:textId="77777777" w:rsidTr="006C09A2">
        <w:trPr>
          <w:trHeight w:val="675"/>
        </w:trPr>
        <w:tc>
          <w:tcPr>
            <w:tcW w:w="2606" w:type="dxa"/>
            <w:vMerge/>
            <w:tcBorders>
              <w:top w:val="nil"/>
              <w:left w:val="single" w:sz="8" w:space="0" w:color="auto"/>
              <w:bottom w:val="double" w:sz="6" w:space="0" w:color="000000"/>
              <w:right w:val="single" w:sz="8" w:space="0" w:color="auto"/>
            </w:tcBorders>
            <w:vAlign w:val="center"/>
            <w:hideMark/>
          </w:tcPr>
          <w:p w14:paraId="4E017D35" w14:textId="77777777" w:rsidR="00290C57" w:rsidRPr="006C09A2" w:rsidRDefault="00290C57" w:rsidP="00290C57">
            <w:pPr>
              <w:spacing w:line="240" w:lineRule="auto"/>
              <w:ind w:firstLine="0"/>
              <w:jc w:val="left"/>
              <w:rPr>
                <w:rFonts w:cs="Times New Roman"/>
                <w:lang w:val="en-US"/>
              </w:rPr>
            </w:pPr>
          </w:p>
        </w:tc>
        <w:tc>
          <w:tcPr>
            <w:tcW w:w="2348" w:type="dxa"/>
            <w:tcBorders>
              <w:top w:val="single" w:sz="4" w:space="0" w:color="auto"/>
              <w:left w:val="nil"/>
              <w:bottom w:val="double" w:sz="6" w:space="0" w:color="auto"/>
              <w:right w:val="single" w:sz="8" w:space="0" w:color="auto"/>
            </w:tcBorders>
            <w:shd w:val="clear" w:color="auto" w:fill="auto"/>
            <w:vAlign w:val="center"/>
            <w:hideMark/>
          </w:tcPr>
          <w:p w14:paraId="2A2D46C0" w14:textId="5328E9F1" w:rsidR="00290C57" w:rsidRPr="006C09A2" w:rsidRDefault="00290C57" w:rsidP="00290C57">
            <w:pPr>
              <w:spacing w:line="240" w:lineRule="auto"/>
              <w:ind w:firstLine="0"/>
              <w:jc w:val="left"/>
              <w:rPr>
                <w:rFonts w:cs="Times New Roman"/>
                <w:lang w:val="en-US"/>
              </w:rPr>
            </w:pPr>
            <w:r w:rsidRPr="005A68E6">
              <w:t>Debt Maturing in 1 year (% of total)</w:t>
            </w:r>
          </w:p>
        </w:tc>
        <w:tc>
          <w:tcPr>
            <w:tcW w:w="1705" w:type="dxa"/>
            <w:tcBorders>
              <w:top w:val="single" w:sz="4" w:space="0" w:color="auto"/>
              <w:left w:val="nil"/>
              <w:bottom w:val="double" w:sz="6" w:space="0" w:color="auto"/>
              <w:right w:val="single" w:sz="8" w:space="0" w:color="auto"/>
            </w:tcBorders>
            <w:shd w:val="clear" w:color="auto" w:fill="auto"/>
            <w:noWrap/>
            <w:vAlign w:val="center"/>
            <w:hideMark/>
          </w:tcPr>
          <w:p w14:paraId="26000E31"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11.6</w:t>
            </w:r>
          </w:p>
        </w:tc>
        <w:tc>
          <w:tcPr>
            <w:tcW w:w="1705" w:type="dxa"/>
            <w:tcBorders>
              <w:top w:val="single" w:sz="4" w:space="0" w:color="auto"/>
              <w:left w:val="nil"/>
              <w:bottom w:val="double" w:sz="6" w:space="0" w:color="auto"/>
              <w:right w:val="single" w:sz="8" w:space="0" w:color="auto"/>
            </w:tcBorders>
            <w:shd w:val="clear" w:color="auto" w:fill="auto"/>
            <w:noWrap/>
            <w:vAlign w:val="center"/>
            <w:hideMark/>
          </w:tcPr>
          <w:p w14:paraId="6B2D2A7E"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14.4</w:t>
            </w:r>
          </w:p>
        </w:tc>
        <w:tc>
          <w:tcPr>
            <w:tcW w:w="1706" w:type="dxa"/>
            <w:tcBorders>
              <w:top w:val="single" w:sz="4" w:space="0" w:color="auto"/>
              <w:left w:val="nil"/>
              <w:bottom w:val="double" w:sz="6" w:space="0" w:color="auto"/>
              <w:right w:val="single" w:sz="8" w:space="0" w:color="auto"/>
            </w:tcBorders>
            <w:shd w:val="clear" w:color="auto" w:fill="auto"/>
            <w:noWrap/>
            <w:vAlign w:val="center"/>
            <w:hideMark/>
          </w:tcPr>
          <w:p w14:paraId="3EC4028F"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13</w:t>
            </w:r>
          </w:p>
        </w:tc>
      </w:tr>
      <w:tr w:rsidR="00290C57" w:rsidRPr="006C09A2" w14:paraId="4705A58B" w14:textId="77777777" w:rsidTr="006C09A2">
        <w:trPr>
          <w:trHeight w:val="675"/>
        </w:trPr>
        <w:tc>
          <w:tcPr>
            <w:tcW w:w="2606" w:type="dxa"/>
            <w:vMerge w:val="restart"/>
            <w:tcBorders>
              <w:top w:val="nil"/>
              <w:left w:val="single" w:sz="8" w:space="0" w:color="auto"/>
              <w:bottom w:val="double" w:sz="6" w:space="0" w:color="000000"/>
              <w:right w:val="single" w:sz="8" w:space="0" w:color="auto"/>
            </w:tcBorders>
            <w:shd w:val="clear" w:color="auto" w:fill="auto"/>
            <w:vAlign w:val="center"/>
            <w:hideMark/>
          </w:tcPr>
          <w:p w14:paraId="0740C2CD" w14:textId="7173534B" w:rsidR="00290C57" w:rsidRPr="006C09A2" w:rsidRDefault="00290C57" w:rsidP="00290C57">
            <w:pPr>
              <w:spacing w:line="240" w:lineRule="auto"/>
              <w:ind w:firstLine="0"/>
              <w:jc w:val="left"/>
              <w:rPr>
                <w:rFonts w:cs="Times New Roman"/>
                <w:lang w:val="en-US"/>
              </w:rPr>
            </w:pPr>
            <w:r w:rsidRPr="005A68E6">
              <w:t>Interest rate risk</w:t>
            </w:r>
          </w:p>
        </w:tc>
        <w:tc>
          <w:tcPr>
            <w:tcW w:w="2348" w:type="dxa"/>
            <w:tcBorders>
              <w:top w:val="nil"/>
              <w:left w:val="nil"/>
              <w:bottom w:val="single" w:sz="8" w:space="0" w:color="auto"/>
              <w:right w:val="single" w:sz="8" w:space="0" w:color="auto"/>
            </w:tcBorders>
            <w:shd w:val="clear" w:color="auto" w:fill="auto"/>
            <w:vAlign w:val="center"/>
            <w:hideMark/>
          </w:tcPr>
          <w:p w14:paraId="5A7DEEF1" w14:textId="18E400C9" w:rsidR="00290C57" w:rsidRPr="006C09A2" w:rsidRDefault="00290C57" w:rsidP="00290C57">
            <w:pPr>
              <w:spacing w:line="240" w:lineRule="auto"/>
              <w:ind w:firstLine="0"/>
              <w:jc w:val="left"/>
              <w:rPr>
                <w:rFonts w:cs="Times New Roman"/>
                <w:lang w:val="en-US"/>
              </w:rPr>
            </w:pPr>
            <w:r w:rsidRPr="005A68E6">
              <w:t>Average Time to Refixing (years)</w:t>
            </w:r>
          </w:p>
        </w:tc>
        <w:tc>
          <w:tcPr>
            <w:tcW w:w="1705" w:type="dxa"/>
            <w:tcBorders>
              <w:top w:val="nil"/>
              <w:left w:val="nil"/>
              <w:bottom w:val="single" w:sz="8" w:space="0" w:color="auto"/>
              <w:right w:val="single" w:sz="8" w:space="0" w:color="auto"/>
            </w:tcBorders>
            <w:shd w:val="clear" w:color="auto" w:fill="auto"/>
            <w:noWrap/>
            <w:vAlign w:val="center"/>
            <w:hideMark/>
          </w:tcPr>
          <w:p w14:paraId="2C4468EF"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4</w:t>
            </w:r>
          </w:p>
        </w:tc>
        <w:tc>
          <w:tcPr>
            <w:tcW w:w="1705" w:type="dxa"/>
            <w:tcBorders>
              <w:top w:val="nil"/>
              <w:left w:val="nil"/>
              <w:bottom w:val="single" w:sz="8" w:space="0" w:color="auto"/>
              <w:right w:val="single" w:sz="8" w:space="0" w:color="auto"/>
            </w:tcBorders>
            <w:shd w:val="clear" w:color="auto" w:fill="auto"/>
            <w:noWrap/>
            <w:vAlign w:val="center"/>
            <w:hideMark/>
          </w:tcPr>
          <w:p w14:paraId="577A5EA8"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7.2</w:t>
            </w:r>
          </w:p>
        </w:tc>
        <w:tc>
          <w:tcPr>
            <w:tcW w:w="1706" w:type="dxa"/>
            <w:tcBorders>
              <w:top w:val="nil"/>
              <w:left w:val="nil"/>
              <w:bottom w:val="single" w:sz="8" w:space="0" w:color="auto"/>
              <w:right w:val="single" w:sz="8" w:space="0" w:color="auto"/>
            </w:tcBorders>
            <w:shd w:val="clear" w:color="auto" w:fill="auto"/>
            <w:noWrap/>
            <w:vAlign w:val="center"/>
            <w:hideMark/>
          </w:tcPr>
          <w:p w14:paraId="0C8E37F7"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5.6</w:t>
            </w:r>
          </w:p>
        </w:tc>
      </w:tr>
      <w:tr w:rsidR="00290C57" w:rsidRPr="006C09A2" w14:paraId="3B490F36" w14:textId="77777777" w:rsidTr="006C09A2">
        <w:trPr>
          <w:trHeight w:val="675"/>
        </w:trPr>
        <w:tc>
          <w:tcPr>
            <w:tcW w:w="2606" w:type="dxa"/>
            <w:vMerge/>
            <w:tcBorders>
              <w:top w:val="nil"/>
              <w:left w:val="single" w:sz="8" w:space="0" w:color="auto"/>
              <w:bottom w:val="double" w:sz="6" w:space="0" w:color="000000"/>
              <w:right w:val="single" w:sz="8" w:space="0" w:color="auto"/>
            </w:tcBorders>
            <w:vAlign w:val="center"/>
            <w:hideMark/>
          </w:tcPr>
          <w:p w14:paraId="3EACA2C8" w14:textId="77777777" w:rsidR="00290C57" w:rsidRPr="006C09A2" w:rsidRDefault="00290C57" w:rsidP="00290C57">
            <w:pPr>
              <w:spacing w:line="240" w:lineRule="auto"/>
              <w:ind w:firstLine="0"/>
              <w:jc w:val="left"/>
              <w:rPr>
                <w:rFonts w:cs="Times New Roman"/>
                <w:lang w:val="en-US"/>
              </w:rPr>
            </w:pPr>
          </w:p>
        </w:tc>
        <w:tc>
          <w:tcPr>
            <w:tcW w:w="2348" w:type="dxa"/>
            <w:tcBorders>
              <w:top w:val="nil"/>
              <w:left w:val="nil"/>
              <w:bottom w:val="single" w:sz="8" w:space="0" w:color="auto"/>
              <w:right w:val="single" w:sz="8" w:space="0" w:color="auto"/>
            </w:tcBorders>
            <w:shd w:val="clear" w:color="auto" w:fill="auto"/>
            <w:vAlign w:val="center"/>
            <w:hideMark/>
          </w:tcPr>
          <w:p w14:paraId="7FEDB1F6" w14:textId="341A8118" w:rsidR="00290C57" w:rsidRPr="006C09A2" w:rsidRDefault="00290C57" w:rsidP="00290C57">
            <w:pPr>
              <w:spacing w:line="240" w:lineRule="auto"/>
              <w:ind w:firstLine="0"/>
              <w:jc w:val="left"/>
              <w:rPr>
                <w:rFonts w:cs="Times New Roman"/>
                <w:lang w:val="en-US"/>
              </w:rPr>
            </w:pPr>
            <w:r w:rsidRPr="005A68E6">
              <w:t>Debt Refixing in 1 year (% of total)</w:t>
            </w:r>
          </w:p>
        </w:tc>
        <w:tc>
          <w:tcPr>
            <w:tcW w:w="1705" w:type="dxa"/>
            <w:tcBorders>
              <w:top w:val="nil"/>
              <w:left w:val="nil"/>
              <w:bottom w:val="single" w:sz="8" w:space="0" w:color="auto"/>
              <w:right w:val="single" w:sz="8" w:space="0" w:color="auto"/>
            </w:tcBorders>
            <w:shd w:val="clear" w:color="auto" w:fill="auto"/>
            <w:noWrap/>
            <w:vAlign w:val="center"/>
            <w:hideMark/>
          </w:tcPr>
          <w:p w14:paraId="5CD12C5E"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38.4</w:t>
            </w:r>
          </w:p>
        </w:tc>
        <w:tc>
          <w:tcPr>
            <w:tcW w:w="1705" w:type="dxa"/>
            <w:tcBorders>
              <w:top w:val="nil"/>
              <w:left w:val="nil"/>
              <w:bottom w:val="single" w:sz="8" w:space="0" w:color="auto"/>
              <w:right w:val="single" w:sz="8" w:space="0" w:color="auto"/>
            </w:tcBorders>
            <w:shd w:val="clear" w:color="auto" w:fill="auto"/>
            <w:noWrap/>
            <w:vAlign w:val="center"/>
            <w:hideMark/>
          </w:tcPr>
          <w:p w14:paraId="5F9FF1AE"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14.4</w:t>
            </w:r>
          </w:p>
        </w:tc>
        <w:tc>
          <w:tcPr>
            <w:tcW w:w="1706" w:type="dxa"/>
            <w:tcBorders>
              <w:top w:val="nil"/>
              <w:left w:val="nil"/>
              <w:bottom w:val="single" w:sz="8" w:space="0" w:color="auto"/>
              <w:right w:val="single" w:sz="8" w:space="0" w:color="auto"/>
            </w:tcBorders>
            <w:shd w:val="clear" w:color="auto" w:fill="auto"/>
            <w:noWrap/>
            <w:vAlign w:val="center"/>
            <w:hideMark/>
          </w:tcPr>
          <w:p w14:paraId="160790C2"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26.3</w:t>
            </w:r>
          </w:p>
        </w:tc>
      </w:tr>
      <w:tr w:rsidR="00290C57" w:rsidRPr="006C09A2" w14:paraId="6D96EF1D" w14:textId="77777777" w:rsidTr="006C09A2">
        <w:trPr>
          <w:trHeight w:val="675"/>
        </w:trPr>
        <w:tc>
          <w:tcPr>
            <w:tcW w:w="2606" w:type="dxa"/>
            <w:vMerge/>
            <w:tcBorders>
              <w:top w:val="nil"/>
              <w:left w:val="single" w:sz="8" w:space="0" w:color="auto"/>
              <w:bottom w:val="double" w:sz="6" w:space="0" w:color="000000"/>
              <w:right w:val="single" w:sz="8" w:space="0" w:color="auto"/>
            </w:tcBorders>
            <w:vAlign w:val="center"/>
            <w:hideMark/>
          </w:tcPr>
          <w:p w14:paraId="7CD94EF3" w14:textId="77777777" w:rsidR="00290C57" w:rsidRPr="006C09A2" w:rsidRDefault="00290C57" w:rsidP="00290C57">
            <w:pPr>
              <w:spacing w:line="240" w:lineRule="auto"/>
              <w:ind w:firstLine="0"/>
              <w:jc w:val="left"/>
              <w:rPr>
                <w:rFonts w:cs="Times New Roman"/>
                <w:lang w:val="en-US"/>
              </w:rPr>
            </w:pPr>
          </w:p>
        </w:tc>
        <w:tc>
          <w:tcPr>
            <w:tcW w:w="2348" w:type="dxa"/>
            <w:tcBorders>
              <w:top w:val="nil"/>
              <w:left w:val="nil"/>
              <w:bottom w:val="nil"/>
              <w:right w:val="single" w:sz="8" w:space="0" w:color="auto"/>
            </w:tcBorders>
            <w:shd w:val="clear" w:color="auto" w:fill="auto"/>
            <w:vAlign w:val="center"/>
            <w:hideMark/>
          </w:tcPr>
          <w:p w14:paraId="37B6B34B" w14:textId="188D0436" w:rsidR="00290C57" w:rsidRPr="006C09A2" w:rsidRDefault="00290C57" w:rsidP="00290C57">
            <w:pPr>
              <w:spacing w:line="240" w:lineRule="auto"/>
              <w:ind w:firstLine="0"/>
              <w:jc w:val="left"/>
              <w:rPr>
                <w:rFonts w:cs="Times New Roman"/>
                <w:lang w:val="en-US"/>
              </w:rPr>
            </w:pPr>
            <w:r w:rsidRPr="005A68E6">
              <w:t>Fixed Rate Debt (% of total)</w:t>
            </w:r>
          </w:p>
        </w:tc>
        <w:tc>
          <w:tcPr>
            <w:tcW w:w="1705" w:type="dxa"/>
            <w:tcBorders>
              <w:top w:val="nil"/>
              <w:left w:val="nil"/>
              <w:bottom w:val="nil"/>
              <w:right w:val="single" w:sz="8" w:space="0" w:color="auto"/>
            </w:tcBorders>
            <w:shd w:val="clear" w:color="auto" w:fill="auto"/>
            <w:noWrap/>
            <w:vAlign w:val="center"/>
            <w:hideMark/>
          </w:tcPr>
          <w:p w14:paraId="77091730"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68.4</w:t>
            </w:r>
          </w:p>
        </w:tc>
        <w:tc>
          <w:tcPr>
            <w:tcW w:w="1705" w:type="dxa"/>
            <w:tcBorders>
              <w:top w:val="nil"/>
              <w:left w:val="nil"/>
              <w:bottom w:val="nil"/>
              <w:right w:val="single" w:sz="8" w:space="0" w:color="auto"/>
            </w:tcBorders>
            <w:shd w:val="clear" w:color="auto" w:fill="auto"/>
            <w:noWrap/>
            <w:vAlign w:val="center"/>
            <w:hideMark/>
          </w:tcPr>
          <w:p w14:paraId="32CB8F90"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100</w:t>
            </w:r>
          </w:p>
        </w:tc>
        <w:tc>
          <w:tcPr>
            <w:tcW w:w="1706" w:type="dxa"/>
            <w:tcBorders>
              <w:top w:val="nil"/>
              <w:left w:val="nil"/>
              <w:bottom w:val="nil"/>
              <w:right w:val="single" w:sz="8" w:space="0" w:color="auto"/>
            </w:tcBorders>
            <w:shd w:val="clear" w:color="auto" w:fill="auto"/>
            <w:noWrap/>
            <w:vAlign w:val="center"/>
            <w:hideMark/>
          </w:tcPr>
          <w:p w14:paraId="464F5C5B"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84.4</w:t>
            </w:r>
          </w:p>
        </w:tc>
      </w:tr>
      <w:tr w:rsidR="00290C57" w:rsidRPr="006C09A2" w14:paraId="32A3CAE6" w14:textId="77777777" w:rsidTr="006C09A2">
        <w:trPr>
          <w:trHeight w:val="675"/>
        </w:trPr>
        <w:tc>
          <w:tcPr>
            <w:tcW w:w="2606" w:type="dxa"/>
            <w:vMerge w:val="restart"/>
            <w:tcBorders>
              <w:top w:val="nil"/>
              <w:left w:val="single" w:sz="8" w:space="0" w:color="auto"/>
              <w:bottom w:val="single" w:sz="8" w:space="0" w:color="000000"/>
              <w:right w:val="single" w:sz="8" w:space="0" w:color="auto"/>
            </w:tcBorders>
            <w:shd w:val="clear" w:color="auto" w:fill="auto"/>
            <w:vAlign w:val="center"/>
            <w:hideMark/>
          </w:tcPr>
          <w:p w14:paraId="5260267E" w14:textId="2DAE457A" w:rsidR="00290C57" w:rsidRPr="006C09A2" w:rsidRDefault="00290C57" w:rsidP="00290C57">
            <w:pPr>
              <w:spacing w:line="240" w:lineRule="auto"/>
              <w:ind w:firstLine="0"/>
              <w:jc w:val="left"/>
              <w:rPr>
                <w:rFonts w:cs="Times New Roman"/>
                <w:lang w:val="en-US"/>
              </w:rPr>
            </w:pPr>
            <w:r w:rsidRPr="005A68E6">
              <w:t>Exchange rate risk</w:t>
            </w:r>
          </w:p>
        </w:tc>
        <w:tc>
          <w:tcPr>
            <w:tcW w:w="2348" w:type="dxa"/>
            <w:tcBorders>
              <w:top w:val="double" w:sz="6" w:space="0" w:color="auto"/>
              <w:left w:val="nil"/>
              <w:bottom w:val="single" w:sz="8" w:space="0" w:color="auto"/>
              <w:right w:val="nil"/>
            </w:tcBorders>
            <w:shd w:val="clear" w:color="auto" w:fill="auto"/>
            <w:vAlign w:val="center"/>
            <w:hideMark/>
          </w:tcPr>
          <w:p w14:paraId="4DB18C76" w14:textId="69E1A58E" w:rsidR="00290C57" w:rsidRPr="006C09A2" w:rsidRDefault="00290C57" w:rsidP="00290C57">
            <w:pPr>
              <w:spacing w:line="240" w:lineRule="auto"/>
              <w:ind w:firstLine="0"/>
              <w:jc w:val="left"/>
              <w:rPr>
                <w:rFonts w:cs="Times New Roman"/>
                <w:lang w:val="en-US"/>
              </w:rPr>
            </w:pPr>
            <w:r w:rsidRPr="005A68E6">
              <w:t>Foreign Exchange Debt (% of total)</w:t>
            </w:r>
          </w:p>
        </w:tc>
        <w:tc>
          <w:tcPr>
            <w:tcW w:w="1705"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2F6658CB"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 xml:space="preserve"> - </w:t>
            </w:r>
          </w:p>
        </w:tc>
        <w:tc>
          <w:tcPr>
            <w:tcW w:w="1705" w:type="dxa"/>
            <w:tcBorders>
              <w:top w:val="double" w:sz="6" w:space="0" w:color="auto"/>
              <w:left w:val="nil"/>
              <w:bottom w:val="single" w:sz="8" w:space="0" w:color="auto"/>
              <w:right w:val="single" w:sz="8" w:space="0" w:color="auto"/>
            </w:tcBorders>
            <w:shd w:val="clear" w:color="auto" w:fill="auto"/>
            <w:noWrap/>
            <w:vAlign w:val="center"/>
            <w:hideMark/>
          </w:tcPr>
          <w:p w14:paraId="046939FE"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 xml:space="preserve"> - </w:t>
            </w:r>
          </w:p>
        </w:tc>
        <w:tc>
          <w:tcPr>
            <w:tcW w:w="1706" w:type="dxa"/>
            <w:tcBorders>
              <w:top w:val="double" w:sz="6" w:space="0" w:color="auto"/>
              <w:left w:val="nil"/>
              <w:bottom w:val="single" w:sz="8" w:space="0" w:color="auto"/>
              <w:right w:val="single" w:sz="8" w:space="0" w:color="auto"/>
            </w:tcBorders>
            <w:shd w:val="clear" w:color="auto" w:fill="auto"/>
            <w:noWrap/>
            <w:vAlign w:val="center"/>
            <w:hideMark/>
          </w:tcPr>
          <w:p w14:paraId="53E27B5F" w14:textId="34E5C1F3" w:rsidR="00290C57" w:rsidRPr="006C09A2" w:rsidRDefault="00290C57" w:rsidP="00290C57">
            <w:pPr>
              <w:spacing w:line="240" w:lineRule="auto"/>
              <w:ind w:firstLine="0"/>
              <w:jc w:val="center"/>
              <w:rPr>
                <w:rFonts w:cs="Times New Roman"/>
                <w:lang w:val="en-US"/>
              </w:rPr>
            </w:pPr>
            <w:r>
              <w:rPr>
                <w:rFonts w:cs="Times New Roman"/>
                <w:lang w:val="en-US"/>
              </w:rPr>
              <w:t>49.2</w:t>
            </w:r>
          </w:p>
        </w:tc>
      </w:tr>
      <w:tr w:rsidR="00290C57" w:rsidRPr="006C09A2" w14:paraId="01EBF978" w14:textId="77777777" w:rsidTr="006C09A2">
        <w:trPr>
          <w:trHeight w:val="960"/>
        </w:trPr>
        <w:tc>
          <w:tcPr>
            <w:tcW w:w="2606" w:type="dxa"/>
            <w:vMerge/>
            <w:tcBorders>
              <w:top w:val="nil"/>
              <w:left w:val="single" w:sz="8" w:space="0" w:color="auto"/>
              <w:bottom w:val="single" w:sz="8" w:space="0" w:color="000000"/>
              <w:right w:val="single" w:sz="8" w:space="0" w:color="auto"/>
            </w:tcBorders>
            <w:vAlign w:val="center"/>
            <w:hideMark/>
          </w:tcPr>
          <w:p w14:paraId="50AB95CC" w14:textId="77777777" w:rsidR="00290C57" w:rsidRPr="006C09A2" w:rsidRDefault="00290C57" w:rsidP="00290C57">
            <w:pPr>
              <w:spacing w:line="240" w:lineRule="auto"/>
              <w:ind w:firstLine="0"/>
              <w:jc w:val="left"/>
              <w:rPr>
                <w:rFonts w:cs="Times New Roman"/>
                <w:lang w:val="en-US"/>
              </w:rPr>
            </w:pPr>
          </w:p>
        </w:tc>
        <w:tc>
          <w:tcPr>
            <w:tcW w:w="2348" w:type="dxa"/>
            <w:tcBorders>
              <w:top w:val="nil"/>
              <w:left w:val="nil"/>
              <w:bottom w:val="single" w:sz="8" w:space="0" w:color="auto"/>
              <w:right w:val="nil"/>
            </w:tcBorders>
            <w:shd w:val="clear" w:color="auto" w:fill="auto"/>
            <w:vAlign w:val="center"/>
            <w:hideMark/>
          </w:tcPr>
          <w:p w14:paraId="619E8E72" w14:textId="609A7543" w:rsidR="00290C57" w:rsidRPr="006C09A2" w:rsidRDefault="00290C57" w:rsidP="00290C57">
            <w:pPr>
              <w:spacing w:line="240" w:lineRule="auto"/>
              <w:ind w:firstLine="0"/>
              <w:jc w:val="left"/>
              <w:rPr>
                <w:rFonts w:cs="Times New Roman"/>
                <w:lang w:val="en-US"/>
              </w:rPr>
            </w:pPr>
            <w:r w:rsidRPr="005A68E6">
              <w:t>Short</w:t>
            </w:r>
            <w:r w:rsidRPr="005A68E6">
              <w:rPr>
                <w:lang w:val="en-US"/>
              </w:rPr>
              <w:t>-</w:t>
            </w:r>
            <w:r w:rsidRPr="005A68E6">
              <w:t>Term Foreign Exchange Debt / International Reserves, (%)</w:t>
            </w:r>
          </w:p>
        </w:tc>
        <w:tc>
          <w:tcPr>
            <w:tcW w:w="1705" w:type="dxa"/>
            <w:tcBorders>
              <w:top w:val="nil"/>
              <w:left w:val="single" w:sz="8" w:space="0" w:color="auto"/>
              <w:bottom w:val="single" w:sz="8" w:space="0" w:color="auto"/>
              <w:right w:val="single" w:sz="8" w:space="0" w:color="auto"/>
            </w:tcBorders>
            <w:shd w:val="clear" w:color="auto" w:fill="auto"/>
            <w:noWrap/>
            <w:vAlign w:val="center"/>
            <w:hideMark/>
          </w:tcPr>
          <w:p w14:paraId="1ACB955E"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 xml:space="preserve"> - </w:t>
            </w:r>
          </w:p>
        </w:tc>
        <w:tc>
          <w:tcPr>
            <w:tcW w:w="1705" w:type="dxa"/>
            <w:tcBorders>
              <w:top w:val="nil"/>
              <w:left w:val="nil"/>
              <w:bottom w:val="single" w:sz="8" w:space="0" w:color="auto"/>
              <w:right w:val="single" w:sz="8" w:space="0" w:color="auto"/>
            </w:tcBorders>
            <w:shd w:val="clear" w:color="auto" w:fill="auto"/>
            <w:noWrap/>
            <w:vAlign w:val="center"/>
            <w:hideMark/>
          </w:tcPr>
          <w:p w14:paraId="0F2DE47C"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 xml:space="preserve"> - </w:t>
            </w:r>
          </w:p>
        </w:tc>
        <w:tc>
          <w:tcPr>
            <w:tcW w:w="1706" w:type="dxa"/>
            <w:tcBorders>
              <w:top w:val="nil"/>
              <w:left w:val="nil"/>
              <w:bottom w:val="single" w:sz="8" w:space="0" w:color="auto"/>
              <w:right w:val="single" w:sz="8" w:space="0" w:color="auto"/>
            </w:tcBorders>
            <w:shd w:val="clear" w:color="auto" w:fill="auto"/>
            <w:noWrap/>
            <w:vAlign w:val="center"/>
            <w:hideMark/>
          </w:tcPr>
          <w:p w14:paraId="6EA31866" w14:textId="77777777" w:rsidR="00290C57" w:rsidRPr="006C09A2" w:rsidRDefault="00290C57" w:rsidP="00290C57">
            <w:pPr>
              <w:spacing w:line="240" w:lineRule="auto"/>
              <w:ind w:firstLine="0"/>
              <w:jc w:val="center"/>
              <w:rPr>
                <w:rFonts w:cs="Times New Roman"/>
                <w:lang w:val="en-US"/>
              </w:rPr>
            </w:pPr>
            <w:r w:rsidRPr="006C09A2">
              <w:rPr>
                <w:rFonts w:cs="Times New Roman"/>
                <w:lang w:val="en-US"/>
              </w:rPr>
              <w:t>19.5</w:t>
            </w:r>
          </w:p>
        </w:tc>
      </w:tr>
    </w:tbl>
    <w:p w14:paraId="02B51EF1" w14:textId="548846B9" w:rsidR="006C09A2" w:rsidRPr="00290C57" w:rsidRDefault="00290C57" w:rsidP="00290C57">
      <w:pPr>
        <w:rPr>
          <w:color w:val="FF0000"/>
        </w:rPr>
      </w:pPr>
      <w:r>
        <w:rPr>
          <w:sz w:val="16"/>
          <w:lang w:val="en-US"/>
        </w:rPr>
        <w:t>Source: RA MoF calculations</w:t>
      </w:r>
    </w:p>
    <w:p w14:paraId="2C2B10AA" w14:textId="309837A7" w:rsidR="00F17B1E" w:rsidRPr="00F17B1E" w:rsidRDefault="00F17B1E" w:rsidP="00F17B1E">
      <w:pPr>
        <w:rPr>
          <w:lang w:val="en-US"/>
        </w:rPr>
      </w:pPr>
      <w:r w:rsidRPr="006258E9">
        <w:t>The following indicators have been used to characterize</w:t>
      </w:r>
      <w:r>
        <w:rPr>
          <w:lang w:val="en-US"/>
        </w:rPr>
        <w:t xml:space="preserve"> the cost </w:t>
      </w:r>
      <w:r w:rsidR="00491218">
        <w:rPr>
          <w:lang w:val="en-US"/>
        </w:rPr>
        <w:t>of</w:t>
      </w:r>
      <w:r>
        <w:rPr>
          <w:lang w:val="en-US"/>
        </w:rPr>
        <w:t xml:space="preserve"> the Government debt: </w:t>
      </w:r>
      <w:r w:rsidRPr="005A68E6">
        <w:t>Weighted average interest rate</w:t>
      </w:r>
      <w:r>
        <w:rPr>
          <w:lang w:val="en-US"/>
        </w:rPr>
        <w:t>, S</w:t>
      </w:r>
      <w:r w:rsidRPr="005A68E6">
        <w:t>hare of interest payment</w:t>
      </w:r>
      <w:r>
        <w:rPr>
          <w:lang w:val="en-US"/>
        </w:rPr>
        <w:t>s</w:t>
      </w:r>
      <w:r w:rsidRPr="005A68E6">
        <w:t xml:space="preserve"> in </w:t>
      </w:r>
      <w:r>
        <w:rPr>
          <w:lang w:val="en-US"/>
        </w:rPr>
        <w:t>s</w:t>
      </w:r>
      <w:r w:rsidRPr="005A68E6">
        <w:t>tate budget revenues</w:t>
      </w:r>
      <w:r>
        <w:rPr>
          <w:lang w:val="en-US"/>
        </w:rPr>
        <w:t xml:space="preserve"> </w:t>
      </w:r>
      <w:r w:rsidRPr="005A68E6">
        <w:t>and Share of interest payment</w:t>
      </w:r>
      <w:r>
        <w:rPr>
          <w:lang w:val="en-US"/>
        </w:rPr>
        <w:t>s</w:t>
      </w:r>
      <w:r w:rsidRPr="005A68E6">
        <w:t xml:space="preserve"> in GDP</w:t>
      </w:r>
      <w:r>
        <w:rPr>
          <w:lang w:val="en-US"/>
        </w:rPr>
        <w:t xml:space="preserve">. </w:t>
      </w:r>
    </w:p>
    <w:p w14:paraId="6E2853A4" w14:textId="2DF01083" w:rsidR="00C90F43" w:rsidRPr="009102C6" w:rsidRDefault="00F17B1E" w:rsidP="009102C6">
      <w:r>
        <w:rPr>
          <w:lang w:val="en-US"/>
        </w:rPr>
        <w:t xml:space="preserve">At the end of 2024 the </w:t>
      </w:r>
      <w:r>
        <w:t>w</w:t>
      </w:r>
      <w:r w:rsidRPr="005A68E6">
        <w:t xml:space="preserve">eighted average interest rate </w:t>
      </w:r>
      <w:r w:rsidR="009102C6">
        <w:t xml:space="preserve">of </w:t>
      </w:r>
      <w:r w:rsidRPr="005A68E6">
        <w:t>the</w:t>
      </w:r>
      <w:r>
        <w:rPr>
          <w:lang w:val="en-US"/>
        </w:rPr>
        <w:t xml:space="preserve"> RA Government</w:t>
      </w:r>
      <w:r w:rsidRPr="005A68E6">
        <w:t xml:space="preserve"> debt </w:t>
      </w:r>
      <w:r w:rsidR="001100E5">
        <w:rPr>
          <w:lang w:val="en-US"/>
        </w:rPr>
        <w:t>stood at</w:t>
      </w:r>
      <w:r>
        <w:rPr>
          <w:lang w:val="en-US"/>
        </w:rPr>
        <w:t xml:space="preserve"> </w:t>
      </w:r>
      <w:r>
        <w:t xml:space="preserve">7.2%, </w:t>
      </w:r>
      <w:r w:rsidR="001100E5">
        <w:rPr>
          <w:lang w:val="en-US"/>
        </w:rPr>
        <w:t>c</w:t>
      </w:r>
      <w:r w:rsidR="001100E5" w:rsidRPr="001100E5">
        <w:t>omprising 10.5% for AMD-denominated debt and 3.8% for foreign currency debt.</w:t>
      </w:r>
    </w:p>
    <w:p w14:paraId="7FD8468A" w14:textId="1FE36052" w:rsidR="00D00FD7" w:rsidRPr="00D00FD7" w:rsidRDefault="00FB69D0" w:rsidP="00D00FD7">
      <w:pPr>
        <w:rPr>
          <w:lang w:val="en-US"/>
        </w:rPr>
      </w:pPr>
      <w:r>
        <w:t>The interest rates on external loans are directly influenced by developments in international financial markets, as Armenia, having been classified as a middle-income country</w:t>
      </w:r>
      <w:r>
        <w:rPr>
          <w:lang w:val="en-US"/>
        </w:rPr>
        <w:t>,</w:t>
      </w:r>
      <w:r>
        <w:rPr>
          <w:rFonts w:cs="Times Armenian"/>
          <w:lang w:val="en-US"/>
        </w:rPr>
        <w:t xml:space="preserve"> no longer has access to the </w:t>
      </w:r>
      <w:r>
        <w:t xml:space="preserve">highly </w:t>
      </w:r>
      <w:r w:rsidRPr="005A68E6">
        <w:rPr>
          <w:rFonts w:cs="Times Armenian"/>
          <w:lang w:val="en-US"/>
        </w:rPr>
        <w:t xml:space="preserve">concessional </w:t>
      </w:r>
      <w:r w:rsidRPr="005A68E6">
        <w:rPr>
          <w:rFonts w:cs="Times Armenian"/>
        </w:rPr>
        <w:t xml:space="preserve">loans provided by international </w:t>
      </w:r>
      <w:r>
        <w:rPr>
          <w:rFonts w:cs="Times Armenian"/>
          <w:lang w:val="en-US"/>
        </w:rPr>
        <w:t>organizations.</w:t>
      </w:r>
      <w:r w:rsidR="00414AE6">
        <w:rPr>
          <w:lang w:val="en-US"/>
        </w:rPr>
        <w:t xml:space="preserve"> </w:t>
      </w:r>
      <w:r w:rsidR="00700A16" w:rsidRPr="00700A16">
        <w:rPr>
          <w:lang w:val="en-US"/>
        </w:rPr>
        <w:t xml:space="preserve">Thus, alongside the slowdown in </w:t>
      </w:r>
      <w:r w:rsidR="00700A16" w:rsidRPr="00700A16">
        <w:rPr>
          <w:lang w:val="en-US"/>
        </w:rPr>
        <w:lastRenderedPageBreak/>
        <w:t>inflation rates in international financial markets (</w:t>
      </w:r>
      <w:r w:rsidR="00D00FD7">
        <w:rPr>
          <w:lang w:val="en-US"/>
        </w:rPr>
        <w:t>excluding</w:t>
      </w:r>
      <w:r w:rsidR="00700A16" w:rsidRPr="00700A16">
        <w:rPr>
          <w:lang w:val="en-US"/>
        </w:rPr>
        <w:t xml:space="preserve"> the Russian Federation), central banks have gradually eased their restrictive monetary policies. </w:t>
      </w:r>
      <w:r w:rsidR="00D00FD7">
        <w:rPr>
          <w:lang w:val="en-US"/>
        </w:rPr>
        <w:t>In contrast</w:t>
      </w:r>
      <w:r w:rsidR="00700A16" w:rsidRPr="00700A16">
        <w:rPr>
          <w:lang w:val="en-US"/>
        </w:rPr>
        <w:t xml:space="preserve">, in the Russian Federation, the </w:t>
      </w:r>
      <w:r w:rsidR="00EB48B1">
        <w:rPr>
          <w:lang w:val="en-US"/>
        </w:rPr>
        <w:t>policy</w:t>
      </w:r>
      <w:r w:rsidR="00EB48B1" w:rsidRPr="00700A16">
        <w:rPr>
          <w:lang w:val="en-US"/>
        </w:rPr>
        <w:t xml:space="preserve"> </w:t>
      </w:r>
      <w:r w:rsidR="00700A16" w:rsidRPr="00700A16">
        <w:rPr>
          <w:lang w:val="en-US"/>
        </w:rPr>
        <w:t>interest rate has continued to rise steadily.</w:t>
      </w:r>
    </w:p>
    <w:p w14:paraId="5F9675C0" w14:textId="3EDF99F4" w:rsidR="00FB69D0" w:rsidRDefault="00D00FD7" w:rsidP="00294D39">
      <w:r>
        <w:t>During the first half of 2024, central banks maintained the interest rates set at the end of the previous year; however, starting in July, these rates were gradually reduced.</w:t>
      </w:r>
      <w:r>
        <w:rPr>
          <w:lang w:val="en-US"/>
        </w:rPr>
        <w:t xml:space="preserve"> </w:t>
      </w:r>
      <w:r w:rsidR="00FB69D0">
        <w:t xml:space="preserve">As a result, the U.S. Federal Reserve’s policy </w:t>
      </w:r>
      <w:r>
        <w:t>rate had declined to 4.25–4.5% by the end of December</w:t>
      </w:r>
      <w:r>
        <w:rPr>
          <w:lang w:val="en-US"/>
        </w:rPr>
        <w:t>,</w:t>
      </w:r>
      <w:r>
        <w:t xml:space="preserve"> </w:t>
      </w:r>
      <w:r w:rsidR="00FB69D0">
        <w:t>compared to the 5.25–5.5% range at the beginning of the year.</w:t>
      </w:r>
      <w:r>
        <w:rPr>
          <w:lang w:val="en-US"/>
        </w:rPr>
        <w:t xml:space="preserve"> </w:t>
      </w:r>
      <w:r>
        <w:t xml:space="preserve">Following the decline in inflation rates, the European Central Bank continued to gradually lower its policy rate, thereby easing financial conditions. </w:t>
      </w:r>
      <w:r w:rsidR="00FB69D0">
        <w:t>Consequently, the ECB’s refinancing rate stood at 3.15% at the end of December, down from 4.5% at the beginning of the year.</w:t>
      </w:r>
    </w:p>
    <w:p w14:paraId="45A6C63E" w14:textId="5115435A" w:rsidR="00294D39" w:rsidRPr="00C334D2" w:rsidRDefault="00294D39" w:rsidP="00C334D2">
      <w:pPr>
        <w:rPr>
          <w:rFonts w:cs="Times Armenian"/>
        </w:rPr>
      </w:pPr>
      <w:r>
        <w:rPr>
          <w:rFonts w:cs="Times Armenian"/>
        </w:rPr>
        <w:t>Due to these factors</w:t>
      </w:r>
      <w:r>
        <w:t xml:space="preserve">, the weighted average interest rate on external loans and borrowings stood at 3.5% at the end of the year, </w:t>
      </w:r>
      <w:r w:rsidR="00C334D2">
        <w:rPr>
          <w:lang w:val="en-US"/>
        </w:rPr>
        <w:t xml:space="preserve">compared to </w:t>
      </w:r>
      <w:r>
        <w:t xml:space="preserve">3.6% </w:t>
      </w:r>
      <w:r w:rsidR="00C334D2">
        <w:rPr>
          <w:lang w:val="en-US"/>
        </w:rPr>
        <w:t>in</w:t>
      </w:r>
      <w:r>
        <w:t xml:space="preserve"> the previous year. </w:t>
      </w:r>
      <w:r>
        <w:rPr>
          <w:rFonts w:cs="Times Armenian"/>
          <w:lang w:val="en-US"/>
        </w:rPr>
        <w:t xml:space="preserve">As for </w:t>
      </w:r>
      <w:r w:rsidRPr="005A68E6">
        <w:rPr>
          <w:rFonts w:cs="Times Armenian"/>
          <w:lang w:val="en-US"/>
        </w:rPr>
        <w:t>G</w:t>
      </w:r>
      <w:r w:rsidRPr="005A68E6">
        <w:rPr>
          <w:rFonts w:cs="Times Armenian"/>
        </w:rPr>
        <w:t xml:space="preserve">overnment </w:t>
      </w:r>
      <w:r w:rsidRPr="005A68E6">
        <w:rPr>
          <w:rFonts w:cs="Times Armenian"/>
          <w:lang w:val="en-US"/>
        </w:rPr>
        <w:t>t</w:t>
      </w:r>
      <w:r>
        <w:rPr>
          <w:rFonts w:cs="Times Armenian"/>
        </w:rPr>
        <w:t>reasury bonds</w:t>
      </w:r>
      <w:r>
        <w:t xml:space="preserve">, </w:t>
      </w:r>
      <w:r>
        <w:rPr>
          <w:lang w:val="en-US"/>
        </w:rPr>
        <w:t>the</w:t>
      </w:r>
      <w:r>
        <w:t xml:space="preserve"> weighted average yield </w:t>
      </w:r>
      <w:r w:rsidRPr="005A68E6">
        <w:rPr>
          <w:rFonts w:cs="Times Armenian"/>
        </w:rPr>
        <w:t xml:space="preserve">of </w:t>
      </w:r>
      <w:r w:rsidRPr="005A68E6">
        <w:rPr>
          <w:rFonts w:cs="Times Armenian"/>
          <w:lang w:val="en-US"/>
        </w:rPr>
        <w:t>G</w:t>
      </w:r>
      <w:r w:rsidRPr="005A68E6">
        <w:rPr>
          <w:rFonts w:cs="Times Armenian"/>
        </w:rPr>
        <w:t>overnment tre</w:t>
      </w:r>
      <w:r w:rsidRPr="005A68E6">
        <w:rPr>
          <w:rFonts w:cs="Times Armenian"/>
          <w:lang w:val="en-US"/>
        </w:rPr>
        <w:t>a</w:t>
      </w:r>
      <w:r w:rsidRPr="005A68E6">
        <w:rPr>
          <w:rFonts w:cs="Times Armenian"/>
        </w:rPr>
        <w:t xml:space="preserve">sury bonds </w:t>
      </w:r>
      <w:r>
        <w:rPr>
          <w:lang w:val="en-US"/>
        </w:rPr>
        <w:t>amounted to</w:t>
      </w:r>
      <w:r>
        <w:t xml:space="preserve"> 10.6% as of December 31, 2024</w:t>
      </w:r>
      <w:r w:rsidR="00C334D2">
        <w:rPr>
          <w:lang w:val="en-US"/>
        </w:rPr>
        <w:t>,</w:t>
      </w:r>
      <w:r>
        <w:rPr>
          <w:lang w:val="en-US"/>
        </w:rPr>
        <w:t xml:space="preserve"> </w:t>
      </w:r>
      <w:r w:rsidR="00C334D2">
        <w:rPr>
          <w:lang w:val="en-US"/>
        </w:rPr>
        <w:t>compared to</w:t>
      </w:r>
      <w:r>
        <w:t xml:space="preserve"> 10.7% at the end of 2023.</w:t>
      </w:r>
    </w:p>
    <w:p w14:paraId="7D1C921D" w14:textId="35C70B6E" w:rsidR="00540B79" w:rsidRPr="00F37BE8" w:rsidRDefault="00540B79" w:rsidP="007F7D41">
      <w:pPr>
        <w:ind w:firstLine="706"/>
      </w:pPr>
      <w:r>
        <w:t xml:space="preserve">During the year, the Central Bank significantly eased monetary conditions and reduced the policy interest rate by 2.25 percentage points, setting it at 7% in December. As a result, throughout 2024, the weighted average yield on primary </w:t>
      </w:r>
      <w:r w:rsidR="00F528F7">
        <w:rPr>
          <w:lang w:val="en-US"/>
        </w:rPr>
        <w:t>placements</w:t>
      </w:r>
      <w:r>
        <w:t xml:space="preserve"> of government treasury bonds declined by 1.0 percentage point compared to the previous year, falling from 10.8% in 2023 to 9.8% in 2024.</w:t>
      </w:r>
    </w:p>
    <w:p w14:paraId="2A28F5FF" w14:textId="27E640A7" w:rsidR="00F528F7" w:rsidRPr="00F528F7" w:rsidRDefault="00F528F7" w:rsidP="00F528F7">
      <w:r>
        <w:t xml:space="preserve">In 2024, the </w:t>
      </w:r>
      <w:r>
        <w:rPr>
          <w:lang w:val="en-US"/>
        </w:rPr>
        <w:t xml:space="preserve">RA </w:t>
      </w:r>
      <w:r>
        <w:t xml:space="preserve">Government </w:t>
      </w:r>
      <w:r w:rsidR="00E85E67">
        <w:t xml:space="preserve">interest </w:t>
      </w:r>
      <w:r w:rsidR="00E85E67">
        <w:rPr>
          <w:lang w:val="en-US"/>
        </w:rPr>
        <w:t>payments were</w:t>
      </w:r>
      <w:r>
        <w:t xml:space="preserve"> AMD 313.6 billion</w:t>
      </w:r>
      <w:r>
        <w:rPr>
          <w:lang w:val="en-US"/>
        </w:rPr>
        <w:t xml:space="preserve"> </w:t>
      </w:r>
      <w:r>
        <w:t>compared to AMD 253.4 billion in the previous year. The interest payments made in 2024 accounted for 12.2% of state budget revenues, 10.6% of state budget expenditures, and 3.1% of GDP, compared to 10.7%, 9.9%, and 2.7%, respectively, in the previous year.</w:t>
      </w:r>
    </w:p>
    <w:p w14:paraId="51B4C80C" w14:textId="1199633C" w:rsidR="007901C3" w:rsidRPr="000730C0" w:rsidRDefault="00DC200A" w:rsidP="007E37AA">
      <w:pPr>
        <w:pStyle w:val="af8"/>
        <w:keepLines/>
        <w:spacing w:before="360"/>
      </w:pPr>
      <w:r w:rsidRPr="000730C0">
        <w:t xml:space="preserve">Exchange rate risk </w:t>
      </w:r>
    </w:p>
    <w:p w14:paraId="0D58B187" w14:textId="2BAA3427" w:rsidR="00DC200A" w:rsidRPr="0070296A" w:rsidRDefault="00DC200A" w:rsidP="009C589B">
      <w:r>
        <w:rPr>
          <w:lang w:val="en-US"/>
        </w:rPr>
        <w:t xml:space="preserve">The exchange rate risk has consistently been </w:t>
      </w:r>
      <w:r w:rsidRPr="005A68E6">
        <w:rPr>
          <w:lang w:val="en-US"/>
        </w:rPr>
        <w:t>t</w:t>
      </w:r>
      <w:r w:rsidRPr="005A68E6">
        <w:t xml:space="preserve">he most significant </w:t>
      </w:r>
      <w:r>
        <w:rPr>
          <w:lang w:val="en-US"/>
        </w:rPr>
        <w:t xml:space="preserve">among </w:t>
      </w:r>
      <w:r w:rsidRPr="005A68E6">
        <w:t>market risk</w:t>
      </w:r>
      <w:r w:rsidRPr="005A68E6">
        <w:rPr>
          <w:lang w:val="en-US"/>
        </w:rPr>
        <w:t>s</w:t>
      </w:r>
      <w:r w:rsidRPr="005A68E6">
        <w:t xml:space="preserve"> in the RA Government debt portfolio</w:t>
      </w:r>
      <w:r>
        <w:rPr>
          <w:lang w:val="en-US"/>
        </w:rPr>
        <w:t xml:space="preserve"> </w:t>
      </w:r>
      <w:r>
        <w:t>over the years</w:t>
      </w:r>
      <w:r w:rsidRPr="005A68E6">
        <w:rPr>
          <w:lang w:val="en-US"/>
        </w:rPr>
        <w:t>.</w:t>
      </w:r>
      <w:r w:rsidRPr="005A68E6">
        <w:t xml:space="preserve"> </w:t>
      </w:r>
      <w:r w:rsidR="000730C0">
        <w:rPr>
          <w:lang w:val="en-US"/>
        </w:rPr>
        <w:t>It</w:t>
      </w:r>
      <w:r w:rsidRPr="005A68E6">
        <w:t xml:space="preserve"> is </w:t>
      </w:r>
      <w:r w:rsidR="00E85E67">
        <w:rPr>
          <w:lang w:val="en-US"/>
        </w:rPr>
        <w:t>mainly</w:t>
      </w:r>
      <w:r w:rsidR="00E85E67" w:rsidRPr="005A68E6">
        <w:t xml:space="preserve"> </w:t>
      </w:r>
      <w:r w:rsidRPr="005A68E6">
        <w:t>measure</w:t>
      </w:r>
      <w:r>
        <w:t xml:space="preserve">d by the following indicators: </w:t>
      </w:r>
      <w:r w:rsidR="000730C0">
        <w:rPr>
          <w:lang w:val="en-US"/>
        </w:rPr>
        <w:t>s</w:t>
      </w:r>
      <w:r>
        <w:t>hare of the foreign currency-</w:t>
      </w:r>
      <w:r w:rsidRPr="005A68E6">
        <w:t>deno</w:t>
      </w:r>
      <w:r w:rsidR="000730C0">
        <w:t>minated debt in total debt and s</w:t>
      </w:r>
      <w:r w:rsidRPr="005A68E6">
        <w:t xml:space="preserve">hare of </w:t>
      </w:r>
      <w:r w:rsidR="000730C0" w:rsidRPr="000730C0">
        <w:t>short-term foreign currency-denominated debt</w:t>
      </w:r>
      <w:r w:rsidR="000730C0">
        <w:rPr>
          <w:lang w:val="en-US"/>
        </w:rPr>
        <w:t xml:space="preserve"> </w:t>
      </w:r>
      <w:r w:rsidRPr="005A68E6">
        <w:t>in international reserves.</w:t>
      </w:r>
    </w:p>
    <w:p w14:paraId="51F0290E" w14:textId="5E2F33BE" w:rsidR="008721EC" w:rsidRPr="00C34AAC" w:rsidRDefault="009C589B" w:rsidP="00C34AAC">
      <w:r>
        <w:rPr>
          <w:lang w:val="en-US"/>
        </w:rPr>
        <w:t>The current RA Government debt portfolio r</w:t>
      </w:r>
      <w:r w:rsidRPr="009C589B">
        <w:rPr>
          <w:lang w:val="en-US"/>
        </w:rPr>
        <w:t>emains significantly exposed</w:t>
      </w:r>
      <w:r>
        <w:rPr>
          <w:lang w:val="en-US"/>
        </w:rPr>
        <w:t xml:space="preserve"> to a high exchange rate risk</w:t>
      </w:r>
      <w:r>
        <w:t xml:space="preserve">, as 49.2% of debt was denominated in foreign currency as of December 31, 2024. However, as a result of </w:t>
      </w:r>
      <w:r w:rsidR="00A13BE1">
        <w:rPr>
          <w:lang w:val="en-US"/>
        </w:rPr>
        <w:t xml:space="preserve">the </w:t>
      </w:r>
      <w:r>
        <w:t xml:space="preserve">consistent implementation of the Government debt management policy aimed at reducing exchange rate risk, this indicator has </w:t>
      </w:r>
      <w:r w:rsidR="00A13BE1">
        <w:rPr>
          <w:lang w:val="en-US"/>
        </w:rPr>
        <w:t>shown</w:t>
      </w:r>
      <w:r>
        <w:t xml:space="preserve"> a downward trend since 2018. Over a five-year period, it has decreased by 30 percentage points, and for the first time in history, the share of </w:t>
      </w:r>
      <w:r>
        <w:rPr>
          <w:lang w:val="en-US"/>
        </w:rPr>
        <w:t>AMD</w:t>
      </w:r>
      <w:r>
        <w:t xml:space="preserve">-denominated debt </w:t>
      </w:r>
      <w:r>
        <w:lastRenderedPageBreak/>
        <w:t xml:space="preserve">has exceeded </w:t>
      </w:r>
      <w:r w:rsidR="009024CD">
        <w:t>the share</w:t>
      </w:r>
      <w:r w:rsidR="009024CD" w:rsidDel="009024CD">
        <w:t xml:space="preserve"> </w:t>
      </w:r>
      <w:r>
        <w:t xml:space="preserve">of foreign currency-denominated debt. </w:t>
      </w:r>
      <w:r>
        <w:rPr>
          <w:lang w:val="en-US"/>
        </w:rPr>
        <w:t>T</w:t>
      </w:r>
      <w:r>
        <w:t xml:space="preserve">he latter </w:t>
      </w:r>
      <w:r w:rsidR="00A13BE1">
        <w:t xml:space="preserve">declined </w:t>
      </w:r>
      <w:r>
        <w:t>by 4.9 percentage points</w:t>
      </w:r>
      <w:r>
        <w:rPr>
          <w:lang w:val="en-US"/>
        </w:rPr>
        <w:t xml:space="preserve"> </w:t>
      </w:r>
      <w:r>
        <w:t>compared to the previous year.</w:t>
      </w:r>
    </w:p>
    <w:p w14:paraId="3D0B957C" w14:textId="24228834" w:rsidR="00177F11" w:rsidRPr="008049A9" w:rsidRDefault="00A66421" w:rsidP="008049A9">
      <w:pPr>
        <w:pStyle w:val="af7"/>
        <w:numPr>
          <w:ilvl w:val="0"/>
          <w:numId w:val="20"/>
        </w:numPr>
        <w:tabs>
          <w:tab w:val="left" w:pos="180"/>
          <w:tab w:val="left" w:pos="630"/>
          <w:tab w:val="left" w:pos="1440"/>
          <w:tab w:val="left" w:pos="1710"/>
          <w:tab w:val="left" w:pos="1890"/>
          <w:tab w:val="left" w:pos="2430"/>
          <w:tab w:val="left" w:pos="2610"/>
          <w:tab w:val="left" w:pos="2880"/>
        </w:tabs>
        <w:rPr>
          <w:b w:val="0"/>
          <w:sz w:val="22"/>
          <w:szCs w:val="22"/>
        </w:rPr>
      </w:pPr>
      <w:r w:rsidRPr="00A66421">
        <w:rPr>
          <w:b w:val="0"/>
          <w:sz w:val="22"/>
          <w:szCs w:val="22"/>
        </w:rPr>
        <w:t>S</w:t>
      </w:r>
      <w:r w:rsidR="00E4538C" w:rsidRPr="00E4538C">
        <w:rPr>
          <w:b w:val="0"/>
          <w:sz w:val="22"/>
          <w:szCs w:val="22"/>
        </w:rPr>
        <w:t>h</w:t>
      </w:r>
      <w:r w:rsidR="00E4538C">
        <w:rPr>
          <w:b w:val="0"/>
          <w:sz w:val="22"/>
          <w:szCs w:val="22"/>
        </w:rPr>
        <w:t>are of foreign currency and AMD</w:t>
      </w:r>
      <w:r w:rsidR="00E4538C" w:rsidRPr="00E4538C">
        <w:rPr>
          <w:b w:val="0"/>
          <w:sz w:val="22"/>
          <w:szCs w:val="22"/>
        </w:rPr>
        <w:t>-denominated debt of the RA Government (%)</w:t>
      </w:r>
    </w:p>
    <w:p w14:paraId="44494F1C" w14:textId="15731BBF" w:rsidR="008049A9" w:rsidRDefault="008049A9" w:rsidP="00C34AAC">
      <w:pPr>
        <w:pStyle w:val="af7"/>
        <w:spacing w:after="0"/>
        <w:jc w:val="center"/>
      </w:pPr>
      <w:r>
        <w:rPr>
          <w:noProof/>
          <w:lang w:val="en-US"/>
        </w:rPr>
        <w:drawing>
          <wp:inline distT="0" distB="0" distL="0" distR="0" wp14:anchorId="7BFC2109" wp14:editId="10F277F6">
            <wp:extent cx="6160135" cy="2667000"/>
            <wp:effectExtent l="0" t="0" r="1206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F1F7460" w14:textId="321FC826" w:rsidR="00844F2F" w:rsidRPr="00641A6B" w:rsidRDefault="00844F2F" w:rsidP="00641A6B">
      <w:pPr>
        <w:rPr>
          <w:color w:val="FF0000"/>
        </w:rPr>
      </w:pPr>
      <w:r w:rsidRPr="00B1068B">
        <w:rPr>
          <w:sz w:val="18"/>
          <w:szCs w:val="18"/>
        </w:rPr>
        <w:t xml:space="preserve"> </w:t>
      </w:r>
      <w:r w:rsidR="00E4538C" w:rsidRPr="0073470D">
        <w:rPr>
          <w:sz w:val="18"/>
          <w:szCs w:val="18"/>
        </w:rPr>
        <w:t>Source: RA MoF</w:t>
      </w:r>
    </w:p>
    <w:p w14:paraId="2774A87A" w14:textId="4240E286" w:rsidR="00FE0558" w:rsidRPr="00C34AAC" w:rsidRDefault="00FE0558" w:rsidP="00C34AAC">
      <w:r w:rsidRPr="00FE0558">
        <w:t>At the end of 2024, USD-denominated debt prevailed in the structure</w:t>
      </w:r>
      <w:r>
        <w:t xml:space="preserve"> </w:t>
      </w:r>
      <w:r w:rsidR="004E55C1">
        <w:rPr>
          <w:lang w:val="en-US"/>
        </w:rPr>
        <w:t xml:space="preserve">of </w:t>
      </w:r>
      <w:r>
        <w:t xml:space="preserve">the RA Government foreign currency debt portfolio, accounting for 57.3%. When adjusted according to the currency composition of the SDR basket, this share increased to 67%. </w:t>
      </w:r>
      <w:r>
        <w:rPr>
          <w:lang w:val="en-US"/>
        </w:rPr>
        <w:t>T</w:t>
      </w:r>
      <w:r>
        <w:t xml:space="preserve">he structure of the </w:t>
      </w:r>
      <w:r>
        <w:rPr>
          <w:lang w:val="en-US"/>
        </w:rPr>
        <w:t xml:space="preserve">RA </w:t>
      </w:r>
      <w:r>
        <w:t>Government foreign currency debt became more diversified compared to the end of the previous year</w:t>
      </w:r>
      <w:r w:rsidR="004E55C1">
        <w:rPr>
          <w:lang w:val="en-US"/>
        </w:rPr>
        <w:t>,</w:t>
      </w:r>
      <w:r>
        <w:t xml:space="preserve"> as reflected in the increased share of euro-denominated debt. Specifically, the share of SDR-denominated debt decreased by 4.4 percentage points, while the share of euro-denominated debt increased by 4.7 percentage points. Notably, in 2024, 81% of loan disbursements — including the entirety of budget support loans — were </w:t>
      </w:r>
      <w:r w:rsidR="004E55C1">
        <w:rPr>
          <w:lang w:val="en-US"/>
        </w:rPr>
        <w:t>made</w:t>
      </w:r>
      <w:r>
        <w:t xml:space="preserve"> in euros.</w:t>
      </w:r>
    </w:p>
    <w:p w14:paraId="2EFB4FD1" w14:textId="6834148C" w:rsidR="00424D39" w:rsidRPr="009A39E4" w:rsidRDefault="00424D39" w:rsidP="00141DB6">
      <w:pPr>
        <w:pStyle w:val="af7"/>
        <w:numPr>
          <w:ilvl w:val="0"/>
          <w:numId w:val="20"/>
        </w:numPr>
        <w:tabs>
          <w:tab w:val="left" w:pos="180"/>
          <w:tab w:val="left" w:pos="630"/>
          <w:tab w:val="left" w:pos="1440"/>
          <w:tab w:val="left" w:pos="1710"/>
          <w:tab w:val="left" w:pos="1890"/>
          <w:tab w:val="left" w:pos="2430"/>
          <w:tab w:val="left" w:pos="2610"/>
          <w:tab w:val="left" w:pos="2880"/>
        </w:tabs>
        <w:rPr>
          <w:b w:val="0"/>
          <w:sz w:val="22"/>
          <w:szCs w:val="22"/>
        </w:rPr>
      </w:pPr>
      <w:r w:rsidRPr="009A39E4">
        <w:rPr>
          <w:sz w:val="22"/>
          <w:szCs w:val="22"/>
        </w:rPr>
        <w:t xml:space="preserve"> </w:t>
      </w:r>
      <w:r w:rsidR="00141DB6" w:rsidRPr="00545585">
        <w:rPr>
          <w:b w:val="0"/>
          <w:sz w:val="22"/>
          <w:szCs w:val="22"/>
        </w:rPr>
        <w:t>Dynamics of the RA Government foreign currency debt portfolio, 2019-2024</w:t>
      </w:r>
    </w:p>
    <w:p w14:paraId="7A31C18A" w14:textId="77777777" w:rsidR="00334EE1" w:rsidRDefault="00BF58F4" w:rsidP="00C34AAC">
      <w:pPr>
        <w:ind w:firstLine="0"/>
        <w:jc w:val="center"/>
        <w:rPr>
          <w:color w:val="FF0000"/>
        </w:rPr>
      </w:pPr>
      <w:r>
        <w:rPr>
          <w:noProof/>
          <w:lang w:val="en-US"/>
        </w:rPr>
        <w:drawing>
          <wp:inline distT="0" distB="0" distL="0" distR="0" wp14:anchorId="5701C4C8" wp14:editId="67D96CFF">
            <wp:extent cx="6124575" cy="26574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3AC9AA" w14:textId="77777777" w:rsidR="0044470C" w:rsidRPr="00C466FB" w:rsidRDefault="0044470C" w:rsidP="00C34AAC">
      <w:pPr>
        <w:spacing w:line="240" w:lineRule="auto"/>
        <w:rPr>
          <w:sz w:val="18"/>
          <w:szCs w:val="18"/>
        </w:rPr>
      </w:pPr>
      <w:r w:rsidRPr="00E94268">
        <w:rPr>
          <w:sz w:val="18"/>
        </w:rPr>
        <w:t>Source: RA MoF</w:t>
      </w:r>
      <w:r w:rsidRPr="00C466FB">
        <w:rPr>
          <w:sz w:val="18"/>
        </w:rPr>
        <w:t xml:space="preserve"> calculations</w:t>
      </w:r>
    </w:p>
    <w:p w14:paraId="2169D768" w14:textId="77777777" w:rsidR="00285A47" w:rsidRDefault="00285A47" w:rsidP="00285A47">
      <w:pPr>
        <w:jc w:val="center"/>
        <w:rPr>
          <w:color w:val="FF0000"/>
        </w:rPr>
      </w:pPr>
    </w:p>
    <w:p w14:paraId="490C64B5" w14:textId="186B9FF8" w:rsidR="00B35927" w:rsidRPr="00410811" w:rsidRDefault="00B35927" w:rsidP="00B35927">
      <w:pPr>
        <w:rPr>
          <w:lang w:val="en-US"/>
        </w:rPr>
      </w:pPr>
      <w:r>
        <w:t xml:space="preserve">The share of short-term foreign currency debt in international reserves </w:t>
      </w:r>
      <w:r w:rsidR="00BD2A4A" w:rsidRPr="00BD2A4A">
        <w:t>amounted to</w:t>
      </w:r>
      <w:r w:rsidR="00BD2A4A">
        <w:rPr>
          <w:lang w:val="en-US"/>
        </w:rPr>
        <w:t xml:space="preserve"> </w:t>
      </w:r>
      <w:r>
        <w:t xml:space="preserve">18.2%, indicating </w:t>
      </w:r>
      <w:r w:rsidRPr="00B35927">
        <w:t>that a sufficient amount of foreign currency assets is available to cover repayments of short-term foreign currency debt.</w:t>
      </w:r>
      <w:r>
        <w:t xml:space="preserve"> </w:t>
      </w:r>
      <w:r>
        <w:rPr>
          <w:lang w:val="en-US"/>
        </w:rPr>
        <w:t>T</w:t>
      </w:r>
      <w:r>
        <w:t>his indicator increased by 7.1 percentage points compared to the previous year, mainly due to a decrease in international reserves.</w:t>
      </w:r>
    </w:p>
    <w:p w14:paraId="7523EECD" w14:textId="01A2FF63" w:rsidR="00F3036F" w:rsidRPr="00545585" w:rsidRDefault="000E1092" w:rsidP="007B6FD3">
      <w:pPr>
        <w:pStyle w:val="af8"/>
      </w:pPr>
      <w:r w:rsidRPr="00545585">
        <w:t xml:space="preserve">Refinancing risk </w:t>
      </w:r>
    </w:p>
    <w:p w14:paraId="09EB2D19" w14:textId="6739CC90" w:rsidR="0069692F" w:rsidRPr="00C34AAC" w:rsidRDefault="00FB1061" w:rsidP="00C34AAC">
      <w:pPr>
        <w:rPr>
          <w:lang w:val="en-US"/>
        </w:rPr>
      </w:pPr>
      <w:r>
        <w:t xml:space="preserve">The refinancing risk of the Government debt portfolio is assessed </w:t>
      </w:r>
      <w:r w:rsidR="003B3A50">
        <w:rPr>
          <w:lang w:val="en-US"/>
        </w:rPr>
        <w:t>through</w:t>
      </w:r>
      <w:r>
        <w:t xml:space="preserve"> the average time to maturity, </w:t>
      </w:r>
      <w:r>
        <w:rPr>
          <w:lang w:val="en-US"/>
        </w:rPr>
        <w:t>the share</w:t>
      </w:r>
      <w:r>
        <w:t xml:space="preserve"> of debt maturing </w:t>
      </w:r>
      <w:r>
        <w:rPr>
          <w:lang w:val="en-US"/>
        </w:rPr>
        <w:t>in</w:t>
      </w:r>
      <w:r>
        <w:t xml:space="preserve"> one </w:t>
      </w:r>
      <w:r>
        <w:rPr>
          <w:lang w:val="en-US"/>
        </w:rPr>
        <w:t xml:space="preserve">year </w:t>
      </w:r>
      <w:r>
        <w:t xml:space="preserve">and </w:t>
      </w:r>
      <w:r>
        <w:rPr>
          <w:lang w:val="en-US"/>
        </w:rPr>
        <w:t>in the coming three</w:t>
      </w:r>
      <w:r>
        <w:t xml:space="preserve"> years, and the </w:t>
      </w:r>
      <w:r>
        <w:rPr>
          <w:lang w:val="en-US"/>
        </w:rPr>
        <w:t xml:space="preserve">redemption profile of the Government </w:t>
      </w:r>
      <w:r>
        <w:t>debt</w:t>
      </w:r>
      <w:r>
        <w:rPr>
          <w:lang w:val="en-US"/>
        </w:rPr>
        <w:t xml:space="preserve">. </w:t>
      </w:r>
    </w:p>
    <w:p w14:paraId="1E2DC950" w14:textId="40821E7D" w:rsidR="006B632F" w:rsidRDefault="00FC22B2" w:rsidP="00422443">
      <w:pPr>
        <w:rPr>
          <w:color w:val="FF0000"/>
        </w:rPr>
      </w:pPr>
      <w:r>
        <w:t xml:space="preserve">As of December 31, 2024, the average time to maturity of the RA Government debt stood at 6.9 years, compared to 7.4 years in the previous period. </w:t>
      </w:r>
      <w:r w:rsidR="004218BF">
        <w:rPr>
          <w:lang w:val="en-US"/>
        </w:rPr>
        <w:t>Moreover</w:t>
      </w:r>
      <w:r>
        <w:t xml:space="preserve">, the average time to maturity </w:t>
      </w:r>
      <w:r w:rsidR="003B3A50">
        <w:rPr>
          <w:lang w:val="en-US"/>
        </w:rPr>
        <w:t>of</w:t>
      </w:r>
      <w:r w:rsidR="003B3A50">
        <w:t xml:space="preserve"> </w:t>
      </w:r>
      <w:r>
        <w:t xml:space="preserve">foreign currency-denominated debt </w:t>
      </w:r>
      <w:r w:rsidR="004218BF">
        <w:rPr>
          <w:lang w:val="en-US"/>
        </w:rPr>
        <w:t>amounted to</w:t>
      </w:r>
      <w:r>
        <w:t xml:space="preserve"> 6.6 years, down from 6.8 years in the </w:t>
      </w:r>
      <w:r w:rsidR="004218BF">
        <w:rPr>
          <w:lang w:val="en-US"/>
        </w:rPr>
        <w:t>previous</w:t>
      </w:r>
      <w:r>
        <w:t xml:space="preserve"> period, while for AMD-denominated debt it was 7.2 years, compared to 8.0 years. The reduction in the average time to maturity of the RA Government debt was driven by the shortening of maturities in government treasury </w:t>
      </w:r>
      <w:r w:rsidR="00FA1B99">
        <w:rPr>
          <w:lang w:val="en-US"/>
        </w:rPr>
        <w:t>bonds</w:t>
      </w:r>
      <w:r>
        <w:t xml:space="preserve"> issued </w:t>
      </w:r>
      <w:r w:rsidR="004218BF">
        <w:t>during 2024</w:t>
      </w:r>
      <w:r>
        <w:t xml:space="preserve">, as well as the gradual repayment of concessional long-term loans and their refinancing with relatively shorter-term debt instruments. </w:t>
      </w:r>
      <w:r w:rsidR="004218BF">
        <w:rPr>
          <w:lang w:val="en-US"/>
        </w:rPr>
        <w:t xml:space="preserve">However, </w:t>
      </w:r>
      <w:r w:rsidR="004218BF" w:rsidRPr="004218BF">
        <w:rPr>
          <w:lang w:val="en-US"/>
        </w:rPr>
        <w:t>from the perspective of refinancing risk, the average time to maturity indicator has not significantly deviated from the benchmark range set by the RA Governmen</w:t>
      </w:r>
      <w:r w:rsidR="004218BF">
        <w:rPr>
          <w:lang w:val="en-US"/>
        </w:rPr>
        <w:t>t</w:t>
      </w:r>
      <w:r w:rsidR="004218BF" w:rsidRPr="004218BF">
        <w:rPr>
          <w:lang w:val="en-US"/>
        </w:rPr>
        <w:t xml:space="preserve"> debt management strategy for 2025–2027.</w:t>
      </w:r>
    </w:p>
    <w:p w14:paraId="64E00CA8" w14:textId="348C8812" w:rsidR="00D624CE" w:rsidRPr="00410811" w:rsidRDefault="00D86C67" w:rsidP="00410811">
      <w:pPr>
        <w:pStyle w:val="af7"/>
        <w:numPr>
          <w:ilvl w:val="0"/>
          <w:numId w:val="20"/>
        </w:numPr>
        <w:tabs>
          <w:tab w:val="left" w:pos="180"/>
          <w:tab w:val="left" w:pos="630"/>
          <w:tab w:val="left" w:pos="1440"/>
          <w:tab w:val="left" w:pos="1710"/>
          <w:tab w:val="left" w:pos="1890"/>
          <w:tab w:val="left" w:pos="2430"/>
          <w:tab w:val="left" w:pos="2610"/>
          <w:tab w:val="left" w:pos="2880"/>
        </w:tabs>
        <w:rPr>
          <w:b w:val="0"/>
          <w:sz w:val="22"/>
          <w:szCs w:val="22"/>
        </w:rPr>
      </w:pPr>
      <w:r w:rsidRPr="00D86C67">
        <w:rPr>
          <w:b w:val="0"/>
          <w:sz w:val="22"/>
          <w:szCs w:val="22"/>
        </w:rPr>
        <w:t>Time to maturity of the RA government debt by main debt instruments (years)</w:t>
      </w:r>
    </w:p>
    <w:p w14:paraId="66D96CBF" w14:textId="3C599485" w:rsidR="00410811" w:rsidRDefault="00410811" w:rsidP="006B632F">
      <w:pPr>
        <w:ind w:firstLine="90"/>
        <w:jc w:val="center"/>
        <w:rPr>
          <w:color w:val="FF0000"/>
        </w:rPr>
      </w:pPr>
      <w:r>
        <w:rPr>
          <w:noProof/>
          <w:lang w:val="en-US"/>
        </w:rPr>
        <w:drawing>
          <wp:inline distT="0" distB="0" distL="0" distR="0" wp14:anchorId="53A38A0E" wp14:editId="39FA7911">
            <wp:extent cx="6362700" cy="2428875"/>
            <wp:effectExtent l="0" t="0" r="0" b="9525"/>
            <wp:docPr id="5" name="Chart 5">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643BC55" w14:textId="77777777" w:rsidR="009E0883" w:rsidRPr="00C466FB" w:rsidRDefault="009E0883" w:rsidP="009E0883">
      <w:pPr>
        <w:spacing w:line="240" w:lineRule="auto"/>
        <w:rPr>
          <w:sz w:val="18"/>
          <w:szCs w:val="18"/>
        </w:rPr>
      </w:pPr>
      <w:r w:rsidRPr="00E94268">
        <w:rPr>
          <w:sz w:val="18"/>
        </w:rPr>
        <w:t>Source: RA MoF</w:t>
      </w:r>
      <w:r w:rsidRPr="00C466FB">
        <w:rPr>
          <w:sz w:val="18"/>
        </w:rPr>
        <w:t xml:space="preserve"> calculations</w:t>
      </w:r>
    </w:p>
    <w:p w14:paraId="40A5A096" w14:textId="77777777" w:rsidR="000C6BD4" w:rsidRPr="000C6BD4" w:rsidRDefault="000C6BD4" w:rsidP="000C6BD4">
      <w:pPr>
        <w:spacing w:line="240" w:lineRule="auto"/>
        <w:rPr>
          <w:sz w:val="18"/>
          <w:szCs w:val="18"/>
        </w:rPr>
      </w:pPr>
    </w:p>
    <w:p w14:paraId="57EA0076" w14:textId="0A296E32" w:rsidR="00BC29FC" w:rsidRPr="00BC29FC" w:rsidRDefault="00BC29FC" w:rsidP="00BC29FC">
      <w:pPr>
        <w:ind w:firstLine="562"/>
      </w:pPr>
      <w:r w:rsidRPr="00BC29FC">
        <w:t xml:space="preserve">As of December 31, 2024, the share of </w:t>
      </w:r>
      <w:r w:rsidRPr="005A68E6">
        <w:t xml:space="preserve">debt maturing in one year </w:t>
      </w:r>
      <w:r w:rsidR="00ED6768">
        <w:rPr>
          <w:lang w:val="en-US"/>
        </w:rPr>
        <w:t>stood at</w:t>
      </w:r>
      <w:r w:rsidRPr="00BC29FC">
        <w:t xml:space="preserve"> 13%, </w:t>
      </w:r>
      <w:r w:rsidR="00ED6768">
        <w:t>marking an increase of approximately 4 percentage points compared to the previous year</w:t>
      </w:r>
      <w:r w:rsidRPr="00BC29FC">
        <w:t xml:space="preserve">. This rise was mainly driven by </w:t>
      </w:r>
      <w:r w:rsidRPr="00BC29FC">
        <w:lastRenderedPageBreak/>
        <w:t xml:space="preserve">foreign currency bonds maturing in 2025. Specifically, the share of foreign currency-denominated debt maturing </w:t>
      </w:r>
      <w:r>
        <w:rPr>
          <w:lang w:val="en-US"/>
        </w:rPr>
        <w:t>in</w:t>
      </w:r>
      <w:r w:rsidRPr="00BC29FC">
        <w:t xml:space="preserve"> one year increased by 4.8 percentage points </w:t>
      </w:r>
      <w:r w:rsidR="00ED6768" w:rsidRPr="00AF65F7">
        <w:rPr>
          <w:lang w:val="en-US"/>
        </w:rPr>
        <w:t xml:space="preserve">compared to the previous year </w:t>
      </w:r>
      <w:r w:rsidR="00ED6768">
        <w:rPr>
          <w:lang w:val="en-US"/>
        </w:rPr>
        <w:t>and amounted</w:t>
      </w:r>
      <w:r w:rsidRPr="00BC29FC">
        <w:t xml:space="preserve"> to 11.6%, while the share of AMD-denominated debt </w:t>
      </w:r>
      <w:r w:rsidR="00ED6768">
        <w:rPr>
          <w:lang w:val="en-US"/>
        </w:rPr>
        <w:t>increased</w:t>
      </w:r>
      <w:r w:rsidRPr="00BC29FC">
        <w:t xml:space="preserve"> by 2.6 percentage points to 14.4%.</w:t>
      </w:r>
    </w:p>
    <w:p w14:paraId="6BA18B62" w14:textId="7DEF30A0" w:rsidR="00ED6768" w:rsidRDefault="00BC29FC" w:rsidP="00ED6768">
      <w:pPr>
        <w:ind w:firstLine="562"/>
      </w:pPr>
      <w:r w:rsidRPr="00BC29FC">
        <w:t xml:space="preserve">As for the share of debt maturing </w:t>
      </w:r>
      <w:r w:rsidR="00ED6768" w:rsidRPr="00C73397">
        <w:rPr>
          <w:lang w:val="en-US"/>
        </w:rPr>
        <w:t>in the coming</w:t>
      </w:r>
      <w:r w:rsidR="00ED6768">
        <w:rPr>
          <w:lang w:val="en-US"/>
        </w:rPr>
        <w:t xml:space="preserve"> three years</w:t>
      </w:r>
      <w:r w:rsidRPr="00BC29FC">
        <w:t xml:space="preserve">, it </w:t>
      </w:r>
      <w:r w:rsidR="00ED6768">
        <w:rPr>
          <w:lang w:val="en-US"/>
        </w:rPr>
        <w:t>amounted to</w:t>
      </w:r>
      <w:r w:rsidR="00ED6768">
        <w:t xml:space="preserve"> 29.6% at the end of 2024,</w:t>
      </w:r>
      <w:r w:rsidRPr="00BC29FC">
        <w:t xml:space="preserve"> </w:t>
      </w:r>
      <w:r w:rsidR="00ED6768">
        <w:rPr>
          <w:lang w:val="en-US"/>
        </w:rPr>
        <w:t>and</w:t>
      </w:r>
      <w:r w:rsidRPr="00BC29FC">
        <w:t xml:space="preserve"> the shares of foreign currency- and AMD-denominated debt maturing </w:t>
      </w:r>
      <w:r w:rsidR="00ED6768" w:rsidRPr="00C73397">
        <w:rPr>
          <w:lang w:val="en-US"/>
        </w:rPr>
        <w:t>in the coming</w:t>
      </w:r>
      <w:r w:rsidR="00ED6768">
        <w:rPr>
          <w:lang w:val="en-US"/>
        </w:rPr>
        <w:t xml:space="preserve"> three years</w:t>
      </w:r>
      <w:r w:rsidR="00ED6768" w:rsidRPr="00BC29FC">
        <w:t xml:space="preserve"> </w:t>
      </w:r>
      <w:r w:rsidR="00ED6768">
        <w:rPr>
          <w:lang w:val="en-US"/>
        </w:rPr>
        <w:t>stood at</w:t>
      </w:r>
      <w:r w:rsidRPr="00BC29FC">
        <w:t xml:space="preserve"> 23.5% and 35.6%, respectively. </w:t>
      </w:r>
      <w:r w:rsidR="00ED6768">
        <w:t xml:space="preserve">These figures </w:t>
      </w:r>
      <w:r w:rsidRPr="00BC29FC">
        <w:t>have remained largely unchanged compared to the end of the previous year.</w:t>
      </w:r>
    </w:p>
    <w:p w14:paraId="44595D24" w14:textId="0310E0F9" w:rsidR="004A5218" w:rsidRPr="004A5218" w:rsidRDefault="004A5218" w:rsidP="004A5218">
      <w:pPr>
        <w:ind w:firstLine="562"/>
      </w:pPr>
      <w:r>
        <w:t>As of the end of 2024, repayments of government external loans were scheduled through 2054, AMD-denominated bonds through 2052, foreign currency bonds through 2031, and guarantees through 2036.</w:t>
      </w:r>
    </w:p>
    <w:p w14:paraId="1C8C9494" w14:textId="31B36C56" w:rsidR="0081557A" w:rsidRPr="0070296A" w:rsidRDefault="00DD6011" w:rsidP="00924950">
      <w:pPr>
        <w:pStyle w:val="af7"/>
        <w:numPr>
          <w:ilvl w:val="0"/>
          <w:numId w:val="20"/>
        </w:numPr>
        <w:tabs>
          <w:tab w:val="left" w:pos="180"/>
          <w:tab w:val="left" w:pos="360"/>
          <w:tab w:val="left" w:pos="1440"/>
          <w:tab w:val="left" w:pos="1710"/>
          <w:tab w:val="left" w:pos="1890"/>
          <w:tab w:val="left" w:pos="2430"/>
          <w:tab w:val="left" w:pos="2610"/>
          <w:tab w:val="left" w:pos="2880"/>
        </w:tabs>
        <w:ind w:left="180" w:firstLine="180"/>
      </w:pPr>
      <w:r w:rsidRPr="00545585">
        <w:rPr>
          <w:b w:val="0"/>
          <w:sz w:val="22"/>
          <w:szCs w:val="22"/>
        </w:rPr>
        <w:t>R</w:t>
      </w:r>
      <w:r w:rsidR="005513A9" w:rsidRPr="00545585">
        <w:rPr>
          <w:b w:val="0"/>
          <w:sz w:val="22"/>
          <w:szCs w:val="22"/>
        </w:rPr>
        <w:t>edemption profile of the Government debt by instruments as</w:t>
      </w:r>
      <w:r w:rsidR="00641A6B">
        <w:rPr>
          <w:b w:val="0"/>
          <w:sz w:val="22"/>
          <w:szCs w:val="22"/>
        </w:rPr>
        <w:t xml:space="preserve"> of December 31, 2024 (b</w:t>
      </w:r>
      <w:r w:rsidR="005513A9" w:rsidRPr="00545585">
        <w:rPr>
          <w:b w:val="0"/>
          <w:sz w:val="22"/>
          <w:szCs w:val="22"/>
        </w:rPr>
        <w:t>illion AMD)</w:t>
      </w:r>
    </w:p>
    <w:p w14:paraId="5088AC2A" w14:textId="5C068219" w:rsidR="00924950" w:rsidRDefault="00924950" w:rsidP="00924950">
      <w:pPr>
        <w:ind w:firstLine="180"/>
        <w:rPr>
          <w:sz w:val="18"/>
          <w:szCs w:val="18"/>
        </w:rPr>
      </w:pPr>
      <w:r>
        <w:rPr>
          <w:noProof/>
          <w:lang w:val="en-US"/>
        </w:rPr>
        <w:drawing>
          <wp:inline distT="0" distB="0" distL="0" distR="0" wp14:anchorId="00B9E4E8" wp14:editId="70F172BA">
            <wp:extent cx="6366510" cy="3181350"/>
            <wp:effectExtent l="0" t="0" r="15240" b="0"/>
            <wp:docPr id="14" name="Chart 14">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5704EF" w14:textId="5D2FEC73" w:rsidR="00F111B6" w:rsidRPr="00C34AAC" w:rsidRDefault="007965E3" w:rsidP="00C34AAC">
      <w:pPr>
        <w:ind w:firstLine="720"/>
        <w:rPr>
          <w:sz w:val="18"/>
          <w:szCs w:val="18"/>
        </w:rPr>
      </w:pPr>
      <w:r w:rsidRPr="007965E3">
        <w:rPr>
          <w:sz w:val="18"/>
          <w:szCs w:val="18"/>
        </w:rPr>
        <w:t>Source: RA MoF</w:t>
      </w:r>
      <w:r w:rsidR="005E55A0" w:rsidRPr="00611F64">
        <w:rPr>
          <w:color w:val="FF0000"/>
        </w:rPr>
        <w:t xml:space="preserve"> </w:t>
      </w:r>
    </w:p>
    <w:p w14:paraId="79C79911" w14:textId="77777777" w:rsidR="00C34AAC" w:rsidRDefault="00C34AAC" w:rsidP="00C34AAC">
      <w:r>
        <w:t>As a result of the foreign currency bond issuance in March 2025, the year 2035</w:t>
      </w:r>
      <w:r w:rsidRPr="00BD0E83">
        <w:t xml:space="preserve"> </w:t>
      </w:r>
      <w:r>
        <w:t>—</w:t>
      </w:r>
      <w:r>
        <w:rPr>
          <w:lang w:val="en-US"/>
        </w:rPr>
        <w:t xml:space="preserve"> when</w:t>
      </w:r>
      <w:r>
        <w:t xml:space="preserve"> USD 750 million </w:t>
      </w:r>
      <w:r>
        <w:rPr>
          <w:lang w:val="en-US"/>
        </w:rPr>
        <w:t xml:space="preserve">in </w:t>
      </w:r>
      <w:r>
        <w:t>foreign currency bonds are scheduled for repayment — also stands out in terms of refinancing risk, in addition to the years already highlighted in the chart.</w:t>
      </w:r>
    </w:p>
    <w:p w14:paraId="3388174E" w14:textId="77777777" w:rsidR="00B87FFB" w:rsidRDefault="00B87FFB" w:rsidP="00857076">
      <w:pPr>
        <w:ind w:firstLine="0"/>
      </w:pPr>
    </w:p>
    <w:p w14:paraId="06F2E481" w14:textId="081DBACD" w:rsidR="003E24B7" w:rsidRPr="00545585" w:rsidRDefault="00450750" w:rsidP="00A1274B">
      <w:pPr>
        <w:rPr>
          <w:b/>
          <w:i/>
        </w:rPr>
      </w:pPr>
      <w:r w:rsidRPr="00545585">
        <w:rPr>
          <w:b/>
          <w:i/>
        </w:rPr>
        <w:t>Interest rate risk</w:t>
      </w:r>
    </w:p>
    <w:p w14:paraId="719C9470" w14:textId="5E4B3B70" w:rsidR="00B218EC" w:rsidRPr="0070296A" w:rsidRDefault="003B243E" w:rsidP="003B243E">
      <w:r w:rsidRPr="00B938C7">
        <w:t xml:space="preserve">The interest rate risk </w:t>
      </w:r>
      <w:r>
        <w:rPr>
          <w:lang w:val="en-US"/>
        </w:rPr>
        <w:t>of</w:t>
      </w:r>
      <w:r w:rsidRPr="00B938C7">
        <w:t xml:space="preserve"> the Government debt portfolio is </w:t>
      </w:r>
      <w:r>
        <w:t xml:space="preserve">primarily assessed using the following indicators: </w:t>
      </w:r>
      <w:r>
        <w:rPr>
          <w:lang w:val="en-US"/>
        </w:rPr>
        <w:t xml:space="preserve">the </w:t>
      </w:r>
      <w:r>
        <w:t xml:space="preserve">share of the fixed-rate debt in total debt, </w:t>
      </w:r>
      <w:r>
        <w:rPr>
          <w:lang w:val="en-US"/>
        </w:rPr>
        <w:t xml:space="preserve">the </w:t>
      </w:r>
      <w:r>
        <w:t>s</w:t>
      </w:r>
      <w:r w:rsidR="00B218EC" w:rsidRPr="00B938C7">
        <w:t xml:space="preserve">hare of debt to be refixed in </w:t>
      </w:r>
      <w:r w:rsidR="00B218EC">
        <w:rPr>
          <w:lang w:val="en-US"/>
        </w:rPr>
        <w:t>one</w:t>
      </w:r>
      <w:r w:rsidR="00B218EC" w:rsidRPr="00B938C7">
        <w:t xml:space="preserve"> year in total de</w:t>
      </w:r>
      <w:r>
        <w:t>bt and</w:t>
      </w:r>
      <w:r>
        <w:rPr>
          <w:lang w:val="en-US"/>
        </w:rPr>
        <w:t xml:space="preserve"> the</w:t>
      </w:r>
      <w:r>
        <w:t xml:space="preserve"> a</w:t>
      </w:r>
      <w:r w:rsidR="00B218EC" w:rsidRPr="00B938C7">
        <w:t>verage time to refixing.</w:t>
      </w:r>
    </w:p>
    <w:p w14:paraId="00EE04D4" w14:textId="643665AB" w:rsidR="004A222A" w:rsidRPr="00930707" w:rsidRDefault="004A222A" w:rsidP="00930707">
      <w:r>
        <w:lastRenderedPageBreak/>
        <w:t xml:space="preserve">As of the reporting period, 84.4% of the RA Government debt is at a fixed interest rate. AMD-denominated debt is entirely at a fixed rate, while 68.4% of foreign currency debt is at a fixed rate, down from 70.5% in the previous year. This indicates a slight increase in the interest rate risk of foreign currency debt compared to the previous year. </w:t>
      </w:r>
      <w:r w:rsidRPr="004A222A">
        <w:t>In general, in a high interest rate environment, floating rate debt is preferable to fixed rate debt. This approach has been taken into account in decisions and is reflected in the RA Government debt indicators.</w:t>
      </w:r>
    </w:p>
    <w:p w14:paraId="3F4EF11E" w14:textId="3F8D466E" w:rsidR="006B632F" w:rsidRPr="00FB7A60" w:rsidRDefault="001126F0" w:rsidP="00FB7A60">
      <w:pPr>
        <w:pStyle w:val="af7"/>
        <w:numPr>
          <w:ilvl w:val="0"/>
          <w:numId w:val="20"/>
        </w:numPr>
        <w:tabs>
          <w:tab w:val="left" w:pos="180"/>
          <w:tab w:val="left" w:pos="630"/>
          <w:tab w:val="left" w:pos="1440"/>
          <w:tab w:val="left" w:pos="1710"/>
          <w:tab w:val="left" w:pos="1890"/>
          <w:tab w:val="left" w:pos="2430"/>
          <w:tab w:val="left" w:pos="2610"/>
          <w:tab w:val="left" w:pos="2880"/>
        </w:tabs>
        <w:rPr>
          <w:b w:val="0"/>
          <w:sz w:val="22"/>
          <w:szCs w:val="22"/>
        </w:rPr>
      </w:pPr>
      <w:r>
        <w:rPr>
          <w:b w:val="0"/>
          <w:sz w:val="22"/>
          <w:szCs w:val="22"/>
          <w:lang w:val="en-US"/>
        </w:rPr>
        <w:t>S</w:t>
      </w:r>
      <w:r w:rsidRPr="001126F0">
        <w:rPr>
          <w:b w:val="0"/>
          <w:sz w:val="22"/>
          <w:szCs w:val="22"/>
        </w:rPr>
        <w:t>tructure of foreign currency debt by interest rate type</w:t>
      </w:r>
    </w:p>
    <w:p w14:paraId="4BA94AFF" w14:textId="64B37603" w:rsidR="00FB7A60" w:rsidRPr="002C4CFE" w:rsidRDefault="00FB7A60" w:rsidP="006B632F">
      <w:pPr>
        <w:pStyle w:val="af7"/>
        <w:jc w:val="center"/>
        <w:rPr>
          <w:b w:val="0"/>
        </w:rPr>
      </w:pPr>
      <w:r>
        <w:rPr>
          <w:noProof/>
          <w:lang w:val="en-US"/>
        </w:rPr>
        <w:drawing>
          <wp:inline distT="0" distB="0" distL="0" distR="0" wp14:anchorId="53C33B56" wp14:editId="761ABFDD">
            <wp:extent cx="6105525" cy="2381250"/>
            <wp:effectExtent l="0" t="0" r="9525" b="0"/>
            <wp:docPr id="15" name="Chart 15">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42B6BC" w14:textId="175D7765" w:rsidR="001126F0" w:rsidRDefault="001126F0" w:rsidP="001126F0">
      <w:pPr>
        <w:spacing w:line="240" w:lineRule="auto"/>
        <w:ind w:firstLine="900"/>
        <w:rPr>
          <w:sz w:val="18"/>
        </w:rPr>
      </w:pPr>
      <w:r w:rsidRPr="00E94268">
        <w:rPr>
          <w:sz w:val="18"/>
        </w:rPr>
        <w:t>Source: RA MoF</w:t>
      </w:r>
      <w:r w:rsidRPr="00C466FB">
        <w:rPr>
          <w:sz w:val="18"/>
        </w:rPr>
        <w:t xml:space="preserve"> calculations</w:t>
      </w:r>
    </w:p>
    <w:p w14:paraId="77BA19B5" w14:textId="77777777" w:rsidR="001126F0" w:rsidRPr="00C466FB" w:rsidRDefault="001126F0" w:rsidP="001126F0">
      <w:pPr>
        <w:spacing w:line="240" w:lineRule="auto"/>
        <w:ind w:firstLine="900"/>
        <w:rPr>
          <w:sz w:val="18"/>
          <w:szCs w:val="18"/>
        </w:rPr>
      </w:pPr>
    </w:p>
    <w:p w14:paraId="33DF5D55" w14:textId="77777777" w:rsidR="001126F0" w:rsidRDefault="001126F0" w:rsidP="001126F0">
      <w:r>
        <w:t xml:space="preserve">As for the share of debt </w:t>
      </w:r>
      <w:r w:rsidRPr="001126F0">
        <w:t xml:space="preserve">to be refixed in the </w:t>
      </w:r>
      <w:r>
        <w:rPr>
          <w:lang w:val="en-US"/>
        </w:rPr>
        <w:t>one</w:t>
      </w:r>
      <w:r w:rsidRPr="001126F0">
        <w:t xml:space="preserve"> year</w:t>
      </w:r>
      <w:r>
        <w:t>, as of the end of 2024, 26.3% of the RA Government debt is due for refixing in 2025. This indicator stood at 21.6% at the end of the previous year, indicating an increase in interest rate risk.</w:t>
      </w:r>
      <w:r w:rsidRPr="001126F0">
        <w:t xml:space="preserve"> The deterioration of the indicator was mainly caused by foreign currency bonds maturing in 2025.</w:t>
      </w:r>
    </w:p>
    <w:p w14:paraId="2E287A5E" w14:textId="7E830B07" w:rsidR="00FE6648" w:rsidRDefault="00B40889" w:rsidP="007B0970">
      <w:r>
        <w:t xml:space="preserve">As of the end of 2024, the average time to refixing stood at 5.6 years, which may be assessed as a moderate level of interest rate risk for the debt portfolio. This indicator is lower than the average time to maturity, as 15.6% of the debt </w:t>
      </w:r>
      <w:r w:rsidR="007B0970">
        <w:rPr>
          <w:lang w:val="en-US"/>
        </w:rPr>
        <w:t>has</w:t>
      </w:r>
      <w:r>
        <w:t xml:space="preserve"> a floating interest rate, which is also subject to refixing during 2025.</w:t>
      </w:r>
    </w:p>
    <w:p w14:paraId="4BD09BB5" w14:textId="6F004950" w:rsidR="00B91007" w:rsidRPr="005A68E6" w:rsidRDefault="00B91007" w:rsidP="00B91007">
      <w:r w:rsidRPr="00B91007">
        <w:t>The cost and risk indicators of the current debt portfolio of the RA Government show that the impact of refinancing risk has increased alongside a significant reduction in exchange rate risk in recent years.</w:t>
      </w:r>
    </w:p>
    <w:p w14:paraId="45847D31" w14:textId="7B4F0D3E" w:rsidR="00B91007" w:rsidRPr="00BD6583" w:rsidRDefault="00B91007" w:rsidP="00BD6583">
      <w:r>
        <w:t xml:space="preserve">In order to keep the main risks associated with the RA Government debt management within manageable limits—particularly to reduce the high exchange rate risk—the development of the domestic </w:t>
      </w:r>
      <w:r>
        <w:rPr>
          <w:lang w:val="en-US"/>
        </w:rPr>
        <w:t>public debt</w:t>
      </w:r>
      <w:r>
        <w:t xml:space="preserve"> market and the increase in the share of </w:t>
      </w:r>
      <w:r>
        <w:rPr>
          <w:lang w:val="en-US"/>
        </w:rPr>
        <w:t>AMD-</w:t>
      </w:r>
      <w:r>
        <w:t xml:space="preserve">denominated </w:t>
      </w:r>
      <w:r w:rsidR="00BD6583">
        <w:rPr>
          <w:lang w:val="en-US"/>
        </w:rPr>
        <w:t xml:space="preserve">debt </w:t>
      </w:r>
      <w:r w:rsidRPr="005A68E6">
        <w:rPr>
          <w:lang w:val="en-US"/>
        </w:rPr>
        <w:t>in the RA Government debt</w:t>
      </w:r>
      <w:r>
        <w:t xml:space="preserve"> </w:t>
      </w:r>
      <w:r w:rsidR="00BD6583">
        <w:rPr>
          <w:lang w:val="en-US"/>
        </w:rPr>
        <w:t xml:space="preserve">portfolio </w:t>
      </w:r>
      <w:r>
        <w:t>are considered</w:t>
      </w:r>
      <w:r w:rsidR="00BD6583">
        <w:rPr>
          <w:lang w:val="en-US"/>
        </w:rPr>
        <w:t xml:space="preserve"> </w:t>
      </w:r>
      <w:r>
        <w:t>strategic objectives.</w:t>
      </w:r>
    </w:p>
    <w:p w14:paraId="2F3250FE" w14:textId="34684FEE" w:rsidR="00925376" w:rsidRPr="00DA28EF" w:rsidRDefault="00DA28EF" w:rsidP="00DA28EF">
      <w:pPr>
        <w:spacing w:line="240" w:lineRule="auto"/>
        <w:ind w:firstLine="0"/>
        <w:jc w:val="left"/>
      </w:pPr>
      <w:r>
        <w:br w:type="page"/>
      </w:r>
    </w:p>
    <w:p w14:paraId="22B6E03E" w14:textId="00889280" w:rsidR="00025E2D" w:rsidRDefault="00D64684" w:rsidP="00D64684">
      <w:pPr>
        <w:pStyle w:val="Heading1"/>
        <w:numPr>
          <w:ilvl w:val="0"/>
          <w:numId w:val="19"/>
        </w:numPr>
        <w:spacing w:line="240" w:lineRule="auto"/>
      </w:pPr>
      <w:bookmarkStart w:id="8" w:name="_Toc205988172"/>
      <w:r w:rsidRPr="00D64684">
        <w:lastRenderedPageBreak/>
        <w:t>RA Government Debt Management Strategy for 2026-2028</w:t>
      </w:r>
      <w:bookmarkEnd w:id="8"/>
    </w:p>
    <w:p w14:paraId="1D88673A" w14:textId="77777777" w:rsidR="00C1444D" w:rsidRPr="00E06CCC" w:rsidRDefault="00C1444D" w:rsidP="00F1016F">
      <w:pPr>
        <w:pStyle w:val="ListParagraph"/>
        <w:spacing w:after="0"/>
        <w:ind w:left="709" w:firstLine="0"/>
        <w:rPr>
          <w:color w:val="FF0000"/>
        </w:rPr>
      </w:pPr>
    </w:p>
    <w:p w14:paraId="3B270CD6" w14:textId="52888944" w:rsidR="00DA28EF" w:rsidRDefault="00DA28EF" w:rsidP="002B0500">
      <w:pPr>
        <w:pStyle w:val="Heading2"/>
        <w:rPr>
          <w:lang w:val="hy-AM"/>
        </w:rPr>
      </w:pPr>
      <w:r w:rsidRPr="00AB40B6">
        <w:rPr>
          <w:lang w:val="hy-AM"/>
        </w:rPr>
        <w:t xml:space="preserve"> </w:t>
      </w:r>
      <w:bookmarkStart w:id="9" w:name="_Toc205988173"/>
      <w:r w:rsidR="002B0500" w:rsidRPr="002B0500">
        <w:rPr>
          <w:lang w:val="hy-AM"/>
        </w:rPr>
        <w:t>Macroeconomic developments and forecasts</w:t>
      </w:r>
      <w:bookmarkEnd w:id="9"/>
    </w:p>
    <w:p w14:paraId="381051A6" w14:textId="77777777" w:rsidR="00C34AAC" w:rsidRDefault="00536387" w:rsidP="00C34AAC">
      <w:pPr>
        <w:numPr>
          <w:ilvl w:val="0"/>
          <w:numId w:val="17"/>
        </w:numPr>
        <w:tabs>
          <w:tab w:val="left" w:pos="450"/>
        </w:tabs>
        <w:spacing w:before="120"/>
        <w:ind w:left="0" w:firstLine="0"/>
        <w:contextualSpacing/>
      </w:pPr>
      <w:r>
        <w:t>In 2024, economic growth in the global economy and Armenia’s main partner countries stabilized and remained in positive</w:t>
      </w:r>
      <w:r w:rsidR="00C57E96">
        <w:t xml:space="preserve"> </w:t>
      </w:r>
      <w:r w:rsidR="00C57E96">
        <w:rPr>
          <w:lang w:val="en-US"/>
        </w:rPr>
        <w:t>range</w:t>
      </w:r>
      <w:r>
        <w:t xml:space="preserve">, supported by steady consumer demand, easing inflation, and ongoing fiscal and monetary policy adjustments in major economies. However, trends in the first quarter of 2025—driven by tariffs imposed by the new U.S. administration and their potential impacts, alongside a high level of uncertainty—have shaped expectations of a slowdown in economic growth over the coming years. Given these conditions, economic growth in partner countries (excluding Russia) </w:t>
      </w:r>
      <w:r w:rsidR="00C34AAC">
        <w:rPr>
          <w:lang w:val="en-US"/>
        </w:rPr>
        <w:t>is</w:t>
      </w:r>
      <w:r w:rsidR="00C57E96" w:rsidRPr="00C57E96">
        <w:t xml:space="preserve"> predicted</w:t>
      </w:r>
      <w:r w:rsidR="00C57E96" w:rsidRPr="00C57E96" w:rsidDel="00C57E96">
        <w:t xml:space="preserve"> </w:t>
      </w:r>
      <w:r>
        <w:t xml:space="preserve">to slow </w:t>
      </w:r>
      <w:r w:rsidR="007476A1">
        <w:rPr>
          <w:lang w:val="en-US"/>
        </w:rPr>
        <w:t xml:space="preserve">down </w:t>
      </w:r>
      <w:r>
        <w:t>in 2025</w:t>
      </w:r>
      <w:r w:rsidR="00C57E96">
        <w:rPr>
          <w:lang w:val="en-US"/>
        </w:rPr>
        <w:t xml:space="preserve"> and</w:t>
      </w:r>
      <w:r>
        <w:t xml:space="preserve"> remain below historical averages over the medium term.</w:t>
      </w:r>
    </w:p>
    <w:p w14:paraId="7E7B10E3" w14:textId="77777777" w:rsidR="00C34AAC" w:rsidRDefault="00935FB9" w:rsidP="00C34AAC">
      <w:pPr>
        <w:numPr>
          <w:ilvl w:val="0"/>
          <w:numId w:val="17"/>
        </w:numPr>
        <w:tabs>
          <w:tab w:val="left" w:pos="450"/>
        </w:tabs>
        <w:spacing w:before="120"/>
        <w:ind w:left="0" w:firstLine="0"/>
        <w:contextualSpacing/>
      </w:pPr>
      <w:r w:rsidRPr="00C34AAC">
        <w:rPr>
          <w:lang w:val="en-US"/>
        </w:rPr>
        <w:t>From</w:t>
      </w:r>
      <w:r>
        <w:t xml:space="preserve"> </w:t>
      </w:r>
      <w:r w:rsidR="00D84FE0">
        <w:t xml:space="preserve">2022 </w:t>
      </w:r>
      <w:r w:rsidRPr="00C34AAC">
        <w:rPr>
          <w:lang w:val="en-US"/>
        </w:rPr>
        <w:t>to</w:t>
      </w:r>
      <w:r w:rsidR="00D84FE0">
        <w:t xml:space="preserve"> 2024, the RA economy registered an average real GDP growth of 8.9%, driven by several factors: increased inflows of people to Armenia following the </w:t>
      </w:r>
      <w:r w:rsidR="00C34AAC" w:rsidRPr="00C34AAC">
        <w:rPr>
          <w:lang w:val="en-US"/>
        </w:rPr>
        <w:t xml:space="preserve">start of the </w:t>
      </w:r>
      <w:r w:rsidR="00D84FE0">
        <w:t>Russia-Ukraine conflict in late February 2022 and the sanctions imposed on Russia; a significant rise in tourism; the relocation of information technology companies to Armenia; increased demand for exports from Armenia to Russia; high growth in capital expenditures and residential construction financed by the state budget; as well as the economic impacts of the forced displacement of persons from Nagorno-Karabakh to Armenia since late September 2023 and the sharp increase in base metal production starting in November 2023.</w:t>
      </w:r>
    </w:p>
    <w:p w14:paraId="68A069E8" w14:textId="77777777" w:rsidR="00C27D3F" w:rsidRDefault="004C6382" w:rsidP="00C27D3F">
      <w:pPr>
        <w:numPr>
          <w:ilvl w:val="0"/>
          <w:numId w:val="17"/>
        </w:numPr>
        <w:tabs>
          <w:tab w:val="left" w:pos="450"/>
        </w:tabs>
        <w:spacing w:before="120"/>
        <w:ind w:left="0" w:firstLine="0"/>
        <w:contextualSpacing/>
      </w:pPr>
      <w:r w:rsidRPr="00C34AAC">
        <w:rPr>
          <w:lang w:val="en-US"/>
        </w:rPr>
        <w:t>E</w:t>
      </w:r>
      <w:r>
        <w:t xml:space="preserve">conomic growth </w:t>
      </w:r>
      <w:r w:rsidR="00935FB9" w:rsidRPr="00935FB9">
        <w:t>continued</w:t>
      </w:r>
      <w:r w:rsidR="00935FB9" w:rsidRPr="00935FB9" w:rsidDel="00935FB9">
        <w:t xml:space="preserve"> </w:t>
      </w:r>
      <w:r>
        <w:t>in the first quarter of 2025, resulting in a 5.2% real GDP increase</w:t>
      </w:r>
      <w:r w:rsidR="0078529B">
        <w:t>. High growth rates were recorded ac</w:t>
      </w:r>
      <w:r>
        <w:t>ross all sectors of the economy</w:t>
      </w:r>
      <w:r w:rsidR="0078529B">
        <w:t xml:space="preserve"> except industry; however, economic growth was primarily driven by the services sector. In April, economic activity accelerated </w:t>
      </w:r>
      <w:r>
        <w:t>moderately</w:t>
      </w:r>
      <w:r w:rsidR="0078529B">
        <w:t xml:space="preserve">, mainly due to a </w:t>
      </w:r>
      <w:r w:rsidRPr="00C34AAC">
        <w:rPr>
          <w:lang w:val="en-US"/>
        </w:rPr>
        <w:t>slower rate</w:t>
      </w:r>
      <w:r w:rsidR="0078529B">
        <w:t xml:space="preserve"> </w:t>
      </w:r>
      <w:r w:rsidRPr="00C34AAC">
        <w:rPr>
          <w:lang w:val="en-US"/>
        </w:rPr>
        <w:t>of</w:t>
      </w:r>
      <w:r w:rsidR="0078529B">
        <w:t xml:space="preserve"> decline </w:t>
      </w:r>
      <w:r w:rsidRPr="00C34AAC">
        <w:rPr>
          <w:lang w:val="en-US"/>
        </w:rPr>
        <w:t>in</w:t>
      </w:r>
      <w:r w:rsidR="0078529B">
        <w:t xml:space="preserve"> the industrial sector.</w:t>
      </w:r>
    </w:p>
    <w:p w14:paraId="4D774835" w14:textId="77777777" w:rsidR="00C27D3F" w:rsidRDefault="00647334" w:rsidP="00C27D3F">
      <w:pPr>
        <w:numPr>
          <w:ilvl w:val="0"/>
          <w:numId w:val="17"/>
        </w:numPr>
        <w:tabs>
          <w:tab w:val="left" w:pos="450"/>
        </w:tabs>
        <w:spacing w:before="120"/>
        <w:ind w:left="0" w:firstLine="0"/>
        <w:contextualSpacing/>
      </w:pPr>
      <w:r w:rsidRPr="00C27D3F">
        <w:rPr>
          <w:lang w:val="en-US"/>
        </w:rPr>
        <w:t>E</w:t>
      </w:r>
      <w:r>
        <w:t>conomic growth in 2025 is projected at around 5.1% a</w:t>
      </w:r>
      <w:r w:rsidRPr="00C27D3F">
        <w:rPr>
          <w:lang w:val="en-US"/>
        </w:rPr>
        <w:t>s</w:t>
      </w:r>
      <w:r>
        <w:t xml:space="preserve"> result </w:t>
      </w:r>
      <w:r w:rsidR="005877C6" w:rsidRPr="00C27D3F">
        <w:rPr>
          <w:lang w:val="en-US"/>
        </w:rPr>
        <w:t xml:space="preserve">of </w:t>
      </w:r>
      <w:r w:rsidR="005877C6">
        <w:t xml:space="preserve">the potential impact </w:t>
      </w:r>
      <w:r>
        <w:t xml:space="preserve">of ongoing economic developments, the continued increase in the role of public capital expenditures, the operation of the Sotk mine, the launch of the Amulsar </w:t>
      </w:r>
      <w:r w:rsidR="005877C6" w:rsidRPr="00C27D3F">
        <w:rPr>
          <w:lang w:val="en-US"/>
        </w:rPr>
        <w:t>mine</w:t>
      </w:r>
      <w:r>
        <w:t xml:space="preserve"> and structural reforms. In the medium term (2026–2030), average annual growth is expected to reach 5.3%.</w:t>
      </w:r>
      <w:r w:rsidR="00B7521A" w:rsidRPr="00C27D3F">
        <w:rPr>
          <w:lang w:val="en-US"/>
        </w:rPr>
        <w:t xml:space="preserve"> </w:t>
      </w:r>
      <w:r w:rsidR="00B7521A" w:rsidRPr="00B7521A">
        <w:t xml:space="preserve">It should be noted </w:t>
      </w:r>
      <w:r w:rsidR="00B7521A">
        <w:t xml:space="preserve">that in recent years, </w:t>
      </w:r>
      <w:r w:rsidR="00B7521A" w:rsidRPr="00C27D3F">
        <w:rPr>
          <w:lang w:val="en-US"/>
        </w:rPr>
        <w:t xml:space="preserve">the RA </w:t>
      </w:r>
      <w:r w:rsidR="00B7521A">
        <w:t xml:space="preserve">economic growth potential has increased, reaching 5.0–5.5%. </w:t>
      </w:r>
      <w:r w:rsidR="00A42407" w:rsidRPr="00C27D3F">
        <w:rPr>
          <w:rFonts w:cs="Times New Roman"/>
          <w:sz w:val="24"/>
          <w:szCs w:val="24"/>
        </w:rPr>
        <w:t>To sustain this growth and achieve higher and more sustainable economic expansion, additional efforts are required to enhance productivity, attract investments, and boost exports. In this context, the RA Government will focus on the effective implementation of strategies aimed at fostering investments in human and physical capital, encouraging private sector investments, increasing employment and expanding exports.</w:t>
      </w:r>
    </w:p>
    <w:p w14:paraId="36C38604" w14:textId="77777777" w:rsidR="00C27D3F" w:rsidRDefault="001F2660" w:rsidP="00C27D3F">
      <w:pPr>
        <w:numPr>
          <w:ilvl w:val="0"/>
          <w:numId w:val="17"/>
        </w:numPr>
        <w:tabs>
          <w:tab w:val="left" w:pos="450"/>
        </w:tabs>
        <w:spacing w:before="120"/>
        <w:ind w:left="0" w:firstLine="0"/>
        <w:contextualSpacing/>
      </w:pPr>
      <w:r w:rsidRPr="00C27D3F">
        <w:rPr>
          <w:lang w:val="en-US"/>
        </w:rPr>
        <w:lastRenderedPageBreak/>
        <w:t>A</w:t>
      </w:r>
      <w:r w:rsidR="00F70095">
        <w:t xml:space="preserve"> significant decrease in both exports and imports is expected in 2025</w:t>
      </w:r>
      <w:r w:rsidRPr="00C27D3F">
        <w:rPr>
          <w:lang w:val="en-US"/>
        </w:rPr>
        <w:t>, g</w:t>
      </w:r>
      <w:r w:rsidRPr="001F2660">
        <w:t>iven the</w:t>
      </w:r>
      <w:r>
        <w:t xml:space="preserve"> slowdown in the growth rate of economic activity and a decline in the role of re-exports</w:t>
      </w:r>
      <w:r w:rsidR="00F70095">
        <w:t xml:space="preserve">. As a result, </w:t>
      </w:r>
      <w:r w:rsidR="0021451B">
        <w:t>the current account deficit is projected to deepen further in 2025, reaching 5.0% of GDP</w:t>
      </w:r>
      <w:r w:rsidR="0021451B" w:rsidRPr="00C27D3F">
        <w:rPr>
          <w:lang w:val="en-US"/>
        </w:rPr>
        <w:t xml:space="preserve"> </w:t>
      </w:r>
      <w:r w:rsidR="0021451B">
        <w:t>due to</w:t>
      </w:r>
      <w:r w:rsidR="00F70095">
        <w:t xml:space="preserve"> </w:t>
      </w:r>
      <w:r w:rsidR="0021451B" w:rsidRPr="0021451B">
        <w:t>a deterioration in the trade deficit and a weakening of the services surplus</w:t>
      </w:r>
      <w:r w:rsidR="00F70095" w:rsidRPr="0021451B">
        <w:t>.</w:t>
      </w:r>
      <w:r w:rsidR="00F70095">
        <w:t xml:space="preserve"> In the medium term, </w:t>
      </w:r>
      <w:r w:rsidR="0021451B">
        <w:t xml:space="preserve">the current account deficit is expected to stabilize around its long-term equilibrium level </w:t>
      </w:r>
      <w:r w:rsidR="00F70095">
        <w:t>as the positive effects observed durin</w:t>
      </w:r>
      <w:r w:rsidR="0021451B">
        <w:t xml:space="preserve">g 2022–2024 gradually </w:t>
      </w:r>
      <w:r w:rsidR="0021451B" w:rsidRPr="00C27D3F">
        <w:rPr>
          <w:lang w:val="en-US"/>
        </w:rPr>
        <w:t>diminish</w:t>
      </w:r>
      <w:r w:rsidR="00F70095">
        <w:t>.</w:t>
      </w:r>
    </w:p>
    <w:p w14:paraId="12A96C17" w14:textId="77777777" w:rsidR="00C27D3F" w:rsidRDefault="007A2786" w:rsidP="00C27D3F">
      <w:pPr>
        <w:numPr>
          <w:ilvl w:val="0"/>
          <w:numId w:val="17"/>
        </w:numPr>
        <w:tabs>
          <w:tab w:val="left" w:pos="450"/>
        </w:tabs>
        <w:spacing w:before="120"/>
        <w:ind w:left="0" w:firstLine="0"/>
        <w:contextualSpacing/>
      </w:pPr>
      <w:r>
        <w:t xml:space="preserve">At the beginning of the medium-term period, </w:t>
      </w:r>
      <w:r w:rsidR="00DC0AC6">
        <w:t>to form "front-loaded" resources for urgent needs and structural reforms</w:t>
      </w:r>
      <w:r w:rsidR="006F6E3F" w:rsidRPr="00C27D3F">
        <w:rPr>
          <w:lang w:val="en-US"/>
        </w:rPr>
        <w:t>,</w:t>
      </w:r>
      <w:r w:rsidR="00DC0AC6">
        <w:t xml:space="preserve"> </w:t>
      </w:r>
      <w:r>
        <w:t>following a certain increase in the fiscal deficit and public debt</w:t>
      </w:r>
      <w:r w:rsidR="001F2660" w:rsidRPr="00C27D3F">
        <w:rPr>
          <w:lang w:val="en-US"/>
        </w:rPr>
        <w:t>,</w:t>
      </w:r>
      <w:r>
        <w:t xml:space="preserve"> fiscal policy will focus on </w:t>
      </w:r>
      <w:r w:rsidRPr="00C27D3F">
        <w:rPr>
          <w:rFonts w:cs="Times New Roman"/>
        </w:rPr>
        <w:t>implementing</w:t>
      </w:r>
      <w:r>
        <w:t xml:space="preserve"> fiscal consolidation </w:t>
      </w:r>
      <w:r w:rsidR="00EE4BEE" w:rsidRPr="00C27D3F">
        <w:rPr>
          <w:lang w:val="en-US"/>
        </w:rPr>
        <w:t xml:space="preserve">alongside </w:t>
      </w:r>
      <w:r>
        <w:t>improvements in the expenditure structure. The government debt burden is expected to reach 54–55% of GDP during 2026–2028, after which</w:t>
      </w:r>
      <w:r w:rsidR="00EE4BEE" w:rsidRPr="00EE4BEE">
        <w:t xml:space="preserve"> </w:t>
      </w:r>
      <w:r w:rsidR="00EE4BEE">
        <w:t>it is projected to approach 50% by 2030</w:t>
      </w:r>
      <w:r>
        <w:t>, driven by a continue</w:t>
      </w:r>
      <w:r w:rsidR="00EE4BEE">
        <w:t>d decline in the budget deficit</w:t>
      </w:r>
      <w:r>
        <w:t>.</w:t>
      </w:r>
      <w:r w:rsidR="00AF0013" w:rsidRPr="00C27D3F">
        <w:rPr>
          <w:lang w:val="en-US"/>
        </w:rPr>
        <w:t xml:space="preserve"> Fiscal consolidation will be implemented through the optimization and enhanced efficiency of current expenditures,</w:t>
      </w:r>
      <w:r w:rsidR="00AF0013" w:rsidRPr="00AF0013">
        <w:t xml:space="preserve"> </w:t>
      </w:r>
      <w:r w:rsidR="00AF0013">
        <w:t xml:space="preserve">with a slight decrease in </w:t>
      </w:r>
      <w:r w:rsidR="00197528" w:rsidRPr="00C27D3F">
        <w:rPr>
          <w:lang w:val="en-US"/>
        </w:rPr>
        <w:t>their</w:t>
      </w:r>
      <w:r w:rsidR="00AF0013">
        <w:t xml:space="preserve"> proportion of GDP</w:t>
      </w:r>
      <w:r w:rsidR="00AF0013" w:rsidRPr="00C27D3F">
        <w:rPr>
          <w:lang w:val="en-US"/>
        </w:rPr>
        <w:t xml:space="preserve">. </w:t>
      </w:r>
      <w:r w:rsidR="00197528">
        <w:t>This will be reinforced by a contractionary fiscal stance in the early medium term, with the fiscal policy position gradually returning to neutral by the end of the period in terms of its impact on aggregate demand, while simultaneously having a positive effect on the economy’s potential throughout the entire horizon. Overall, the priority for fiscal policy is the more efficient use of existing resources and the development of potential risk management capabilities, which, together with an increase in growth potential, should ensure fiscal sustainability over the long term.</w:t>
      </w:r>
    </w:p>
    <w:p w14:paraId="51A0804A" w14:textId="77777777" w:rsidR="00C27D3F" w:rsidRDefault="005E58F5" w:rsidP="00C27D3F">
      <w:pPr>
        <w:numPr>
          <w:ilvl w:val="0"/>
          <w:numId w:val="17"/>
        </w:numPr>
        <w:tabs>
          <w:tab w:val="left" w:pos="450"/>
        </w:tabs>
        <w:spacing w:before="120"/>
        <w:ind w:left="0" w:firstLine="0"/>
        <w:contextualSpacing/>
      </w:pPr>
      <w:r w:rsidRPr="00C27D3F">
        <w:rPr>
          <w:lang w:val="en-US"/>
        </w:rPr>
        <w:t xml:space="preserve">In 2025, </w:t>
      </w:r>
      <w:r>
        <w:t xml:space="preserve">inflation is expected to approach the targeted level of 3% and stabilize around this level in the medium term. Continuously monitoring economic developmens, the Central Bank will undertake appropriate measures to </w:t>
      </w:r>
      <w:r w:rsidRPr="00C27D3F">
        <w:rPr>
          <w:lang w:val="en-US"/>
        </w:rPr>
        <w:t>sustain</w:t>
      </w:r>
      <w:r>
        <w:t xml:space="preserve"> inflation at 3% and maintain price stability over the medium-term horizon.</w:t>
      </w:r>
    </w:p>
    <w:p w14:paraId="49D39EC8" w14:textId="2B279725" w:rsidR="00FD073F" w:rsidRPr="00C27D3F" w:rsidRDefault="00186D7D" w:rsidP="00C27D3F">
      <w:pPr>
        <w:numPr>
          <w:ilvl w:val="0"/>
          <w:numId w:val="17"/>
        </w:numPr>
        <w:tabs>
          <w:tab w:val="left" w:pos="450"/>
        </w:tabs>
        <w:spacing w:before="120"/>
        <w:ind w:left="0" w:firstLine="0"/>
        <w:contextualSpacing/>
      </w:pPr>
      <w:r>
        <w:t>The Russia-Ukraine conflict and the unprecedented sanctions imposed on Russia have created a new global reality, resulting in significant uncertainty for economic growth forecasts in Armenia, its partner countries, and the global economy.</w:t>
      </w:r>
      <w:r w:rsidRPr="00C27D3F">
        <w:rPr>
          <w:lang w:val="en-US"/>
        </w:rPr>
        <w:t xml:space="preserve"> </w:t>
      </w:r>
      <w:r w:rsidR="006F6E3F" w:rsidRPr="00C27D3F">
        <w:rPr>
          <w:lang w:val="en-US"/>
        </w:rPr>
        <w:t xml:space="preserve">Under these conditions, there are bilateral risks to the economic growth forecasts </w:t>
      </w:r>
      <w:r w:rsidR="00C27D3F">
        <w:rPr>
          <w:lang w:val="en-US"/>
        </w:rPr>
        <w:t>for</w:t>
      </w:r>
      <w:r w:rsidR="006F6E3F" w:rsidRPr="00C27D3F">
        <w:rPr>
          <w:lang w:val="en-US"/>
        </w:rPr>
        <w:t xml:space="preserve"> both the </w:t>
      </w:r>
      <w:r w:rsidR="00C27D3F">
        <w:rPr>
          <w:lang w:val="en-US"/>
        </w:rPr>
        <w:t>global economy</w:t>
      </w:r>
      <w:r w:rsidR="006F6E3F" w:rsidRPr="00C27D3F">
        <w:rPr>
          <w:lang w:val="en-US"/>
        </w:rPr>
        <w:t xml:space="preserve"> and Armenia's partner</w:t>
      </w:r>
      <w:r w:rsidR="00C27D3F" w:rsidRPr="00C27D3F">
        <w:rPr>
          <w:lang w:val="en-US"/>
        </w:rPr>
        <w:t xml:space="preserve"> countries</w:t>
      </w:r>
      <w:r w:rsidR="006F6E3F" w:rsidRPr="00C27D3F">
        <w:rPr>
          <w:lang w:val="en-US"/>
        </w:rPr>
        <w:t xml:space="preserve">, as well as </w:t>
      </w:r>
      <w:r w:rsidR="00C27D3F">
        <w:rPr>
          <w:lang w:val="en-US"/>
        </w:rPr>
        <w:t xml:space="preserve">for </w:t>
      </w:r>
      <w:r w:rsidR="006F6E3F" w:rsidRPr="00C27D3F">
        <w:rPr>
          <w:lang w:val="en-US"/>
        </w:rPr>
        <w:t>the RA w</w:t>
      </w:r>
      <w:r w:rsidR="00C27D3F">
        <w:rPr>
          <w:lang w:val="en-US"/>
        </w:rPr>
        <w:t>ithin the framework of the MTEF;</w:t>
      </w:r>
      <w:r w:rsidR="006F6E3F" w:rsidRPr="00C27D3F">
        <w:rPr>
          <w:lang w:val="en-US"/>
        </w:rPr>
        <w:t xml:space="preserve"> </w:t>
      </w:r>
      <w:r w:rsidR="00C27D3F" w:rsidRPr="00C27D3F">
        <w:rPr>
          <w:lang w:val="en-US"/>
        </w:rPr>
        <w:t>however,</w:t>
      </w:r>
      <w:r w:rsidR="006F6E3F" w:rsidRPr="00C27D3F">
        <w:rPr>
          <w:lang w:val="en-US"/>
        </w:rPr>
        <w:t xml:space="preserve"> downside risks are relatively large.</w:t>
      </w:r>
    </w:p>
    <w:p w14:paraId="7D0D6959" w14:textId="65C2FFAA" w:rsidR="00D63973" w:rsidRPr="0070296A" w:rsidRDefault="00B105EB" w:rsidP="00B105EB">
      <w:pPr>
        <w:pStyle w:val="af6"/>
        <w:numPr>
          <w:ilvl w:val="0"/>
          <w:numId w:val="18"/>
        </w:numPr>
        <w:ind w:left="1276" w:hanging="1276"/>
      </w:pPr>
      <w:r w:rsidRPr="007C0429">
        <w:t xml:space="preserve">Key indicators underlying the RA Government </w:t>
      </w:r>
      <w:r w:rsidR="005E5676">
        <w:t>debt management strategy in 2023-2028</w:t>
      </w:r>
    </w:p>
    <w:tbl>
      <w:tblPr>
        <w:tblW w:w="10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260"/>
        <w:gridCol w:w="1170"/>
        <w:gridCol w:w="1322"/>
        <w:gridCol w:w="1233"/>
        <w:gridCol w:w="1110"/>
        <w:gridCol w:w="19"/>
        <w:gridCol w:w="1015"/>
        <w:gridCol w:w="19"/>
      </w:tblGrid>
      <w:tr w:rsidR="00D63973" w:rsidRPr="0070296A" w14:paraId="2661515C" w14:textId="77777777" w:rsidTr="00080DA6">
        <w:trPr>
          <w:gridAfter w:val="1"/>
          <w:wAfter w:w="19" w:type="dxa"/>
          <w:trHeight w:val="584"/>
          <w:tblHeader/>
          <w:jc w:val="center"/>
        </w:trPr>
        <w:tc>
          <w:tcPr>
            <w:tcW w:w="3240" w:type="dxa"/>
            <w:tcBorders>
              <w:top w:val="thinThickThinSmallGap" w:sz="24" w:space="0" w:color="auto"/>
              <w:left w:val="nil"/>
              <w:bottom w:val="thinThickSmallGap" w:sz="24" w:space="0" w:color="auto"/>
              <w:right w:val="nil"/>
            </w:tcBorders>
            <w:shd w:val="clear" w:color="auto" w:fill="5B9BD5"/>
          </w:tcPr>
          <w:p w14:paraId="068F7060" w14:textId="77777777" w:rsidR="00D63973" w:rsidRPr="0070296A" w:rsidRDefault="00D63973" w:rsidP="00A15C2F">
            <w:pPr>
              <w:ind w:firstLine="0"/>
            </w:pPr>
          </w:p>
        </w:tc>
        <w:tc>
          <w:tcPr>
            <w:tcW w:w="1260" w:type="dxa"/>
            <w:tcBorders>
              <w:top w:val="thinThickThinSmallGap" w:sz="24" w:space="0" w:color="auto"/>
              <w:left w:val="double" w:sz="4" w:space="0" w:color="auto"/>
              <w:bottom w:val="thinThickSmallGap" w:sz="24" w:space="0" w:color="auto"/>
              <w:right w:val="nil"/>
            </w:tcBorders>
            <w:shd w:val="clear" w:color="auto" w:fill="5B9BD5"/>
          </w:tcPr>
          <w:p w14:paraId="47D6BBDC" w14:textId="77A73C34" w:rsidR="00D63973" w:rsidRPr="00900519" w:rsidRDefault="00D63973" w:rsidP="00A15C2F">
            <w:pPr>
              <w:ind w:firstLine="0"/>
              <w:rPr>
                <w:rFonts w:ascii="Cambria Math" w:hAnsi="Cambria Math"/>
              </w:rPr>
            </w:pPr>
            <w:r w:rsidRPr="002363BE">
              <w:t>2023</w:t>
            </w:r>
            <w:r>
              <w:rPr>
                <w:lang w:val="en-US"/>
              </w:rPr>
              <w:t xml:space="preserve"> </w:t>
            </w:r>
            <w:r w:rsidR="005E5676">
              <w:rPr>
                <w:lang w:val="en-US"/>
              </w:rPr>
              <w:t>actual</w:t>
            </w:r>
          </w:p>
        </w:tc>
        <w:tc>
          <w:tcPr>
            <w:tcW w:w="1170" w:type="dxa"/>
            <w:tcBorders>
              <w:top w:val="thinThickThinSmallGap" w:sz="24" w:space="0" w:color="auto"/>
              <w:left w:val="nil"/>
              <w:bottom w:val="thinThickSmallGap" w:sz="24" w:space="0" w:color="auto"/>
              <w:right w:val="nil"/>
            </w:tcBorders>
            <w:shd w:val="clear" w:color="auto" w:fill="5B9BD5"/>
          </w:tcPr>
          <w:p w14:paraId="13F1CE7A" w14:textId="34C300C0" w:rsidR="00D63973" w:rsidRPr="00900519" w:rsidRDefault="00D63973" w:rsidP="00A15C2F">
            <w:pPr>
              <w:ind w:firstLine="0"/>
              <w:rPr>
                <w:rFonts w:ascii="Cambria Math" w:hAnsi="Cambria Math"/>
              </w:rPr>
            </w:pPr>
            <w:r w:rsidRPr="002363BE">
              <w:t>2024</w:t>
            </w:r>
            <w:r>
              <w:t xml:space="preserve"> </w:t>
            </w:r>
            <w:r w:rsidR="005E5676">
              <w:rPr>
                <w:lang w:val="en-US"/>
              </w:rPr>
              <w:t>actual</w:t>
            </w:r>
          </w:p>
        </w:tc>
        <w:tc>
          <w:tcPr>
            <w:tcW w:w="1322" w:type="dxa"/>
            <w:tcBorders>
              <w:top w:val="thinThickThinSmallGap" w:sz="24" w:space="0" w:color="auto"/>
              <w:left w:val="nil"/>
              <w:bottom w:val="thinThickSmallGap" w:sz="24" w:space="0" w:color="auto"/>
              <w:right w:val="nil"/>
            </w:tcBorders>
            <w:shd w:val="clear" w:color="auto" w:fill="5B9BD5"/>
          </w:tcPr>
          <w:p w14:paraId="3E8AD2D8" w14:textId="05F5FEA6" w:rsidR="00D63973" w:rsidRPr="00900519" w:rsidRDefault="00D63973" w:rsidP="00A15C2F">
            <w:pPr>
              <w:ind w:firstLine="0"/>
              <w:rPr>
                <w:rFonts w:ascii="Cambria Math" w:hAnsi="Cambria Math"/>
              </w:rPr>
            </w:pPr>
            <w:r w:rsidRPr="002363BE">
              <w:t>2025</w:t>
            </w:r>
            <w:r>
              <w:t xml:space="preserve"> </w:t>
            </w:r>
            <w:r w:rsidR="005E5676">
              <w:rPr>
                <w:lang w:val="en-US"/>
              </w:rPr>
              <w:t>forecast</w:t>
            </w:r>
          </w:p>
        </w:tc>
        <w:tc>
          <w:tcPr>
            <w:tcW w:w="1233" w:type="dxa"/>
            <w:tcBorders>
              <w:top w:val="thinThickThinSmallGap" w:sz="24" w:space="0" w:color="auto"/>
              <w:left w:val="nil"/>
              <w:bottom w:val="thinThickSmallGap" w:sz="24" w:space="0" w:color="auto"/>
              <w:right w:val="nil"/>
            </w:tcBorders>
            <w:shd w:val="clear" w:color="auto" w:fill="5B9BD5"/>
          </w:tcPr>
          <w:p w14:paraId="6EC78EF8" w14:textId="52DBE65F" w:rsidR="00D63973" w:rsidRPr="00900519" w:rsidRDefault="00D63973" w:rsidP="00A15C2F">
            <w:pPr>
              <w:ind w:firstLine="0"/>
              <w:rPr>
                <w:rFonts w:ascii="Cambria Math" w:hAnsi="Cambria Math"/>
              </w:rPr>
            </w:pPr>
            <w:r w:rsidRPr="002363BE">
              <w:t>2026</w:t>
            </w:r>
            <w:r>
              <w:t xml:space="preserve"> </w:t>
            </w:r>
            <w:r w:rsidR="005E5676">
              <w:rPr>
                <w:lang w:val="en-US"/>
              </w:rPr>
              <w:t>forecast</w:t>
            </w:r>
          </w:p>
        </w:tc>
        <w:tc>
          <w:tcPr>
            <w:tcW w:w="1110" w:type="dxa"/>
            <w:tcBorders>
              <w:top w:val="thinThickThinSmallGap" w:sz="24" w:space="0" w:color="auto"/>
              <w:left w:val="nil"/>
              <w:bottom w:val="thinThickSmallGap" w:sz="24" w:space="0" w:color="auto"/>
              <w:right w:val="nil"/>
            </w:tcBorders>
            <w:shd w:val="clear" w:color="auto" w:fill="5B9BD5"/>
          </w:tcPr>
          <w:p w14:paraId="78C4AC83" w14:textId="303FEDE8" w:rsidR="00D63973" w:rsidRPr="00900519" w:rsidRDefault="00D63973" w:rsidP="00A15C2F">
            <w:pPr>
              <w:ind w:firstLine="0"/>
              <w:rPr>
                <w:rFonts w:ascii="Cambria Math" w:hAnsi="Cambria Math"/>
              </w:rPr>
            </w:pPr>
            <w:r w:rsidRPr="002363BE">
              <w:t>2027</w:t>
            </w:r>
            <w:r>
              <w:t xml:space="preserve"> </w:t>
            </w:r>
            <w:r w:rsidR="005E5676">
              <w:rPr>
                <w:lang w:val="en-US"/>
              </w:rPr>
              <w:t>forecast</w:t>
            </w:r>
          </w:p>
        </w:tc>
        <w:tc>
          <w:tcPr>
            <w:tcW w:w="1034" w:type="dxa"/>
            <w:gridSpan w:val="2"/>
            <w:tcBorders>
              <w:top w:val="thinThickThinSmallGap" w:sz="24" w:space="0" w:color="auto"/>
              <w:left w:val="nil"/>
              <w:bottom w:val="thinThickSmallGap" w:sz="24" w:space="0" w:color="auto"/>
              <w:right w:val="nil"/>
            </w:tcBorders>
            <w:shd w:val="clear" w:color="auto" w:fill="5B9BD5"/>
          </w:tcPr>
          <w:p w14:paraId="2C1B1780" w14:textId="51CD34FC" w:rsidR="00D63973" w:rsidRPr="00900519" w:rsidRDefault="00D63973" w:rsidP="00A15C2F">
            <w:pPr>
              <w:ind w:firstLine="0"/>
              <w:rPr>
                <w:rFonts w:ascii="Cambria Math" w:hAnsi="Cambria Math"/>
              </w:rPr>
            </w:pPr>
            <w:r w:rsidRPr="002363BE">
              <w:t>2028</w:t>
            </w:r>
            <w:r>
              <w:t xml:space="preserve"> </w:t>
            </w:r>
            <w:r w:rsidR="005E5676">
              <w:rPr>
                <w:lang w:val="en-US"/>
              </w:rPr>
              <w:t>forecast</w:t>
            </w:r>
          </w:p>
        </w:tc>
      </w:tr>
      <w:tr w:rsidR="00D63973" w:rsidRPr="0070296A" w14:paraId="40A97991" w14:textId="77777777" w:rsidTr="00080DA6">
        <w:trPr>
          <w:gridAfter w:val="1"/>
          <w:wAfter w:w="19" w:type="dxa"/>
          <w:trHeight w:val="318"/>
          <w:jc w:val="center"/>
        </w:trPr>
        <w:tc>
          <w:tcPr>
            <w:tcW w:w="3240" w:type="dxa"/>
            <w:tcBorders>
              <w:top w:val="thinThickSmallGap" w:sz="24" w:space="0" w:color="auto"/>
              <w:left w:val="nil"/>
              <w:right w:val="nil"/>
            </w:tcBorders>
            <w:vAlign w:val="center"/>
          </w:tcPr>
          <w:p w14:paraId="7E7AF150" w14:textId="177DB39E" w:rsidR="00D63973" w:rsidRPr="0070296A" w:rsidRDefault="005E5676" w:rsidP="00A15C2F">
            <w:pPr>
              <w:spacing w:line="240" w:lineRule="auto"/>
              <w:ind w:firstLine="0"/>
              <w:jc w:val="left"/>
            </w:pPr>
            <w:r>
              <w:rPr>
                <w:lang w:val="en-US"/>
              </w:rPr>
              <w:t>Economic</w:t>
            </w:r>
            <w:r w:rsidRPr="005A68E6">
              <w:rPr>
                <w:lang w:val="en-US"/>
              </w:rPr>
              <w:t xml:space="preserve"> growth</w:t>
            </w:r>
            <w:r w:rsidRPr="005A68E6">
              <w:rPr>
                <w:rFonts w:cs="Arial"/>
              </w:rPr>
              <w:t xml:space="preserve"> </w:t>
            </w:r>
            <w:r w:rsidRPr="0070296A">
              <w:rPr>
                <w:rFonts w:cs="Arial"/>
              </w:rPr>
              <w:t>(%)</w:t>
            </w:r>
          </w:p>
        </w:tc>
        <w:tc>
          <w:tcPr>
            <w:tcW w:w="1260" w:type="dxa"/>
            <w:tcBorders>
              <w:top w:val="thinThickSmallGap" w:sz="24" w:space="0" w:color="auto"/>
              <w:left w:val="double" w:sz="4" w:space="0" w:color="auto"/>
              <w:right w:val="nil"/>
            </w:tcBorders>
          </w:tcPr>
          <w:p w14:paraId="4D88816C" w14:textId="77777777" w:rsidR="00D63973" w:rsidRPr="00900519" w:rsidRDefault="00D63973" w:rsidP="00A15C2F">
            <w:pPr>
              <w:ind w:firstLine="0"/>
            </w:pPr>
            <w:r w:rsidRPr="00900519">
              <w:t>8.3</w:t>
            </w:r>
          </w:p>
        </w:tc>
        <w:tc>
          <w:tcPr>
            <w:tcW w:w="1170" w:type="dxa"/>
            <w:tcBorders>
              <w:top w:val="thinThickSmallGap" w:sz="24" w:space="0" w:color="auto"/>
              <w:left w:val="nil"/>
              <w:right w:val="nil"/>
            </w:tcBorders>
          </w:tcPr>
          <w:p w14:paraId="08D9F3B7" w14:textId="77777777" w:rsidR="00D63973" w:rsidRPr="00900519" w:rsidRDefault="00D63973" w:rsidP="00A15C2F">
            <w:pPr>
              <w:ind w:firstLine="0"/>
            </w:pPr>
            <w:r w:rsidRPr="00900519">
              <w:t>5.9</w:t>
            </w:r>
          </w:p>
        </w:tc>
        <w:tc>
          <w:tcPr>
            <w:tcW w:w="1322" w:type="dxa"/>
            <w:tcBorders>
              <w:top w:val="thinThickSmallGap" w:sz="24" w:space="0" w:color="auto"/>
              <w:left w:val="nil"/>
              <w:right w:val="nil"/>
            </w:tcBorders>
          </w:tcPr>
          <w:p w14:paraId="2C67610A" w14:textId="77777777" w:rsidR="00D63973" w:rsidRPr="00900519" w:rsidRDefault="00D63973" w:rsidP="00A15C2F">
            <w:pPr>
              <w:ind w:firstLine="0"/>
            </w:pPr>
            <w:r w:rsidRPr="00900519">
              <w:t>5.1</w:t>
            </w:r>
          </w:p>
        </w:tc>
        <w:tc>
          <w:tcPr>
            <w:tcW w:w="1233" w:type="dxa"/>
            <w:tcBorders>
              <w:top w:val="thinThickSmallGap" w:sz="24" w:space="0" w:color="auto"/>
              <w:left w:val="nil"/>
              <w:right w:val="nil"/>
            </w:tcBorders>
          </w:tcPr>
          <w:p w14:paraId="150280E5" w14:textId="77777777" w:rsidR="00D63973" w:rsidRPr="00900519" w:rsidRDefault="00D63973" w:rsidP="00A15C2F">
            <w:pPr>
              <w:ind w:firstLine="0"/>
            </w:pPr>
            <w:r w:rsidRPr="00900519">
              <w:t>5.1</w:t>
            </w:r>
          </w:p>
        </w:tc>
        <w:tc>
          <w:tcPr>
            <w:tcW w:w="1110" w:type="dxa"/>
            <w:tcBorders>
              <w:top w:val="thinThickSmallGap" w:sz="24" w:space="0" w:color="auto"/>
              <w:left w:val="nil"/>
              <w:right w:val="nil"/>
            </w:tcBorders>
          </w:tcPr>
          <w:p w14:paraId="1C1796E1" w14:textId="77777777" w:rsidR="00D63973" w:rsidRPr="00900519" w:rsidRDefault="00D63973" w:rsidP="00A15C2F">
            <w:pPr>
              <w:ind w:firstLine="0"/>
            </w:pPr>
            <w:r w:rsidRPr="00900519">
              <w:t>5.3</w:t>
            </w:r>
          </w:p>
        </w:tc>
        <w:tc>
          <w:tcPr>
            <w:tcW w:w="1034" w:type="dxa"/>
            <w:gridSpan w:val="2"/>
            <w:tcBorders>
              <w:top w:val="thinThickSmallGap" w:sz="24" w:space="0" w:color="auto"/>
              <w:left w:val="nil"/>
              <w:right w:val="nil"/>
            </w:tcBorders>
          </w:tcPr>
          <w:p w14:paraId="5003E65E" w14:textId="77777777" w:rsidR="00D63973" w:rsidRPr="00900519" w:rsidRDefault="00D63973" w:rsidP="00A15C2F">
            <w:pPr>
              <w:ind w:firstLine="0"/>
            </w:pPr>
            <w:r w:rsidRPr="00900519">
              <w:t>5.2</w:t>
            </w:r>
          </w:p>
        </w:tc>
      </w:tr>
      <w:tr w:rsidR="00D63973" w:rsidRPr="0070296A" w14:paraId="6D7C8277" w14:textId="77777777" w:rsidTr="00080DA6">
        <w:trPr>
          <w:gridAfter w:val="1"/>
          <w:wAfter w:w="19" w:type="dxa"/>
          <w:trHeight w:val="334"/>
          <w:jc w:val="center"/>
        </w:trPr>
        <w:tc>
          <w:tcPr>
            <w:tcW w:w="3240" w:type="dxa"/>
            <w:tcBorders>
              <w:left w:val="nil"/>
              <w:right w:val="nil"/>
            </w:tcBorders>
            <w:vAlign w:val="center"/>
          </w:tcPr>
          <w:p w14:paraId="40A98C36" w14:textId="5B8B3FFD" w:rsidR="00D63973" w:rsidRPr="0070296A" w:rsidRDefault="005E5676" w:rsidP="00A15C2F">
            <w:pPr>
              <w:spacing w:line="240" w:lineRule="auto"/>
              <w:ind w:firstLine="0"/>
              <w:jc w:val="left"/>
            </w:pPr>
            <w:r w:rsidRPr="005A68E6">
              <w:t>CPI (period average, %)</w:t>
            </w:r>
          </w:p>
        </w:tc>
        <w:tc>
          <w:tcPr>
            <w:tcW w:w="1260" w:type="dxa"/>
            <w:tcBorders>
              <w:left w:val="double" w:sz="4" w:space="0" w:color="auto"/>
              <w:right w:val="nil"/>
            </w:tcBorders>
          </w:tcPr>
          <w:p w14:paraId="4374D9F8" w14:textId="77777777" w:rsidR="00D63973" w:rsidRPr="00BC5696" w:rsidRDefault="00D63973" w:rsidP="00A15C2F">
            <w:pPr>
              <w:ind w:firstLine="0"/>
            </w:pPr>
            <w:r w:rsidRPr="00BC5696">
              <w:t>2.0</w:t>
            </w:r>
          </w:p>
        </w:tc>
        <w:tc>
          <w:tcPr>
            <w:tcW w:w="1170" w:type="dxa"/>
            <w:tcBorders>
              <w:left w:val="nil"/>
              <w:right w:val="nil"/>
            </w:tcBorders>
          </w:tcPr>
          <w:p w14:paraId="74DADD93" w14:textId="77777777" w:rsidR="00D63973" w:rsidRPr="00BC5696" w:rsidRDefault="00D63973" w:rsidP="00A15C2F">
            <w:pPr>
              <w:ind w:firstLine="0"/>
            </w:pPr>
            <w:r w:rsidRPr="00BC5696">
              <w:t>0.3</w:t>
            </w:r>
          </w:p>
        </w:tc>
        <w:tc>
          <w:tcPr>
            <w:tcW w:w="1322" w:type="dxa"/>
            <w:tcBorders>
              <w:left w:val="nil"/>
              <w:right w:val="nil"/>
            </w:tcBorders>
          </w:tcPr>
          <w:p w14:paraId="0B73527B" w14:textId="77777777" w:rsidR="00D63973" w:rsidRPr="00BC5696" w:rsidRDefault="00D63973" w:rsidP="00A15C2F">
            <w:pPr>
              <w:ind w:firstLine="0"/>
            </w:pPr>
            <w:r>
              <w:t>2.5</w:t>
            </w:r>
          </w:p>
        </w:tc>
        <w:tc>
          <w:tcPr>
            <w:tcW w:w="1233" w:type="dxa"/>
            <w:tcBorders>
              <w:left w:val="nil"/>
              <w:right w:val="nil"/>
            </w:tcBorders>
          </w:tcPr>
          <w:p w14:paraId="622FF8BF" w14:textId="77777777" w:rsidR="00D63973" w:rsidRPr="00BC5696" w:rsidRDefault="00D63973" w:rsidP="00A15C2F">
            <w:pPr>
              <w:ind w:firstLine="0"/>
            </w:pPr>
            <w:r>
              <w:t>3.0</w:t>
            </w:r>
          </w:p>
        </w:tc>
        <w:tc>
          <w:tcPr>
            <w:tcW w:w="1110" w:type="dxa"/>
            <w:tcBorders>
              <w:left w:val="nil"/>
              <w:right w:val="nil"/>
            </w:tcBorders>
          </w:tcPr>
          <w:p w14:paraId="65669CD6" w14:textId="77777777" w:rsidR="00D63973" w:rsidRPr="00BC5696" w:rsidRDefault="00D63973" w:rsidP="00A15C2F">
            <w:pPr>
              <w:ind w:firstLine="0"/>
            </w:pPr>
            <w:r>
              <w:t>3.0</w:t>
            </w:r>
          </w:p>
        </w:tc>
        <w:tc>
          <w:tcPr>
            <w:tcW w:w="1034" w:type="dxa"/>
            <w:gridSpan w:val="2"/>
            <w:tcBorders>
              <w:left w:val="nil"/>
              <w:right w:val="nil"/>
            </w:tcBorders>
          </w:tcPr>
          <w:p w14:paraId="2C9BBBB3" w14:textId="77777777" w:rsidR="00D63973" w:rsidRPr="006F2973" w:rsidRDefault="00D63973" w:rsidP="00A15C2F">
            <w:pPr>
              <w:ind w:firstLine="0"/>
            </w:pPr>
            <w:r>
              <w:t>3.0</w:t>
            </w:r>
          </w:p>
        </w:tc>
      </w:tr>
      <w:tr w:rsidR="00D63973" w:rsidRPr="0070296A" w14:paraId="55506211" w14:textId="77777777" w:rsidTr="00080DA6">
        <w:trPr>
          <w:trHeight w:val="334"/>
          <w:jc w:val="center"/>
        </w:trPr>
        <w:tc>
          <w:tcPr>
            <w:tcW w:w="9354" w:type="dxa"/>
            <w:gridSpan w:val="7"/>
            <w:tcBorders>
              <w:left w:val="nil"/>
              <w:right w:val="nil"/>
            </w:tcBorders>
            <w:vAlign w:val="center"/>
          </w:tcPr>
          <w:p w14:paraId="5CA5F129" w14:textId="59F70933" w:rsidR="00D63973" w:rsidRPr="0070296A" w:rsidRDefault="005E5676" w:rsidP="005E5676">
            <w:pPr>
              <w:spacing w:line="240" w:lineRule="auto"/>
              <w:ind w:firstLine="0"/>
              <w:jc w:val="center"/>
              <w:rPr>
                <w:bCs/>
              </w:rPr>
            </w:pPr>
            <w:r w:rsidRPr="005A68E6">
              <w:rPr>
                <w:bCs/>
              </w:rPr>
              <w:lastRenderedPageBreak/>
              <w:t>Fiscal sector (%</w:t>
            </w:r>
            <w:r>
              <w:rPr>
                <w:bCs/>
                <w:lang w:val="en-US"/>
              </w:rPr>
              <w:t xml:space="preserve"> </w:t>
            </w:r>
            <w:r w:rsidRPr="005A68E6">
              <w:rPr>
                <w:bCs/>
              </w:rPr>
              <w:t>of GDP)</w:t>
            </w:r>
          </w:p>
        </w:tc>
        <w:tc>
          <w:tcPr>
            <w:tcW w:w="1034" w:type="dxa"/>
            <w:gridSpan w:val="2"/>
            <w:tcBorders>
              <w:left w:val="nil"/>
              <w:right w:val="nil"/>
            </w:tcBorders>
          </w:tcPr>
          <w:p w14:paraId="65219B51" w14:textId="77777777" w:rsidR="00D63973" w:rsidRPr="0070296A" w:rsidRDefault="00D63973" w:rsidP="00A15C2F">
            <w:pPr>
              <w:spacing w:line="240" w:lineRule="auto"/>
              <w:ind w:firstLine="0"/>
              <w:jc w:val="center"/>
              <w:rPr>
                <w:bCs/>
              </w:rPr>
            </w:pPr>
          </w:p>
        </w:tc>
      </w:tr>
      <w:tr w:rsidR="005E5676" w:rsidRPr="0070296A" w14:paraId="4721526F" w14:textId="77777777" w:rsidTr="00080DA6">
        <w:trPr>
          <w:gridAfter w:val="1"/>
          <w:wAfter w:w="19" w:type="dxa"/>
          <w:trHeight w:val="334"/>
          <w:jc w:val="center"/>
        </w:trPr>
        <w:tc>
          <w:tcPr>
            <w:tcW w:w="3240" w:type="dxa"/>
            <w:tcBorders>
              <w:left w:val="nil"/>
              <w:right w:val="nil"/>
            </w:tcBorders>
            <w:vAlign w:val="center"/>
          </w:tcPr>
          <w:p w14:paraId="07CF18BF" w14:textId="15A7DB63" w:rsidR="005E5676" w:rsidRPr="0070296A" w:rsidRDefault="005E5676" w:rsidP="005E5676">
            <w:pPr>
              <w:spacing w:line="240" w:lineRule="auto"/>
              <w:ind w:firstLine="0"/>
              <w:jc w:val="left"/>
            </w:pPr>
            <w:r w:rsidRPr="005A68E6">
              <w:t>Revenues and grants</w:t>
            </w:r>
          </w:p>
        </w:tc>
        <w:tc>
          <w:tcPr>
            <w:tcW w:w="1260" w:type="dxa"/>
            <w:tcBorders>
              <w:left w:val="double" w:sz="4" w:space="0" w:color="auto"/>
              <w:right w:val="nil"/>
            </w:tcBorders>
          </w:tcPr>
          <w:p w14:paraId="2EF50073" w14:textId="77777777" w:rsidR="005E5676" w:rsidRPr="00FB2558" w:rsidRDefault="005E5676" w:rsidP="005E5676">
            <w:pPr>
              <w:ind w:firstLine="0"/>
            </w:pPr>
            <w:r w:rsidRPr="00FB2558">
              <w:t>25.4</w:t>
            </w:r>
          </w:p>
        </w:tc>
        <w:tc>
          <w:tcPr>
            <w:tcW w:w="1170" w:type="dxa"/>
            <w:tcBorders>
              <w:left w:val="nil"/>
              <w:right w:val="nil"/>
            </w:tcBorders>
          </w:tcPr>
          <w:p w14:paraId="081F03F0" w14:textId="77777777" w:rsidR="005E5676" w:rsidRPr="00FB2558" w:rsidRDefault="005E5676" w:rsidP="005E5676">
            <w:pPr>
              <w:ind w:firstLine="0"/>
            </w:pPr>
            <w:r w:rsidRPr="00FB2558">
              <w:t>25.3</w:t>
            </w:r>
          </w:p>
        </w:tc>
        <w:tc>
          <w:tcPr>
            <w:tcW w:w="1322" w:type="dxa"/>
            <w:tcBorders>
              <w:left w:val="nil"/>
              <w:right w:val="nil"/>
            </w:tcBorders>
          </w:tcPr>
          <w:p w14:paraId="28E6BE98" w14:textId="77777777" w:rsidR="005E5676" w:rsidRPr="00FB2558" w:rsidRDefault="005E5676" w:rsidP="005E5676">
            <w:pPr>
              <w:ind w:firstLine="0"/>
            </w:pPr>
            <w:r w:rsidRPr="00FB2558">
              <w:t>25.3</w:t>
            </w:r>
          </w:p>
        </w:tc>
        <w:tc>
          <w:tcPr>
            <w:tcW w:w="1233" w:type="dxa"/>
            <w:tcBorders>
              <w:left w:val="nil"/>
              <w:right w:val="nil"/>
            </w:tcBorders>
          </w:tcPr>
          <w:p w14:paraId="372A8DBC" w14:textId="77777777" w:rsidR="005E5676" w:rsidRPr="00FB2558" w:rsidRDefault="005E5676" w:rsidP="005E5676">
            <w:pPr>
              <w:ind w:firstLine="0"/>
            </w:pPr>
            <w:r w:rsidRPr="00FB2558">
              <w:t>25.7</w:t>
            </w:r>
          </w:p>
        </w:tc>
        <w:tc>
          <w:tcPr>
            <w:tcW w:w="1110" w:type="dxa"/>
            <w:tcBorders>
              <w:left w:val="nil"/>
              <w:right w:val="nil"/>
            </w:tcBorders>
          </w:tcPr>
          <w:p w14:paraId="768C27D5" w14:textId="77777777" w:rsidR="005E5676" w:rsidRPr="00FB2558" w:rsidRDefault="005E5676" w:rsidP="005E5676">
            <w:pPr>
              <w:ind w:firstLine="0"/>
            </w:pPr>
            <w:r w:rsidRPr="00FB2558">
              <w:t>25.7</w:t>
            </w:r>
          </w:p>
        </w:tc>
        <w:tc>
          <w:tcPr>
            <w:tcW w:w="1034" w:type="dxa"/>
            <w:gridSpan w:val="2"/>
            <w:tcBorders>
              <w:left w:val="nil"/>
              <w:right w:val="nil"/>
            </w:tcBorders>
          </w:tcPr>
          <w:p w14:paraId="79E0FB9B" w14:textId="77777777" w:rsidR="005E5676" w:rsidRPr="00FB2558" w:rsidRDefault="005E5676" w:rsidP="005E5676">
            <w:pPr>
              <w:ind w:firstLine="0"/>
            </w:pPr>
            <w:r w:rsidRPr="00FB2558">
              <w:t>25.8</w:t>
            </w:r>
          </w:p>
        </w:tc>
      </w:tr>
      <w:tr w:rsidR="005E5676" w:rsidRPr="0070296A" w14:paraId="688BB25F" w14:textId="77777777" w:rsidTr="00080DA6">
        <w:trPr>
          <w:gridAfter w:val="1"/>
          <w:wAfter w:w="19" w:type="dxa"/>
          <w:trHeight w:val="272"/>
          <w:jc w:val="center"/>
        </w:trPr>
        <w:tc>
          <w:tcPr>
            <w:tcW w:w="3240" w:type="dxa"/>
            <w:tcBorders>
              <w:left w:val="nil"/>
              <w:right w:val="nil"/>
            </w:tcBorders>
            <w:vAlign w:val="center"/>
          </w:tcPr>
          <w:p w14:paraId="6464402B" w14:textId="5EC5E383" w:rsidR="005E5676" w:rsidRPr="0070296A" w:rsidRDefault="005E5676" w:rsidP="005E5676">
            <w:pPr>
              <w:spacing w:line="240" w:lineRule="auto"/>
              <w:ind w:firstLine="0"/>
              <w:jc w:val="left"/>
              <w:rPr>
                <w:lang w:val="en-US"/>
              </w:rPr>
            </w:pPr>
            <w:r w:rsidRPr="005A68E6">
              <w:t>Expenditures</w:t>
            </w:r>
          </w:p>
        </w:tc>
        <w:tc>
          <w:tcPr>
            <w:tcW w:w="1260" w:type="dxa"/>
            <w:tcBorders>
              <w:left w:val="double" w:sz="4" w:space="0" w:color="auto"/>
              <w:right w:val="nil"/>
            </w:tcBorders>
          </w:tcPr>
          <w:p w14:paraId="74FE9546" w14:textId="77777777" w:rsidR="005E5676" w:rsidRPr="00FB2558" w:rsidRDefault="005E5676" w:rsidP="005E5676">
            <w:pPr>
              <w:ind w:firstLine="0"/>
            </w:pPr>
            <w:r w:rsidRPr="00FB2558">
              <w:t>27.4</w:t>
            </w:r>
          </w:p>
        </w:tc>
        <w:tc>
          <w:tcPr>
            <w:tcW w:w="1170" w:type="dxa"/>
            <w:tcBorders>
              <w:left w:val="nil"/>
              <w:right w:val="nil"/>
            </w:tcBorders>
          </w:tcPr>
          <w:p w14:paraId="65B18E98" w14:textId="77777777" w:rsidR="005E5676" w:rsidRPr="00FB2558" w:rsidRDefault="005E5676" w:rsidP="005E5676">
            <w:pPr>
              <w:ind w:firstLine="0"/>
            </w:pPr>
            <w:r w:rsidRPr="00FB2558">
              <w:t>29.0</w:t>
            </w:r>
          </w:p>
        </w:tc>
        <w:tc>
          <w:tcPr>
            <w:tcW w:w="1322" w:type="dxa"/>
            <w:tcBorders>
              <w:left w:val="nil"/>
              <w:right w:val="nil"/>
            </w:tcBorders>
          </w:tcPr>
          <w:p w14:paraId="67B85A46" w14:textId="77777777" w:rsidR="005E5676" w:rsidRPr="00FB2558" w:rsidRDefault="005E5676" w:rsidP="005E5676">
            <w:pPr>
              <w:ind w:firstLine="0"/>
            </w:pPr>
            <w:r w:rsidRPr="00FB2558">
              <w:t>30.8</w:t>
            </w:r>
          </w:p>
        </w:tc>
        <w:tc>
          <w:tcPr>
            <w:tcW w:w="1233" w:type="dxa"/>
            <w:tcBorders>
              <w:left w:val="nil"/>
              <w:right w:val="nil"/>
            </w:tcBorders>
          </w:tcPr>
          <w:p w14:paraId="266C0F57" w14:textId="77777777" w:rsidR="005E5676" w:rsidRPr="00FB2558" w:rsidRDefault="005E5676" w:rsidP="005E5676">
            <w:pPr>
              <w:ind w:firstLine="0"/>
            </w:pPr>
            <w:r w:rsidRPr="00FB2558">
              <w:t>30.2</w:t>
            </w:r>
          </w:p>
        </w:tc>
        <w:tc>
          <w:tcPr>
            <w:tcW w:w="1110" w:type="dxa"/>
            <w:tcBorders>
              <w:left w:val="nil"/>
              <w:right w:val="nil"/>
            </w:tcBorders>
          </w:tcPr>
          <w:p w14:paraId="1A954344" w14:textId="77777777" w:rsidR="005E5676" w:rsidRPr="00FB2558" w:rsidRDefault="005E5676" w:rsidP="005E5676">
            <w:pPr>
              <w:ind w:firstLine="0"/>
            </w:pPr>
            <w:r w:rsidRPr="00FB2558">
              <w:t>29.1</w:t>
            </w:r>
          </w:p>
        </w:tc>
        <w:tc>
          <w:tcPr>
            <w:tcW w:w="1034" w:type="dxa"/>
            <w:gridSpan w:val="2"/>
            <w:tcBorders>
              <w:left w:val="nil"/>
              <w:right w:val="nil"/>
            </w:tcBorders>
          </w:tcPr>
          <w:p w14:paraId="6B424631" w14:textId="77777777" w:rsidR="005E5676" w:rsidRPr="00FB2558" w:rsidRDefault="005E5676" w:rsidP="005E5676">
            <w:pPr>
              <w:ind w:firstLine="0"/>
            </w:pPr>
            <w:r w:rsidRPr="00FB2558">
              <w:t>28.6</w:t>
            </w:r>
          </w:p>
        </w:tc>
      </w:tr>
      <w:tr w:rsidR="005E5676" w:rsidRPr="0070296A" w14:paraId="66F48FF7" w14:textId="77777777" w:rsidTr="00080DA6">
        <w:trPr>
          <w:gridAfter w:val="1"/>
          <w:wAfter w:w="19" w:type="dxa"/>
          <w:trHeight w:val="378"/>
          <w:jc w:val="center"/>
        </w:trPr>
        <w:tc>
          <w:tcPr>
            <w:tcW w:w="3240" w:type="dxa"/>
            <w:tcBorders>
              <w:left w:val="nil"/>
              <w:right w:val="nil"/>
            </w:tcBorders>
            <w:vAlign w:val="center"/>
          </w:tcPr>
          <w:p w14:paraId="5246C7FE" w14:textId="29445F10" w:rsidR="005E5676" w:rsidRPr="0070296A" w:rsidRDefault="005E5676" w:rsidP="005E5676">
            <w:pPr>
              <w:spacing w:line="240" w:lineRule="auto"/>
              <w:ind w:firstLine="0"/>
              <w:jc w:val="left"/>
            </w:pPr>
            <w:r w:rsidRPr="005A68E6">
              <w:t>Deficit  (-)</w:t>
            </w:r>
          </w:p>
        </w:tc>
        <w:tc>
          <w:tcPr>
            <w:tcW w:w="1260" w:type="dxa"/>
            <w:tcBorders>
              <w:left w:val="double" w:sz="4" w:space="0" w:color="auto"/>
              <w:right w:val="nil"/>
            </w:tcBorders>
          </w:tcPr>
          <w:p w14:paraId="0073412E" w14:textId="77777777" w:rsidR="005E5676" w:rsidRPr="00FB2558" w:rsidRDefault="005E5676" w:rsidP="005E5676">
            <w:pPr>
              <w:ind w:firstLine="0"/>
            </w:pPr>
            <w:r w:rsidRPr="00FB2558">
              <w:t>-2.0</w:t>
            </w:r>
          </w:p>
        </w:tc>
        <w:tc>
          <w:tcPr>
            <w:tcW w:w="1170" w:type="dxa"/>
            <w:tcBorders>
              <w:left w:val="nil"/>
              <w:right w:val="nil"/>
            </w:tcBorders>
          </w:tcPr>
          <w:p w14:paraId="60983662" w14:textId="77777777" w:rsidR="005E5676" w:rsidRPr="00FB2558" w:rsidRDefault="005E5676" w:rsidP="005E5676">
            <w:pPr>
              <w:ind w:firstLine="0"/>
            </w:pPr>
            <w:r w:rsidRPr="00FB2558">
              <w:t>-3.7</w:t>
            </w:r>
          </w:p>
        </w:tc>
        <w:tc>
          <w:tcPr>
            <w:tcW w:w="1322" w:type="dxa"/>
            <w:tcBorders>
              <w:left w:val="nil"/>
              <w:right w:val="nil"/>
            </w:tcBorders>
          </w:tcPr>
          <w:p w14:paraId="4A6B420A" w14:textId="77777777" w:rsidR="005E5676" w:rsidRPr="00FB2558" w:rsidRDefault="005E5676" w:rsidP="005E5676">
            <w:pPr>
              <w:ind w:firstLine="0"/>
            </w:pPr>
            <w:r w:rsidRPr="00FB2558">
              <w:t>-5.50</w:t>
            </w:r>
          </w:p>
        </w:tc>
        <w:tc>
          <w:tcPr>
            <w:tcW w:w="1233" w:type="dxa"/>
            <w:tcBorders>
              <w:left w:val="nil"/>
              <w:right w:val="nil"/>
            </w:tcBorders>
          </w:tcPr>
          <w:p w14:paraId="0FD16947" w14:textId="77777777" w:rsidR="005E5676" w:rsidRPr="00FB2558" w:rsidRDefault="005E5676" w:rsidP="005E5676">
            <w:pPr>
              <w:ind w:firstLine="0"/>
            </w:pPr>
            <w:r w:rsidRPr="00FB2558">
              <w:t>-4.5</w:t>
            </w:r>
          </w:p>
        </w:tc>
        <w:tc>
          <w:tcPr>
            <w:tcW w:w="1110" w:type="dxa"/>
            <w:tcBorders>
              <w:left w:val="nil"/>
              <w:right w:val="nil"/>
            </w:tcBorders>
          </w:tcPr>
          <w:p w14:paraId="6FC094FE" w14:textId="77777777" w:rsidR="005E5676" w:rsidRPr="00FB2558" w:rsidRDefault="005E5676" w:rsidP="005E5676">
            <w:pPr>
              <w:ind w:firstLine="0"/>
            </w:pPr>
            <w:r w:rsidRPr="00FB2558">
              <w:t>-3.5</w:t>
            </w:r>
          </w:p>
        </w:tc>
        <w:tc>
          <w:tcPr>
            <w:tcW w:w="1034" w:type="dxa"/>
            <w:gridSpan w:val="2"/>
            <w:tcBorders>
              <w:left w:val="nil"/>
              <w:right w:val="nil"/>
            </w:tcBorders>
          </w:tcPr>
          <w:p w14:paraId="4A20CA0F" w14:textId="77777777" w:rsidR="005E5676" w:rsidRPr="00FB2558" w:rsidRDefault="005E5676" w:rsidP="005E5676">
            <w:pPr>
              <w:ind w:firstLine="0"/>
            </w:pPr>
            <w:r w:rsidRPr="00FB2558">
              <w:t>-2.8</w:t>
            </w:r>
          </w:p>
        </w:tc>
      </w:tr>
      <w:tr w:rsidR="005E5676" w:rsidRPr="0070296A" w14:paraId="1000CE5F" w14:textId="77777777" w:rsidTr="00080DA6">
        <w:trPr>
          <w:gridAfter w:val="1"/>
          <w:wAfter w:w="19" w:type="dxa"/>
          <w:trHeight w:val="376"/>
          <w:jc w:val="center"/>
        </w:trPr>
        <w:tc>
          <w:tcPr>
            <w:tcW w:w="3240" w:type="dxa"/>
            <w:tcBorders>
              <w:left w:val="nil"/>
              <w:right w:val="nil"/>
            </w:tcBorders>
            <w:vAlign w:val="center"/>
          </w:tcPr>
          <w:p w14:paraId="4F43F3DC" w14:textId="726E6E45" w:rsidR="005E5676" w:rsidRPr="0070296A" w:rsidRDefault="005E5676" w:rsidP="005E5676">
            <w:pPr>
              <w:spacing w:line="240" w:lineRule="auto"/>
              <w:ind w:firstLine="0"/>
              <w:jc w:val="left"/>
            </w:pPr>
            <w:r w:rsidRPr="005A68E6">
              <w:t>RA Government debt</w:t>
            </w:r>
          </w:p>
        </w:tc>
        <w:tc>
          <w:tcPr>
            <w:tcW w:w="1260" w:type="dxa"/>
            <w:tcBorders>
              <w:left w:val="double" w:sz="4" w:space="0" w:color="auto"/>
              <w:right w:val="nil"/>
            </w:tcBorders>
          </w:tcPr>
          <w:p w14:paraId="7CEF25CC" w14:textId="77777777" w:rsidR="005E5676" w:rsidRPr="00FB2558" w:rsidRDefault="005E5676" w:rsidP="005E5676">
            <w:pPr>
              <w:ind w:firstLine="0"/>
            </w:pPr>
            <w:r w:rsidRPr="00FB2558">
              <w:t>48.2</w:t>
            </w:r>
          </w:p>
        </w:tc>
        <w:tc>
          <w:tcPr>
            <w:tcW w:w="1170" w:type="dxa"/>
            <w:tcBorders>
              <w:left w:val="nil"/>
              <w:right w:val="nil"/>
            </w:tcBorders>
          </w:tcPr>
          <w:p w14:paraId="7D89EC01" w14:textId="77777777" w:rsidR="005E5676" w:rsidRPr="00FB2558" w:rsidRDefault="005E5676" w:rsidP="005E5676">
            <w:pPr>
              <w:ind w:firstLine="0"/>
            </w:pPr>
            <w:r w:rsidRPr="00FB2558">
              <w:t>48.0</w:t>
            </w:r>
          </w:p>
        </w:tc>
        <w:tc>
          <w:tcPr>
            <w:tcW w:w="1322" w:type="dxa"/>
            <w:tcBorders>
              <w:left w:val="nil"/>
              <w:right w:val="nil"/>
            </w:tcBorders>
          </w:tcPr>
          <w:p w14:paraId="2F2FEDF5" w14:textId="77777777" w:rsidR="005E5676" w:rsidRPr="00FB2558" w:rsidRDefault="005E5676" w:rsidP="005E5676">
            <w:pPr>
              <w:ind w:firstLine="0"/>
            </w:pPr>
            <w:r w:rsidRPr="00FB2558">
              <w:t>52.6</w:t>
            </w:r>
          </w:p>
        </w:tc>
        <w:tc>
          <w:tcPr>
            <w:tcW w:w="1233" w:type="dxa"/>
            <w:tcBorders>
              <w:left w:val="nil"/>
              <w:right w:val="nil"/>
            </w:tcBorders>
          </w:tcPr>
          <w:p w14:paraId="5CC892C3" w14:textId="77777777" w:rsidR="005E5676" w:rsidRPr="00FB2558" w:rsidRDefault="005E5676" w:rsidP="005E5676">
            <w:pPr>
              <w:ind w:firstLine="0"/>
            </w:pPr>
            <w:r w:rsidRPr="00FB2558">
              <w:t>54.4</w:t>
            </w:r>
          </w:p>
        </w:tc>
        <w:tc>
          <w:tcPr>
            <w:tcW w:w="1110" w:type="dxa"/>
            <w:tcBorders>
              <w:left w:val="nil"/>
              <w:right w:val="nil"/>
            </w:tcBorders>
          </w:tcPr>
          <w:p w14:paraId="15B33CFA" w14:textId="77777777" w:rsidR="005E5676" w:rsidRPr="00FB2558" w:rsidRDefault="005E5676" w:rsidP="005E5676">
            <w:pPr>
              <w:ind w:firstLine="0"/>
            </w:pPr>
            <w:r w:rsidRPr="00FB2558">
              <w:t>54.8</w:t>
            </w:r>
          </w:p>
        </w:tc>
        <w:tc>
          <w:tcPr>
            <w:tcW w:w="1034" w:type="dxa"/>
            <w:gridSpan w:val="2"/>
            <w:tcBorders>
              <w:left w:val="nil"/>
              <w:right w:val="nil"/>
            </w:tcBorders>
          </w:tcPr>
          <w:p w14:paraId="1836F925" w14:textId="77777777" w:rsidR="005E5676" w:rsidRDefault="005E5676" w:rsidP="005E5676">
            <w:pPr>
              <w:ind w:firstLine="0"/>
            </w:pPr>
            <w:r w:rsidRPr="00FB2558">
              <w:t>55.4</w:t>
            </w:r>
          </w:p>
        </w:tc>
      </w:tr>
      <w:tr w:rsidR="00D63973" w:rsidRPr="0070296A" w14:paraId="0DABEEC5" w14:textId="77777777" w:rsidTr="00080DA6">
        <w:trPr>
          <w:trHeight w:val="345"/>
          <w:jc w:val="center"/>
        </w:trPr>
        <w:tc>
          <w:tcPr>
            <w:tcW w:w="9354" w:type="dxa"/>
            <w:gridSpan w:val="7"/>
            <w:tcBorders>
              <w:left w:val="nil"/>
              <w:right w:val="nil"/>
            </w:tcBorders>
            <w:vAlign w:val="center"/>
          </w:tcPr>
          <w:p w14:paraId="09F9C265" w14:textId="781918E3" w:rsidR="00D63973" w:rsidRPr="0070296A" w:rsidDel="00A75F14" w:rsidRDefault="005E5676" w:rsidP="00A15C2F">
            <w:pPr>
              <w:spacing w:line="240" w:lineRule="auto"/>
              <w:ind w:firstLine="0"/>
              <w:jc w:val="center"/>
              <w:rPr>
                <w:bCs/>
              </w:rPr>
            </w:pPr>
            <w:r w:rsidRPr="005A68E6">
              <w:rPr>
                <w:bCs/>
              </w:rPr>
              <w:t>External sector</w:t>
            </w:r>
          </w:p>
        </w:tc>
        <w:tc>
          <w:tcPr>
            <w:tcW w:w="1034" w:type="dxa"/>
            <w:gridSpan w:val="2"/>
            <w:tcBorders>
              <w:left w:val="nil"/>
              <w:right w:val="nil"/>
            </w:tcBorders>
          </w:tcPr>
          <w:p w14:paraId="4DA352CA" w14:textId="77777777" w:rsidR="00D63973" w:rsidRPr="0070296A" w:rsidRDefault="00D63973" w:rsidP="00A15C2F">
            <w:pPr>
              <w:spacing w:line="240" w:lineRule="auto"/>
              <w:ind w:firstLine="0"/>
              <w:jc w:val="center"/>
              <w:rPr>
                <w:bCs/>
              </w:rPr>
            </w:pPr>
          </w:p>
        </w:tc>
      </w:tr>
      <w:tr w:rsidR="005E5676" w:rsidRPr="0070296A" w14:paraId="046A78D6" w14:textId="77777777" w:rsidTr="00080DA6">
        <w:trPr>
          <w:gridAfter w:val="1"/>
          <w:wAfter w:w="19" w:type="dxa"/>
          <w:trHeight w:val="452"/>
          <w:jc w:val="center"/>
        </w:trPr>
        <w:tc>
          <w:tcPr>
            <w:tcW w:w="3240" w:type="dxa"/>
            <w:tcBorders>
              <w:left w:val="nil"/>
              <w:right w:val="nil"/>
            </w:tcBorders>
            <w:vAlign w:val="center"/>
          </w:tcPr>
          <w:p w14:paraId="17F3B7D0" w14:textId="49EA88AF" w:rsidR="005E5676" w:rsidRPr="0070296A" w:rsidDel="00A75F14" w:rsidRDefault="005E5676" w:rsidP="005E5676">
            <w:pPr>
              <w:spacing w:line="240" w:lineRule="auto"/>
              <w:ind w:firstLine="0"/>
              <w:jc w:val="left"/>
            </w:pPr>
            <w:r>
              <w:t>Export</w:t>
            </w:r>
            <w:r w:rsidRPr="005A68E6">
              <w:t xml:space="preserve"> of goods and services (million USD)</w:t>
            </w:r>
          </w:p>
        </w:tc>
        <w:tc>
          <w:tcPr>
            <w:tcW w:w="1260" w:type="dxa"/>
            <w:tcBorders>
              <w:left w:val="double" w:sz="4" w:space="0" w:color="auto"/>
              <w:right w:val="nil"/>
            </w:tcBorders>
          </w:tcPr>
          <w:p w14:paraId="7BDF5B89" w14:textId="0C9F4447" w:rsidR="005E5676" w:rsidRPr="000449D4" w:rsidRDefault="005E5676" w:rsidP="005E5676">
            <w:pPr>
              <w:ind w:firstLine="0"/>
            </w:pPr>
            <w:r w:rsidRPr="000449D4">
              <w:t>14</w:t>
            </w:r>
            <w:r>
              <w:t>,</w:t>
            </w:r>
            <w:r w:rsidRPr="000449D4">
              <w:t>338</w:t>
            </w:r>
          </w:p>
        </w:tc>
        <w:tc>
          <w:tcPr>
            <w:tcW w:w="1170" w:type="dxa"/>
            <w:tcBorders>
              <w:left w:val="nil"/>
              <w:right w:val="nil"/>
            </w:tcBorders>
          </w:tcPr>
          <w:p w14:paraId="42C780B8" w14:textId="590EB17B" w:rsidR="005E5676" w:rsidRPr="000449D4" w:rsidRDefault="005E5676" w:rsidP="005E5676">
            <w:pPr>
              <w:ind w:firstLine="0"/>
            </w:pPr>
            <w:r w:rsidRPr="000449D4">
              <w:t>18</w:t>
            </w:r>
            <w:r>
              <w:t>,</w:t>
            </w:r>
            <w:r w:rsidRPr="000449D4">
              <w:t>618</w:t>
            </w:r>
          </w:p>
        </w:tc>
        <w:tc>
          <w:tcPr>
            <w:tcW w:w="1322" w:type="dxa"/>
            <w:tcBorders>
              <w:left w:val="nil"/>
              <w:right w:val="nil"/>
            </w:tcBorders>
          </w:tcPr>
          <w:p w14:paraId="7AA1E6AF" w14:textId="7FAA5D97" w:rsidR="005E5676" w:rsidRPr="000449D4" w:rsidRDefault="005E5676" w:rsidP="005E5676">
            <w:pPr>
              <w:ind w:firstLine="0"/>
            </w:pPr>
            <w:r w:rsidRPr="000449D4">
              <w:t>11</w:t>
            </w:r>
            <w:r>
              <w:t>,</w:t>
            </w:r>
            <w:r w:rsidRPr="000449D4">
              <w:t>516</w:t>
            </w:r>
          </w:p>
        </w:tc>
        <w:tc>
          <w:tcPr>
            <w:tcW w:w="1233" w:type="dxa"/>
            <w:tcBorders>
              <w:left w:val="nil"/>
              <w:right w:val="nil"/>
            </w:tcBorders>
          </w:tcPr>
          <w:p w14:paraId="301BD198" w14:textId="2A37EC53" w:rsidR="005E5676" w:rsidRPr="000449D4" w:rsidRDefault="005E5676" w:rsidP="005E5676">
            <w:pPr>
              <w:ind w:firstLine="0"/>
            </w:pPr>
            <w:r w:rsidRPr="000449D4">
              <w:t>11</w:t>
            </w:r>
            <w:r>
              <w:t>,</w:t>
            </w:r>
            <w:r w:rsidRPr="000449D4">
              <w:t>278</w:t>
            </w:r>
          </w:p>
        </w:tc>
        <w:tc>
          <w:tcPr>
            <w:tcW w:w="1110" w:type="dxa"/>
            <w:tcBorders>
              <w:left w:val="nil"/>
              <w:right w:val="nil"/>
            </w:tcBorders>
          </w:tcPr>
          <w:p w14:paraId="36447E2D" w14:textId="2D7156D8" w:rsidR="005E5676" w:rsidRPr="000449D4" w:rsidRDefault="005E5676" w:rsidP="005E5676">
            <w:pPr>
              <w:ind w:firstLine="0"/>
            </w:pPr>
            <w:r w:rsidRPr="000449D4">
              <w:t>11</w:t>
            </w:r>
            <w:r>
              <w:t>,</w:t>
            </w:r>
            <w:r w:rsidRPr="000449D4">
              <w:t>862</w:t>
            </w:r>
          </w:p>
        </w:tc>
        <w:tc>
          <w:tcPr>
            <w:tcW w:w="1034" w:type="dxa"/>
            <w:gridSpan w:val="2"/>
            <w:tcBorders>
              <w:left w:val="nil"/>
              <w:right w:val="nil"/>
            </w:tcBorders>
          </w:tcPr>
          <w:p w14:paraId="7CA94289" w14:textId="1E13E88B" w:rsidR="005E5676" w:rsidRDefault="005E5676" w:rsidP="005E5676">
            <w:pPr>
              <w:ind w:firstLine="0"/>
            </w:pPr>
            <w:r w:rsidRPr="000449D4">
              <w:t>12</w:t>
            </w:r>
            <w:r>
              <w:t>,</w:t>
            </w:r>
            <w:r w:rsidRPr="000449D4">
              <w:t>463</w:t>
            </w:r>
          </w:p>
        </w:tc>
      </w:tr>
      <w:tr w:rsidR="005E5676" w:rsidRPr="0070296A" w14:paraId="180BC39D" w14:textId="77777777" w:rsidTr="00080DA6">
        <w:trPr>
          <w:gridAfter w:val="1"/>
          <w:wAfter w:w="19" w:type="dxa"/>
          <w:trHeight w:val="452"/>
          <w:jc w:val="center"/>
        </w:trPr>
        <w:tc>
          <w:tcPr>
            <w:tcW w:w="3240" w:type="dxa"/>
            <w:tcBorders>
              <w:left w:val="nil"/>
              <w:right w:val="nil"/>
            </w:tcBorders>
            <w:vAlign w:val="center"/>
          </w:tcPr>
          <w:p w14:paraId="03AA4EFC" w14:textId="7E0BF85A" w:rsidR="005E5676" w:rsidRPr="0070296A" w:rsidDel="00A75F14" w:rsidRDefault="005E5676" w:rsidP="005E5676">
            <w:pPr>
              <w:spacing w:line="240" w:lineRule="auto"/>
              <w:ind w:firstLine="0"/>
              <w:jc w:val="left"/>
            </w:pPr>
            <w:r>
              <w:t>Import</w:t>
            </w:r>
            <w:r w:rsidRPr="005A68E6">
              <w:t xml:space="preserve"> of goods and services (million USD)</w:t>
            </w:r>
          </w:p>
        </w:tc>
        <w:tc>
          <w:tcPr>
            <w:tcW w:w="1260" w:type="dxa"/>
            <w:tcBorders>
              <w:left w:val="double" w:sz="4" w:space="0" w:color="auto"/>
              <w:right w:val="nil"/>
            </w:tcBorders>
          </w:tcPr>
          <w:p w14:paraId="37A4D797" w14:textId="2D70C51D" w:rsidR="005E5676" w:rsidRPr="00CC6309" w:rsidRDefault="005E5676" w:rsidP="005E5676">
            <w:pPr>
              <w:ind w:firstLine="0"/>
            </w:pPr>
            <w:r w:rsidRPr="00CC6309">
              <w:t>14</w:t>
            </w:r>
            <w:r>
              <w:t>,</w:t>
            </w:r>
            <w:r w:rsidRPr="00CC6309">
              <w:t>532</w:t>
            </w:r>
          </w:p>
        </w:tc>
        <w:tc>
          <w:tcPr>
            <w:tcW w:w="1170" w:type="dxa"/>
            <w:tcBorders>
              <w:left w:val="nil"/>
              <w:right w:val="nil"/>
            </w:tcBorders>
          </w:tcPr>
          <w:p w14:paraId="49EF7E9E" w14:textId="375BB281" w:rsidR="005E5676" w:rsidRPr="00CC6309" w:rsidRDefault="005E5676" w:rsidP="005E5676">
            <w:pPr>
              <w:ind w:firstLine="0"/>
            </w:pPr>
            <w:r w:rsidRPr="00CC6309">
              <w:t>19</w:t>
            </w:r>
            <w:r>
              <w:t>,</w:t>
            </w:r>
            <w:r w:rsidRPr="00CC6309">
              <w:t>087</w:t>
            </w:r>
          </w:p>
        </w:tc>
        <w:tc>
          <w:tcPr>
            <w:tcW w:w="1322" w:type="dxa"/>
            <w:tcBorders>
              <w:left w:val="nil"/>
              <w:right w:val="nil"/>
            </w:tcBorders>
          </w:tcPr>
          <w:p w14:paraId="03D9472C" w14:textId="006079F0" w:rsidR="005E5676" w:rsidRPr="00CC6309" w:rsidRDefault="005E5676" w:rsidP="005E5676">
            <w:pPr>
              <w:ind w:firstLine="0"/>
            </w:pPr>
            <w:r w:rsidRPr="00CC6309">
              <w:t>12</w:t>
            </w:r>
            <w:r>
              <w:t>,</w:t>
            </w:r>
            <w:r w:rsidRPr="00CC6309">
              <w:t>552</w:t>
            </w:r>
          </w:p>
        </w:tc>
        <w:tc>
          <w:tcPr>
            <w:tcW w:w="1233" w:type="dxa"/>
            <w:tcBorders>
              <w:left w:val="nil"/>
              <w:right w:val="nil"/>
            </w:tcBorders>
          </w:tcPr>
          <w:p w14:paraId="418C194F" w14:textId="1BC8C947" w:rsidR="005E5676" w:rsidRPr="00CC6309" w:rsidRDefault="005E5676" w:rsidP="005E5676">
            <w:pPr>
              <w:ind w:firstLine="0"/>
            </w:pPr>
            <w:r w:rsidRPr="00CC6309">
              <w:t>12</w:t>
            </w:r>
            <w:r>
              <w:t>,</w:t>
            </w:r>
            <w:r w:rsidRPr="00CC6309">
              <w:t>395</w:t>
            </w:r>
          </w:p>
        </w:tc>
        <w:tc>
          <w:tcPr>
            <w:tcW w:w="1110" w:type="dxa"/>
            <w:tcBorders>
              <w:left w:val="nil"/>
              <w:right w:val="nil"/>
            </w:tcBorders>
          </w:tcPr>
          <w:p w14:paraId="36B3B9A0" w14:textId="0934F8AF" w:rsidR="005E5676" w:rsidRPr="00CC6309" w:rsidRDefault="005E5676" w:rsidP="005E5676">
            <w:pPr>
              <w:ind w:firstLine="0"/>
            </w:pPr>
            <w:r w:rsidRPr="00CC6309">
              <w:t>13</w:t>
            </w:r>
            <w:r>
              <w:t>,</w:t>
            </w:r>
            <w:r w:rsidRPr="00CC6309">
              <w:t>062</w:t>
            </w:r>
          </w:p>
        </w:tc>
        <w:tc>
          <w:tcPr>
            <w:tcW w:w="1034" w:type="dxa"/>
            <w:gridSpan w:val="2"/>
            <w:tcBorders>
              <w:left w:val="nil"/>
              <w:right w:val="nil"/>
            </w:tcBorders>
          </w:tcPr>
          <w:p w14:paraId="27E5055F" w14:textId="0B025234" w:rsidR="005E5676" w:rsidRDefault="005E5676" w:rsidP="005E5676">
            <w:pPr>
              <w:ind w:firstLine="0"/>
            </w:pPr>
            <w:r w:rsidRPr="00CC6309">
              <w:t>13</w:t>
            </w:r>
            <w:r>
              <w:t>,</w:t>
            </w:r>
            <w:r w:rsidRPr="00CC6309">
              <w:t>704</w:t>
            </w:r>
          </w:p>
        </w:tc>
      </w:tr>
      <w:tr w:rsidR="005E5676" w:rsidRPr="0070296A" w14:paraId="07ED0677" w14:textId="77777777" w:rsidTr="00080DA6">
        <w:trPr>
          <w:gridAfter w:val="1"/>
          <w:wAfter w:w="19" w:type="dxa"/>
          <w:trHeight w:val="452"/>
          <w:jc w:val="center"/>
        </w:trPr>
        <w:tc>
          <w:tcPr>
            <w:tcW w:w="3240" w:type="dxa"/>
            <w:tcBorders>
              <w:left w:val="nil"/>
              <w:right w:val="nil"/>
            </w:tcBorders>
            <w:vAlign w:val="center"/>
          </w:tcPr>
          <w:p w14:paraId="165C170F" w14:textId="3C49C2F2" w:rsidR="005E5676" w:rsidRPr="0070296A" w:rsidDel="00A75F14" w:rsidRDefault="005E5676" w:rsidP="005E5676">
            <w:pPr>
              <w:spacing w:line="240" w:lineRule="auto"/>
              <w:ind w:firstLine="0"/>
              <w:jc w:val="left"/>
            </w:pPr>
            <w:r w:rsidRPr="005A68E6">
              <w:t>Current account balance (%</w:t>
            </w:r>
            <w:r>
              <w:rPr>
                <w:lang w:val="en-US"/>
              </w:rPr>
              <w:t xml:space="preserve"> </w:t>
            </w:r>
            <w:r w:rsidRPr="005A68E6">
              <w:t>of GDP)</w:t>
            </w:r>
          </w:p>
        </w:tc>
        <w:tc>
          <w:tcPr>
            <w:tcW w:w="1260" w:type="dxa"/>
            <w:tcBorders>
              <w:left w:val="double" w:sz="4" w:space="0" w:color="auto"/>
              <w:right w:val="nil"/>
            </w:tcBorders>
            <w:vAlign w:val="center"/>
          </w:tcPr>
          <w:p w14:paraId="65ED56B1" w14:textId="77777777" w:rsidR="005E5676" w:rsidRPr="00900519" w:rsidRDefault="005E5676" w:rsidP="005E5676">
            <w:pPr>
              <w:ind w:firstLine="0"/>
            </w:pPr>
            <w:r w:rsidRPr="00900519">
              <w:t>-2.3</w:t>
            </w:r>
          </w:p>
        </w:tc>
        <w:tc>
          <w:tcPr>
            <w:tcW w:w="1170" w:type="dxa"/>
            <w:tcBorders>
              <w:left w:val="nil"/>
              <w:right w:val="nil"/>
            </w:tcBorders>
            <w:vAlign w:val="center"/>
          </w:tcPr>
          <w:p w14:paraId="5D239FA3" w14:textId="77777777" w:rsidR="005E5676" w:rsidRPr="00900519" w:rsidRDefault="005E5676" w:rsidP="005E5676">
            <w:pPr>
              <w:ind w:firstLine="0"/>
            </w:pPr>
            <w:r w:rsidRPr="00900519">
              <w:t>-3.8</w:t>
            </w:r>
          </w:p>
        </w:tc>
        <w:tc>
          <w:tcPr>
            <w:tcW w:w="1322" w:type="dxa"/>
            <w:tcBorders>
              <w:left w:val="nil"/>
              <w:right w:val="nil"/>
            </w:tcBorders>
            <w:vAlign w:val="center"/>
          </w:tcPr>
          <w:p w14:paraId="3AB01A2A" w14:textId="77777777" w:rsidR="005E5676" w:rsidRPr="00900519" w:rsidRDefault="005E5676" w:rsidP="005E5676">
            <w:pPr>
              <w:ind w:firstLine="0"/>
            </w:pPr>
            <w:r w:rsidRPr="00900519">
              <w:t>-5.0</w:t>
            </w:r>
          </w:p>
        </w:tc>
        <w:tc>
          <w:tcPr>
            <w:tcW w:w="1233" w:type="dxa"/>
            <w:tcBorders>
              <w:left w:val="nil"/>
              <w:right w:val="nil"/>
            </w:tcBorders>
            <w:vAlign w:val="center"/>
          </w:tcPr>
          <w:p w14:paraId="10E890F5" w14:textId="77777777" w:rsidR="005E5676" w:rsidRPr="00900519" w:rsidRDefault="005E5676" w:rsidP="005E5676">
            <w:pPr>
              <w:ind w:firstLine="0"/>
            </w:pPr>
            <w:r w:rsidRPr="00900519">
              <w:t>-4.7</w:t>
            </w:r>
          </w:p>
        </w:tc>
        <w:tc>
          <w:tcPr>
            <w:tcW w:w="1110" w:type="dxa"/>
            <w:tcBorders>
              <w:left w:val="nil"/>
              <w:right w:val="nil"/>
            </w:tcBorders>
            <w:vAlign w:val="center"/>
          </w:tcPr>
          <w:p w14:paraId="450DB65C" w14:textId="77777777" w:rsidR="005E5676" w:rsidRPr="00900519" w:rsidRDefault="005E5676" w:rsidP="005E5676">
            <w:pPr>
              <w:ind w:firstLine="0"/>
            </w:pPr>
            <w:r w:rsidRPr="00900519">
              <w:t>-4.7</w:t>
            </w:r>
          </w:p>
        </w:tc>
        <w:tc>
          <w:tcPr>
            <w:tcW w:w="1034" w:type="dxa"/>
            <w:gridSpan w:val="2"/>
            <w:tcBorders>
              <w:left w:val="nil"/>
              <w:right w:val="nil"/>
            </w:tcBorders>
            <w:vAlign w:val="center"/>
          </w:tcPr>
          <w:p w14:paraId="3A19B978" w14:textId="77777777" w:rsidR="005E5676" w:rsidRPr="00900519" w:rsidRDefault="005E5676" w:rsidP="005E5676">
            <w:pPr>
              <w:ind w:firstLine="0"/>
            </w:pPr>
            <w:r w:rsidRPr="00900519">
              <w:t>-4.7</w:t>
            </w:r>
          </w:p>
        </w:tc>
      </w:tr>
      <w:tr w:rsidR="00D63973" w:rsidRPr="0070296A" w14:paraId="71476905" w14:textId="77777777" w:rsidTr="00080DA6">
        <w:trPr>
          <w:gridAfter w:val="1"/>
          <w:wAfter w:w="19" w:type="dxa"/>
          <w:trHeight w:val="118"/>
          <w:jc w:val="center"/>
        </w:trPr>
        <w:tc>
          <w:tcPr>
            <w:tcW w:w="3240" w:type="dxa"/>
            <w:tcBorders>
              <w:left w:val="nil"/>
              <w:right w:val="nil"/>
            </w:tcBorders>
            <w:shd w:val="clear" w:color="auto" w:fill="D9D9D9"/>
            <w:vAlign w:val="center"/>
          </w:tcPr>
          <w:p w14:paraId="2B1DBCDA" w14:textId="77777777" w:rsidR="00D63973" w:rsidRPr="0070296A" w:rsidDel="00A75F14" w:rsidRDefault="00D63973" w:rsidP="00A15C2F">
            <w:pPr>
              <w:spacing w:line="240" w:lineRule="auto"/>
              <w:ind w:firstLine="0"/>
              <w:jc w:val="left"/>
              <w:rPr>
                <w:color w:val="FF0000"/>
                <w:sz w:val="8"/>
                <w:szCs w:val="8"/>
              </w:rPr>
            </w:pPr>
          </w:p>
        </w:tc>
        <w:tc>
          <w:tcPr>
            <w:tcW w:w="1260" w:type="dxa"/>
            <w:tcBorders>
              <w:left w:val="double" w:sz="4" w:space="0" w:color="auto"/>
              <w:right w:val="nil"/>
            </w:tcBorders>
            <w:shd w:val="clear" w:color="auto" w:fill="D9D9D9"/>
            <w:vAlign w:val="center"/>
          </w:tcPr>
          <w:p w14:paraId="2EE2C4D3"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170" w:type="dxa"/>
            <w:tcBorders>
              <w:left w:val="nil"/>
              <w:right w:val="nil"/>
            </w:tcBorders>
            <w:shd w:val="clear" w:color="auto" w:fill="D9D9D9"/>
            <w:vAlign w:val="center"/>
          </w:tcPr>
          <w:p w14:paraId="4CA58D05" w14:textId="77777777" w:rsidR="00D63973" w:rsidRPr="0070296A" w:rsidRDefault="00D63973" w:rsidP="00A15C2F">
            <w:pPr>
              <w:spacing w:line="240" w:lineRule="auto"/>
              <w:ind w:firstLine="0"/>
              <w:jc w:val="center"/>
              <w:rPr>
                <w:rFonts w:eastAsia="Calibri" w:cs="Arial"/>
                <w:bCs/>
                <w:color w:val="FF0000"/>
                <w:sz w:val="8"/>
                <w:szCs w:val="8"/>
                <w:lang w:val="en-US"/>
              </w:rPr>
            </w:pPr>
          </w:p>
        </w:tc>
        <w:tc>
          <w:tcPr>
            <w:tcW w:w="1322" w:type="dxa"/>
            <w:tcBorders>
              <w:left w:val="nil"/>
              <w:right w:val="nil"/>
            </w:tcBorders>
            <w:shd w:val="clear" w:color="auto" w:fill="D9D9D9"/>
            <w:vAlign w:val="center"/>
          </w:tcPr>
          <w:p w14:paraId="061FE5C4"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233" w:type="dxa"/>
            <w:tcBorders>
              <w:left w:val="nil"/>
              <w:right w:val="nil"/>
            </w:tcBorders>
            <w:shd w:val="clear" w:color="auto" w:fill="D9D9D9"/>
            <w:vAlign w:val="center"/>
          </w:tcPr>
          <w:p w14:paraId="10BE47BA"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110" w:type="dxa"/>
            <w:tcBorders>
              <w:left w:val="nil"/>
              <w:right w:val="nil"/>
            </w:tcBorders>
            <w:shd w:val="clear" w:color="auto" w:fill="D9D9D9"/>
            <w:vAlign w:val="center"/>
          </w:tcPr>
          <w:p w14:paraId="6ED274E6"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c>
          <w:tcPr>
            <w:tcW w:w="1034" w:type="dxa"/>
            <w:gridSpan w:val="2"/>
            <w:tcBorders>
              <w:left w:val="nil"/>
              <w:right w:val="nil"/>
            </w:tcBorders>
            <w:shd w:val="clear" w:color="auto" w:fill="D9D9D9"/>
          </w:tcPr>
          <w:p w14:paraId="1ADB7C97" w14:textId="77777777" w:rsidR="00D63973" w:rsidRPr="0070296A" w:rsidDel="00A75F14" w:rsidRDefault="00D63973" w:rsidP="00A15C2F">
            <w:pPr>
              <w:spacing w:line="240" w:lineRule="auto"/>
              <w:ind w:firstLine="0"/>
              <w:jc w:val="center"/>
              <w:rPr>
                <w:rFonts w:eastAsia="Calibri" w:cs="Arial"/>
                <w:bCs/>
                <w:color w:val="FF0000"/>
                <w:sz w:val="8"/>
                <w:szCs w:val="8"/>
                <w:lang w:val="en-US"/>
              </w:rPr>
            </w:pPr>
          </w:p>
        </w:tc>
      </w:tr>
      <w:tr w:rsidR="005E5676" w:rsidRPr="0070296A" w14:paraId="3B46617A" w14:textId="77777777" w:rsidTr="00080DA6">
        <w:trPr>
          <w:gridAfter w:val="1"/>
          <w:wAfter w:w="19" w:type="dxa"/>
          <w:trHeight w:val="275"/>
          <w:jc w:val="center"/>
        </w:trPr>
        <w:tc>
          <w:tcPr>
            <w:tcW w:w="3240" w:type="dxa"/>
            <w:tcBorders>
              <w:left w:val="nil"/>
              <w:right w:val="nil"/>
            </w:tcBorders>
            <w:vAlign w:val="center"/>
          </w:tcPr>
          <w:p w14:paraId="5B94DF8C" w14:textId="660E8123" w:rsidR="005E5676" w:rsidRPr="0070296A" w:rsidDel="00A75F14" w:rsidRDefault="005E5676" w:rsidP="005E5676">
            <w:pPr>
              <w:spacing w:line="240" w:lineRule="auto"/>
              <w:ind w:firstLine="0"/>
              <w:jc w:val="left"/>
            </w:pPr>
            <w:r w:rsidRPr="005A68E6">
              <w:t>RA Government debt (billion AMD)</w:t>
            </w:r>
          </w:p>
        </w:tc>
        <w:tc>
          <w:tcPr>
            <w:tcW w:w="1260" w:type="dxa"/>
            <w:tcBorders>
              <w:left w:val="double" w:sz="4" w:space="0" w:color="auto"/>
              <w:right w:val="nil"/>
            </w:tcBorders>
            <w:vAlign w:val="center"/>
          </w:tcPr>
          <w:p w14:paraId="7950EC13" w14:textId="68AF9899" w:rsidR="005E5676" w:rsidRPr="008014DD" w:rsidDel="00A75F14" w:rsidRDefault="005E5676" w:rsidP="005E5676">
            <w:pPr>
              <w:ind w:firstLine="0"/>
              <w:rPr>
                <w:rFonts w:eastAsia="Calibri" w:cs="Arial"/>
                <w:bCs/>
              </w:rPr>
            </w:pPr>
            <w:r w:rsidRPr="008014DD">
              <w:rPr>
                <w:rFonts w:eastAsia="Calibri" w:cs="Arial"/>
                <w:bCs/>
              </w:rPr>
              <w:t>4,572</w:t>
            </w:r>
          </w:p>
        </w:tc>
        <w:tc>
          <w:tcPr>
            <w:tcW w:w="1170" w:type="dxa"/>
            <w:tcBorders>
              <w:left w:val="nil"/>
              <w:right w:val="nil"/>
            </w:tcBorders>
            <w:vAlign w:val="center"/>
          </w:tcPr>
          <w:p w14:paraId="307D9C86" w14:textId="21289B61" w:rsidR="005E5676" w:rsidRPr="008014DD" w:rsidRDefault="005E5676" w:rsidP="005E5676">
            <w:pPr>
              <w:ind w:firstLine="0"/>
              <w:rPr>
                <w:rFonts w:eastAsia="Calibri" w:cs="Arial"/>
                <w:bCs/>
              </w:rPr>
            </w:pPr>
            <w:r w:rsidRPr="008014DD">
              <w:rPr>
                <w:rFonts w:eastAsia="Calibri" w:cs="Arial"/>
                <w:bCs/>
              </w:rPr>
              <w:t>4,893</w:t>
            </w:r>
          </w:p>
        </w:tc>
        <w:tc>
          <w:tcPr>
            <w:tcW w:w="1322" w:type="dxa"/>
            <w:tcBorders>
              <w:left w:val="nil"/>
              <w:right w:val="nil"/>
            </w:tcBorders>
            <w:vAlign w:val="center"/>
          </w:tcPr>
          <w:p w14:paraId="5DEA91D3" w14:textId="77C9EB54" w:rsidR="005E5676" w:rsidRPr="00000C31" w:rsidDel="00A75F14" w:rsidRDefault="005E5676" w:rsidP="005E5676">
            <w:pPr>
              <w:ind w:firstLine="0"/>
              <w:rPr>
                <w:rFonts w:eastAsia="Calibri" w:cs="Arial"/>
                <w:bCs/>
              </w:rPr>
            </w:pPr>
            <w:r w:rsidRPr="00000C31">
              <w:rPr>
                <w:rFonts w:eastAsia="Calibri" w:cs="Arial"/>
                <w:bCs/>
              </w:rPr>
              <w:t>5,772</w:t>
            </w:r>
          </w:p>
        </w:tc>
        <w:tc>
          <w:tcPr>
            <w:tcW w:w="1233" w:type="dxa"/>
            <w:tcBorders>
              <w:left w:val="nil"/>
              <w:right w:val="nil"/>
            </w:tcBorders>
            <w:vAlign w:val="center"/>
          </w:tcPr>
          <w:p w14:paraId="0AE940FE" w14:textId="5291F222" w:rsidR="005E5676" w:rsidRPr="00000C31" w:rsidDel="00A75F14" w:rsidRDefault="005E5676" w:rsidP="005E5676">
            <w:pPr>
              <w:ind w:firstLine="0"/>
              <w:rPr>
                <w:rFonts w:eastAsia="Calibri" w:cs="Arial"/>
                <w:bCs/>
              </w:rPr>
            </w:pPr>
            <w:r w:rsidRPr="00000C31">
              <w:rPr>
                <w:rFonts w:eastAsia="Calibri" w:cs="Arial"/>
                <w:bCs/>
              </w:rPr>
              <w:t>6,490</w:t>
            </w:r>
          </w:p>
        </w:tc>
        <w:tc>
          <w:tcPr>
            <w:tcW w:w="1110" w:type="dxa"/>
            <w:tcBorders>
              <w:left w:val="nil"/>
              <w:right w:val="nil"/>
            </w:tcBorders>
            <w:vAlign w:val="center"/>
          </w:tcPr>
          <w:p w14:paraId="316F14FC" w14:textId="2131F477" w:rsidR="005E5676" w:rsidRPr="00000C31" w:rsidDel="00A75F14" w:rsidRDefault="005E5676" w:rsidP="005E5676">
            <w:pPr>
              <w:ind w:firstLine="0"/>
              <w:rPr>
                <w:rFonts w:eastAsia="Calibri" w:cs="Arial"/>
                <w:bCs/>
              </w:rPr>
            </w:pPr>
            <w:r w:rsidRPr="00000C31">
              <w:rPr>
                <w:rFonts w:eastAsia="Calibri" w:cs="Arial"/>
                <w:bCs/>
              </w:rPr>
              <w:t>7,077</w:t>
            </w:r>
          </w:p>
        </w:tc>
        <w:tc>
          <w:tcPr>
            <w:tcW w:w="1034" w:type="dxa"/>
            <w:gridSpan w:val="2"/>
            <w:tcBorders>
              <w:left w:val="nil"/>
              <w:right w:val="nil"/>
            </w:tcBorders>
            <w:vAlign w:val="center"/>
          </w:tcPr>
          <w:p w14:paraId="0D84D0AE" w14:textId="2AFD0323" w:rsidR="005E5676" w:rsidRPr="00000C31" w:rsidRDefault="005E5676" w:rsidP="005E5676">
            <w:pPr>
              <w:ind w:firstLine="0"/>
            </w:pPr>
            <w:r w:rsidRPr="00000C31">
              <w:t>7,739</w:t>
            </w:r>
          </w:p>
        </w:tc>
      </w:tr>
      <w:tr w:rsidR="005E5676" w:rsidRPr="0070296A" w14:paraId="6AAC7701" w14:textId="77777777" w:rsidTr="00080DA6">
        <w:trPr>
          <w:gridAfter w:val="1"/>
          <w:wAfter w:w="19" w:type="dxa"/>
          <w:trHeight w:val="452"/>
          <w:jc w:val="center"/>
        </w:trPr>
        <w:tc>
          <w:tcPr>
            <w:tcW w:w="3240" w:type="dxa"/>
            <w:tcBorders>
              <w:left w:val="nil"/>
              <w:bottom w:val="thickThinSmallGap" w:sz="24" w:space="0" w:color="auto"/>
              <w:right w:val="nil"/>
            </w:tcBorders>
            <w:vAlign w:val="center"/>
          </w:tcPr>
          <w:p w14:paraId="16165CFD" w14:textId="388B7BBD" w:rsidR="005E5676" w:rsidRPr="0070296A" w:rsidRDefault="005E5676" w:rsidP="005E5676">
            <w:pPr>
              <w:spacing w:line="240" w:lineRule="auto"/>
              <w:ind w:firstLine="0"/>
              <w:jc w:val="left"/>
            </w:pPr>
            <w:r w:rsidRPr="005A68E6">
              <w:rPr>
                <w:lang w:val="ru-RU"/>
              </w:rPr>
              <w:t>Nominal GDP (billion AMD)</w:t>
            </w:r>
          </w:p>
        </w:tc>
        <w:tc>
          <w:tcPr>
            <w:tcW w:w="1260" w:type="dxa"/>
            <w:tcBorders>
              <w:left w:val="double" w:sz="4" w:space="0" w:color="auto"/>
              <w:bottom w:val="thickThinSmallGap" w:sz="24" w:space="0" w:color="auto"/>
              <w:right w:val="nil"/>
            </w:tcBorders>
            <w:vAlign w:val="center"/>
          </w:tcPr>
          <w:p w14:paraId="72FA1D50" w14:textId="433E8016" w:rsidR="005E5676" w:rsidRPr="008014DD" w:rsidRDefault="005E5676" w:rsidP="005E5676">
            <w:pPr>
              <w:spacing w:line="240" w:lineRule="auto"/>
              <w:ind w:firstLine="0"/>
              <w:rPr>
                <w:rFonts w:eastAsia="Calibri" w:cs="Arial"/>
                <w:lang w:val="en-US"/>
              </w:rPr>
            </w:pPr>
            <w:r w:rsidRPr="008014DD">
              <w:rPr>
                <w:rFonts w:eastAsia="Calibri" w:cs="Arial"/>
                <w:lang w:val="en-US"/>
              </w:rPr>
              <w:t>9,493</w:t>
            </w:r>
          </w:p>
        </w:tc>
        <w:tc>
          <w:tcPr>
            <w:tcW w:w="1170" w:type="dxa"/>
            <w:tcBorders>
              <w:left w:val="nil"/>
              <w:bottom w:val="thickThinSmallGap" w:sz="24" w:space="0" w:color="auto"/>
              <w:right w:val="nil"/>
            </w:tcBorders>
            <w:vAlign w:val="center"/>
          </w:tcPr>
          <w:p w14:paraId="00438A3D" w14:textId="7286FEE9" w:rsidR="005E5676" w:rsidRPr="008014DD" w:rsidRDefault="005E5676" w:rsidP="005E5676">
            <w:pPr>
              <w:spacing w:line="240" w:lineRule="auto"/>
              <w:ind w:firstLine="0"/>
              <w:rPr>
                <w:rFonts w:eastAsia="Calibri" w:cs="Arial"/>
                <w:lang w:val="en-US"/>
              </w:rPr>
            </w:pPr>
            <w:r w:rsidRPr="008014DD">
              <w:rPr>
                <w:rFonts w:eastAsia="Calibri" w:cs="Arial"/>
                <w:lang w:val="en-US"/>
              </w:rPr>
              <w:t>10,193</w:t>
            </w:r>
          </w:p>
        </w:tc>
        <w:tc>
          <w:tcPr>
            <w:tcW w:w="1322" w:type="dxa"/>
            <w:tcBorders>
              <w:left w:val="nil"/>
              <w:bottom w:val="thickThinSmallGap" w:sz="24" w:space="0" w:color="auto"/>
              <w:right w:val="nil"/>
            </w:tcBorders>
            <w:vAlign w:val="center"/>
          </w:tcPr>
          <w:p w14:paraId="3A1B0985" w14:textId="10193149" w:rsidR="005E5676" w:rsidRPr="008014DD" w:rsidRDefault="005E5676" w:rsidP="005E5676">
            <w:pPr>
              <w:spacing w:line="240" w:lineRule="auto"/>
              <w:ind w:firstLine="0"/>
              <w:rPr>
                <w:rFonts w:eastAsia="Calibri" w:cs="Arial"/>
                <w:lang w:val="en-US"/>
              </w:rPr>
            </w:pPr>
            <w:r w:rsidRPr="008014DD">
              <w:rPr>
                <w:rFonts w:eastAsia="Calibri" w:cs="Arial"/>
                <w:lang w:val="en-US"/>
              </w:rPr>
              <w:t>10,976</w:t>
            </w:r>
          </w:p>
        </w:tc>
        <w:tc>
          <w:tcPr>
            <w:tcW w:w="1233" w:type="dxa"/>
            <w:tcBorders>
              <w:left w:val="nil"/>
              <w:bottom w:val="thickThinSmallGap" w:sz="24" w:space="0" w:color="auto"/>
              <w:right w:val="nil"/>
            </w:tcBorders>
            <w:vAlign w:val="center"/>
          </w:tcPr>
          <w:p w14:paraId="3A491879" w14:textId="1BAFE77A" w:rsidR="005E5676" w:rsidRPr="008014DD" w:rsidRDefault="005E5676" w:rsidP="005E5676">
            <w:pPr>
              <w:spacing w:line="240" w:lineRule="auto"/>
              <w:ind w:firstLine="0"/>
              <w:rPr>
                <w:rFonts w:eastAsia="Calibri" w:cs="Arial"/>
                <w:lang w:val="en-US"/>
              </w:rPr>
            </w:pPr>
            <w:r w:rsidRPr="008014DD">
              <w:rPr>
                <w:rFonts w:eastAsia="Calibri" w:cs="Arial"/>
                <w:lang w:val="en-US"/>
              </w:rPr>
              <w:t>11,887</w:t>
            </w:r>
          </w:p>
        </w:tc>
        <w:tc>
          <w:tcPr>
            <w:tcW w:w="1110" w:type="dxa"/>
            <w:tcBorders>
              <w:left w:val="nil"/>
              <w:bottom w:val="thickThinSmallGap" w:sz="24" w:space="0" w:color="auto"/>
              <w:right w:val="nil"/>
            </w:tcBorders>
            <w:vAlign w:val="center"/>
          </w:tcPr>
          <w:p w14:paraId="213CA410" w14:textId="7F6D1368" w:rsidR="005E5676" w:rsidRPr="008014DD" w:rsidRDefault="005E5676" w:rsidP="005E5676">
            <w:pPr>
              <w:spacing w:line="240" w:lineRule="auto"/>
              <w:ind w:firstLine="0"/>
              <w:rPr>
                <w:rFonts w:eastAsia="Calibri" w:cs="Arial"/>
                <w:lang w:val="en-US"/>
              </w:rPr>
            </w:pPr>
            <w:r w:rsidRPr="008014DD">
              <w:rPr>
                <w:rFonts w:eastAsia="Calibri" w:cs="Arial"/>
                <w:lang w:val="en-US"/>
              </w:rPr>
              <w:t>12,893</w:t>
            </w:r>
          </w:p>
        </w:tc>
        <w:tc>
          <w:tcPr>
            <w:tcW w:w="1034" w:type="dxa"/>
            <w:gridSpan w:val="2"/>
            <w:tcBorders>
              <w:left w:val="nil"/>
              <w:bottom w:val="thickThinSmallGap" w:sz="24" w:space="0" w:color="auto"/>
              <w:right w:val="nil"/>
            </w:tcBorders>
            <w:vAlign w:val="center"/>
          </w:tcPr>
          <w:p w14:paraId="2E6EC5F1" w14:textId="31DCFD59" w:rsidR="005E5676" w:rsidRPr="008014DD" w:rsidRDefault="005E5676" w:rsidP="005E5676">
            <w:pPr>
              <w:spacing w:line="240" w:lineRule="auto"/>
              <w:ind w:firstLine="0"/>
            </w:pPr>
            <w:r w:rsidRPr="008014DD">
              <w:t>13,976</w:t>
            </w:r>
          </w:p>
        </w:tc>
      </w:tr>
    </w:tbl>
    <w:p w14:paraId="6D1F611F" w14:textId="1867F105" w:rsidR="00D63973" w:rsidRPr="00FC64DA" w:rsidRDefault="00B105EB" w:rsidP="00FC64DA">
      <w:pPr>
        <w:ind w:firstLine="0"/>
        <w:rPr>
          <w:color w:val="FF0000"/>
          <w:sz w:val="18"/>
          <w:szCs w:val="18"/>
        </w:rPr>
      </w:pPr>
      <w:r>
        <w:rPr>
          <w:sz w:val="18"/>
          <w:szCs w:val="18"/>
        </w:rPr>
        <w:t>Source: 2026-2028</w:t>
      </w:r>
      <w:r w:rsidRPr="001B27EE">
        <w:rPr>
          <w:sz w:val="18"/>
          <w:szCs w:val="18"/>
        </w:rPr>
        <w:t xml:space="preserve"> MTEF</w:t>
      </w:r>
    </w:p>
    <w:p w14:paraId="24FE43B6" w14:textId="77777777" w:rsidR="00AB40B6" w:rsidRDefault="00AB40B6" w:rsidP="00AB40B6">
      <w:pPr>
        <w:spacing w:before="120"/>
        <w:ind w:firstLine="0"/>
        <w:contextualSpacing/>
        <w:rPr>
          <w:rFonts w:cs="Times New Roman"/>
        </w:rPr>
      </w:pPr>
    </w:p>
    <w:p w14:paraId="5BDA5FEB" w14:textId="534A718F" w:rsidR="00717859" w:rsidRPr="00FC64DA" w:rsidRDefault="00FC64DA" w:rsidP="00FC64DA">
      <w:pPr>
        <w:pStyle w:val="Heading2"/>
      </w:pPr>
      <w:bookmarkStart w:id="10" w:name="_Toc205988174"/>
      <w:r w:rsidRPr="00FC64DA">
        <w:t>Targets and measures to be implemented</w:t>
      </w:r>
      <w:bookmarkEnd w:id="10"/>
    </w:p>
    <w:p w14:paraId="5771B8BA" w14:textId="5E6D4335" w:rsidR="00134332" w:rsidRPr="00C27D3F" w:rsidRDefault="00382D66" w:rsidP="00C27D3F">
      <w:pPr>
        <w:ind w:firstLine="360"/>
        <w:rPr>
          <w:lang w:val="en-US"/>
        </w:rPr>
      </w:pPr>
      <w:r>
        <w:t>Along with maintaining debt at a manageable level, the RA Government will continue its efforts to improve the debt portfolio in order to preserve resilience to potential shocks, ensure the continued development and deepening of the government bond market, maintain access to both domestic and external financial markets, and diversify financing sources and instruments.</w:t>
      </w:r>
    </w:p>
    <w:p w14:paraId="719BB7B6" w14:textId="1422B109" w:rsidR="00382D66" w:rsidRDefault="00382D66" w:rsidP="00382D66">
      <w:pPr>
        <w:pStyle w:val="CommentText"/>
        <w:rPr>
          <w:color w:val="auto"/>
          <w:sz w:val="22"/>
          <w:szCs w:val="22"/>
          <w:lang w:val="en-US" w:eastAsia="en-US"/>
        </w:rPr>
      </w:pPr>
      <w:r w:rsidRPr="00382D66">
        <w:rPr>
          <w:color w:val="auto"/>
          <w:sz w:val="22"/>
          <w:szCs w:val="22"/>
          <w:lang w:val="en-US" w:eastAsia="en-US"/>
        </w:rPr>
        <w:t xml:space="preserve">From this perspective, domestic currency-denominated debt in the </w:t>
      </w:r>
      <w:r>
        <w:rPr>
          <w:color w:val="auto"/>
          <w:sz w:val="22"/>
          <w:szCs w:val="22"/>
          <w:lang w:val="en-US" w:eastAsia="en-US"/>
        </w:rPr>
        <w:t xml:space="preserve">RA </w:t>
      </w:r>
      <w:r w:rsidRPr="00382D66">
        <w:rPr>
          <w:color w:val="auto"/>
          <w:sz w:val="22"/>
          <w:szCs w:val="22"/>
          <w:lang w:val="en-US" w:eastAsia="en-US"/>
        </w:rPr>
        <w:t>Government debt structure will continue to remain at historically high levels. Efforts to maintain strong investor interest in the government securities market among e</w:t>
      </w:r>
      <w:r>
        <w:rPr>
          <w:color w:val="auto"/>
          <w:sz w:val="22"/>
          <w:szCs w:val="22"/>
          <w:lang w:val="en-US" w:eastAsia="en-US"/>
        </w:rPr>
        <w:t xml:space="preserve">xternal investors will persist, </w:t>
      </w:r>
      <w:r w:rsidRPr="00382D66">
        <w:rPr>
          <w:color w:val="auto"/>
          <w:sz w:val="22"/>
          <w:szCs w:val="22"/>
          <w:lang w:val="en-US" w:eastAsia="en-US"/>
        </w:rPr>
        <w:t xml:space="preserve">and cooperation with international financial institutions will be expanded. </w:t>
      </w:r>
      <w:r>
        <w:rPr>
          <w:color w:val="auto"/>
          <w:sz w:val="22"/>
          <w:szCs w:val="22"/>
          <w:lang w:val="en-US" w:eastAsia="en-US"/>
        </w:rPr>
        <w:t>I</w:t>
      </w:r>
      <w:r w:rsidRPr="00382D66">
        <w:rPr>
          <w:color w:val="auto"/>
          <w:sz w:val="22"/>
          <w:szCs w:val="22"/>
          <w:lang w:val="en-US" w:eastAsia="en-US"/>
        </w:rPr>
        <w:t xml:space="preserve">n addition to traditional instruments, </w:t>
      </w:r>
      <w:r>
        <w:rPr>
          <w:color w:val="auto"/>
          <w:sz w:val="22"/>
          <w:szCs w:val="22"/>
          <w:lang w:val="en-US" w:eastAsia="en-US"/>
        </w:rPr>
        <w:t>this cooperation will involve</w:t>
      </w:r>
      <w:r w:rsidRPr="00382D66">
        <w:rPr>
          <w:color w:val="auto"/>
          <w:sz w:val="22"/>
          <w:szCs w:val="22"/>
          <w:lang w:val="en-US" w:eastAsia="en-US"/>
        </w:rPr>
        <w:t xml:space="preserve"> new targeted financing tools to support the effective implementation of the Government’s strategies across various sectors.</w:t>
      </w:r>
      <w:r>
        <w:rPr>
          <w:color w:val="auto"/>
          <w:sz w:val="22"/>
          <w:szCs w:val="22"/>
          <w:lang w:val="en-US" w:eastAsia="en-US"/>
        </w:rPr>
        <w:t xml:space="preserve"> </w:t>
      </w:r>
    </w:p>
    <w:p w14:paraId="68F820E4" w14:textId="7C0E062D" w:rsidR="00134332" w:rsidRPr="00C27D3F" w:rsidRDefault="00C33D99" w:rsidP="00C27D3F">
      <w:pPr>
        <w:pStyle w:val="CommentText"/>
        <w:rPr>
          <w:color w:val="auto"/>
          <w:sz w:val="22"/>
          <w:szCs w:val="22"/>
          <w:lang w:val="hy-AM" w:eastAsia="en-US"/>
        </w:rPr>
      </w:pPr>
      <w:proofErr w:type="gramStart"/>
      <w:r w:rsidRPr="00C33D99">
        <w:rPr>
          <w:color w:val="auto"/>
          <w:sz w:val="22"/>
          <w:szCs w:val="22"/>
          <w:lang w:val="en-US" w:eastAsia="en-US"/>
        </w:rPr>
        <w:t>Specifically</w:t>
      </w:r>
      <w:proofErr w:type="gramEnd"/>
      <w:r>
        <w:rPr>
          <w:color w:val="auto"/>
          <w:sz w:val="22"/>
          <w:szCs w:val="22"/>
          <w:lang w:val="en-US" w:eastAsia="en-US"/>
        </w:rPr>
        <w:t>.</w:t>
      </w:r>
      <w:r w:rsidR="00134332" w:rsidRPr="00D65C9E">
        <w:rPr>
          <w:color w:val="FF0000"/>
        </w:rPr>
        <w:t xml:space="preserve"> </w:t>
      </w:r>
    </w:p>
    <w:p w14:paraId="17E7FA98" w14:textId="12561011" w:rsidR="00F911E1" w:rsidRDefault="00F911E1" w:rsidP="00AD0801">
      <w:pPr>
        <w:numPr>
          <w:ilvl w:val="0"/>
          <w:numId w:val="10"/>
        </w:numPr>
      </w:pPr>
      <w:r>
        <w:t xml:space="preserve">The RA Ministry of Finance will continue conducting buybacks and </w:t>
      </w:r>
      <w:r w:rsidR="00F94C73">
        <w:rPr>
          <w:lang w:val="en-US"/>
        </w:rPr>
        <w:t>switch</w:t>
      </w:r>
      <w:r w:rsidR="00F94C73">
        <w:t xml:space="preserve">es </w:t>
      </w:r>
      <w:r>
        <w:t>of government treasury bonds with the aim of smoothing the debt redemption profile and reducing refinancing risk, as well as enhancing the liquidity of the bonds and supporting the development of the secondary market.</w:t>
      </w:r>
    </w:p>
    <w:p w14:paraId="3788E8C5" w14:textId="2977BFA7" w:rsidR="00D65C9E" w:rsidRPr="00D65C9E" w:rsidRDefault="00D65C9E" w:rsidP="00807452">
      <w:pPr>
        <w:numPr>
          <w:ilvl w:val="0"/>
          <w:numId w:val="10"/>
        </w:numPr>
      </w:pPr>
      <w:r>
        <w:lastRenderedPageBreak/>
        <w:t xml:space="preserve">In an environment of declining government treasury bond yields, the volume of long-term bond </w:t>
      </w:r>
      <w:r w:rsidRPr="00D65C9E">
        <w:rPr>
          <w:lang w:val="en-US"/>
        </w:rPr>
        <w:t>placements</w:t>
      </w:r>
      <w:r>
        <w:t xml:space="preserve"> will be gradually increased, </w:t>
      </w:r>
      <w:r w:rsidRPr="00D65C9E">
        <w:t xml:space="preserve">with a primary focus on </w:t>
      </w:r>
      <w:r>
        <w:t>10-year maturities</w:t>
      </w:r>
      <w:r w:rsidRPr="00D65C9E">
        <w:t xml:space="preserve"> as the </w:t>
      </w:r>
      <w:r>
        <w:rPr>
          <w:lang w:val="en-US"/>
        </w:rPr>
        <w:t xml:space="preserve">main </w:t>
      </w:r>
      <w:r w:rsidRPr="00D65C9E">
        <w:t>benchmark</w:t>
      </w:r>
      <w:r>
        <w:rPr>
          <w:lang w:val="en-US"/>
        </w:rPr>
        <w:t xml:space="preserve">. </w:t>
      </w:r>
    </w:p>
    <w:p w14:paraId="55C0D0CF" w14:textId="4D95CE60" w:rsidR="00D65C9E" w:rsidRPr="00D65C9E" w:rsidRDefault="00D65C9E" w:rsidP="00D65C9E">
      <w:pPr>
        <w:pStyle w:val="ListParagraph"/>
        <w:numPr>
          <w:ilvl w:val="0"/>
          <w:numId w:val="10"/>
        </w:numPr>
        <w:rPr>
          <w:rFonts w:ascii="GHEA Grapalat" w:eastAsia="Times New Roman" w:hAnsi="GHEA Grapalat" w:cs="Times Unicode"/>
        </w:rPr>
      </w:pPr>
      <w:r w:rsidRPr="00D65C9E">
        <w:rPr>
          <w:rFonts w:ascii="GHEA Grapalat" w:eastAsia="Times New Roman" w:hAnsi="GHEA Grapalat" w:cs="Times Unicode"/>
        </w:rPr>
        <w:t xml:space="preserve">The consolidation of outstanding government treasury bonds will continue through </w:t>
      </w:r>
      <w:r w:rsidR="00F94C73">
        <w:rPr>
          <w:rFonts w:ascii="GHEA Grapalat" w:eastAsia="Times New Roman" w:hAnsi="GHEA Grapalat" w:cs="Times Unicode"/>
          <w:lang w:val="en-US"/>
        </w:rPr>
        <w:t xml:space="preserve">switch </w:t>
      </w:r>
      <w:r w:rsidRPr="00D65C9E">
        <w:rPr>
          <w:rFonts w:ascii="GHEA Grapalat" w:eastAsia="Times New Roman" w:hAnsi="GHEA Grapalat" w:cs="Times Unicode"/>
        </w:rPr>
        <w:t>operations.</w:t>
      </w:r>
    </w:p>
    <w:p w14:paraId="73159DF7" w14:textId="1FA555A9" w:rsidR="00D65C9E" w:rsidRDefault="00D65C9E" w:rsidP="00D65C9E">
      <w:pPr>
        <w:numPr>
          <w:ilvl w:val="0"/>
          <w:numId w:val="10"/>
        </w:numPr>
      </w:pPr>
      <w:r>
        <w:t>To diversify debt instruments and in line with the opportunities provided by domestic debt market infrastructure, inflation-indexed bonds will be issued as needed, alongside the placement of traditional types of government securities.</w:t>
      </w:r>
    </w:p>
    <w:p w14:paraId="39590866" w14:textId="439A24D0" w:rsidR="00731602" w:rsidRPr="00731602" w:rsidRDefault="00A47EDF" w:rsidP="00731602">
      <w:pPr>
        <w:numPr>
          <w:ilvl w:val="0"/>
          <w:numId w:val="10"/>
        </w:numPr>
      </w:pPr>
      <w:r w:rsidRPr="00731602">
        <w:rPr>
          <w:lang w:val="en-US"/>
        </w:rPr>
        <w:t xml:space="preserve">The issuance of targeted bonds will be considered to finance </w:t>
      </w:r>
      <w:r w:rsidR="00731602" w:rsidRPr="00731602">
        <w:rPr>
          <w:lang w:val="en-US"/>
        </w:rPr>
        <w:t>specific</w:t>
      </w:r>
      <w:r w:rsidRPr="00731602">
        <w:rPr>
          <w:lang w:val="en-US"/>
        </w:rPr>
        <w:t xml:space="preserve"> projects within the state budget</w:t>
      </w:r>
      <w:r w:rsidR="00731602" w:rsidRPr="00731602">
        <w:rPr>
          <w:lang w:val="en-US"/>
        </w:rPr>
        <w:t>.</w:t>
      </w:r>
      <w:r w:rsidR="00731602" w:rsidRPr="00731602">
        <w:t xml:space="preserve"> </w:t>
      </w:r>
      <w:r w:rsidR="00731602" w:rsidRPr="00731602">
        <w:rPr>
          <w:lang w:val="en-US"/>
        </w:rPr>
        <w:t>T</w:t>
      </w:r>
      <w:r w:rsidR="00731602">
        <w:t xml:space="preserve">he feasibility of issuing green, climate-linked and social bonds will also be </w:t>
      </w:r>
      <w:r w:rsidR="00731602">
        <w:rPr>
          <w:lang w:val="en-US"/>
        </w:rPr>
        <w:t>assessed</w:t>
      </w:r>
      <w:r w:rsidR="00731602" w:rsidRPr="00731602">
        <w:t xml:space="preserve"> </w:t>
      </w:r>
      <w:r w:rsidR="00731602">
        <w:t>in line with contemporary</w:t>
      </w:r>
      <w:r w:rsidR="00731602">
        <w:rPr>
          <w:lang w:val="en-US"/>
        </w:rPr>
        <w:t xml:space="preserve"> </w:t>
      </w:r>
      <w:r w:rsidR="00731602">
        <w:t>and advanced trends in debt management</w:t>
      </w:r>
      <w:r w:rsidR="00731602">
        <w:rPr>
          <w:lang w:val="en-US"/>
        </w:rPr>
        <w:t xml:space="preserve">. </w:t>
      </w:r>
    </w:p>
    <w:p w14:paraId="72B14B1C" w14:textId="2FEEA206" w:rsidR="00623103" w:rsidRPr="00623103" w:rsidRDefault="00623103" w:rsidP="00623103">
      <w:pPr>
        <w:numPr>
          <w:ilvl w:val="0"/>
          <w:numId w:val="10"/>
        </w:numPr>
      </w:pPr>
      <w:r>
        <w:t>Highlighting</w:t>
      </w:r>
      <w:r>
        <w:rPr>
          <w:lang w:val="en-US"/>
        </w:rPr>
        <w:t xml:space="preserve"> </w:t>
      </w:r>
      <w:r>
        <w:t xml:space="preserve">the importance of developing the retail government treasury bond market, and alongside efforts to strengthen </w:t>
      </w:r>
      <w:r>
        <w:rPr>
          <w:lang w:val="en-US"/>
        </w:rPr>
        <w:t>public trust in the government</w:t>
      </w:r>
      <w:r>
        <w:t>, public awareness activities will continue targeting potential investors. Within this framework, steps will be taken to activate non-resident participation in the government treasury bond market</w:t>
      </w:r>
      <w:r>
        <w:rPr>
          <w:lang w:val="en-US"/>
        </w:rPr>
        <w:t>,</w:t>
      </w:r>
      <w:r>
        <w:t xml:space="preserve"> </w:t>
      </w:r>
      <w:r>
        <w:rPr>
          <w:lang w:val="en-US"/>
        </w:rPr>
        <w:t>given that</w:t>
      </w:r>
      <w:r w:rsidRPr="00623103">
        <w:t xml:space="preserve"> access to the retail online platform (gp.minfin.am) is available outside the Republic of Armenia</w:t>
      </w:r>
      <w:r>
        <w:t>.</w:t>
      </w:r>
    </w:p>
    <w:p w14:paraId="04E858BF" w14:textId="0B5DFD1A" w:rsidR="00C70707" w:rsidRPr="00A278C6" w:rsidRDefault="00C70707" w:rsidP="00C70707">
      <w:pPr>
        <w:numPr>
          <w:ilvl w:val="0"/>
          <w:numId w:val="10"/>
        </w:numPr>
      </w:pPr>
      <w:r>
        <w:t xml:space="preserve">Cooperation with external creditors will continue, prioritizing </w:t>
      </w:r>
      <w:r>
        <w:rPr>
          <w:lang w:val="en-US"/>
        </w:rPr>
        <w:t>engagement</w:t>
      </w:r>
      <w:r>
        <w:t xml:space="preserve"> with creditors offering </w:t>
      </w:r>
      <w:r>
        <w:rPr>
          <w:lang w:val="en-US"/>
        </w:rPr>
        <w:t xml:space="preserve">loans on </w:t>
      </w:r>
      <w:r>
        <w:t xml:space="preserve">more favorable terms and </w:t>
      </w:r>
      <w:r>
        <w:rPr>
          <w:lang w:val="en-US"/>
        </w:rPr>
        <w:t xml:space="preserve">in </w:t>
      </w:r>
      <w:r>
        <w:t xml:space="preserve">freely convertible currencies. Within </w:t>
      </w:r>
      <w:r>
        <w:rPr>
          <w:lang w:val="en-US"/>
        </w:rPr>
        <w:t>this</w:t>
      </w:r>
      <w:r>
        <w:t xml:space="preserve"> framework, new projects are also planned to be implemented using the Results-Based Financing instrument, focusing on sectors such as water, healthcare and others.</w:t>
      </w:r>
    </w:p>
    <w:p w14:paraId="176ABF7E" w14:textId="77777777" w:rsidR="00C27D3F" w:rsidRDefault="0079018B" w:rsidP="00C27D3F">
      <w:pPr>
        <w:numPr>
          <w:ilvl w:val="0"/>
          <w:numId w:val="10"/>
        </w:numPr>
      </w:pPr>
      <w:r>
        <w:t>Under the baseline scenario of the strategy, no new Eurobond issuances are planned for 2026–2028. However, in the event of unforeseen macroeconomic shocks, financial disruptions or fiscal instability—where the government’s financing needs cannot be met through international financial institutions or the domestic market—</w:t>
      </w:r>
      <w:r w:rsidRPr="0079018B">
        <w:t xml:space="preserve"> the issuance of Eurobonds may also be </w:t>
      </w:r>
      <w:r>
        <w:rPr>
          <w:lang w:val="en-US"/>
        </w:rPr>
        <w:t>considered</w:t>
      </w:r>
      <w:r>
        <w:t>.</w:t>
      </w:r>
    </w:p>
    <w:p w14:paraId="4A045C78" w14:textId="75DF6D23" w:rsidR="0078395D" w:rsidRPr="00C27D3F" w:rsidRDefault="0078395D" w:rsidP="00C27D3F">
      <w:pPr>
        <w:numPr>
          <w:ilvl w:val="0"/>
          <w:numId w:val="10"/>
        </w:numPr>
      </w:pPr>
      <w:r w:rsidRPr="0078395D">
        <w:t>The quality and scope of information on Armenia's markets presented on the Bloomberg platform will be enhanced, incorporating a broader range of indicators.</w:t>
      </w:r>
    </w:p>
    <w:p w14:paraId="7490388A" w14:textId="483FE482" w:rsidR="00650166" w:rsidRPr="0070296A" w:rsidRDefault="0078395D" w:rsidP="0078395D">
      <w:pPr>
        <w:numPr>
          <w:ilvl w:val="0"/>
          <w:numId w:val="10"/>
        </w:numPr>
      </w:pPr>
      <w:r w:rsidRPr="0078395D">
        <w:rPr>
          <w:lang w:val="en-US"/>
        </w:rPr>
        <w:t xml:space="preserve">As part of the development of </w:t>
      </w:r>
      <w:r w:rsidR="00650166">
        <w:rPr>
          <w:lang w:val="en-US"/>
        </w:rPr>
        <w:t xml:space="preserve">the </w:t>
      </w:r>
      <w:r>
        <w:rPr>
          <w:lang w:val="en-US"/>
        </w:rPr>
        <w:t xml:space="preserve">RA </w:t>
      </w:r>
      <w:r w:rsidR="00650166" w:rsidRPr="00650166">
        <w:t>Government Financial Management Information System</w:t>
      </w:r>
      <w:r>
        <w:rPr>
          <w:lang w:val="en-US"/>
        </w:rPr>
        <w:t>,</w:t>
      </w:r>
      <w:r w:rsidRPr="0078395D">
        <w:rPr>
          <w:rFonts w:asciiTheme="minorHAnsi" w:eastAsiaTheme="minorEastAsia" w:hAnsi="Calibri" w:cstheme="minorBidi"/>
          <w:color w:val="1F4E79" w:themeColor="accent1" w:themeShade="80"/>
          <w:kern w:val="24"/>
          <w:sz w:val="36"/>
          <w:szCs w:val="36"/>
        </w:rPr>
        <w:t xml:space="preserve"> </w:t>
      </w:r>
      <w:r w:rsidRPr="0078395D">
        <w:t xml:space="preserve">a new electronic system </w:t>
      </w:r>
      <w:r>
        <w:rPr>
          <w:lang w:val="en-US"/>
        </w:rPr>
        <w:t xml:space="preserve">will be introduced </w:t>
      </w:r>
      <w:r w:rsidRPr="0078395D">
        <w:t xml:space="preserve">for </w:t>
      </w:r>
      <w:r>
        <w:rPr>
          <w:lang w:val="en-US"/>
        </w:rPr>
        <w:t xml:space="preserve">debt </w:t>
      </w:r>
      <w:r w:rsidR="00650166">
        <w:t xml:space="preserve">recording, servicing and </w:t>
      </w:r>
      <w:r>
        <w:t xml:space="preserve">other </w:t>
      </w:r>
      <w:r w:rsidR="00650166">
        <w:t xml:space="preserve">related </w:t>
      </w:r>
      <w:r>
        <w:rPr>
          <w:lang w:val="en-US"/>
        </w:rPr>
        <w:t>processes</w:t>
      </w:r>
      <w:r w:rsidR="00650166">
        <w:t>.</w:t>
      </w:r>
    </w:p>
    <w:p w14:paraId="67CA4063" w14:textId="4CECEA05" w:rsidR="006D6C0E" w:rsidRPr="006D6C0E" w:rsidRDefault="006D6C0E" w:rsidP="006D6C0E">
      <w:pPr>
        <w:numPr>
          <w:ilvl w:val="0"/>
          <w:numId w:val="10"/>
        </w:numPr>
        <w:rPr>
          <w:lang w:val="en-US"/>
        </w:rPr>
      </w:pPr>
      <w:r>
        <w:t>Following the adoption of the new Law on Public Debt, revised in line with international best practices, secondary legislation regulating the sector will be developed.</w:t>
      </w:r>
    </w:p>
    <w:p w14:paraId="7661D00A" w14:textId="772D57FC" w:rsidR="006D6C0E" w:rsidRDefault="006D6C0E" w:rsidP="006D6C0E">
      <w:pPr>
        <w:numPr>
          <w:ilvl w:val="0"/>
          <w:numId w:val="10"/>
        </w:numPr>
      </w:pPr>
      <w:r>
        <w:t xml:space="preserve">The possibilities of introducing additional incentives for primary dealers operating in the government treasury bond market will be </w:t>
      </w:r>
      <w:r>
        <w:rPr>
          <w:lang w:val="en-US"/>
        </w:rPr>
        <w:t>considered</w:t>
      </w:r>
      <w:r>
        <w:t>.</w:t>
      </w:r>
    </w:p>
    <w:p w14:paraId="25313C74" w14:textId="38CB7E7F" w:rsidR="00E60AD8" w:rsidRDefault="00E60AD8" w:rsidP="00AF34AE">
      <w:pPr>
        <w:numPr>
          <w:ilvl w:val="0"/>
          <w:numId w:val="10"/>
        </w:numPr>
      </w:pPr>
      <w:r>
        <w:lastRenderedPageBreak/>
        <w:t xml:space="preserve">One of the key factors for effective debt management is ensuring transparency and continuous communication with the public. To this end, the government will continue its open and </w:t>
      </w:r>
      <w:r>
        <w:rPr>
          <w:lang w:val="en-US"/>
        </w:rPr>
        <w:t>transparent</w:t>
      </w:r>
      <w:r>
        <w:t xml:space="preserve"> engagement with investors and the general public, as well as regular debt-related reporting.</w:t>
      </w:r>
      <w:r>
        <w:rPr>
          <w:lang w:val="en-US"/>
        </w:rPr>
        <w:t xml:space="preserve"> </w:t>
      </w:r>
    </w:p>
    <w:p w14:paraId="1CA6F25F" w14:textId="096742E3" w:rsidR="00E14C29" w:rsidRDefault="00E14C29" w:rsidP="00AD0801">
      <w:pPr>
        <w:numPr>
          <w:ilvl w:val="0"/>
          <w:numId w:val="10"/>
        </w:numPr>
      </w:pPr>
      <w:r>
        <w:t>Regular awareness campaigns will be conducted to provide domestic and foreign investors with timely information on the socio-economic developments of the Republic of Armenia.</w:t>
      </w:r>
    </w:p>
    <w:p w14:paraId="111DFB8C" w14:textId="5C72D069" w:rsidR="00EE6EFA" w:rsidRPr="008D06C1" w:rsidRDefault="00857839" w:rsidP="00C27D3F">
      <w:pPr>
        <w:numPr>
          <w:ilvl w:val="0"/>
          <w:numId w:val="10"/>
        </w:numPr>
      </w:pPr>
      <w:r w:rsidRPr="00E14C29">
        <w:rPr>
          <w:lang w:val="en-US"/>
        </w:rPr>
        <w:t xml:space="preserve">In accordance with the legislative regulations for the stabilization account, the Government of the Republic of Armenia will ensure the availability of funds equivalent to at least 1% of the projected GDP </w:t>
      </w:r>
      <w:r w:rsidR="00E14C29">
        <w:t>for the given year, as outlined in the annual budget statement</w:t>
      </w:r>
      <w:r w:rsidRPr="00E14C29">
        <w:rPr>
          <w:lang w:val="en-US"/>
        </w:rPr>
        <w:t xml:space="preserve">. </w:t>
      </w:r>
      <w:r w:rsidR="00E14C29">
        <w:t>In the event of unfavorable developments in domestic or external markets, these funds will safeguard the uninterrupted servicing of government debt and, if necessary, support the execution of the state budget</w:t>
      </w:r>
      <w:r w:rsidR="00E14C29">
        <w:rPr>
          <w:lang w:val="en-US"/>
        </w:rPr>
        <w:t>.</w:t>
      </w:r>
    </w:p>
    <w:p w14:paraId="0D5DE499" w14:textId="77777777" w:rsidR="00C27D3F" w:rsidRDefault="00C27D3F" w:rsidP="00C27D3F">
      <w:pPr>
        <w:pStyle w:val="Heading2"/>
        <w:numPr>
          <w:ilvl w:val="0"/>
          <w:numId w:val="0"/>
        </w:numPr>
      </w:pPr>
    </w:p>
    <w:p w14:paraId="4647F05E" w14:textId="0B9C7C6C" w:rsidR="00025E2D" w:rsidRPr="00E06CCC" w:rsidRDefault="0093611D" w:rsidP="00C27D3F">
      <w:pPr>
        <w:pStyle w:val="Heading2"/>
      </w:pPr>
      <w:bookmarkStart w:id="11" w:name="_Toc205988175"/>
      <w:r>
        <w:t>Selection of the RA Government Debt Management Strategy</w:t>
      </w:r>
      <w:bookmarkEnd w:id="11"/>
    </w:p>
    <w:p w14:paraId="7647C267" w14:textId="2FB0508A" w:rsidR="002D2E33" w:rsidRPr="002D2E33" w:rsidRDefault="002D2E33" w:rsidP="002D2E33">
      <w:pPr>
        <w:rPr>
          <w:lang w:eastAsia="ru-RU"/>
        </w:rPr>
      </w:pPr>
      <w:r w:rsidRPr="002D2E33">
        <w:rPr>
          <w:lang w:eastAsia="ru-RU"/>
        </w:rPr>
        <w:t>The macroeconomic and fiscal indicators used in RA Government debt management strategy are consistent with the macroeconomic and fiscal framework projected in the 2026–2028 Medium-Term Expenditure Framework. According to the strategy, the Government Debt-to-GDP ratio is expected to reach 55.4% by the end of the medium-term horizon.</w:t>
      </w:r>
      <w:r>
        <w:rPr>
          <w:lang w:val="en-US" w:eastAsia="ru-RU"/>
        </w:rPr>
        <w:t xml:space="preserve"> </w:t>
      </w:r>
      <w:r w:rsidRPr="002D2E33">
        <w:rPr>
          <w:lang w:eastAsia="ru-RU"/>
        </w:rPr>
        <w:t xml:space="preserve">To avoid a significant increase in interest payment burdens during the medium term and to ensure the availability of foreign currency inflows to the state budget, the shares of domestic and AMD-denominated debt in the debt portfolio are projected to decrease by an average of 0.9 percentage points per year compared to the end of </w:t>
      </w:r>
      <w:r>
        <w:rPr>
          <w:lang w:val="en-US" w:eastAsia="ru-RU"/>
        </w:rPr>
        <w:t>2024</w:t>
      </w:r>
      <w:r w:rsidRPr="002D2E33">
        <w:rPr>
          <w:lang w:eastAsia="ru-RU"/>
        </w:rPr>
        <w:t xml:space="preserve">, although they will remain </w:t>
      </w:r>
      <w:r>
        <w:rPr>
          <w:lang w:val="en-US"/>
        </w:rPr>
        <w:t>at historically high levels</w:t>
      </w:r>
      <w:r w:rsidRPr="002D2E33">
        <w:rPr>
          <w:lang w:eastAsia="ru-RU"/>
        </w:rPr>
        <w:t>.</w:t>
      </w:r>
    </w:p>
    <w:p w14:paraId="01E53ED7" w14:textId="14E66A81" w:rsidR="00B9763D" w:rsidRDefault="00B9763D" w:rsidP="00B9763D">
      <w:r>
        <w:t xml:space="preserve">Deficit financing through </w:t>
      </w:r>
      <w:r w:rsidR="0043795F">
        <w:t xml:space="preserve">net </w:t>
      </w:r>
      <w:r>
        <w:t>domestic borrowings will primarily be carried out through the placement of short-term government treasury bills with maturities of up to one year, medium-term coupon bonds with maturities of 3 and 5 years, long-term coupon bonds with maturities of 10 and 30 years, as well as saving coupon bonds with maturities of 6 months, and 1, 2, and 3 years.</w:t>
      </w:r>
    </w:p>
    <w:p w14:paraId="64634BA2" w14:textId="763964FF" w:rsidR="006B5E73" w:rsidRPr="00C27D3F" w:rsidRDefault="0043795F" w:rsidP="00C27D3F">
      <w:r>
        <w:t xml:space="preserve">Deficit financing through net external borrowings will be carried out by attracting </w:t>
      </w:r>
      <w:r>
        <w:rPr>
          <w:lang w:val="en-US"/>
        </w:rPr>
        <w:t>project</w:t>
      </w:r>
      <w:r>
        <w:t>, budget support and results-based sectoral loans from bilateral and multilateral international creditors, without excluding the possibility of issuing Eurobonds in the international capital market.</w:t>
      </w:r>
    </w:p>
    <w:p w14:paraId="1A838E89" w14:textId="3C16E9D6" w:rsidR="008335FA" w:rsidRDefault="008335FA" w:rsidP="008335FA">
      <w:r>
        <w:t xml:space="preserve">The selection of the strategy is based on a study and analysis of a full set of </w:t>
      </w:r>
      <w:r>
        <w:rPr>
          <w:lang w:val="en-US"/>
        </w:rPr>
        <w:t>cost</w:t>
      </w:r>
      <w:r>
        <w:t xml:space="preserve"> and risk indicators. </w:t>
      </w:r>
      <w:r w:rsidRPr="005A68E6">
        <w:t>As a result of a comprehensi</w:t>
      </w:r>
      <w:r>
        <w:t xml:space="preserve">ve study of the costs and risk indicators characterizing the </w:t>
      </w:r>
      <w:r>
        <w:rPr>
          <w:lang w:val="en-US"/>
        </w:rPr>
        <w:t xml:space="preserve">RA </w:t>
      </w:r>
      <w:r>
        <w:t xml:space="preserve">Government debt, a strategy was </w:t>
      </w:r>
      <w:r>
        <w:rPr>
          <w:lang w:val="en-US"/>
        </w:rPr>
        <w:t>selected</w:t>
      </w:r>
      <w:r>
        <w:t xml:space="preserve"> that will promote the development of the domestic debt market, ensure a moderate level of risks associated with government debt, and simultaneously minimize the growth of debt-related </w:t>
      </w:r>
      <w:r>
        <w:rPr>
          <w:lang w:val="en-US"/>
        </w:rPr>
        <w:t>costs</w:t>
      </w:r>
      <w:r>
        <w:t xml:space="preserve"> over the medium term.</w:t>
      </w:r>
    </w:p>
    <w:p w14:paraId="4E1A563D" w14:textId="2FFE678C" w:rsidR="008335FA" w:rsidRPr="0070296A" w:rsidRDefault="008335FA" w:rsidP="008335FA">
      <w:r>
        <w:lastRenderedPageBreak/>
        <w:t xml:space="preserve">When structuring deficit financing through net domestic borrowings, developments in the macroeconomic environment based on the baseline forecast scenario, the current level of </w:t>
      </w:r>
      <w:r>
        <w:rPr>
          <w:lang w:val="en-US"/>
        </w:rPr>
        <w:t>liquidity</w:t>
      </w:r>
      <w:r>
        <w:t xml:space="preserve">, the stable demand for government treasury bonds, and the </w:t>
      </w:r>
      <w:r>
        <w:rPr>
          <w:lang w:val="en-US"/>
        </w:rPr>
        <w:t>volume</w:t>
      </w:r>
      <w:r>
        <w:t xml:space="preserve"> of debt servicing have been taken into account.</w:t>
      </w:r>
    </w:p>
    <w:p w14:paraId="3268D493" w14:textId="3BD79894" w:rsidR="004005C2" w:rsidRPr="00C27D3F" w:rsidRDefault="004005C2" w:rsidP="0014286E">
      <w:r w:rsidRPr="004005C2">
        <w:t>For the years 2026–2027, the state budget deficit financing through net borrowings is planned to be carried out through net domestic borrowings rather than net external borrowings; however, in 2028, net external borrowings are expected to exceed domestic borrowings.</w:t>
      </w:r>
    </w:p>
    <w:p w14:paraId="35B071EE" w14:textId="1205463E" w:rsidR="00013D78" w:rsidRPr="0070296A" w:rsidRDefault="00013D78" w:rsidP="00AD0801">
      <w:pPr>
        <w:pStyle w:val="af6"/>
        <w:numPr>
          <w:ilvl w:val="0"/>
          <w:numId w:val="18"/>
        </w:numPr>
        <w:spacing w:before="0"/>
        <w:ind w:left="1276" w:hanging="1276"/>
      </w:pPr>
      <w:r w:rsidRPr="0070296A">
        <w:t xml:space="preserve"> </w:t>
      </w:r>
      <w:r w:rsidR="00D036DD" w:rsidRPr="00D648EC">
        <w:t>State budget deficit financing</w:t>
      </w:r>
      <w:r w:rsidR="00A2264E">
        <w:t xml:space="preserve"> through net borrowings for 2024-2028</w:t>
      </w:r>
      <w:r w:rsidR="00D036DD" w:rsidRPr="00D648EC">
        <w:t xml:space="preserve"> (AMD billion)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990"/>
        <w:gridCol w:w="1350"/>
        <w:gridCol w:w="1074"/>
        <w:gridCol w:w="996"/>
        <w:gridCol w:w="1058"/>
        <w:gridCol w:w="990"/>
      </w:tblGrid>
      <w:tr w:rsidR="00432737" w:rsidRPr="0070296A" w14:paraId="3015732E" w14:textId="77777777" w:rsidTr="0014286E">
        <w:trPr>
          <w:trHeight w:val="789"/>
          <w:tblHeader/>
          <w:jc w:val="center"/>
        </w:trPr>
        <w:tc>
          <w:tcPr>
            <w:tcW w:w="3780" w:type="dxa"/>
            <w:tcBorders>
              <w:top w:val="thinThickThinSmallGap" w:sz="24" w:space="0" w:color="auto"/>
              <w:left w:val="nil"/>
              <w:bottom w:val="thinThickSmallGap" w:sz="24" w:space="0" w:color="auto"/>
              <w:right w:val="nil"/>
            </w:tcBorders>
            <w:shd w:val="clear" w:color="auto" w:fill="5B9BD5"/>
            <w:vAlign w:val="center"/>
          </w:tcPr>
          <w:p w14:paraId="4D0F8829" w14:textId="77777777" w:rsidR="00432737" w:rsidRPr="0070296A" w:rsidRDefault="00432737" w:rsidP="00432737">
            <w:pPr>
              <w:ind w:firstLine="94"/>
              <w:jc w:val="center"/>
            </w:pPr>
          </w:p>
        </w:tc>
        <w:tc>
          <w:tcPr>
            <w:tcW w:w="990" w:type="dxa"/>
            <w:tcBorders>
              <w:top w:val="thinThickThinSmallGap" w:sz="24" w:space="0" w:color="auto"/>
              <w:left w:val="nil"/>
              <w:bottom w:val="thinThickSmallGap" w:sz="24" w:space="0" w:color="auto"/>
              <w:right w:val="nil"/>
            </w:tcBorders>
            <w:shd w:val="clear" w:color="auto" w:fill="5B9BD5"/>
            <w:vAlign w:val="center"/>
          </w:tcPr>
          <w:p w14:paraId="67E7586C" w14:textId="1140124E" w:rsidR="00432737" w:rsidRPr="00581010" w:rsidRDefault="00432737" w:rsidP="00654494">
            <w:pPr>
              <w:spacing w:line="240" w:lineRule="auto"/>
              <w:ind w:firstLine="94"/>
              <w:jc w:val="center"/>
              <w:rPr>
                <w:lang w:val="en-US"/>
              </w:rPr>
            </w:pPr>
            <w:r w:rsidRPr="0070296A">
              <w:t>202</w:t>
            </w:r>
            <w:r w:rsidR="00654494">
              <w:t>4</w:t>
            </w:r>
            <w:r w:rsidRPr="0070296A">
              <w:t xml:space="preserve"> </w:t>
            </w:r>
            <w:r w:rsidR="00D036DD" w:rsidRPr="005A68E6">
              <w:rPr>
                <w:lang w:val="en-US"/>
              </w:rPr>
              <w:t>actual</w:t>
            </w:r>
          </w:p>
        </w:tc>
        <w:tc>
          <w:tcPr>
            <w:tcW w:w="1350" w:type="dxa"/>
            <w:tcBorders>
              <w:top w:val="thinThickThinSmallGap" w:sz="24" w:space="0" w:color="auto"/>
              <w:left w:val="nil"/>
              <w:bottom w:val="thinThickSmallGap" w:sz="24" w:space="0" w:color="auto"/>
              <w:right w:val="double" w:sz="4" w:space="0" w:color="auto"/>
            </w:tcBorders>
            <w:shd w:val="clear" w:color="auto" w:fill="5B9BD5"/>
            <w:vAlign w:val="center"/>
          </w:tcPr>
          <w:p w14:paraId="313804AC" w14:textId="73C881CB" w:rsidR="00432737" w:rsidRPr="0070296A" w:rsidRDefault="00432737" w:rsidP="00654494">
            <w:pPr>
              <w:spacing w:line="240" w:lineRule="auto"/>
              <w:ind w:firstLine="94"/>
              <w:jc w:val="center"/>
            </w:pPr>
            <w:r w:rsidRPr="0070296A">
              <w:t>202</w:t>
            </w:r>
            <w:r w:rsidR="00654494">
              <w:t>5</w:t>
            </w:r>
            <w:r w:rsidRPr="0070296A">
              <w:t xml:space="preserve"> </w:t>
            </w:r>
            <w:r w:rsidR="00D036DD" w:rsidRPr="005A68E6">
              <w:t>State budget program</w:t>
            </w:r>
          </w:p>
        </w:tc>
        <w:tc>
          <w:tcPr>
            <w:tcW w:w="1074" w:type="dxa"/>
            <w:tcBorders>
              <w:top w:val="thinThickThinSmallGap" w:sz="24" w:space="0" w:color="auto"/>
              <w:left w:val="double" w:sz="4" w:space="0" w:color="auto"/>
              <w:bottom w:val="thinThickSmallGap" w:sz="24" w:space="0" w:color="auto"/>
              <w:right w:val="nil"/>
            </w:tcBorders>
            <w:shd w:val="clear" w:color="auto" w:fill="5B9BD5"/>
            <w:vAlign w:val="center"/>
          </w:tcPr>
          <w:p w14:paraId="4D18015E" w14:textId="481BC2F0" w:rsidR="00432737" w:rsidRPr="0070296A" w:rsidRDefault="00432737" w:rsidP="00654494">
            <w:pPr>
              <w:spacing w:line="240" w:lineRule="auto"/>
              <w:ind w:firstLine="94"/>
              <w:jc w:val="center"/>
            </w:pPr>
            <w:r w:rsidRPr="0070296A">
              <w:t>202</w:t>
            </w:r>
            <w:r w:rsidR="00654494">
              <w:t>5</w:t>
            </w:r>
            <w:r w:rsidRPr="0070296A">
              <w:t xml:space="preserve"> </w:t>
            </w:r>
            <w:r w:rsidR="00D036DD" w:rsidRPr="005A68E6">
              <w:t>forecast</w:t>
            </w:r>
          </w:p>
        </w:tc>
        <w:tc>
          <w:tcPr>
            <w:tcW w:w="996" w:type="dxa"/>
            <w:tcBorders>
              <w:top w:val="thinThickThinSmallGap" w:sz="24" w:space="0" w:color="auto"/>
              <w:left w:val="nil"/>
              <w:bottom w:val="thinThickSmallGap" w:sz="24" w:space="0" w:color="auto"/>
              <w:right w:val="nil"/>
            </w:tcBorders>
            <w:shd w:val="clear" w:color="auto" w:fill="5B9BD5"/>
            <w:vAlign w:val="center"/>
          </w:tcPr>
          <w:p w14:paraId="2CF9468C" w14:textId="0FA9A74D" w:rsidR="00432737" w:rsidRPr="0070296A" w:rsidRDefault="00432737" w:rsidP="00654494">
            <w:pPr>
              <w:spacing w:line="240" w:lineRule="auto"/>
              <w:ind w:firstLine="94"/>
              <w:jc w:val="center"/>
            </w:pPr>
            <w:r w:rsidRPr="0070296A">
              <w:t>202</w:t>
            </w:r>
            <w:r w:rsidR="00654494">
              <w:t>6</w:t>
            </w:r>
            <w:r w:rsidRPr="0070296A">
              <w:t xml:space="preserve"> </w:t>
            </w:r>
            <w:r w:rsidR="00D036DD" w:rsidRPr="005A68E6">
              <w:t>forecast</w:t>
            </w:r>
          </w:p>
        </w:tc>
        <w:tc>
          <w:tcPr>
            <w:tcW w:w="1058" w:type="dxa"/>
            <w:tcBorders>
              <w:top w:val="thinThickThinSmallGap" w:sz="24" w:space="0" w:color="auto"/>
              <w:left w:val="nil"/>
              <w:bottom w:val="thinThickSmallGap" w:sz="24" w:space="0" w:color="auto"/>
              <w:right w:val="nil"/>
            </w:tcBorders>
            <w:shd w:val="clear" w:color="auto" w:fill="5B9BD5"/>
            <w:vAlign w:val="center"/>
          </w:tcPr>
          <w:p w14:paraId="721422B4" w14:textId="3C317217" w:rsidR="00432737" w:rsidRPr="0070296A" w:rsidRDefault="00432737" w:rsidP="00654494">
            <w:pPr>
              <w:spacing w:line="240" w:lineRule="auto"/>
              <w:ind w:firstLine="94"/>
              <w:jc w:val="center"/>
            </w:pPr>
            <w:r w:rsidRPr="0070296A">
              <w:t>202</w:t>
            </w:r>
            <w:r w:rsidR="00654494">
              <w:t>7</w:t>
            </w:r>
            <w:r w:rsidRPr="0070296A">
              <w:t xml:space="preserve"> </w:t>
            </w:r>
            <w:r w:rsidR="00D036DD" w:rsidRPr="005A68E6">
              <w:t>forecast</w:t>
            </w:r>
          </w:p>
        </w:tc>
        <w:tc>
          <w:tcPr>
            <w:tcW w:w="990" w:type="dxa"/>
            <w:tcBorders>
              <w:top w:val="thinThickThinSmallGap" w:sz="24" w:space="0" w:color="auto"/>
              <w:left w:val="nil"/>
              <w:bottom w:val="thinThickSmallGap" w:sz="24" w:space="0" w:color="auto"/>
              <w:right w:val="nil"/>
            </w:tcBorders>
            <w:shd w:val="clear" w:color="auto" w:fill="5B9BD5"/>
            <w:vAlign w:val="center"/>
          </w:tcPr>
          <w:p w14:paraId="098435ED" w14:textId="487CE4B6" w:rsidR="00432737" w:rsidRPr="0070296A" w:rsidRDefault="00432737" w:rsidP="00432737">
            <w:pPr>
              <w:spacing w:line="240" w:lineRule="auto"/>
              <w:ind w:firstLine="94"/>
              <w:jc w:val="center"/>
            </w:pPr>
            <w:r>
              <w:t>2</w:t>
            </w:r>
            <w:r w:rsidR="00654494">
              <w:t>028</w:t>
            </w:r>
            <w:r w:rsidRPr="0070296A">
              <w:t xml:space="preserve"> </w:t>
            </w:r>
            <w:r w:rsidR="00D036DD" w:rsidRPr="005A68E6">
              <w:t>forecast</w:t>
            </w:r>
          </w:p>
        </w:tc>
      </w:tr>
      <w:tr w:rsidR="005657D4" w:rsidRPr="00E06CCC" w14:paraId="2741FF6F" w14:textId="77777777" w:rsidTr="0014286E">
        <w:trPr>
          <w:trHeight w:val="486"/>
          <w:jc w:val="center"/>
        </w:trPr>
        <w:tc>
          <w:tcPr>
            <w:tcW w:w="3780" w:type="dxa"/>
            <w:tcBorders>
              <w:top w:val="thinThickSmallGap" w:sz="24" w:space="0" w:color="auto"/>
              <w:left w:val="nil"/>
              <w:right w:val="nil"/>
            </w:tcBorders>
            <w:vAlign w:val="center"/>
          </w:tcPr>
          <w:p w14:paraId="41F07A63" w14:textId="3A4F962D" w:rsidR="005657D4" w:rsidRPr="0070296A" w:rsidRDefault="00DC7E82" w:rsidP="00DC7E82">
            <w:pPr>
              <w:spacing w:line="240" w:lineRule="auto"/>
              <w:ind w:firstLine="0"/>
              <w:jc w:val="left"/>
            </w:pPr>
            <w:r w:rsidRPr="005A68E6">
              <w:t>State budget deficit financing through net borrowings</w:t>
            </w:r>
          </w:p>
        </w:tc>
        <w:tc>
          <w:tcPr>
            <w:tcW w:w="990" w:type="dxa"/>
            <w:tcBorders>
              <w:top w:val="thinThickSmallGap" w:sz="24" w:space="0" w:color="auto"/>
              <w:left w:val="nil"/>
              <w:right w:val="nil"/>
            </w:tcBorders>
            <w:vAlign w:val="center"/>
          </w:tcPr>
          <w:p w14:paraId="4193F72A" w14:textId="77777777" w:rsidR="005657D4" w:rsidRPr="00654494" w:rsidRDefault="005657D4" w:rsidP="005657D4">
            <w:pPr>
              <w:ind w:firstLine="0"/>
              <w:jc w:val="center"/>
            </w:pPr>
            <w:r>
              <w:t>399.9</w:t>
            </w:r>
          </w:p>
        </w:tc>
        <w:tc>
          <w:tcPr>
            <w:tcW w:w="1350" w:type="dxa"/>
            <w:tcBorders>
              <w:top w:val="thinThickSmallGap" w:sz="24" w:space="0" w:color="auto"/>
              <w:left w:val="nil"/>
              <w:right w:val="double" w:sz="4" w:space="0" w:color="auto"/>
            </w:tcBorders>
            <w:vAlign w:val="center"/>
          </w:tcPr>
          <w:p w14:paraId="647DDFDF" w14:textId="77777777" w:rsidR="005657D4" w:rsidRPr="00F20F7C" w:rsidRDefault="005657D4" w:rsidP="005657D4">
            <w:pPr>
              <w:ind w:firstLine="0"/>
              <w:jc w:val="center"/>
            </w:pPr>
            <w:r w:rsidRPr="00F20F7C">
              <w:t>649.2</w:t>
            </w:r>
          </w:p>
        </w:tc>
        <w:tc>
          <w:tcPr>
            <w:tcW w:w="1074" w:type="dxa"/>
            <w:tcBorders>
              <w:top w:val="thinThickSmallGap" w:sz="24" w:space="0" w:color="auto"/>
              <w:left w:val="double" w:sz="4" w:space="0" w:color="auto"/>
              <w:right w:val="nil"/>
            </w:tcBorders>
            <w:vAlign w:val="center"/>
          </w:tcPr>
          <w:p w14:paraId="4C025124" w14:textId="77777777" w:rsidR="005657D4" w:rsidRPr="00F20F7C" w:rsidRDefault="005657D4" w:rsidP="005657D4">
            <w:pPr>
              <w:ind w:firstLine="0"/>
              <w:jc w:val="center"/>
            </w:pPr>
            <w:r w:rsidRPr="00F20F7C">
              <w:t>635.7</w:t>
            </w:r>
          </w:p>
        </w:tc>
        <w:tc>
          <w:tcPr>
            <w:tcW w:w="996" w:type="dxa"/>
            <w:tcBorders>
              <w:top w:val="thinThickSmallGap" w:sz="24" w:space="0" w:color="auto"/>
              <w:left w:val="nil"/>
              <w:right w:val="nil"/>
            </w:tcBorders>
            <w:vAlign w:val="center"/>
          </w:tcPr>
          <w:p w14:paraId="0FEFB7D6" w14:textId="26624930" w:rsidR="005657D4" w:rsidRPr="005657D4" w:rsidRDefault="005657D4" w:rsidP="005657D4">
            <w:pPr>
              <w:ind w:firstLine="0"/>
              <w:jc w:val="center"/>
            </w:pPr>
            <w:r w:rsidRPr="005657D4">
              <w:t>591.5</w:t>
            </w:r>
          </w:p>
        </w:tc>
        <w:tc>
          <w:tcPr>
            <w:tcW w:w="1058" w:type="dxa"/>
            <w:tcBorders>
              <w:top w:val="thinThickSmallGap" w:sz="24" w:space="0" w:color="auto"/>
              <w:left w:val="nil"/>
              <w:right w:val="nil"/>
            </w:tcBorders>
            <w:vAlign w:val="center"/>
          </w:tcPr>
          <w:p w14:paraId="7A6C337A" w14:textId="14C9E8B3" w:rsidR="005657D4" w:rsidRPr="005657D4" w:rsidRDefault="005657D4" w:rsidP="005657D4">
            <w:pPr>
              <w:ind w:firstLine="0"/>
              <w:jc w:val="center"/>
            </w:pPr>
            <w:r w:rsidRPr="005657D4">
              <w:t>517.5</w:t>
            </w:r>
          </w:p>
        </w:tc>
        <w:tc>
          <w:tcPr>
            <w:tcW w:w="990" w:type="dxa"/>
            <w:tcBorders>
              <w:top w:val="thinThickSmallGap" w:sz="24" w:space="0" w:color="auto"/>
              <w:left w:val="nil"/>
              <w:right w:val="nil"/>
            </w:tcBorders>
            <w:vAlign w:val="center"/>
          </w:tcPr>
          <w:p w14:paraId="23FFCC01" w14:textId="550EAFEB" w:rsidR="005657D4" w:rsidRPr="005657D4" w:rsidRDefault="005657D4" w:rsidP="005657D4">
            <w:pPr>
              <w:ind w:firstLine="0"/>
              <w:jc w:val="center"/>
            </w:pPr>
            <w:r w:rsidRPr="005657D4">
              <w:t>534.5</w:t>
            </w:r>
          </w:p>
        </w:tc>
      </w:tr>
      <w:tr w:rsidR="009B1FF3" w:rsidRPr="00E06CCC" w14:paraId="7871FEF6" w14:textId="77777777" w:rsidTr="0014286E">
        <w:trPr>
          <w:trHeight w:val="224"/>
          <w:jc w:val="center"/>
        </w:trPr>
        <w:tc>
          <w:tcPr>
            <w:tcW w:w="3780" w:type="dxa"/>
            <w:tcBorders>
              <w:left w:val="nil"/>
              <w:right w:val="nil"/>
            </w:tcBorders>
            <w:vAlign w:val="center"/>
          </w:tcPr>
          <w:p w14:paraId="29F0FA3A" w14:textId="74BDE903" w:rsidR="009B1FF3" w:rsidRPr="0070296A" w:rsidRDefault="00DC7E82" w:rsidP="00DC7E82">
            <w:pPr>
              <w:spacing w:line="240" w:lineRule="auto"/>
              <w:ind w:firstLine="94"/>
            </w:pPr>
            <w:r w:rsidRPr="005A68E6">
              <w:rPr>
                <w:lang w:val="en-US"/>
              </w:rPr>
              <w:t>of which:</w:t>
            </w:r>
          </w:p>
        </w:tc>
        <w:tc>
          <w:tcPr>
            <w:tcW w:w="990" w:type="dxa"/>
            <w:tcBorders>
              <w:left w:val="nil"/>
              <w:right w:val="nil"/>
            </w:tcBorders>
            <w:vAlign w:val="center"/>
          </w:tcPr>
          <w:p w14:paraId="1CBC3FB1" w14:textId="77777777" w:rsidR="009B1FF3" w:rsidRPr="00F20F7C" w:rsidRDefault="009B1FF3" w:rsidP="009B1FF3">
            <w:pPr>
              <w:ind w:firstLine="94"/>
              <w:jc w:val="center"/>
              <w:rPr>
                <w:lang w:val="en-US"/>
              </w:rPr>
            </w:pPr>
          </w:p>
        </w:tc>
        <w:tc>
          <w:tcPr>
            <w:tcW w:w="1350" w:type="dxa"/>
            <w:tcBorders>
              <w:left w:val="nil"/>
              <w:right w:val="double" w:sz="4" w:space="0" w:color="auto"/>
            </w:tcBorders>
            <w:vAlign w:val="center"/>
          </w:tcPr>
          <w:p w14:paraId="7CE41AC0" w14:textId="77777777" w:rsidR="009B1FF3" w:rsidRPr="00F20F7C" w:rsidRDefault="009B1FF3" w:rsidP="009B1FF3">
            <w:pPr>
              <w:ind w:firstLine="0"/>
              <w:jc w:val="center"/>
            </w:pPr>
          </w:p>
        </w:tc>
        <w:tc>
          <w:tcPr>
            <w:tcW w:w="1074" w:type="dxa"/>
            <w:tcBorders>
              <w:left w:val="double" w:sz="4" w:space="0" w:color="auto"/>
              <w:right w:val="nil"/>
            </w:tcBorders>
            <w:vAlign w:val="center"/>
          </w:tcPr>
          <w:p w14:paraId="55E33375" w14:textId="77777777" w:rsidR="009B1FF3" w:rsidRPr="00F20F7C" w:rsidRDefault="009B1FF3" w:rsidP="009B1FF3">
            <w:pPr>
              <w:ind w:firstLine="0"/>
              <w:jc w:val="center"/>
            </w:pPr>
          </w:p>
        </w:tc>
        <w:tc>
          <w:tcPr>
            <w:tcW w:w="996" w:type="dxa"/>
            <w:tcBorders>
              <w:left w:val="nil"/>
              <w:right w:val="nil"/>
            </w:tcBorders>
            <w:vAlign w:val="center"/>
          </w:tcPr>
          <w:p w14:paraId="0839E527" w14:textId="77777777" w:rsidR="009B1FF3" w:rsidRPr="00F20F7C" w:rsidRDefault="009B1FF3" w:rsidP="005657D4">
            <w:pPr>
              <w:ind w:firstLine="0"/>
              <w:jc w:val="center"/>
            </w:pPr>
          </w:p>
        </w:tc>
        <w:tc>
          <w:tcPr>
            <w:tcW w:w="1058" w:type="dxa"/>
            <w:tcBorders>
              <w:left w:val="nil"/>
              <w:right w:val="nil"/>
            </w:tcBorders>
            <w:vAlign w:val="center"/>
          </w:tcPr>
          <w:p w14:paraId="3018ADE2" w14:textId="77777777" w:rsidR="009B1FF3" w:rsidRPr="00F20F7C" w:rsidRDefault="009B1FF3" w:rsidP="005657D4">
            <w:pPr>
              <w:ind w:firstLine="0"/>
              <w:jc w:val="center"/>
            </w:pPr>
          </w:p>
        </w:tc>
        <w:tc>
          <w:tcPr>
            <w:tcW w:w="990" w:type="dxa"/>
            <w:tcBorders>
              <w:left w:val="nil"/>
              <w:right w:val="nil"/>
            </w:tcBorders>
            <w:vAlign w:val="center"/>
          </w:tcPr>
          <w:p w14:paraId="3DD39117" w14:textId="77777777" w:rsidR="009B1FF3" w:rsidRPr="00F20F7C" w:rsidRDefault="009B1FF3" w:rsidP="005657D4">
            <w:pPr>
              <w:ind w:firstLine="0"/>
              <w:jc w:val="center"/>
            </w:pPr>
          </w:p>
        </w:tc>
      </w:tr>
      <w:tr w:rsidR="005657D4" w:rsidRPr="00E06CCC" w14:paraId="5AAEDBA9" w14:textId="77777777" w:rsidTr="0014286E">
        <w:trPr>
          <w:trHeight w:val="476"/>
          <w:jc w:val="center"/>
        </w:trPr>
        <w:tc>
          <w:tcPr>
            <w:tcW w:w="3780" w:type="dxa"/>
            <w:tcBorders>
              <w:left w:val="nil"/>
              <w:right w:val="nil"/>
            </w:tcBorders>
            <w:vAlign w:val="center"/>
          </w:tcPr>
          <w:p w14:paraId="484F1AE1" w14:textId="0804CD71" w:rsidR="005657D4" w:rsidRPr="0070296A" w:rsidRDefault="0039783B" w:rsidP="0039783B">
            <w:pPr>
              <w:spacing w:line="240" w:lineRule="auto"/>
              <w:ind w:firstLine="0"/>
              <w:jc w:val="left"/>
            </w:pPr>
            <w:r>
              <w:rPr>
                <w:lang w:val="en-US"/>
              </w:rPr>
              <w:t>N</w:t>
            </w:r>
            <w:r w:rsidRPr="005A68E6">
              <w:t xml:space="preserve">et </w:t>
            </w:r>
            <w:r>
              <w:t>d</w:t>
            </w:r>
            <w:r w:rsidR="00DC7E82" w:rsidRPr="005A68E6">
              <w:t>omestic borrowings (without promissory notes)</w:t>
            </w:r>
          </w:p>
        </w:tc>
        <w:tc>
          <w:tcPr>
            <w:tcW w:w="990" w:type="dxa"/>
            <w:tcBorders>
              <w:left w:val="nil"/>
              <w:right w:val="nil"/>
            </w:tcBorders>
            <w:vAlign w:val="center"/>
          </w:tcPr>
          <w:p w14:paraId="1DC6F8CA" w14:textId="77777777" w:rsidR="005657D4" w:rsidRPr="00432737" w:rsidRDefault="005657D4" w:rsidP="005657D4">
            <w:pPr>
              <w:ind w:firstLine="94"/>
              <w:jc w:val="center"/>
              <w:rPr>
                <w:lang w:val="en-US"/>
              </w:rPr>
            </w:pPr>
            <w:r w:rsidRPr="00432737">
              <w:rPr>
                <w:lang w:val="en-US"/>
              </w:rPr>
              <w:t>36</w:t>
            </w:r>
            <w:r>
              <w:t>9.0</w:t>
            </w:r>
          </w:p>
        </w:tc>
        <w:tc>
          <w:tcPr>
            <w:tcW w:w="1350" w:type="dxa"/>
            <w:tcBorders>
              <w:left w:val="nil"/>
              <w:right w:val="double" w:sz="4" w:space="0" w:color="auto"/>
            </w:tcBorders>
            <w:vAlign w:val="center"/>
          </w:tcPr>
          <w:p w14:paraId="7543290F" w14:textId="77777777" w:rsidR="005657D4" w:rsidRPr="00F20F7C" w:rsidRDefault="005657D4" w:rsidP="005657D4">
            <w:pPr>
              <w:ind w:firstLine="0"/>
              <w:jc w:val="center"/>
            </w:pPr>
            <w:r w:rsidRPr="00F20F7C">
              <w:t>291.4</w:t>
            </w:r>
          </w:p>
        </w:tc>
        <w:tc>
          <w:tcPr>
            <w:tcW w:w="1074" w:type="dxa"/>
            <w:tcBorders>
              <w:left w:val="double" w:sz="4" w:space="0" w:color="auto"/>
              <w:right w:val="nil"/>
            </w:tcBorders>
            <w:vAlign w:val="center"/>
          </w:tcPr>
          <w:p w14:paraId="2C8B0FD3" w14:textId="77777777" w:rsidR="005657D4" w:rsidRPr="00F20F7C" w:rsidRDefault="005657D4" w:rsidP="005657D4">
            <w:pPr>
              <w:ind w:firstLine="0"/>
              <w:jc w:val="center"/>
            </w:pPr>
            <w:r w:rsidRPr="00F20F7C">
              <w:t>291.4</w:t>
            </w:r>
          </w:p>
        </w:tc>
        <w:tc>
          <w:tcPr>
            <w:tcW w:w="996" w:type="dxa"/>
            <w:tcBorders>
              <w:left w:val="nil"/>
              <w:right w:val="nil"/>
            </w:tcBorders>
            <w:vAlign w:val="center"/>
          </w:tcPr>
          <w:p w14:paraId="6DEAD05D" w14:textId="4E612213" w:rsidR="005657D4" w:rsidRPr="00F20F7C" w:rsidRDefault="005657D4" w:rsidP="005657D4">
            <w:pPr>
              <w:ind w:firstLine="0"/>
              <w:jc w:val="center"/>
            </w:pPr>
            <w:r>
              <w:t>331.4</w:t>
            </w:r>
          </w:p>
        </w:tc>
        <w:tc>
          <w:tcPr>
            <w:tcW w:w="1058" w:type="dxa"/>
            <w:tcBorders>
              <w:left w:val="nil"/>
              <w:right w:val="nil"/>
            </w:tcBorders>
            <w:vAlign w:val="center"/>
          </w:tcPr>
          <w:p w14:paraId="64488142" w14:textId="62700927" w:rsidR="005657D4" w:rsidRPr="00F20F7C" w:rsidRDefault="005657D4" w:rsidP="005657D4">
            <w:pPr>
              <w:ind w:firstLine="0"/>
              <w:jc w:val="center"/>
            </w:pPr>
            <w:r>
              <w:t>278.5</w:t>
            </w:r>
          </w:p>
        </w:tc>
        <w:tc>
          <w:tcPr>
            <w:tcW w:w="990" w:type="dxa"/>
            <w:tcBorders>
              <w:left w:val="nil"/>
              <w:right w:val="nil"/>
            </w:tcBorders>
            <w:vAlign w:val="center"/>
          </w:tcPr>
          <w:p w14:paraId="4C93BC62" w14:textId="6F0DD754" w:rsidR="005657D4" w:rsidRPr="00F20F7C" w:rsidRDefault="005657D4" w:rsidP="005657D4">
            <w:pPr>
              <w:ind w:firstLine="0"/>
              <w:jc w:val="center"/>
            </w:pPr>
            <w:r>
              <w:t>250.4</w:t>
            </w:r>
          </w:p>
        </w:tc>
      </w:tr>
      <w:tr w:rsidR="005657D4" w:rsidRPr="00E06CCC" w14:paraId="3CF0A11D" w14:textId="77777777" w:rsidTr="0014286E">
        <w:trPr>
          <w:trHeight w:val="224"/>
          <w:jc w:val="center"/>
        </w:trPr>
        <w:tc>
          <w:tcPr>
            <w:tcW w:w="3780" w:type="dxa"/>
            <w:tcBorders>
              <w:left w:val="nil"/>
              <w:bottom w:val="thickThinSmallGap" w:sz="24" w:space="0" w:color="auto"/>
              <w:right w:val="nil"/>
            </w:tcBorders>
            <w:vAlign w:val="center"/>
          </w:tcPr>
          <w:p w14:paraId="012DB6FE" w14:textId="7CB0C8DC" w:rsidR="005657D4" w:rsidRPr="0070296A" w:rsidRDefault="0039783B" w:rsidP="0039783B">
            <w:pPr>
              <w:spacing w:line="240" w:lineRule="auto"/>
              <w:ind w:firstLine="0"/>
              <w:jc w:val="left"/>
            </w:pPr>
            <w:r>
              <w:rPr>
                <w:lang w:val="en-US"/>
              </w:rPr>
              <w:t xml:space="preserve">Net </w:t>
            </w:r>
            <w:r>
              <w:t>e</w:t>
            </w:r>
            <w:r w:rsidR="00DC7E82" w:rsidRPr="005A68E6">
              <w:t>xternal borrowings</w:t>
            </w:r>
          </w:p>
        </w:tc>
        <w:tc>
          <w:tcPr>
            <w:tcW w:w="990" w:type="dxa"/>
            <w:tcBorders>
              <w:left w:val="nil"/>
              <w:bottom w:val="thickThinSmallGap" w:sz="24" w:space="0" w:color="auto"/>
              <w:right w:val="nil"/>
            </w:tcBorders>
            <w:vAlign w:val="center"/>
          </w:tcPr>
          <w:p w14:paraId="51D1E485" w14:textId="316EB176" w:rsidR="005657D4" w:rsidRPr="00F20F7C" w:rsidRDefault="005657D4" w:rsidP="005657D4">
            <w:pPr>
              <w:ind w:firstLine="94"/>
              <w:jc w:val="center"/>
              <w:rPr>
                <w:lang w:val="en-US"/>
              </w:rPr>
            </w:pPr>
            <w:r>
              <w:t>30.</w:t>
            </w:r>
            <w:r w:rsidR="00723269">
              <w:t>9</w:t>
            </w:r>
          </w:p>
        </w:tc>
        <w:tc>
          <w:tcPr>
            <w:tcW w:w="1350" w:type="dxa"/>
            <w:tcBorders>
              <w:left w:val="nil"/>
              <w:bottom w:val="thickThinSmallGap" w:sz="24" w:space="0" w:color="auto"/>
              <w:right w:val="double" w:sz="4" w:space="0" w:color="auto"/>
            </w:tcBorders>
            <w:vAlign w:val="center"/>
          </w:tcPr>
          <w:p w14:paraId="7C38AFA2" w14:textId="77777777" w:rsidR="005657D4" w:rsidRPr="00F20F7C" w:rsidRDefault="005657D4" w:rsidP="005657D4">
            <w:pPr>
              <w:ind w:firstLine="0"/>
              <w:jc w:val="center"/>
            </w:pPr>
            <w:r w:rsidRPr="00F20F7C">
              <w:t>357.8</w:t>
            </w:r>
          </w:p>
        </w:tc>
        <w:tc>
          <w:tcPr>
            <w:tcW w:w="1074" w:type="dxa"/>
            <w:tcBorders>
              <w:left w:val="double" w:sz="4" w:space="0" w:color="auto"/>
              <w:bottom w:val="thickThinSmallGap" w:sz="24" w:space="0" w:color="auto"/>
              <w:right w:val="nil"/>
            </w:tcBorders>
            <w:vAlign w:val="center"/>
          </w:tcPr>
          <w:p w14:paraId="25B6E60B" w14:textId="77777777" w:rsidR="005657D4" w:rsidRPr="00F20F7C" w:rsidRDefault="005657D4" w:rsidP="005657D4">
            <w:pPr>
              <w:ind w:firstLine="0"/>
              <w:jc w:val="center"/>
            </w:pPr>
            <w:r w:rsidRPr="00F20F7C">
              <w:t>344.4</w:t>
            </w:r>
          </w:p>
        </w:tc>
        <w:tc>
          <w:tcPr>
            <w:tcW w:w="996" w:type="dxa"/>
            <w:tcBorders>
              <w:left w:val="nil"/>
              <w:bottom w:val="thickThinSmallGap" w:sz="24" w:space="0" w:color="auto"/>
              <w:right w:val="nil"/>
            </w:tcBorders>
            <w:vAlign w:val="center"/>
          </w:tcPr>
          <w:p w14:paraId="74A40823" w14:textId="0E2361B4" w:rsidR="005657D4" w:rsidRPr="00F20F7C" w:rsidRDefault="005657D4" w:rsidP="005657D4">
            <w:pPr>
              <w:ind w:firstLine="0"/>
              <w:jc w:val="center"/>
            </w:pPr>
            <w:r>
              <w:t>260.1</w:t>
            </w:r>
          </w:p>
        </w:tc>
        <w:tc>
          <w:tcPr>
            <w:tcW w:w="1058" w:type="dxa"/>
            <w:tcBorders>
              <w:left w:val="nil"/>
              <w:bottom w:val="thickThinSmallGap" w:sz="24" w:space="0" w:color="auto"/>
              <w:right w:val="nil"/>
            </w:tcBorders>
            <w:vAlign w:val="center"/>
          </w:tcPr>
          <w:p w14:paraId="53D9263E" w14:textId="74445E27" w:rsidR="005657D4" w:rsidRPr="00F20F7C" w:rsidRDefault="005657D4" w:rsidP="005657D4">
            <w:pPr>
              <w:ind w:firstLine="0"/>
              <w:jc w:val="center"/>
            </w:pPr>
            <w:r>
              <w:t>239.0</w:t>
            </w:r>
          </w:p>
        </w:tc>
        <w:tc>
          <w:tcPr>
            <w:tcW w:w="990" w:type="dxa"/>
            <w:tcBorders>
              <w:left w:val="nil"/>
              <w:bottom w:val="thickThinSmallGap" w:sz="24" w:space="0" w:color="auto"/>
              <w:right w:val="nil"/>
            </w:tcBorders>
            <w:vAlign w:val="center"/>
          </w:tcPr>
          <w:p w14:paraId="4C9CF85B" w14:textId="231A089F" w:rsidR="005657D4" w:rsidRPr="00F20F7C" w:rsidRDefault="005657D4" w:rsidP="005657D4">
            <w:pPr>
              <w:ind w:firstLine="0"/>
              <w:jc w:val="center"/>
            </w:pPr>
            <w:r>
              <w:t>284.1</w:t>
            </w:r>
          </w:p>
        </w:tc>
      </w:tr>
    </w:tbl>
    <w:p w14:paraId="2614523F" w14:textId="010B9E3B" w:rsidR="00D036DD" w:rsidRPr="00D036DD" w:rsidRDefault="00D036DD" w:rsidP="00D036DD">
      <w:pPr>
        <w:spacing w:before="120"/>
        <w:rPr>
          <w:sz w:val="16"/>
          <w:lang w:val="en-US"/>
        </w:rPr>
      </w:pPr>
      <w:r w:rsidRPr="005A68E6">
        <w:rPr>
          <w:sz w:val="16"/>
          <w:lang w:val="en-US"/>
        </w:rPr>
        <w:t xml:space="preserve">Source: RA MoF calculations and forecasts </w:t>
      </w:r>
    </w:p>
    <w:p w14:paraId="04CF899F" w14:textId="5361C542" w:rsidR="004E6A76" w:rsidRPr="00A2264E" w:rsidRDefault="00A2264E" w:rsidP="00A2264E">
      <w:pPr>
        <w:pStyle w:val="af7"/>
        <w:numPr>
          <w:ilvl w:val="0"/>
          <w:numId w:val="20"/>
        </w:numPr>
        <w:tabs>
          <w:tab w:val="left" w:pos="180"/>
          <w:tab w:val="left" w:pos="630"/>
          <w:tab w:val="left" w:pos="1440"/>
          <w:tab w:val="left" w:pos="1710"/>
          <w:tab w:val="left" w:pos="1890"/>
          <w:tab w:val="left" w:pos="2430"/>
          <w:tab w:val="left" w:pos="2610"/>
          <w:tab w:val="left" w:pos="2880"/>
        </w:tabs>
        <w:rPr>
          <w:b w:val="0"/>
          <w:sz w:val="22"/>
          <w:szCs w:val="22"/>
          <w:lang w:val="en-US"/>
        </w:rPr>
      </w:pPr>
      <w:r w:rsidRPr="00A2264E">
        <w:rPr>
          <w:b w:val="0"/>
          <w:sz w:val="22"/>
          <w:szCs w:val="22"/>
          <w:lang w:val="en-US"/>
        </w:rPr>
        <w:t xml:space="preserve">The structure of deficit financing through domestic and </w:t>
      </w:r>
      <w:r>
        <w:rPr>
          <w:b w:val="0"/>
          <w:sz w:val="22"/>
          <w:szCs w:val="22"/>
          <w:lang w:val="en-US"/>
        </w:rPr>
        <w:t>external net borrowings for 2024-2028</w:t>
      </w:r>
    </w:p>
    <w:p w14:paraId="28DF4FB0" w14:textId="29448875" w:rsidR="00D93536" w:rsidRPr="00F03B7F" w:rsidRDefault="00A2264E" w:rsidP="00F03B7F">
      <w:pPr>
        <w:ind w:right="488" w:hanging="270"/>
      </w:pPr>
      <w:r>
        <w:rPr>
          <w:noProof/>
          <w:lang w:val="en-US"/>
        </w:rPr>
        <w:drawing>
          <wp:inline distT="0" distB="0" distL="0" distR="0" wp14:anchorId="5D9B1ECB" wp14:editId="3BEDE11F">
            <wp:extent cx="6648450" cy="2895600"/>
            <wp:effectExtent l="0" t="0" r="0" b="0"/>
            <wp:docPr id="17" name="Chart 17">
              <a:extLst xmlns:a="http://schemas.openxmlformats.org/drawingml/2006/main">
                <a:ext uri="{FF2B5EF4-FFF2-40B4-BE49-F238E27FC236}">
                  <a16:creationId xmlns:a16="http://schemas.microsoft.com/office/drawing/2014/main" id="{00000000-0008-0000-0C00-00009408D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E43A8" w:rsidRPr="005A68E6">
        <w:rPr>
          <w:sz w:val="16"/>
          <w:lang w:val="en-US"/>
        </w:rPr>
        <w:t>Source: RA MoF calculations and forecasts</w:t>
      </w:r>
    </w:p>
    <w:p w14:paraId="5A5A2074" w14:textId="4B19D861" w:rsidR="00857839" w:rsidRPr="00FE10C7" w:rsidRDefault="00857839" w:rsidP="00FE10C7">
      <w:r>
        <w:t xml:space="preserve">Over the medium term, the structure of state budget deficit financing has been allocated between net domestic and external borrowings </w:t>
      </w:r>
      <w:r>
        <w:rPr>
          <w:lang w:val="en-US"/>
        </w:rPr>
        <w:t>so</w:t>
      </w:r>
      <w:r>
        <w:t xml:space="preserve"> </w:t>
      </w:r>
      <w:r>
        <w:rPr>
          <w:lang w:val="en-US"/>
        </w:rPr>
        <w:t>as</w:t>
      </w:r>
      <w:r>
        <w:t xml:space="preserve"> </w:t>
      </w:r>
      <w:r>
        <w:rPr>
          <w:lang w:val="en-US"/>
        </w:rPr>
        <w:t xml:space="preserve">to </w:t>
      </w:r>
      <w:r>
        <w:t>maintain the minimum 40%</w:t>
      </w:r>
      <w:r>
        <w:rPr>
          <w:lang w:val="en-US"/>
        </w:rPr>
        <w:t xml:space="preserve"> benchmark for the </w:t>
      </w:r>
      <w:r>
        <w:t xml:space="preserve">share of domestic debt within the government debt portfolio. </w:t>
      </w:r>
      <w:r>
        <w:rPr>
          <w:lang w:val="en-US"/>
        </w:rPr>
        <w:t>Meanwhile</w:t>
      </w:r>
      <w:r>
        <w:t xml:space="preserve">, </w:t>
      </w:r>
      <w:r>
        <w:rPr>
          <w:lang w:val="en-US"/>
        </w:rPr>
        <w:t>the specifics of the fiscal framework</w:t>
      </w:r>
      <w:r>
        <w:t xml:space="preserve"> for </w:t>
      </w:r>
      <w:r>
        <w:lastRenderedPageBreak/>
        <w:t>2026–2028</w:t>
      </w:r>
      <w:r w:rsidRPr="00857839">
        <w:rPr>
          <w:lang w:val="en-US"/>
        </w:rPr>
        <w:t xml:space="preserve"> </w:t>
      </w:r>
      <w:r>
        <w:rPr>
          <w:lang w:val="en-US"/>
        </w:rPr>
        <w:t>were taken into account</w:t>
      </w:r>
      <w:r>
        <w:t xml:space="preserve">, including the need for foreign currency arising from foreign </w:t>
      </w:r>
      <w:r>
        <w:rPr>
          <w:lang w:val="en-US"/>
        </w:rPr>
        <w:t xml:space="preserve">currency outflows </w:t>
      </w:r>
      <w:r>
        <w:t xml:space="preserve">and the </w:t>
      </w:r>
      <w:r w:rsidR="00FE10C7">
        <w:rPr>
          <w:lang w:val="en-US"/>
        </w:rPr>
        <w:t>objective</w:t>
      </w:r>
      <w:r>
        <w:t xml:space="preserve"> to avoid </w:t>
      </w:r>
      <w:r w:rsidR="00FE10C7">
        <w:rPr>
          <w:lang w:val="en-US"/>
        </w:rPr>
        <w:t>saturating</w:t>
      </w:r>
      <w:r>
        <w:rPr>
          <w:lang w:val="en-US"/>
        </w:rPr>
        <w:t xml:space="preserve"> </w:t>
      </w:r>
      <w:r>
        <w:t>the domestic market amid growing financing needs. Under these conditions, there is a need to adjust the annual volume of net issuances compared to the previous strategy</w:t>
      </w:r>
      <w:r>
        <w:rPr>
          <w:lang w:val="en-US"/>
        </w:rPr>
        <w:t xml:space="preserve"> without reducing the activity in the domestic debt market</w:t>
      </w:r>
      <w:r>
        <w:t>.</w:t>
      </w:r>
    </w:p>
    <w:p w14:paraId="5DC63D5D" w14:textId="538FCF9D" w:rsidR="00FE10C7" w:rsidRDefault="00FE10C7" w:rsidP="00FE10C7">
      <w:r>
        <w:t>To meet financing needs, the government plans to raise funds over the medium term through both external loans and borrowings and the placement of government treasury bonds.</w:t>
      </w:r>
    </w:p>
    <w:p w14:paraId="7F51B64F" w14:textId="3731D721" w:rsidR="00A440F8" w:rsidRPr="00690123" w:rsidRDefault="00A440F8" w:rsidP="00AD0801">
      <w:pPr>
        <w:pStyle w:val="af6"/>
        <w:numPr>
          <w:ilvl w:val="0"/>
          <w:numId w:val="18"/>
        </w:numPr>
        <w:ind w:left="1276" w:hanging="1276"/>
      </w:pPr>
      <w:r>
        <w:t xml:space="preserve"> </w:t>
      </w:r>
      <w:r w:rsidR="00BA6FCD" w:rsidRPr="00CF3DA0">
        <w:t>Financing</w:t>
      </w:r>
      <w:r w:rsidR="00BA6FCD">
        <w:t xml:space="preserve"> through net borrowings for 2024-2028</w:t>
      </w:r>
      <w:r w:rsidR="00BA6FCD" w:rsidRPr="00CF3DA0">
        <w:t xml:space="preserve"> (AMD billion)</w:t>
      </w:r>
      <w:r w:rsidR="00BA6FCD" w:rsidRPr="00BA6FCD">
        <w:t xml:space="preserve"> </w:t>
      </w:r>
    </w:p>
    <w:tbl>
      <w:tblPr>
        <w:tblW w:w="9894" w:type="dxa"/>
        <w:tblInd w:w="90" w:type="dxa"/>
        <w:tblLook w:val="04A0" w:firstRow="1" w:lastRow="0" w:firstColumn="1" w:lastColumn="0" w:noHBand="0" w:noVBand="1"/>
      </w:tblPr>
      <w:tblGrid>
        <w:gridCol w:w="3174"/>
        <w:gridCol w:w="1236"/>
        <w:gridCol w:w="1416"/>
        <w:gridCol w:w="1326"/>
        <w:gridCol w:w="1326"/>
        <w:gridCol w:w="1416"/>
      </w:tblGrid>
      <w:tr w:rsidR="00131D99" w:rsidRPr="00D6171C" w14:paraId="26D67D61" w14:textId="77777777" w:rsidTr="00C27D3F">
        <w:trPr>
          <w:trHeight w:val="576"/>
        </w:trPr>
        <w:tc>
          <w:tcPr>
            <w:tcW w:w="3174" w:type="dxa"/>
            <w:tcBorders>
              <w:top w:val="double" w:sz="6" w:space="0" w:color="auto"/>
              <w:left w:val="nil"/>
              <w:bottom w:val="double" w:sz="6" w:space="0" w:color="auto"/>
              <w:right w:val="nil"/>
            </w:tcBorders>
            <w:shd w:val="clear" w:color="000000" w:fill="5B9BD5"/>
            <w:vAlign w:val="center"/>
            <w:hideMark/>
          </w:tcPr>
          <w:p w14:paraId="130CF9D8" w14:textId="77777777" w:rsidR="00D6171C" w:rsidRPr="00D05707" w:rsidRDefault="00D6171C" w:rsidP="00D6171C">
            <w:pPr>
              <w:spacing w:line="240" w:lineRule="auto"/>
              <w:ind w:firstLine="0"/>
              <w:jc w:val="center"/>
              <w:rPr>
                <w:rFonts w:cs="Times New Roman"/>
              </w:rPr>
            </w:pPr>
            <w:r w:rsidRPr="00D6171C">
              <w:rPr>
                <w:rFonts w:ascii="Calibri" w:hAnsi="Calibri" w:cs="Calibri"/>
              </w:rPr>
              <w:t> </w:t>
            </w:r>
          </w:p>
        </w:tc>
        <w:tc>
          <w:tcPr>
            <w:tcW w:w="1236" w:type="dxa"/>
            <w:tcBorders>
              <w:top w:val="double" w:sz="6" w:space="0" w:color="auto"/>
              <w:left w:val="nil"/>
              <w:bottom w:val="double" w:sz="6" w:space="0" w:color="auto"/>
              <w:right w:val="double" w:sz="6" w:space="0" w:color="auto"/>
            </w:tcBorders>
            <w:shd w:val="clear" w:color="000000" w:fill="5B9BD5"/>
            <w:vAlign w:val="center"/>
            <w:hideMark/>
          </w:tcPr>
          <w:p w14:paraId="73D9910F" w14:textId="163FB2B3" w:rsidR="00D6171C" w:rsidRPr="00D6171C" w:rsidRDefault="00D6171C" w:rsidP="00D6171C">
            <w:pPr>
              <w:spacing w:line="240" w:lineRule="auto"/>
              <w:ind w:firstLine="0"/>
              <w:jc w:val="center"/>
              <w:rPr>
                <w:rFonts w:cs="Times New Roman"/>
                <w:color w:val="000000"/>
                <w:lang w:val="en-US"/>
              </w:rPr>
            </w:pPr>
            <w:r w:rsidRPr="00D6171C">
              <w:rPr>
                <w:rFonts w:cs="Times New Roman"/>
              </w:rPr>
              <w:t xml:space="preserve">2024 </w:t>
            </w:r>
            <w:r w:rsidR="00BF5C01" w:rsidRPr="005A68E6">
              <w:rPr>
                <w:lang w:val="en-US"/>
              </w:rPr>
              <w:t>actual</w:t>
            </w:r>
          </w:p>
        </w:tc>
        <w:tc>
          <w:tcPr>
            <w:tcW w:w="1416" w:type="dxa"/>
            <w:tcBorders>
              <w:top w:val="double" w:sz="6" w:space="0" w:color="auto"/>
              <w:left w:val="nil"/>
              <w:bottom w:val="double" w:sz="6" w:space="0" w:color="auto"/>
              <w:right w:val="nil"/>
            </w:tcBorders>
            <w:shd w:val="clear" w:color="000000" w:fill="5B9BD5"/>
            <w:vAlign w:val="center"/>
            <w:hideMark/>
          </w:tcPr>
          <w:p w14:paraId="7C9ED220" w14:textId="4B788A78" w:rsidR="00D6171C" w:rsidRPr="00D6171C" w:rsidRDefault="00D6171C" w:rsidP="00D6171C">
            <w:pPr>
              <w:spacing w:line="240" w:lineRule="auto"/>
              <w:ind w:firstLine="0"/>
              <w:jc w:val="center"/>
              <w:rPr>
                <w:rFonts w:cs="Times New Roman"/>
                <w:color w:val="000000"/>
                <w:lang w:val="en-US"/>
              </w:rPr>
            </w:pPr>
            <w:r w:rsidRPr="00D6171C">
              <w:rPr>
                <w:rFonts w:cs="Times New Roman"/>
              </w:rPr>
              <w:t xml:space="preserve">2025 </w:t>
            </w:r>
            <w:r w:rsidR="00BF5C01" w:rsidRPr="005A68E6">
              <w:t>forecast</w:t>
            </w:r>
          </w:p>
        </w:tc>
        <w:tc>
          <w:tcPr>
            <w:tcW w:w="1326" w:type="dxa"/>
            <w:tcBorders>
              <w:top w:val="double" w:sz="6" w:space="0" w:color="auto"/>
              <w:left w:val="nil"/>
              <w:bottom w:val="double" w:sz="6" w:space="0" w:color="auto"/>
              <w:right w:val="nil"/>
            </w:tcBorders>
            <w:shd w:val="clear" w:color="000000" w:fill="5B9BD5"/>
            <w:vAlign w:val="center"/>
            <w:hideMark/>
          </w:tcPr>
          <w:p w14:paraId="73F00231" w14:textId="42B28C07" w:rsidR="00D6171C" w:rsidRPr="00D6171C" w:rsidRDefault="00D6171C" w:rsidP="00D6171C">
            <w:pPr>
              <w:spacing w:line="240" w:lineRule="auto"/>
              <w:ind w:firstLine="0"/>
              <w:jc w:val="center"/>
              <w:rPr>
                <w:rFonts w:cs="Times New Roman"/>
                <w:color w:val="000000"/>
                <w:lang w:val="en-US"/>
              </w:rPr>
            </w:pPr>
            <w:r w:rsidRPr="00D6171C">
              <w:rPr>
                <w:rFonts w:cs="Times New Roman"/>
              </w:rPr>
              <w:t xml:space="preserve">2026 </w:t>
            </w:r>
            <w:r w:rsidR="00BF5C01" w:rsidRPr="005A68E6">
              <w:t>forecast</w:t>
            </w:r>
          </w:p>
        </w:tc>
        <w:tc>
          <w:tcPr>
            <w:tcW w:w="1326" w:type="dxa"/>
            <w:tcBorders>
              <w:top w:val="double" w:sz="6" w:space="0" w:color="auto"/>
              <w:left w:val="nil"/>
              <w:bottom w:val="double" w:sz="6" w:space="0" w:color="auto"/>
              <w:right w:val="nil"/>
            </w:tcBorders>
            <w:shd w:val="clear" w:color="000000" w:fill="5B9BD5"/>
            <w:vAlign w:val="center"/>
            <w:hideMark/>
          </w:tcPr>
          <w:p w14:paraId="599119A5" w14:textId="3A5C8B22" w:rsidR="00D6171C" w:rsidRPr="00D6171C" w:rsidRDefault="00D6171C" w:rsidP="00D6171C">
            <w:pPr>
              <w:spacing w:line="240" w:lineRule="auto"/>
              <w:ind w:firstLine="0"/>
              <w:jc w:val="center"/>
              <w:rPr>
                <w:rFonts w:cs="Times New Roman"/>
                <w:color w:val="000000"/>
                <w:lang w:val="en-US"/>
              </w:rPr>
            </w:pPr>
            <w:r w:rsidRPr="00D6171C">
              <w:rPr>
                <w:rFonts w:cs="Times New Roman"/>
              </w:rPr>
              <w:t xml:space="preserve">2027 </w:t>
            </w:r>
            <w:r w:rsidR="00BF5C01" w:rsidRPr="005A68E6">
              <w:t>forecast</w:t>
            </w:r>
          </w:p>
        </w:tc>
        <w:tc>
          <w:tcPr>
            <w:tcW w:w="1416" w:type="dxa"/>
            <w:tcBorders>
              <w:top w:val="double" w:sz="6" w:space="0" w:color="auto"/>
              <w:left w:val="nil"/>
              <w:bottom w:val="double" w:sz="6" w:space="0" w:color="auto"/>
              <w:right w:val="nil"/>
            </w:tcBorders>
            <w:shd w:val="clear" w:color="000000" w:fill="5B9BD5"/>
            <w:vAlign w:val="center"/>
            <w:hideMark/>
          </w:tcPr>
          <w:p w14:paraId="2E91B4EC" w14:textId="56D6CA59" w:rsidR="00D6171C" w:rsidRPr="00D6171C" w:rsidRDefault="00D6171C" w:rsidP="00D6171C">
            <w:pPr>
              <w:spacing w:line="240" w:lineRule="auto"/>
              <w:ind w:firstLine="0"/>
              <w:jc w:val="center"/>
              <w:rPr>
                <w:rFonts w:cs="Times New Roman"/>
                <w:color w:val="000000"/>
                <w:lang w:val="en-US"/>
              </w:rPr>
            </w:pPr>
            <w:r w:rsidRPr="00D6171C">
              <w:rPr>
                <w:rFonts w:cs="Times New Roman"/>
              </w:rPr>
              <w:t>20</w:t>
            </w:r>
            <w:r>
              <w:rPr>
                <w:rFonts w:cs="Times New Roman"/>
                <w:lang w:val="en-US"/>
              </w:rPr>
              <w:t>28</w:t>
            </w:r>
            <w:r w:rsidRPr="00D6171C">
              <w:rPr>
                <w:rFonts w:cs="Times New Roman"/>
              </w:rPr>
              <w:t xml:space="preserve"> </w:t>
            </w:r>
            <w:r w:rsidR="00BF5C01" w:rsidRPr="005A68E6">
              <w:t>forecast</w:t>
            </w:r>
          </w:p>
        </w:tc>
      </w:tr>
      <w:tr w:rsidR="00983F89" w:rsidRPr="00D6171C" w14:paraId="6E601574" w14:textId="77777777" w:rsidTr="00C27D3F">
        <w:trPr>
          <w:trHeight w:val="20"/>
        </w:trPr>
        <w:tc>
          <w:tcPr>
            <w:tcW w:w="3174" w:type="dxa"/>
            <w:tcBorders>
              <w:top w:val="nil"/>
              <w:left w:val="nil"/>
              <w:bottom w:val="single" w:sz="8" w:space="0" w:color="auto"/>
              <w:right w:val="nil"/>
            </w:tcBorders>
            <w:shd w:val="clear" w:color="auto" w:fill="auto"/>
            <w:vAlign w:val="center"/>
            <w:hideMark/>
          </w:tcPr>
          <w:p w14:paraId="0D94BC32" w14:textId="053E42B4" w:rsidR="00983F89" w:rsidRPr="00D6171C" w:rsidRDefault="00BA6FCD" w:rsidP="003930B0">
            <w:pPr>
              <w:spacing w:line="240" w:lineRule="auto"/>
              <w:ind w:firstLine="0"/>
              <w:rPr>
                <w:rFonts w:cs="Times New Roman"/>
                <w:lang w:val="en-US"/>
              </w:rPr>
            </w:pPr>
            <w:r w:rsidRPr="005A68E6">
              <w:rPr>
                <w:lang w:val="en-US"/>
              </w:rPr>
              <w:t>Total financing</w:t>
            </w:r>
          </w:p>
        </w:tc>
        <w:tc>
          <w:tcPr>
            <w:tcW w:w="1236" w:type="dxa"/>
            <w:tcBorders>
              <w:top w:val="nil"/>
              <w:left w:val="nil"/>
              <w:bottom w:val="single" w:sz="8" w:space="0" w:color="auto"/>
              <w:right w:val="double" w:sz="6" w:space="0" w:color="auto"/>
            </w:tcBorders>
            <w:shd w:val="clear" w:color="auto" w:fill="auto"/>
            <w:vAlign w:val="center"/>
            <w:hideMark/>
          </w:tcPr>
          <w:p w14:paraId="1E04885B" w14:textId="77777777" w:rsidR="00983F89" w:rsidRPr="00D6171C" w:rsidRDefault="00983F89" w:rsidP="00983F89">
            <w:pPr>
              <w:spacing w:line="240" w:lineRule="auto"/>
              <w:ind w:firstLine="0"/>
              <w:jc w:val="center"/>
              <w:rPr>
                <w:rFonts w:cs="Times New Roman"/>
                <w:lang w:val="en-US"/>
              </w:rPr>
            </w:pPr>
            <w:r w:rsidRPr="00D6171C">
              <w:rPr>
                <w:rFonts w:cs="Times New Roman"/>
              </w:rPr>
              <w:t>851.1</w:t>
            </w:r>
          </w:p>
        </w:tc>
        <w:tc>
          <w:tcPr>
            <w:tcW w:w="1416" w:type="dxa"/>
            <w:tcBorders>
              <w:top w:val="nil"/>
              <w:left w:val="nil"/>
              <w:bottom w:val="single" w:sz="8" w:space="0" w:color="auto"/>
              <w:right w:val="nil"/>
            </w:tcBorders>
            <w:shd w:val="clear" w:color="auto" w:fill="auto"/>
            <w:vAlign w:val="center"/>
            <w:hideMark/>
          </w:tcPr>
          <w:p w14:paraId="2EEFDBC2" w14:textId="418091E4" w:rsidR="00983F89" w:rsidRPr="00D6171C" w:rsidRDefault="00983F89" w:rsidP="00983F89">
            <w:pPr>
              <w:spacing w:line="240" w:lineRule="auto"/>
              <w:ind w:firstLine="0"/>
              <w:jc w:val="center"/>
              <w:rPr>
                <w:rFonts w:cs="Times New Roman"/>
                <w:lang w:val="en-US"/>
              </w:rPr>
            </w:pPr>
            <w:r w:rsidRPr="00D6171C">
              <w:rPr>
                <w:rFonts w:cs="Times New Roman"/>
              </w:rPr>
              <w:t>1,349.8</w:t>
            </w:r>
          </w:p>
        </w:tc>
        <w:tc>
          <w:tcPr>
            <w:tcW w:w="1326" w:type="dxa"/>
            <w:tcBorders>
              <w:top w:val="nil"/>
              <w:left w:val="nil"/>
              <w:bottom w:val="single" w:sz="8" w:space="0" w:color="auto"/>
              <w:right w:val="nil"/>
            </w:tcBorders>
            <w:shd w:val="clear" w:color="auto" w:fill="auto"/>
            <w:vAlign w:val="center"/>
            <w:hideMark/>
          </w:tcPr>
          <w:p w14:paraId="42CE6D01" w14:textId="57BF58AB" w:rsidR="00983F89" w:rsidRPr="00D6171C" w:rsidRDefault="00983F89" w:rsidP="00983F89">
            <w:pPr>
              <w:spacing w:line="240" w:lineRule="auto"/>
              <w:ind w:firstLine="0"/>
              <w:jc w:val="center"/>
              <w:rPr>
                <w:rFonts w:cs="Times New Roman"/>
                <w:lang w:val="en-US"/>
              </w:rPr>
            </w:pPr>
            <w:r>
              <w:t>1,220.9</w:t>
            </w:r>
          </w:p>
        </w:tc>
        <w:tc>
          <w:tcPr>
            <w:tcW w:w="1326" w:type="dxa"/>
            <w:tcBorders>
              <w:top w:val="nil"/>
              <w:left w:val="nil"/>
              <w:bottom w:val="single" w:sz="8" w:space="0" w:color="auto"/>
              <w:right w:val="nil"/>
            </w:tcBorders>
            <w:shd w:val="clear" w:color="auto" w:fill="auto"/>
            <w:vAlign w:val="center"/>
            <w:hideMark/>
          </w:tcPr>
          <w:p w14:paraId="04389CCE" w14:textId="019A61EB" w:rsidR="00983F89" w:rsidRPr="00D6171C" w:rsidRDefault="00983F89" w:rsidP="00983F89">
            <w:pPr>
              <w:spacing w:line="240" w:lineRule="auto"/>
              <w:ind w:firstLine="0"/>
              <w:jc w:val="center"/>
              <w:rPr>
                <w:rFonts w:cs="Times New Roman"/>
                <w:lang w:val="en-US"/>
              </w:rPr>
            </w:pPr>
            <w:r>
              <w:t>1,160.4</w:t>
            </w:r>
          </w:p>
        </w:tc>
        <w:tc>
          <w:tcPr>
            <w:tcW w:w="1416" w:type="dxa"/>
            <w:tcBorders>
              <w:top w:val="nil"/>
              <w:left w:val="nil"/>
              <w:bottom w:val="single" w:sz="8" w:space="0" w:color="auto"/>
              <w:right w:val="nil"/>
            </w:tcBorders>
            <w:shd w:val="clear" w:color="auto" w:fill="auto"/>
            <w:vAlign w:val="center"/>
            <w:hideMark/>
          </w:tcPr>
          <w:p w14:paraId="0AE42B5C" w14:textId="34CDEE5E" w:rsidR="00983F89" w:rsidRPr="00D6171C" w:rsidRDefault="00983F89" w:rsidP="00983F89">
            <w:pPr>
              <w:spacing w:line="240" w:lineRule="auto"/>
              <w:ind w:firstLine="0"/>
              <w:jc w:val="center"/>
              <w:rPr>
                <w:rFonts w:cs="Times New Roman"/>
                <w:lang w:val="en-US"/>
              </w:rPr>
            </w:pPr>
            <w:r>
              <w:t>1,208.5</w:t>
            </w:r>
          </w:p>
        </w:tc>
      </w:tr>
      <w:tr w:rsidR="00BA6FCD" w:rsidRPr="00D6171C" w14:paraId="28CB3142" w14:textId="77777777" w:rsidTr="00C27D3F">
        <w:trPr>
          <w:trHeight w:val="20"/>
        </w:trPr>
        <w:tc>
          <w:tcPr>
            <w:tcW w:w="3174" w:type="dxa"/>
            <w:tcBorders>
              <w:top w:val="nil"/>
              <w:left w:val="nil"/>
              <w:bottom w:val="single" w:sz="8" w:space="0" w:color="auto"/>
              <w:right w:val="nil"/>
            </w:tcBorders>
            <w:shd w:val="clear" w:color="auto" w:fill="auto"/>
            <w:hideMark/>
          </w:tcPr>
          <w:p w14:paraId="7723E358" w14:textId="183D47DC" w:rsidR="00BA6FCD" w:rsidRPr="00D6171C" w:rsidRDefault="00BA6FCD" w:rsidP="003930B0">
            <w:pPr>
              <w:spacing w:line="240" w:lineRule="auto"/>
              <w:ind w:firstLine="0"/>
              <w:rPr>
                <w:rFonts w:cs="Times New Roman"/>
                <w:lang w:val="en-US"/>
              </w:rPr>
            </w:pPr>
            <w:r w:rsidRPr="005A68E6">
              <w:rPr>
                <w:lang w:val="en-US"/>
              </w:rPr>
              <w:t>of which:</w:t>
            </w:r>
          </w:p>
        </w:tc>
        <w:tc>
          <w:tcPr>
            <w:tcW w:w="1236" w:type="dxa"/>
            <w:tcBorders>
              <w:top w:val="nil"/>
              <w:left w:val="nil"/>
              <w:bottom w:val="single" w:sz="8" w:space="0" w:color="auto"/>
              <w:right w:val="double" w:sz="6" w:space="0" w:color="auto"/>
            </w:tcBorders>
            <w:shd w:val="clear" w:color="auto" w:fill="auto"/>
            <w:vAlign w:val="center"/>
            <w:hideMark/>
          </w:tcPr>
          <w:p w14:paraId="36D5AFDD" w14:textId="0A7648CA" w:rsidR="00BA6FCD" w:rsidRPr="00D6171C" w:rsidRDefault="00BA6FCD" w:rsidP="00BA6FCD">
            <w:pPr>
              <w:spacing w:line="240" w:lineRule="auto"/>
              <w:ind w:firstLine="0"/>
              <w:jc w:val="center"/>
              <w:rPr>
                <w:rFonts w:cs="Times New Roman"/>
                <w:lang w:val="en-US"/>
              </w:rPr>
            </w:pPr>
          </w:p>
        </w:tc>
        <w:tc>
          <w:tcPr>
            <w:tcW w:w="1416" w:type="dxa"/>
            <w:tcBorders>
              <w:top w:val="nil"/>
              <w:left w:val="nil"/>
              <w:bottom w:val="single" w:sz="8" w:space="0" w:color="auto"/>
              <w:right w:val="nil"/>
            </w:tcBorders>
            <w:shd w:val="clear" w:color="auto" w:fill="auto"/>
            <w:vAlign w:val="center"/>
            <w:hideMark/>
          </w:tcPr>
          <w:p w14:paraId="3EC885BB" w14:textId="7C69B2B6" w:rsidR="00BA6FCD" w:rsidRPr="00D6171C" w:rsidRDefault="00BA6FCD" w:rsidP="00BA6FCD">
            <w:pPr>
              <w:spacing w:line="240" w:lineRule="auto"/>
              <w:ind w:firstLine="0"/>
              <w:jc w:val="center"/>
              <w:rPr>
                <w:rFonts w:cs="Times New Roman"/>
                <w:lang w:val="en-US"/>
              </w:rPr>
            </w:pPr>
          </w:p>
        </w:tc>
        <w:tc>
          <w:tcPr>
            <w:tcW w:w="1326" w:type="dxa"/>
            <w:tcBorders>
              <w:top w:val="nil"/>
              <w:left w:val="nil"/>
              <w:bottom w:val="single" w:sz="8" w:space="0" w:color="auto"/>
              <w:right w:val="nil"/>
            </w:tcBorders>
            <w:shd w:val="clear" w:color="auto" w:fill="auto"/>
            <w:vAlign w:val="center"/>
            <w:hideMark/>
          </w:tcPr>
          <w:p w14:paraId="2DBF259C" w14:textId="5B3E4E92" w:rsidR="00BA6FCD" w:rsidRPr="00D6171C" w:rsidRDefault="00BA6FCD" w:rsidP="00BA6FCD">
            <w:pPr>
              <w:spacing w:line="240" w:lineRule="auto"/>
              <w:ind w:firstLine="0"/>
              <w:jc w:val="center"/>
              <w:rPr>
                <w:rFonts w:cs="Times New Roman"/>
                <w:lang w:val="en-US"/>
              </w:rPr>
            </w:pPr>
            <w:r>
              <w:rPr>
                <w:rFonts w:ascii="Calibri" w:hAnsi="Calibri" w:cs="Calibri"/>
              </w:rPr>
              <w:t> </w:t>
            </w:r>
          </w:p>
        </w:tc>
        <w:tc>
          <w:tcPr>
            <w:tcW w:w="1326" w:type="dxa"/>
            <w:tcBorders>
              <w:top w:val="nil"/>
              <w:left w:val="nil"/>
              <w:bottom w:val="single" w:sz="8" w:space="0" w:color="auto"/>
              <w:right w:val="nil"/>
            </w:tcBorders>
            <w:shd w:val="clear" w:color="auto" w:fill="auto"/>
            <w:vAlign w:val="center"/>
            <w:hideMark/>
          </w:tcPr>
          <w:p w14:paraId="1912A0E0" w14:textId="00592500" w:rsidR="00BA6FCD" w:rsidRPr="00D6171C" w:rsidRDefault="00BA6FCD" w:rsidP="00BA6FCD">
            <w:pPr>
              <w:spacing w:line="240" w:lineRule="auto"/>
              <w:ind w:firstLine="0"/>
              <w:jc w:val="center"/>
              <w:rPr>
                <w:rFonts w:cs="Times New Roman"/>
                <w:lang w:val="en-US"/>
              </w:rPr>
            </w:pPr>
            <w:r>
              <w:rPr>
                <w:rFonts w:ascii="Calibri" w:hAnsi="Calibri" w:cs="Calibri"/>
              </w:rPr>
              <w:t> </w:t>
            </w:r>
          </w:p>
        </w:tc>
        <w:tc>
          <w:tcPr>
            <w:tcW w:w="1416" w:type="dxa"/>
            <w:tcBorders>
              <w:top w:val="nil"/>
              <w:left w:val="nil"/>
              <w:bottom w:val="single" w:sz="8" w:space="0" w:color="auto"/>
              <w:right w:val="nil"/>
            </w:tcBorders>
            <w:shd w:val="clear" w:color="auto" w:fill="auto"/>
            <w:vAlign w:val="center"/>
            <w:hideMark/>
          </w:tcPr>
          <w:p w14:paraId="7AB2649F" w14:textId="76ED26A5" w:rsidR="00BA6FCD" w:rsidRPr="00D6171C" w:rsidRDefault="00BA6FCD" w:rsidP="00BA6FCD">
            <w:pPr>
              <w:spacing w:line="240" w:lineRule="auto"/>
              <w:ind w:firstLine="0"/>
              <w:jc w:val="center"/>
              <w:rPr>
                <w:rFonts w:cs="Times New Roman"/>
                <w:lang w:val="en-US"/>
              </w:rPr>
            </w:pPr>
            <w:r>
              <w:rPr>
                <w:rFonts w:ascii="Calibri" w:hAnsi="Calibri" w:cs="Calibri"/>
              </w:rPr>
              <w:t> </w:t>
            </w:r>
          </w:p>
        </w:tc>
      </w:tr>
      <w:tr w:rsidR="00BA6FCD" w:rsidRPr="00D6171C" w14:paraId="451C3049" w14:textId="77777777" w:rsidTr="00C27D3F">
        <w:trPr>
          <w:trHeight w:val="20"/>
        </w:trPr>
        <w:tc>
          <w:tcPr>
            <w:tcW w:w="3174" w:type="dxa"/>
            <w:tcBorders>
              <w:top w:val="nil"/>
              <w:left w:val="nil"/>
              <w:bottom w:val="single" w:sz="8" w:space="0" w:color="auto"/>
              <w:right w:val="nil"/>
            </w:tcBorders>
            <w:shd w:val="clear" w:color="auto" w:fill="auto"/>
            <w:vAlign w:val="center"/>
            <w:hideMark/>
          </w:tcPr>
          <w:p w14:paraId="162D7072" w14:textId="021587CA" w:rsidR="00BA6FCD" w:rsidRPr="00D6171C" w:rsidRDefault="00BA6FCD" w:rsidP="00BA6FCD">
            <w:pPr>
              <w:spacing w:line="240" w:lineRule="auto"/>
              <w:ind w:firstLine="0"/>
              <w:jc w:val="left"/>
              <w:rPr>
                <w:rFonts w:cs="Times New Roman"/>
                <w:lang w:val="en-US"/>
              </w:rPr>
            </w:pPr>
            <w:r w:rsidRPr="005A68E6">
              <w:rPr>
                <w:lang w:val="en-US"/>
              </w:rPr>
              <w:t>E</w:t>
            </w:r>
            <w:r w:rsidRPr="005A68E6">
              <w:t>xternal loans and borrowings</w:t>
            </w:r>
          </w:p>
        </w:tc>
        <w:tc>
          <w:tcPr>
            <w:tcW w:w="1236" w:type="dxa"/>
            <w:tcBorders>
              <w:top w:val="nil"/>
              <w:left w:val="nil"/>
              <w:bottom w:val="single" w:sz="8" w:space="0" w:color="auto"/>
              <w:right w:val="double" w:sz="6" w:space="0" w:color="auto"/>
            </w:tcBorders>
            <w:shd w:val="clear" w:color="auto" w:fill="auto"/>
            <w:vAlign w:val="center"/>
            <w:hideMark/>
          </w:tcPr>
          <w:p w14:paraId="683F731E" w14:textId="77777777" w:rsidR="00BA6FCD" w:rsidRPr="00F03B7F" w:rsidRDefault="00BA6FCD" w:rsidP="00F03B7F">
            <w:pPr>
              <w:spacing w:line="240" w:lineRule="auto"/>
              <w:ind w:firstLine="0"/>
              <w:jc w:val="center"/>
              <w:rPr>
                <w:rFonts w:cs="Times New Roman"/>
              </w:rPr>
            </w:pPr>
            <w:r w:rsidRPr="00F03B7F">
              <w:rPr>
                <w:rFonts w:cs="Times New Roman"/>
              </w:rPr>
              <w:t>196.9</w:t>
            </w:r>
          </w:p>
        </w:tc>
        <w:tc>
          <w:tcPr>
            <w:tcW w:w="1416" w:type="dxa"/>
            <w:tcBorders>
              <w:top w:val="nil"/>
              <w:left w:val="nil"/>
              <w:bottom w:val="single" w:sz="8" w:space="0" w:color="auto"/>
              <w:right w:val="nil"/>
            </w:tcBorders>
            <w:shd w:val="clear" w:color="auto" w:fill="auto"/>
            <w:vAlign w:val="center"/>
            <w:hideMark/>
          </w:tcPr>
          <w:p w14:paraId="65303E75" w14:textId="3AC9F6D7" w:rsidR="00BA6FCD" w:rsidRPr="00D6171C" w:rsidRDefault="00BA6FCD" w:rsidP="00BA6FCD">
            <w:pPr>
              <w:spacing w:line="240" w:lineRule="auto"/>
              <w:ind w:firstLine="0"/>
              <w:jc w:val="left"/>
              <w:rPr>
                <w:rFonts w:cs="Times New Roman"/>
                <w:lang w:val="en-US"/>
              </w:rPr>
            </w:pPr>
            <w:r w:rsidRPr="00D6171C">
              <w:rPr>
                <w:rFonts w:cs="Times New Roman"/>
              </w:rPr>
              <w:t>362.4</w:t>
            </w:r>
          </w:p>
        </w:tc>
        <w:tc>
          <w:tcPr>
            <w:tcW w:w="1326" w:type="dxa"/>
            <w:tcBorders>
              <w:top w:val="nil"/>
              <w:left w:val="nil"/>
              <w:bottom w:val="single" w:sz="8" w:space="0" w:color="auto"/>
              <w:right w:val="nil"/>
            </w:tcBorders>
            <w:shd w:val="clear" w:color="auto" w:fill="auto"/>
            <w:vAlign w:val="center"/>
            <w:hideMark/>
          </w:tcPr>
          <w:p w14:paraId="06D8F250" w14:textId="6C237495" w:rsidR="00BA6FCD" w:rsidRPr="00F03B7F" w:rsidRDefault="00BA6FCD" w:rsidP="00F03B7F">
            <w:pPr>
              <w:spacing w:line="240" w:lineRule="auto"/>
              <w:ind w:firstLine="0"/>
              <w:jc w:val="center"/>
            </w:pPr>
            <w:r>
              <w:t>445.5</w:t>
            </w:r>
          </w:p>
        </w:tc>
        <w:tc>
          <w:tcPr>
            <w:tcW w:w="1326" w:type="dxa"/>
            <w:tcBorders>
              <w:top w:val="nil"/>
              <w:left w:val="nil"/>
              <w:bottom w:val="single" w:sz="8" w:space="0" w:color="auto"/>
              <w:right w:val="nil"/>
            </w:tcBorders>
            <w:shd w:val="clear" w:color="auto" w:fill="auto"/>
            <w:vAlign w:val="center"/>
            <w:hideMark/>
          </w:tcPr>
          <w:p w14:paraId="4BD49871" w14:textId="50CB0149" w:rsidR="00BA6FCD" w:rsidRPr="00F03B7F" w:rsidRDefault="00BA6FCD" w:rsidP="00F03B7F">
            <w:pPr>
              <w:spacing w:line="240" w:lineRule="auto"/>
              <w:ind w:firstLine="0"/>
              <w:jc w:val="center"/>
            </w:pPr>
            <w:r>
              <w:t>386.6</w:t>
            </w:r>
          </w:p>
        </w:tc>
        <w:tc>
          <w:tcPr>
            <w:tcW w:w="1416" w:type="dxa"/>
            <w:tcBorders>
              <w:top w:val="nil"/>
              <w:left w:val="nil"/>
              <w:bottom w:val="single" w:sz="8" w:space="0" w:color="auto"/>
              <w:right w:val="nil"/>
            </w:tcBorders>
            <w:shd w:val="clear" w:color="auto" w:fill="auto"/>
            <w:vAlign w:val="center"/>
            <w:hideMark/>
          </w:tcPr>
          <w:p w14:paraId="35E8F56D" w14:textId="08EFE531" w:rsidR="00BA6FCD" w:rsidRPr="00F03B7F" w:rsidRDefault="00BA6FCD" w:rsidP="00F03B7F">
            <w:pPr>
              <w:spacing w:line="240" w:lineRule="auto"/>
              <w:ind w:firstLine="0"/>
              <w:jc w:val="center"/>
            </w:pPr>
            <w:r>
              <w:t>434.7</w:t>
            </w:r>
          </w:p>
        </w:tc>
      </w:tr>
      <w:tr w:rsidR="00BA6FCD" w:rsidRPr="00D6171C" w14:paraId="23D83E23" w14:textId="77777777" w:rsidTr="00C27D3F">
        <w:trPr>
          <w:trHeight w:val="20"/>
        </w:trPr>
        <w:tc>
          <w:tcPr>
            <w:tcW w:w="3174" w:type="dxa"/>
            <w:tcBorders>
              <w:top w:val="nil"/>
              <w:left w:val="nil"/>
              <w:bottom w:val="single" w:sz="8" w:space="0" w:color="auto"/>
              <w:right w:val="nil"/>
            </w:tcBorders>
            <w:shd w:val="clear" w:color="auto" w:fill="auto"/>
            <w:vAlign w:val="center"/>
          </w:tcPr>
          <w:p w14:paraId="296CC2B5" w14:textId="610988BA" w:rsidR="00BA6FCD" w:rsidRPr="00FA1B99" w:rsidRDefault="00BA6FCD" w:rsidP="00FA1B99">
            <w:pPr>
              <w:spacing w:line="240" w:lineRule="auto"/>
              <w:ind w:firstLine="0"/>
              <w:jc w:val="left"/>
              <w:rPr>
                <w:lang w:val="en-US"/>
              </w:rPr>
            </w:pPr>
            <w:r w:rsidRPr="005A68E6">
              <w:t>Government</w:t>
            </w:r>
            <w:r w:rsidRPr="005A68E6">
              <w:rPr>
                <w:lang w:val="en-US"/>
              </w:rPr>
              <w:t xml:space="preserve"> </w:t>
            </w:r>
            <w:r w:rsidR="00FA1B99">
              <w:rPr>
                <w:lang w:val="en-US"/>
              </w:rPr>
              <w:t>Treasury Bonds</w:t>
            </w:r>
          </w:p>
        </w:tc>
        <w:tc>
          <w:tcPr>
            <w:tcW w:w="1236" w:type="dxa"/>
            <w:tcBorders>
              <w:top w:val="nil"/>
              <w:left w:val="nil"/>
              <w:bottom w:val="single" w:sz="8" w:space="0" w:color="auto"/>
              <w:right w:val="double" w:sz="6" w:space="0" w:color="auto"/>
            </w:tcBorders>
            <w:shd w:val="clear" w:color="auto" w:fill="auto"/>
            <w:vAlign w:val="center"/>
          </w:tcPr>
          <w:p w14:paraId="4C766AFA" w14:textId="1A737F2D" w:rsidR="00BA6FCD" w:rsidRPr="00F03B7F" w:rsidRDefault="00BA6FCD" w:rsidP="00F03B7F">
            <w:pPr>
              <w:spacing w:line="240" w:lineRule="auto"/>
              <w:ind w:firstLine="0"/>
              <w:jc w:val="center"/>
              <w:rPr>
                <w:rFonts w:cs="Times New Roman"/>
              </w:rPr>
            </w:pPr>
            <w:r w:rsidRPr="00F03B7F">
              <w:rPr>
                <w:rFonts w:cs="Times New Roman"/>
              </w:rPr>
              <w:t>654.2</w:t>
            </w:r>
          </w:p>
        </w:tc>
        <w:tc>
          <w:tcPr>
            <w:tcW w:w="1416" w:type="dxa"/>
            <w:tcBorders>
              <w:top w:val="nil"/>
              <w:left w:val="nil"/>
              <w:bottom w:val="single" w:sz="8" w:space="0" w:color="auto"/>
              <w:right w:val="nil"/>
            </w:tcBorders>
            <w:shd w:val="clear" w:color="auto" w:fill="auto"/>
            <w:vAlign w:val="center"/>
          </w:tcPr>
          <w:p w14:paraId="75F2CEC3" w14:textId="5BE2AAA0" w:rsidR="00BA6FCD" w:rsidRPr="00D6171C" w:rsidRDefault="00BA6FCD" w:rsidP="00BA6FCD">
            <w:pPr>
              <w:spacing w:line="240" w:lineRule="auto"/>
              <w:ind w:firstLine="0"/>
              <w:jc w:val="left"/>
              <w:rPr>
                <w:rFonts w:cs="Times New Roman"/>
              </w:rPr>
            </w:pPr>
            <w:r w:rsidRPr="00D6171C">
              <w:rPr>
                <w:rFonts w:cs="Times New Roman"/>
              </w:rPr>
              <w:t>699.9</w:t>
            </w:r>
          </w:p>
        </w:tc>
        <w:tc>
          <w:tcPr>
            <w:tcW w:w="1326" w:type="dxa"/>
            <w:tcBorders>
              <w:top w:val="nil"/>
              <w:left w:val="nil"/>
              <w:bottom w:val="single" w:sz="8" w:space="0" w:color="auto"/>
              <w:right w:val="nil"/>
            </w:tcBorders>
            <w:shd w:val="clear" w:color="auto" w:fill="auto"/>
            <w:vAlign w:val="center"/>
          </w:tcPr>
          <w:p w14:paraId="7EF2F5CA" w14:textId="21B8AEB1" w:rsidR="00BA6FCD" w:rsidRDefault="00BA6FCD" w:rsidP="00F03B7F">
            <w:pPr>
              <w:spacing w:line="240" w:lineRule="auto"/>
              <w:ind w:firstLine="0"/>
              <w:jc w:val="center"/>
            </w:pPr>
            <w:r>
              <w:t>775.4</w:t>
            </w:r>
          </w:p>
        </w:tc>
        <w:tc>
          <w:tcPr>
            <w:tcW w:w="1326" w:type="dxa"/>
            <w:tcBorders>
              <w:top w:val="nil"/>
              <w:left w:val="nil"/>
              <w:bottom w:val="single" w:sz="8" w:space="0" w:color="auto"/>
              <w:right w:val="nil"/>
            </w:tcBorders>
            <w:shd w:val="clear" w:color="auto" w:fill="auto"/>
            <w:vAlign w:val="center"/>
          </w:tcPr>
          <w:p w14:paraId="49CC3666" w14:textId="45128BBA" w:rsidR="00BA6FCD" w:rsidRDefault="00BA6FCD" w:rsidP="00F03B7F">
            <w:pPr>
              <w:spacing w:line="240" w:lineRule="auto"/>
              <w:ind w:firstLine="0"/>
              <w:jc w:val="center"/>
            </w:pPr>
            <w:r>
              <w:t>773.8</w:t>
            </w:r>
          </w:p>
        </w:tc>
        <w:tc>
          <w:tcPr>
            <w:tcW w:w="1416" w:type="dxa"/>
            <w:tcBorders>
              <w:top w:val="nil"/>
              <w:left w:val="nil"/>
              <w:bottom w:val="single" w:sz="8" w:space="0" w:color="auto"/>
              <w:right w:val="nil"/>
            </w:tcBorders>
            <w:shd w:val="clear" w:color="auto" w:fill="auto"/>
            <w:vAlign w:val="center"/>
          </w:tcPr>
          <w:p w14:paraId="3A4FD62D" w14:textId="738726B9" w:rsidR="00BA6FCD" w:rsidRDefault="00BA6FCD" w:rsidP="00F03B7F">
            <w:pPr>
              <w:spacing w:line="240" w:lineRule="auto"/>
              <w:ind w:firstLine="0"/>
              <w:jc w:val="center"/>
            </w:pPr>
            <w:r>
              <w:t>773.8</w:t>
            </w:r>
          </w:p>
        </w:tc>
      </w:tr>
      <w:tr w:rsidR="00BA6FCD" w:rsidRPr="00D6171C" w14:paraId="79CC856A" w14:textId="77777777" w:rsidTr="00C27D3F">
        <w:trPr>
          <w:trHeight w:val="20"/>
        </w:trPr>
        <w:tc>
          <w:tcPr>
            <w:tcW w:w="3174" w:type="dxa"/>
            <w:tcBorders>
              <w:top w:val="nil"/>
              <w:left w:val="nil"/>
              <w:bottom w:val="double" w:sz="6" w:space="0" w:color="auto"/>
              <w:right w:val="nil"/>
            </w:tcBorders>
            <w:shd w:val="clear" w:color="auto" w:fill="auto"/>
            <w:vAlign w:val="center"/>
            <w:hideMark/>
          </w:tcPr>
          <w:p w14:paraId="49A7AEE8" w14:textId="404C06DA" w:rsidR="00BA6FCD" w:rsidRPr="00D6171C" w:rsidRDefault="00BA6FCD" w:rsidP="00BA6FCD">
            <w:pPr>
              <w:spacing w:line="240" w:lineRule="auto"/>
              <w:ind w:firstLine="0"/>
              <w:jc w:val="left"/>
              <w:rPr>
                <w:rFonts w:cs="Times New Roman"/>
                <w:lang w:val="en-US"/>
              </w:rPr>
            </w:pPr>
            <w:r w:rsidRPr="005A68E6">
              <w:rPr>
                <w:lang w:val="en-US"/>
              </w:rPr>
              <w:t>F</w:t>
            </w:r>
            <w:r w:rsidRPr="005A68E6">
              <w:t>oreign currency bonds</w:t>
            </w:r>
          </w:p>
        </w:tc>
        <w:tc>
          <w:tcPr>
            <w:tcW w:w="1236" w:type="dxa"/>
            <w:tcBorders>
              <w:top w:val="nil"/>
              <w:left w:val="nil"/>
              <w:bottom w:val="double" w:sz="6" w:space="0" w:color="auto"/>
              <w:right w:val="double" w:sz="6" w:space="0" w:color="auto"/>
            </w:tcBorders>
            <w:shd w:val="clear" w:color="auto" w:fill="auto"/>
            <w:vAlign w:val="center"/>
            <w:hideMark/>
          </w:tcPr>
          <w:p w14:paraId="40EDD1F3" w14:textId="1F3E2B77" w:rsidR="00BA6FCD" w:rsidRPr="00F03B7F" w:rsidRDefault="00BA6FCD" w:rsidP="00F03B7F">
            <w:pPr>
              <w:spacing w:line="240" w:lineRule="auto"/>
              <w:ind w:firstLine="0"/>
              <w:jc w:val="center"/>
              <w:rPr>
                <w:rFonts w:cs="Times New Roman"/>
              </w:rPr>
            </w:pPr>
            <w:r w:rsidRPr="00F03B7F">
              <w:rPr>
                <w:rFonts w:cs="Times New Roman"/>
              </w:rPr>
              <w:t>-</w:t>
            </w:r>
          </w:p>
        </w:tc>
        <w:tc>
          <w:tcPr>
            <w:tcW w:w="1416" w:type="dxa"/>
            <w:tcBorders>
              <w:top w:val="nil"/>
              <w:left w:val="nil"/>
              <w:bottom w:val="double" w:sz="6" w:space="0" w:color="auto"/>
              <w:right w:val="nil"/>
            </w:tcBorders>
            <w:shd w:val="clear" w:color="auto" w:fill="auto"/>
            <w:vAlign w:val="center"/>
            <w:hideMark/>
          </w:tcPr>
          <w:p w14:paraId="7E9C1EAE" w14:textId="05E11C04" w:rsidR="00BA6FCD" w:rsidRPr="00D6171C" w:rsidRDefault="00BA6FCD" w:rsidP="00BA6FCD">
            <w:pPr>
              <w:spacing w:line="240" w:lineRule="auto"/>
              <w:ind w:firstLine="0"/>
              <w:jc w:val="left"/>
              <w:rPr>
                <w:rFonts w:cs="Times New Roman"/>
                <w:lang w:val="en-US"/>
              </w:rPr>
            </w:pPr>
            <w:r w:rsidRPr="00D6171C">
              <w:rPr>
                <w:rFonts w:cs="Times New Roman"/>
                <w:lang w:val="en-US"/>
              </w:rPr>
              <w:t>287.4</w:t>
            </w:r>
          </w:p>
        </w:tc>
        <w:tc>
          <w:tcPr>
            <w:tcW w:w="1326" w:type="dxa"/>
            <w:tcBorders>
              <w:top w:val="nil"/>
              <w:left w:val="nil"/>
              <w:bottom w:val="double" w:sz="6" w:space="0" w:color="auto"/>
              <w:right w:val="nil"/>
            </w:tcBorders>
            <w:shd w:val="clear" w:color="auto" w:fill="auto"/>
            <w:vAlign w:val="center"/>
            <w:hideMark/>
          </w:tcPr>
          <w:p w14:paraId="4651FD62" w14:textId="2C7606D5" w:rsidR="00BA6FCD" w:rsidRPr="00F03B7F" w:rsidRDefault="00BA6FCD" w:rsidP="00F03B7F">
            <w:pPr>
              <w:spacing w:line="240" w:lineRule="auto"/>
              <w:ind w:firstLine="0"/>
              <w:jc w:val="center"/>
            </w:pPr>
            <w:r>
              <w:t>-</w:t>
            </w:r>
          </w:p>
        </w:tc>
        <w:tc>
          <w:tcPr>
            <w:tcW w:w="1326" w:type="dxa"/>
            <w:tcBorders>
              <w:top w:val="nil"/>
              <w:left w:val="nil"/>
              <w:bottom w:val="double" w:sz="6" w:space="0" w:color="auto"/>
              <w:right w:val="nil"/>
            </w:tcBorders>
            <w:shd w:val="clear" w:color="auto" w:fill="auto"/>
            <w:vAlign w:val="center"/>
            <w:hideMark/>
          </w:tcPr>
          <w:p w14:paraId="52728253" w14:textId="249E494C" w:rsidR="00BA6FCD" w:rsidRPr="00F03B7F" w:rsidRDefault="00BA6FCD" w:rsidP="00F03B7F">
            <w:pPr>
              <w:spacing w:line="240" w:lineRule="auto"/>
              <w:ind w:firstLine="0"/>
              <w:jc w:val="center"/>
            </w:pPr>
            <w:r>
              <w:t>-</w:t>
            </w:r>
          </w:p>
        </w:tc>
        <w:tc>
          <w:tcPr>
            <w:tcW w:w="1416" w:type="dxa"/>
            <w:tcBorders>
              <w:top w:val="nil"/>
              <w:left w:val="nil"/>
              <w:bottom w:val="double" w:sz="6" w:space="0" w:color="auto"/>
              <w:right w:val="nil"/>
            </w:tcBorders>
            <w:shd w:val="clear" w:color="auto" w:fill="auto"/>
            <w:vAlign w:val="center"/>
            <w:hideMark/>
          </w:tcPr>
          <w:p w14:paraId="0DFE8F4F" w14:textId="197AE8C3" w:rsidR="00BA6FCD" w:rsidRPr="00F03B7F" w:rsidRDefault="00BA6FCD" w:rsidP="00F03B7F">
            <w:pPr>
              <w:spacing w:line="240" w:lineRule="auto"/>
              <w:ind w:firstLine="0"/>
              <w:jc w:val="center"/>
            </w:pPr>
            <w:r>
              <w:t>-</w:t>
            </w:r>
          </w:p>
        </w:tc>
      </w:tr>
    </w:tbl>
    <w:p w14:paraId="5C5B0314" w14:textId="05F222B7" w:rsidR="00D6171C" w:rsidRPr="00662CCC" w:rsidRDefault="00662CCC" w:rsidP="00662CCC">
      <w:pPr>
        <w:spacing w:before="120"/>
        <w:rPr>
          <w:lang w:val="en-US"/>
        </w:rPr>
      </w:pPr>
      <w:r w:rsidRPr="005A68E6">
        <w:rPr>
          <w:sz w:val="16"/>
          <w:lang w:val="en-US"/>
        </w:rPr>
        <w:t>Source: RA MoF calculations and forecasts</w:t>
      </w:r>
    </w:p>
    <w:p w14:paraId="37EC4EC0" w14:textId="44072C0C" w:rsidR="00936BDE" w:rsidRPr="000271C1" w:rsidRDefault="000B7871" w:rsidP="000B7871">
      <w:pPr>
        <w:pStyle w:val="af6"/>
        <w:numPr>
          <w:ilvl w:val="0"/>
          <w:numId w:val="18"/>
        </w:numPr>
        <w:ind w:left="1276" w:hanging="1276"/>
      </w:pPr>
      <w:r>
        <w:rPr>
          <w:lang w:val="en-US"/>
        </w:rPr>
        <w:t>Financing through foreign currency net borrowings for 2024-2028 (USD million)</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353"/>
        <w:gridCol w:w="1248"/>
        <w:gridCol w:w="1155"/>
        <w:gridCol w:w="1062"/>
        <w:gridCol w:w="1113"/>
      </w:tblGrid>
      <w:tr w:rsidR="003930B0" w:rsidRPr="000271C1" w14:paraId="02303B1A" w14:textId="77777777" w:rsidTr="00FF33C7">
        <w:trPr>
          <w:trHeight w:val="793"/>
          <w:tblHeader/>
          <w:jc w:val="center"/>
        </w:trPr>
        <w:tc>
          <w:tcPr>
            <w:tcW w:w="3969" w:type="dxa"/>
            <w:tcBorders>
              <w:top w:val="thinThickThinSmallGap" w:sz="24" w:space="0" w:color="auto"/>
              <w:left w:val="nil"/>
              <w:bottom w:val="thinThickSmallGap" w:sz="24" w:space="0" w:color="auto"/>
              <w:right w:val="nil"/>
            </w:tcBorders>
            <w:shd w:val="clear" w:color="auto" w:fill="5B9BD5"/>
            <w:vAlign w:val="center"/>
          </w:tcPr>
          <w:p w14:paraId="7F95F908" w14:textId="77777777" w:rsidR="003930B0" w:rsidRPr="000271C1" w:rsidRDefault="003930B0" w:rsidP="003930B0">
            <w:pPr>
              <w:ind w:firstLine="94"/>
              <w:jc w:val="center"/>
            </w:pPr>
          </w:p>
        </w:tc>
        <w:tc>
          <w:tcPr>
            <w:tcW w:w="1353" w:type="dxa"/>
            <w:tcBorders>
              <w:top w:val="thinThickThinSmallGap" w:sz="24" w:space="0" w:color="auto"/>
              <w:left w:val="nil"/>
              <w:bottom w:val="thinThickSmallGap" w:sz="24" w:space="0" w:color="auto"/>
              <w:right w:val="double" w:sz="4" w:space="0" w:color="auto"/>
            </w:tcBorders>
            <w:shd w:val="clear" w:color="auto" w:fill="5B9BD5"/>
            <w:vAlign w:val="center"/>
          </w:tcPr>
          <w:p w14:paraId="377FAD94" w14:textId="6EC97D23" w:rsidR="003930B0" w:rsidRPr="000271C1" w:rsidRDefault="003930B0" w:rsidP="003930B0">
            <w:pPr>
              <w:spacing w:line="240" w:lineRule="auto"/>
              <w:ind w:firstLine="94"/>
              <w:jc w:val="center"/>
            </w:pPr>
            <w:r w:rsidRPr="00D6171C">
              <w:rPr>
                <w:rFonts w:cs="Times New Roman"/>
              </w:rPr>
              <w:t xml:space="preserve">2024 </w:t>
            </w:r>
            <w:r w:rsidRPr="005A68E6">
              <w:rPr>
                <w:lang w:val="en-US"/>
              </w:rPr>
              <w:t>actual</w:t>
            </w:r>
          </w:p>
        </w:tc>
        <w:tc>
          <w:tcPr>
            <w:tcW w:w="1248" w:type="dxa"/>
            <w:tcBorders>
              <w:top w:val="thinThickThinSmallGap" w:sz="24" w:space="0" w:color="auto"/>
              <w:left w:val="double" w:sz="4" w:space="0" w:color="auto"/>
              <w:bottom w:val="thinThickSmallGap" w:sz="24" w:space="0" w:color="auto"/>
              <w:right w:val="nil"/>
            </w:tcBorders>
            <w:shd w:val="clear" w:color="auto" w:fill="5B9BD5"/>
            <w:vAlign w:val="center"/>
          </w:tcPr>
          <w:p w14:paraId="3832E267" w14:textId="261C1892" w:rsidR="003930B0" w:rsidRPr="00581010" w:rsidRDefault="003930B0" w:rsidP="003930B0">
            <w:pPr>
              <w:spacing w:line="240" w:lineRule="auto"/>
              <w:ind w:firstLine="94"/>
              <w:jc w:val="center"/>
              <w:rPr>
                <w:lang w:val="en-US"/>
              </w:rPr>
            </w:pPr>
            <w:r w:rsidRPr="00D6171C">
              <w:rPr>
                <w:rFonts w:cs="Times New Roman"/>
              </w:rPr>
              <w:t xml:space="preserve">2025 </w:t>
            </w:r>
            <w:r w:rsidRPr="005A68E6">
              <w:t>forecast</w:t>
            </w:r>
          </w:p>
        </w:tc>
        <w:tc>
          <w:tcPr>
            <w:tcW w:w="1155" w:type="dxa"/>
            <w:tcBorders>
              <w:top w:val="thinThickThinSmallGap" w:sz="24" w:space="0" w:color="auto"/>
              <w:left w:val="nil"/>
              <w:bottom w:val="thinThickSmallGap" w:sz="24" w:space="0" w:color="auto"/>
              <w:right w:val="nil"/>
            </w:tcBorders>
            <w:shd w:val="clear" w:color="auto" w:fill="5B9BD5"/>
            <w:vAlign w:val="center"/>
          </w:tcPr>
          <w:p w14:paraId="132468E1" w14:textId="2EBC2418" w:rsidR="003930B0" w:rsidRPr="000271C1" w:rsidRDefault="003930B0" w:rsidP="003930B0">
            <w:pPr>
              <w:spacing w:line="240" w:lineRule="auto"/>
              <w:ind w:firstLine="94"/>
              <w:jc w:val="center"/>
            </w:pPr>
            <w:r w:rsidRPr="00D6171C">
              <w:rPr>
                <w:rFonts w:cs="Times New Roman"/>
              </w:rPr>
              <w:t xml:space="preserve">2026 </w:t>
            </w:r>
            <w:r w:rsidRPr="005A68E6">
              <w:t>forecast</w:t>
            </w:r>
          </w:p>
        </w:tc>
        <w:tc>
          <w:tcPr>
            <w:tcW w:w="1062" w:type="dxa"/>
            <w:tcBorders>
              <w:top w:val="thinThickThinSmallGap" w:sz="24" w:space="0" w:color="auto"/>
              <w:left w:val="nil"/>
              <w:bottom w:val="thinThickSmallGap" w:sz="24" w:space="0" w:color="auto"/>
              <w:right w:val="nil"/>
            </w:tcBorders>
            <w:shd w:val="clear" w:color="auto" w:fill="5B9BD5"/>
            <w:vAlign w:val="center"/>
          </w:tcPr>
          <w:p w14:paraId="76D842F2" w14:textId="5470D7D6" w:rsidR="003930B0" w:rsidRPr="000271C1" w:rsidRDefault="003930B0" w:rsidP="003930B0">
            <w:pPr>
              <w:spacing w:line="240" w:lineRule="auto"/>
              <w:ind w:firstLine="94"/>
              <w:jc w:val="center"/>
            </w:pPr>
            <w:r w:rsidRPr="00D6171C">
              <w:rPr>
                <w:rFonts w:cs="Times New Roman"/>
              </w:rPr>
              <w:t xml:space="preserve">2027 </w:t>
            </w:r>
            <w:r w:rsidRPr="005A68E6">
              <w:t>forecast</w:t>
            </w:r>
          </w:p>
        </w:tc>
        <w:tc>
          <w:tcPr>
            <w:tcW w:w="1113" w:type="dxa"/>
            <w:tcBorders>
              <w:top w:val="thinThickThinSmallGap" w:sz="24" w:space="0" w:color="auto"/>
              <w:left w:val="nil"/>
              <w:bottom w:val="thinThickSmallGap" w:sz="24" w:space="0" w:color="auto"/>
              <w:right w:val="nil"/>
            </w:tcBorders>
            <w:shd w:val="clear" w:color="auto" w:fill="5B9BD5"/>
            <w:vAlign w:val="center"/>
          </w:tcPr>
          <w:p w14:paraId="618D3B7E" w14:textId="2C64EB61" w:rsidR="003930B0" w:rsidRPr="000271C1" w:rsidRDefault="003930B0" w:rsidP="003930B0">
            <w:pPr>
              <w:spacing w:line="240" w:lineRule="auto"/>
              <w:ind w:firstLine="94"/>
              <w:jc w:val="center"/>
            </w:pPr>
            <w:r w:rsidRPr="00D6171C">
              <w:rPr>
                <w:rFonts w:cs="Times New Roman"/>
              </w:rPr>
              <w:t>20</w:t>
            </w:r>
            <w:r>
              <w:rPr>
                <w:rFonts w:cs="Times New Roman"/>
                <w:lang w:val="en-US"/>
              </w:rPr>
              <w:t>28</w:t>
            </w:r>
            <w:r w:rsidRPr="00D6171C">
              <w:rPr>
                <w:rFonts w:cs="Times New Roman"/>
              </w:rPr>
              <w:t xml:space="preserve"> </w:t>
            </w:r>
            <w:r w:rsidRPr="005A68E6">
              <w:t>forecast</w:t>
            </w:r>
          </w:p>
        </w:tc>
      </w:tr>
      <w:tr w:rsidR="00983F89" w:rsidRPr="00E06CCC" w14:paraId="4CE500A6" w14:textId="77777777" w:rsidTr="00FF33C7">
        <w:trPr>
          <w:trHeight w:val="585"/>
          <w:jc w:val="center"/>
        </w:trPr>
        <w:tc>
          <w:tcPr>
            <w:tcW w:w="3969" w:type="dxa"/>
            <w:tcBorders>
              <w:top w:val="thinThickSmallGap" w:sz="24" w:space="0" w:color="auto"/>
              <w:left w:val="nil"/>
              <w:right w:val="nil"/>
            </w:tcBorders>
            <w:vAlign w:val="center"/>
          </w:tcPr>
          <w:p w14:paraId="0F57FE42" w14:textId="5DF3E7E2" w:rsidR="00983F89" w:rsidRPr="000271C1" w:rsidRDefault="003930B0" w:rsidP="003930B0">
            <w:pPr>
              <w:spacing w:line="240" w:lineRule="auto"/>
              <w:ind w:firstLine="94"/>
            </w:pPr>
            <w:r>
              <w:rPr>
                <w:lang w:val="en-US"/>
              </w:rPr>
              <w:t>Total financing</w:t>
            </w:r>
          </w:p>
        </w:tc>
        <w:tc>
          <w:tcPr>
            <w:tcW w:w="1353" w:type="dxa"/>
            <w:tcBorders>
              <w:top w:val="thinThickSmallGap" w:sz="24" w:space="0" w:color="auto"/>
              <w:left w:val="nil"/>
              <w:right w:val="double" w:sz="4" w:space="0" w:color="auto"/>
            </w:tcBorders>
            <w:vAlign w:val="center"/>
          </w:tcPr>
          <w:p w14:paraId="3DC1EB18" w14:textId="5AA44D2F" w:rsidR="00983F89" w:rsidRPr="00A33E99" w:rsidRDefault="00983F89" w:rsidP="00983F89">
            <w:pPr>
              <w:ind w:firstLine="94"/>
              <w:jc w:val="center"/>
              <w:rPr>
                <w:lang w:val="en-US"/>
              </w:rPr>
            </w:pPr>
            <w:r>
              <w:rPr>
                <w:lang w:val="en-US"/>
              </w:rPr>
              <w:t>504.1</w:t>
            </w:r>
          </w:p>
        </w:tc>
        <w:tc>
          <w:tcPr>
            <w:tcW w:w="1248" w:type="dxa"/>
            <w:tcBorders>
              <w:top w:val="thinThickSmallGap" w:sz="24" w:space="0" w:color="auto"/>
              <w:left w:val="double" w:sz="4" w:space="0" w:color="auto"/>
              <w:right w:val="nil"/>
            </w:tcBorders>
            <w:vAlign w:val="center"/>
          </w:tcPr>
          <w:p w14:paraId="5364BC47" w14:textId="5EBD113F" w:rsidR="00983F89" w:rsidRPr="00CB3080" w:rsidRDefault="00983F89" w:rsidP="00983F89">
            <w:pPr>
              <w:ind w:firstLine="94"/>
              <w:jc w:val="center"/>
            </w:pPr>
            <w:r>
              <w:t xml:space="preserve"> 1,667.5   </w:t>
            </w:r>
          </w:p>
        </w:tc>
        <w:tc>
          <w:tcPr>
            <w:tcW w:w="1155" w:type="dxa"/>
            <w:tcBorders>
              <w:top w:val="thinThickSmallGap" w:sz="24" w:space="0" w:color="auto"/>
              <w:left w:val="nil"/>
              <w:right w:val="nil"/>
            </w:tcBorders>
            <w:vAlign w:val="center"/>
          </w:tcPr>
          <w:p w14:paraId="5A97D159" w14:textId="6D0B34E3" w:rsidR="00983F89" w:rsidRPr="00E06CCC" w:rsidRDefault="00983F89" w:rsidP="00983F89">
            <w:pPr>
              <w:ind w:firstLine="94"/>
              <w:jc w:val="center"/>
              <w:rPr>
                <w:color w:val="FF0000"/>
                <w:lang w:val="en-US"/>
              </w:rPr>
            </w:pPr>
            <w:r>
              <w:t>1,122.2</w:t>
            </w:r>
          </w:p>
        </w:tc>
        <w:tc>
          <w:tcPr>
            <w:tcW w:w="1062" w:type="dxa"/>
            <w:tcBorders>
              <w:top w:val="thinThickSmallGap" w:sz="24" w:space="0" w:color="auto"/>
              <w:left w:val="nil"/>
              <w:right w:val="nil"/>
            </w:tcBorders>
            <w:vAlign w:val="center"/>
          </w:tcPr>
          <w:p w14:paraId="0D473035" w14:textId="2513F918" w:rsidR="00983F89" w:rsidRPr="00D93536" w:rsidRDefault="00983F89" w:rsidP="00983F89">
            <w:pPr>
              <w:ind w:firstLine="94"/>
              <w:jc w:val="center"/>
            </w:pPr>
            <w:r>
              <w:t>973.9</w:t>
            </w:r>
          </w:p>
        </w:tc>
        <w:tc>
          <w:tcPr>
            <w:tcW w:w="1113" w:type="dxa"/>
            <w:tcBorders>
              <w:top w:val="thinThickSmallGap" w:sz="24" w:space="0" w:color="auto"/>
              <w:left w:val="nil"/>
              <w:right w:val="nil"/>
            </w:tcBorders>
            <w:vAlign w:val="center"/>
          </w:tcPr>
          <w:p w14:paraId="7F1111CE" w14:textId="00D0AA0D" w:rsidR="00983F89" w:rsidRPr="00D93536" w:rsidRDefault="00983F89" w:rsidP="00983F89">
            <w:pPr>
              <w:ind w:firstLine="94"/>
              <w:jc w:val="center"/>
            </w:pPr>
            <w:r>
              <w:t>1,095.0</w:t>
            </w:r>
          </w:p>
        </w:tc>
      </w:tr>
      <w:tr w:rsidR="00983F89" w:rsidRPr="00E06CCC" w14:paraId="1EA85081" w14:textId="77777777" w:rsidTr="0014286E">
        <w:trPr>
          <w:trHeight w:val="404"/>
          <w:jc w:val="center"/>
        </w:trPr>
        <w:tc>
          <w:tcPr>
            <w:tcW w:w="3969" w:type="dxa"/>
            <w:tcBorders>
              <w:left w:val="nil"/>
              <w:right w:val="nil"/>
            </w:tcBorders>
            <w:vAlign w:val="center"/>
          </w:tcPr>
          <w:p w14:paraId="0856C10A" w14:textId="2D1D984B" w:rsidR="00983F89" w:rsidRPr="00EB7196" w:rsidRDefault="003930B0" w:rsidP="003930B0">
            <w:pPr>
              <w:spacing w:line="240" w:lineRule="auto"/>
              <w:ind w:firstLine="0"/>
            </w:pPr>
            <w:r w:rsidRPr="005A68E6">
              <w:rPr>
                <w:lang w:val="en-US"/>
              </w:rPr>
              <w:t>of which:</w:t>
            </w:r>
          </w:p>
        </w:tc>
        <w:tc>
          <w:tcPr>
            <w:tcW w:w="1353" w:type="dxa"/>
            <w:tcBorders>
              <w:left w:val="nil"/>
              <w:right w:val="double" w:sz="4" w:space="0" w:color="auto"/>
            </w:tcBorders>
            <w:vAlign w:val="center"/>
          </w:tcPr>
          <w:p w14:paraId="03386338" w14:textId="77777777" w:rsidR="00983F89" w:rsidRPr="00583F52" w:rsidRDefault="00983F89" w:rsidP="00983F89">
            <w:pPr>
              <w:ind w:firstLine="94"/>
              <w:jc w:val="center"/>
            </w:pPr>
          </w:p>
        </w:tc>
        <w:tc>
          <w:tcPr>
            <w:tcW w:w="1248" w:type="dxa"/>
            <w:tcBorders>
              <w:left w:val="double" w:sz="4" w:space="0" w:color="auto"/>
              <w:right w:val="nil"/>
            </w:tcBorders>
            <w:vAlign w:val="center"/>
          </w:tcPr>
          <w:p w14:paraId="254312DE" w14:textId="60186BB8" w:rsidR="00983F89" w:rsidRPr="00583F52" w:rsidRDefault="00983F89" w:rsidP="00983F89">
            <w:pPr>
              <w:ind w:firstLine="94"/>
              <w:jc w:val="center"/>
            </w:pPr>
            <w:r>
              <w:rPr>
                <w:rFonts w:ascii="Calibri" w:hAnsi="Calibri" w:cs="Calibri"/>
              </w:rPr>
              <w:t> </w:t>
            </w:r>
          </w:p>
        </w:tc>
        <w:tc>
          <w:tcPr>
            <w:tcW w:w="1155" w:type="dxa"/>
            <w:tcBorders>
              <w:left w:val="nil"/>
              <w:right w:val="nil"/>
            </w:tcBorders>
            <w:vAlign w:val="center"/>
          </w:tcPr>
          <w:p w14:paraId="193798FB" w14:textId="23E95820" w:rsidR="00983F89" w:rsidRPr="00583F52" w:rsidRDefault="00983F89" w:rsidP="00983F89">
            <w:pPr>
              <w:ind w:firstLine="94"/>
              <w:jc w:val="center"/>
            </w:pPr>
            <w:r>
              <w:rPr>
                <w:rFonts w:ascii="Calibri" w:hAnsi="Calibri" w:cs="Calibri"/>
              </w:rPr>
              <w:t> </w:t>
            </w:r>
          </w:p>
        </w:tc>
        <w:tc>
          <w:tcPr>
            <w:tcW w:w="1062" w:type="dxa"/>
            <w:tcBorders>
              <w:left w:val="nil"/>
              <w:right w:val="nil"/>
            </w:tcBorders>
            <w:vAlign w:val="center"/>
          </w:tcPr>
          <w:p w14:paraId="04F4A6DC" w14:textId="49E6803E" w:rsidR="00983F89" w:rsidRPr="00583F52" w:rsidRDefault="00983F89" w:rsidP="00983F89">
            <w:pPr>
              <w:ind w:firstLine="94"/>
              <w:jc w:val="center"/>
            </w:pPr>
            <w:r>
              <w:rPr>
                <w:rFonts w:ascii="Calibri" w:hAnsi="Calibri" w:cs="Calibri"/>
              </w:rPr>
              <w:t> </w:t>
            </w:r>
          </w:p>
        </w:tc>
        <w:tc>
          <w:tcPr>
            <w:tcW w:w="1113" w:type="dxa"/>
            <w:tcBorders>
              <w:left w:val="nil"/>
              <w:right w:val="nil"/>
            </w:tcBorders>
            <w:vAlign w:val="center"/>
          </w:tcPr>
          <w:p w14:paraId="38B1F8F3" w14:textId="2AD2A257" w:rsidR="00983F89" w:rsidRPr="00583F52" w:rsidRDefault="00983F89" w:rsidP="00983F89">
            <w:pPr>
              <w:ind w:firstLine="94"/>
              <w:jc w:val="center"/>
            </w:pPr>
            <w:r>
              <w:rPr>
                <w:rFonts w:ascii="Calibri" w:hAnsi="Calibri" w:cs="Calibri"/>
              </w:rPr>
              <w:t> </w:t>
            </w:r>
          </w:p>
        </w:tc>
      </w:tr>
      <w:tr w:rsidR="003930B0" w:rsidRPr="00E06CCC" w14:paraId="3CAF4AC9" w14:textId="77777777" w:rsidTr="00FF33C7">
        <w:trPr>
          <w:trHeight w:val="320"/>
          <w:jc w:val="center"/>
        </w:trPr>
        <w:tc>
          <w:tcPr>
            <w:tcW w:w="3969" w:type="dxa"/>
            <w:tcBorders>
              <w:left w:val="nil"/>
              <w:right w:val="nil"/>
            </w:tcBorders>
          </w:tcPr>
          <w:p w14:paraId="3A25309E" w14:textId="080E6E46" w:rsidR="003930B0" w:rsidRPr="000271C1" w:rsidRDefault="003930B0" w:rsidP="003930B0">
            <w:pPr>
              <w:spacing w:line="240" w:lineRule="auto"/>
              <w:ind w:firstLine="0"/>
              <w:jc w:val="left"/>
            </w:pPr>
            <w:r w:rsidRPr="007E6B14">
              <w:t xml:space="preserve">External project loans and borrowings </w:t>
            </w:r>
          </w:p>
        </w:tc>
        <w:tc>
          <w:tcPr>
            <w:tcW w:w="1353" w:type="dxa"/>
            <w:tcBorders>
              <w:left w:val="nil"/>
              <w:right w:val="double" w:sz="4" w:space="0" w:color="auto"/>
            </w:tcBorders>
            <w:vAlign w:val="center"/>
          </w:tcPr>
          <w:p w14:paraId="3FC6E960" w14:textId="37EF572B" w:rsidR="003930B0" w:rsidRPr="00A33E99" w:rsidRDefault="003930B0" w:rsidP="003930B0">
            <w:pPr>
              <w:spacing w:line="240" w:lineRule="auto"/>
              <w:ind w:firstLine="0"/>
              <w:jc w:val="center"/>
              <w:rPr>
                <w:lang w:val="en-US"/>
              </w:rPr>
            </w:pPr>
            <w:r>
              <w:rPr>
                <w:lang w:val="en-US"/>
              </w:rPr>
              <w:t>181.6</w:t>
            </w:r>
          </w:p>
        </w:tc>
        <w:tc>
          <w:tcPr>
            <w:tcW w:w="1248" w:type="dxa"/>
            <w:tcBorders>
              <w:left w:val="double" w:sz="4" w:space="0" w:color="auto"/>
              <w:right w:val="nil"/>
            </w:tcBorders>
            <w:vAlign w:val="center"/>
          </w:tcPr>
          <w:p w14:paraId="4CF3E8C2" w14:textId="498617D8" w:rsidR="003930B0" w:rsidRPr="00581010" w:rsidRDefault="003930B0" w:rsidP="003930B0">
            <w:pPr>
              <w:spacing w:line="240" w:lineRule="auto"/>
              <w:ind w:firstLine="0"/>
              <w:jc w:val="center"/>
              <w:rPr>
                <w:lang w:val="en-US"/>
              </w:rPr>
            </w:pPr>
            <w:r>
              <w:t>261.1</w:t>
            </w:r>
          </w:p>
        </w:tc>
        <w:tc>
          <w:tcPr>
            <w:tcW w:w="1155" w:type="dxa"/>
            <w:tcBorders>
              <w:left w:val="nil"/>
              <w:right w:val="nil"/>
            </w:tcBorders>
            <w:vAlign w:val="center"/>
          </w:tcPr>
          <w:p w14:paraId="44352EFF" w14:textId="159CF268" w:rsidR="003930B0" w:rsidRPr="00A24902" w:rsidRDefault="003930B0" w:rsidP="003930B0">
            <w:pPr>
              <w:spacing w:line="240" w:lineRule="auto"/>
              <w:ind w:firstLine="0"/>
              <w:jc w:val="center"/>
              <w:rPr>
                <w:color w:val="FF0000"/>
              </w:rPr>
            </w:pPr>
            <w:r>
              <w:t>372.2</w:t>
            </w:r>
          </w:p>
        </w:tc>
        <w:tc>
          <w:tcPr>
            <w:tcW w:w="1062" w:type="dxa"/>
            <w:tcBorders>
              <w:left w:val="nil"/>
              <w:right w:val="nil"/>
            </w:tcBorders>
            <w:vAlign w:val="center"/>
          </w:tcPr>
          <w:p w14:paraId="4758C248" w14:textId="0BAA0191" w:rsidR="003930B0" w:rsidRPr="00A24902" w:rsidRDefault="003930B0" w:rsidP="003930B0">
            <w:pPr>
              <w:spacing w:line="240" w:lineRule="auto"/>
              <w:ind w:firstLine="0"/>
              <w:jc w:val="center"/>
            </w:pPr>
            <w:r>
              <w:t>323.9</w:t>
            </w:r>
          </w:p>
        </w:tc>
        <w:tc>
          <w:tcPr>
            <w:tcW w:w="1113" w:type="dxa"/>
            <w:tcBorders>
              <w:left w:val="nil"/>
              <w:right w:val="nil"/>
            </w:tcBorders>
            <w:vAlign w:val="center"/>
          </w:tcPr>
          <w:p w14:paraId="33220F3C" w14:textId="7D87E42E" w:rsidR="003930B0" w:rsidRPr="00A24902" w:rsidRDefault="003930B0" w:rsidP="003930B0">
            <w:pPr>
              <w:spacing w:line="240" w:lineRule="auto"/>
              <w:ind w:firstLine="0"/>
              <w:jc w:val="center"/>
            </w:pPr>
            <w:r>
              <w:t>545.0</w:t>
            </w:r>
          </w:p>
        </w:tc>
      </w:tr>
      <w:tr w:rsidR="003930B0" w:rsidRPr="00E06CCC" w14:paraId="46EF53B2" w14:textId="77777777" w:rsidTr="0014286E">
        <w:trPr>
          <w:trHeight w:val="332"/>
          <w:jc w:val="center"/>
        </w:trPr>
        <w:tc>
          <w:tcPr>
            <w:tcW w:w="3969" w:type="dxa"/>
            <w:tcBorders>
              <w:left w:val="nil"/>
              <w:right w:val="nil"/>
            </w:tcBorders>
            <w:vAlign w:val="center"/>
          </w:tcPr>
          <w:p w14:paraId="2BD4E0A1" w14:textId="71BC1323" w:rsidR="003930B0" w:rsidRPr="000271C1" w:rsidRDefault="003930B0" w:rsidP="003930B0">
            <w:pPr>
              <w:spacing w:line="240" w:lineRule="auto"/>
              <w:ind w:firstLine="0"/>
              <w:jc w:val="left"/>
            </w:pPr>
            <w:r w:rsidRPr="007E6B14">
              <w:t xml:space="preserve">Budget support loans </w:t>
            </w:r>
          </w:p>
        </w:tc>
        <w:tc>
          <w:tcPr>
            <w:tcW w:w="1353" w:type="dxa"/>
            <w:tcBorders>
              <w:left w:val="nil"/>
              <w:right w:val="double" w:sz="4" w:space="0" w:color="auto"/>
            </w:tcBorders>
            <w:vAlign w:val="center"/>
          </w:tcPr>
          <w:p w14:paraId="2D998183" w14:textId="2CA092A1" w:rsidR="003930B0" w:rsidRDefault="003930B0" w:rsidP="003930B0">
            <w:pPr>
              <w:spacing w:line="240" w:lineRule="auto"/>
              <w:ind w:firstLine="0"/>
              <w:jc w:val="center"/>
              <w:rPr>
                <w:lang w:val="en-US"/>
              </w:rPr>
            </w:pPr>
            <w:r w:rsidRPr="003930B0">
              <w:t>322</w:t>
            </w:r>
            <w:r w:rsidRPr="003930B0">
              <w:rPr>
                <w:lang w:val="en-US"/>
              </w:rPr>
              <w:t>.5</w:t>
            </w:r>
          </w:p>
        </w:tc>
        <w:tc>
          <w:tcPr>
            <w:tcW w:w="1248" w:type="dxa"/>
            <w:tcBorders>
              <w:left w:val="double" w:sz="4" w:space="0" w:color="auto"/>
              <w:right w:val="nil"/>
            </w:tcBorders>
            <w:vAlign w:val="center"/>
          </w:tcPr>
          <w:p w14:paraId="6EF8F3B2" w14:textId="64F9F2BC" w:rsidR="003930B0" w:rsidRPr="00581010" w:rsidRDefault="003930B0" w:rsidP="003930B0">
            <w:pPr>
              <w:spacing w:line="240" w:lineRule="auto"/>
              <w:ind w:firstLine="0"/>
              <w:jc w:val="center"/>
              <w:rPr>
                <w:lang w:val="en-US"/>
              </w:rPr>
            </w:pPr>
            <w:r w:rsidRPr="003930B0">
              <w:t>675</w:t>
            </w:r>
            <w:r w:rsidRPr="003930B0">
              <w:rPr>
                <w:lang w:val="en-US"/>
              </w:rPr>
              <w:t>.0</w:t>
            </w:r>
          </w:p>
        </w:tc>
        <w:tc>
          <w:tcPr>
            <w:tcW w:w="1155" w:type="dxa"/>
            <w:tcBorders>
              <w:left w:val="nil"/>
              <w:right w:val="nil"/>
            </w:tcBorders>
            <w:vAlign w:val="center"/>
          </w:tcPr>
          <w:p w14:paraId="5FA9E867" w14:textId="70B47EA1" w:rsidR="003930B0" w:rsidRPr="003930B0" w:rsidRDefault="003930B0" w:rsidP="003930B0">
            <w:pPr>
              <w:spacing w:line="240" w:lineRule="auto"/>
              <w:ind w:firstLine="0"/>
              <w:jc w:val="center"/>
              <w:rPr>
                <w:lang w:val="en-US"/>
              </w:rPr>
            </w:pPr>
            <w:r w:rsidRPr="003930B0">
              <w:rPr>
                <w:lang w:val="en-US"/>
              </w:rPr>
              <w:t>750.0</w:t>
            </w:r>
          </w:p>
        </w:tc>
        <w:tc>
          <w:tcPr>
            <w:tcW w:w="1062" w:type="dxa"/>
            <w:tcBorders>
              <w:left w:val="nil"/>
              <w:right w:val="nil"/>
            </w:tcBorders>
            <w:vAlign w:val="center"/>
          </w:tcPr>
          <w:p w14:paraId="14459143" w14:textId="3AD9095B" w:rsidR="003930B0" w:rsidRPr="003930B0" w:rsidRDefault="003930B0" w:rsidP="003930B0">
            <w:pPr>
              <w:spacing w:line="240" w:lineRule="auto"/>
              <w:ind w:firstLine="0"/>
              <w:jc w:val="center"/>
              <w:rPr>
                <w:lang w:val="en-US"/>
              </w:rPr>
            </w:pPr>
            <w:r w:rsidRPr="003930B0">
              <w:rPr>
                <w:lang w:val="en-US"/>
              </w:rPr>
              <w:t>650.0</w:t>
            </w:r>
          </w:p>
        </w:tc>
        <w:tc>
          <w:tcPr>
            <w:tcW w:w="1113" w:type="dxa"/>
            <w:tcBorders>
              <w:left w:val="nil"/>
              <w:right w:val="nil"/>
            </w:tcBorders>
            <w:vAlign w:val="center"/>
          </w:tcPr>
          <w:p w14:paraId="4BE262A6" w14:textId="097A03C6" w:rsidR="003930B0" w:rsidRPr="003930B0" w:rsidRDefault="003930B0" w:rsidP="003930B0">
            <w:pPr>
              <w:spacing w:line="240" w:lineRule="auto"/>
              <w:ind w:firstLine="0"/>
              <w:jc w:val="center"/>
              <w:rPr>
                <w:lang w:val="en-US"/>
              </w:rPr>
            </w:pPr>
            <w:r w:rsidRPr="003930B0">
              <w:rPr>
                <w:lang w:val="en-US"/>
              </w:rPr>
              <w:t>550.0</w:t>
            </w:r>
          </w:p>
        </w:tc>
      </w:tr>
      <w:tr w:rsidR="00983F89" w:rsidRPr="00E06CCC" w14:paraId="43AB71E7" w14:textId="77777777" w:rsidTr="0014286E">
        <w:trPr>
          <w:trHeight w:val="359"/>
          <w:jc w:val="center"/>
        </w:trPr>
        <w:tc>
          <w:tcPr>
            <w:tcW w:w="3969" w:type="dxa"/>
            <w:tcBorders>
              <w:left w:val="nil"/>
              <w:bottom w:val="thickThinSmallGap" w:sz="24" w:space="0" w:color="auto"/>
              <w:right w:val="nil"/>
            </w:tcBorders>
            <w:vAlign w:val="center"/>
          </w:tcPr>
          <w:p w14:paraId="666AA1E3" w14:textId="7018E4DF" w:rsidR="00983F89" w:rsidRPr="000271C1" w:rsidRDefault="003930B0" w:rsidP="003930B0">
            <w:pPr>
              <w:spacing w:line="240" w:lineRule="auto"/>
              <w:ind w:firstLine="0"/>
              <w:jc w:val="left"/>
            </w:pPr>
            <w:r w:rsidRPr="003930B0">
              <w:t>Foreign currency bonds</w:t>
            </w:r>
          </w:p>
        </w:tc>
        <w:tc>
          <w:tcPr>
            <w:tcW w:w="1353" w:type="dxa"/>
            <w:tcBorders>
              <w:left w:val="nil"/>
              <w:bottom w:val="thickThinSmallGap" w:sz="24" w:space="0" w:color="auto"/>
              <w:right w:val="double" w:sz="4" w:space="0" w:color="auto"/>
            </w:tcBorders>
            <w:vAlign w:val="center"/>
          </w:tcPr>
          <w:p w14:paraId="23D17395" w14:textId="77777777" w:rsidR="00983F89" w:rsidRDefault="00983F89" w:rsidP="003930B0">
            <w:pPr>
              <w:spacing w:line="240" w:lineRule="auto"/>
              <w:ind w:firstLine="0"/>
              <w:jc w:val="center"/>
              <w:rPr>
                <w:lang w:val="en-US"/>
              </w:rPr>
            </w:pPr>
            <w:r>
              <w:rPr>
                <w:lang w:val="en-US"/>
              </w:rPr>
              <w:t>-</w:t>
            </w:r>
          </w:p>
        </w:tc>
        <w:tc>
          <w:tcPr>
            <w:tcW w:w="1248" w:type="dxa"/>
            <w:tcBorders>
              <w:left w:val="double" w:sz="4" w:space="0" w:color="auto"/>
              <w:bottom w:val="thickThinSmallGap" w:sz="24" w:space="0" w:color="auto"/>
              <w:right w:val="nil"/>
            </w:tcBorders>
            <w:vAlign w:val="center"/>
          </w:tcPr>
          <w:p w14:paraId="354BE71B" w14:textId="1F10CCA4" w:rsidR="00983F89" w:rsidRPr="00581010" w:rsidRDefault="00983F89" w:rsidP="003930B0">
            <w:pPr>
              <w:spacing w:line="240" w:lineRule="auto"/>
              <w:ind w:firstLine="0"/>
              <w:jc w:val="center"/>
              <w:rPr>
                <w:lang w:val="en-US"/>
              </w:rPr>
            </w:pPr>
            <w:r w:rsidRPr="003930B0">
              <w:t>731</w:t>
            </w:r>
            <w:r>
              <w:rPr>
                <w:lang w:val="en-US"/>
              </w:rPr>
              <w:t>.4</w:t>
            </w:r>
          </w:p>
        </w:tc>
        <w:tc>
          <w:tcPr>
            <w:tcW w:w="1155" w:type="dxa"/>
            <w:tcBorders>
              <w:left w:val="nil"/>
              <w:bottom w:val="thickThinSmallGap" w:sz="24" w:space="0" w:color="auto"/>
              <w:right w:val="nil"/>
            </w:tcBorders>
            <w:vAlign w:val="center"/>
          </w:tcPr>
          <w:p w14:paraId="3BEDD7B1" w14:textId="6EE63937" w:rsidR="00983F89" w:rsidRPr="005A5EF6" w:rsidRDefault="00983F89" w:rsidP="003930B0">
            <w:pPr>
              <w:spacing w:line="240" w:lineRule="auto"/>
              <w:ind w:firstLine="0"/>
              <w:jc w:val="center"/>
              <w:rPr>
                <w:color w:val="FF0000"/>
                <w:lang w:val="en-US"/>
              </w:rPr>
            </w:pPr>
            <w:r>
              <w:rPr>
                <w:lang w:val="en-US"/>
              </w:rPr>
              <w:t>-</w:t>
            </w:r>
          </w:p>
        </w:tc>
        <w:tc>
          <w:tcPr>
            <w:tcW w:w="1062" w:type="dxa"/>
            <w:tcBorders>
              <w:left w:val="nil"/>
              <w:bottom w:val="thickThinSmallGap" w:sz="24" w:space="0" w:color="auto"/>
              <w:right w:val="nil"/>
            </w:tcBorders>
            <w:vAlign w:val="center"/>
          </w:tcPr>
          <w:p w14:paraId="2E7875D2" w14:textId="77777777" w:rsidR="00983F89" w:rsidRPr="003930B0" w:rsidRDefault="00983F89" w:rsidP="003930B0">
            <w:pPr>
              <w:spacing w:line="240" w:lineRule="auto"/>
              <w:ind w:firstLine="0"/>
              <w:jc w:val="center"/>
            </w:pPr>
            <w:r w:rsidRPr="003930B0">
              <w:t>-</w:t>
            </w:r>
          </w:p>
        </w:tc>
        <w:tc>
          <w:tcPr>
            <w:tcW w:w="1113" w:type="dxa"/>
            <w:tcBorders>
              <w:left w:val="nil"/>
              <w:bottom w:val="thickThinSmallGap" w:sz="24" w:space="0" w:color="auto"/>
              <w:right w:val="nil"/>
            </w:tcBorders>
            <w:vAlign w:val="center"/>
          </w:tcPr>
          <w:p w14:paraId="5E4CCEEE" w14:textId="77777777" w:rsidR="00983F89" w:rsidRPr="003930B0" w:rsidRDefault="00983F89" w:rsidP="003930B0">
            <w:pPr>
              <w:spacing w:line="240" w:lineRule="auto"/>
              <w:ind w:firstLine="0"/>
              <w:jc w:val="center"/>
            </w:pPr>
            <w:r>
              <w:t>-</w:t>
            </w:r>
          </w:p>
        </w:tc>
      </w:tr>
    </w:tbl>
    <w:p w14:paraId="4DBBCF05" w14:textId="77777777" w:rsidR="009E43A8" w:rsidRPr="00CF3DA0" w:rsidRDefault="009E43A8" w:rsidP="00F03B7F">
      <w:pPr>
        <w:spacing w:before="120"/>
        <w:ind w:firstLine="0"/>
        <w:rPr>
          <w:lang w:val="en-US"/>
        </w:rPr>
      </w:pPr>
      <w:r w:rsidRPr="005A68E6">
        <w:rPr>
          <w:sz w:val="16"/>
          <w:lang w:val="en-US"/>
        </w:rPr>
        <w:t>Source: RA MoF calculations and forecasts</w:t>
      </w:r>
    </w:p>
    <w:p w14:paraId="0A2097E5" w14:textId="77777777" w:rsidR="00774676" w:rsidRPr="009E43A8" w:rsidRDefault="00774676" w:rsidP="00967AD8">
      <w:pPr>
        <w:rPr>
          <w:color w:val="FF0000"/>
          <w:lang w:val="en-US"/>
        </w:rPr>
      </w:pPr>
    </w:p>
    <w:p w14:paraId="1F6FD6FA" w14:textId="186EAA96" w:rsidR="00025E2D" w:rsidRPr="0070296A" w:rsidRDefault="00ED0804" w:rsidP="000C0A81">
      <w:pPr>
        <w:pStyle w:val="Heading2"/>
      </w:pPr>
      <w:bookmarkStart w:id="12" w:name="_Toc205988176"/>
      <w:r>
        <w:t>Cost and risk analysis of the selected strategy</w:t>
      </w:r>
      <w:bookmarkEnd w:id="12"/>
    </w:p>
    <w:p w14:paraId="572D8316" w14:textId="38A45B1E" w:rsidR="001D792C" w:rsidRPr="001D792C" w:rsidRDefault="001D792C" w:rsidP="001D792C">
      <w:r>
        <w:t xml:space="preserve">Under the baseline macroeconomic scenario outlined in the 2026–2028 Medium-Term Expenditure Framework, which takes into account the projected behavior of domestic and external debt markets, the financing needs of the Government of the Republic of Armenia are expected to decrease by approximately 10% in 2026 compared to 2025, primarily due to a reduction in the nominal deficit. At the same time, the interest burden on </w:t>
      </w:r>
      <w:r>
        <w:rPr>
          <w:lang w:val="en-US"/>
        </w:rPr>
        <w:t>the RA G</w:t>
      </w:r>
      <w:r>
        <w:t>overnment debt is projected to gradually increase and stabilize toward the end of the medium-term period.</w:t>
      </w:r>
    </w:p>
    <w:p w14:paraId="1ADC81ED" w14:textId="588E6A9F" w:rsidR="00820654" w:rsidRPr="00820654" w:rsidRDefault="009E43A8" w:rsidP="00820654">
      <w:pPr>
        <w:pStyle w:val="af6"/>
        <w:numPr>
          <w:ilvl w:val="0"/>
          <w:numId w:val="18"/>
        </w:numPr>
        <w:ind w:left="1276" w:hanging="1276"/>
      </w:pPr>
      <w:r w:rsidRPr="00401FAC">
        <w:lastRenderedPageBreak/>
        <w:t>Forecasts of cost indicators of t</w:t>
      </w:r>
      <w:r>
        <w:t>he RA Government debt portfolio</w:t>
      </w:r>
      <w:r w:rsidRPr="009E43A8">
        <w:t xml:space="preserve"> </w:t>
      </w:r>
    </w:p>
    <w:tbl>
      <w:tblPr>
        <w:tblW w:w="9025" w:type="dxa"/>
        <w:tblInd w:w="426" w:type="dxa"/>
        <w:tblLook w:val="04A0" w:firstRow="1" w:lastRow="0" w:firstColumn="1" w:lastColumn="0" w:noHBand="0" w:noVBand="1"/>
      </w:tblPr>
      <w:tblGrid>
        <w:gridCol w:w="3174"/>
        <w:gridCol w:w="1170"/>
        <w:gridCol w:w="1170"/>
        <w:gridCol w:w="1170"/>
        <w:gridCol w:w="1170"/>
        <w:gridCol w:w="1171"/>
      </w:tblGrid>
      <w:tr w:rsidR="00820654" w:rsidRPr="00D6171C" w14:paraId="213BE085" w14:textId="77777777" w:rsidTr="00D74C37">
        <w:trPr>
          <w:trHeight w:val="576"/>
        </w:trPr>
        <w:tc>
          <w:tcPr>
            <w:tcW w:w="3174" w:type="dxa"/>
            <w:tcBorders>
              <w:top w:val="double" w:sz="6" w:space="0" w:color="auto"/>
              <w:left w:val="nil"/>
              <w:bottom w:val="double" w:sz="6" w:space="0" w:color="auto"/>
              <w:right w:val="nil"/>
            </w:tcBorders>
            <w:shd w:val="clear" w:color="000000" w:fill="5B9BD5"/>
            <w:vAlign w:val="center"/>
            <w:hideMark/>
          </w:tcPr>
          <w:p w14:paraId="05AD6D42" w14:textId="77777777" w:rsidR="00820654" w:rsidRPr="00D05707" w:rsidRDefault="00820654" w:rsidP="00D74C37">
            <w:pPr>
              <w:spacing w:line="240" w:lineRule="auto"/>
              <w:ind w:firstLine="0"/>
              <w:jc w:val="center"/>
              <w:rPr>
                <w:rFonts w:cs="Times New Roman"/>
              </w:rPr>
            </w:pPr>
            <w:r w:rsidRPr="00D6171C">
              <w:rPr>
                <w:rFonts w:ascii="Calibri" w:hAnsi="Calibri" w:cs="Calibri"/>
              </w:rPr>
              <w:t> </w:t>
            </w:r>
          </w:p>
        </w:tc>
        <w:tc>
          <w:tcPr>
            <w:tcW w:w="1170" w:type="dxa"/>
            <w:tcBorders>
              <w:top w:val="double" w:sz="6" w:space="0" w:color="auto"/>
              <w:left w:val="nil"/>
              <w:bottom w:val="double" w:sz="6" w:space="0" w:color="auto"/>
              <w:right w:val="double" w:sz="6" w:space="0" w:color="auto"/>
            </w:tcBorders>
            <w:shd w:val="clear" w:color="000000" w:fill="5B9BD5"/>
            <w:vAlign w:val="center"/>
            <w:hideMark/>
          </w:tcPr>
          <w:p w14:paraId="69453146" w14:textId="77777777" w:rsidR="00820654" w:rsidRPr="00D6171C" w:rsidRDefault="00820654" w:rsidP="00D74C37">
            <w:pPr>
              <w:spacing w:line="240" w:lineRule="auto"/>
              <w:ind w:firstLine="0"/>
              <w:jc w:val="center"/>
              <w:rPr>
                <w:rFonts w:cs="Times New Roman"/>
                <w:color w:val="000000"/>
                <w:lang w:val="en-US"/>
              </w:rPr>
            </w:pPr>
            <w:r w:rsidRPr="00D6171C">
              <w:rPr>
                <w:rFonts w:cs="Times New Roman"/>
              </w:rPr>
              <w:t xml:space="preserve">2024 </w:t>
            </w:r>
            <w:r w:rsidRPr="005A68E6">
              <w:rPr>
                <w:lang w:val="en-US"/>
              </w:rPr>
              <w:t>actual</w:t>
            </w:r>
          </w:p>
        </w:tc>
        <w:tc>
          <w:tcPr>
            <w:tcW w:w="1170" w:type="dxa"/>
            <w:tcBorders>
              <w:top w:val="double" w:sz="6" w:space="0" w:color="auto"/>
              <w:left w:val="nil"/>
              <w:bottom w:val="double" w:sz="6" w:space="0" w:color="auto"/>
              <w:right w:val="nil"/>
            </w:tcBorders>
            <w:shd w:val="clear" w:color="000000" w:fill="5B9BD5"/>
            <w:vAlign w:val="center"/>
            <w:hideMark/>
          </w:tcPr>
          <w:p w14:paraId="1E804264" w14:textId="77777777" w:rsidR="00820654" w:rsidRPr="00D6171C" w:rsidRDefault="00820654" w:rsidP="00D74C37">
            <w:pPr>
              <w:spacing w:line="240" w:lineRule="auto"/>
              <w:ind w:firstLine="0"/>
              <w:jc w:val="center"/>
              <w:rPr>
                <w:rFonts w:cs="Times New Roman"/>
                <w:color w:val="000000"/>
                <w:lang w:val="en-US"/>
              </w:rPr>
            </w:pPr>
            <w:r w:rsidRPr="00D6171C">
              <w:rPr>
                <w:rFonts w:cs="Times New Roman"/>
              </w:rPr>
              <w:t xml:space="preserve">2025 </w:t>
            </w:r>
            <w:r w:rsidRPr="005A68E6">
              <w:t>forecast</w:t>
            </w:r>
          </w:p>
        </w:tc>
        <w:tc>
          <w:tcPr>
            <w:tcW w:w="1170" w:type="dxa"/>
            <w:tcBorders>
              <w:top w:val="double" w:sz="6" w:space="0" w:color="auto"/>
              <w:left w:val="nil"/>
              <w:bottom w:val="double" w:sz="6" w:space="0" w:color="auto"/>
              <w:right w:val="nil"/>
            </w:tcBorders>
            <w:shd w:val="clear" w:color="000000" w:fill="5B9BD5"/>
            <w:vAlign w:val="center"/>
            <w:hideMark/>
          </w:tcPr>
          <w:p w14:paraId="397FC8C0" w14:textId="77777777" w:rsidR="00820654" w:rsidRPr="00D6171C" w:rsidRDefault="00820654" w:rsidP="00D74C37">
            <w:pPr>
              <w:spacing w:line="240" w:lineRule="auto"/>
              <w:ind w:firstLine="0"/>
              <w:jc w:val="center"/>
              <w:rPr>
                <w:rFonts w:cs="Times New Roman"/>
                <w:color w:val="000000"/>
                <w:lang w:val="en-US"/>
              </w:rPr>
            </w:pPr>
            <w:r w:rsidRPr="00D6171C">
              <w:rPr>
                <w:rFonts w:cs="Times New Roman"/>
              </w:rPr>
              <w:t xml:space="preserve">2026 </w:t>
            </w:r>
            <w:r w:rsidRPr="005A68E6">
              <w:t>forecast</w:t>
            </w:r>
          </w:p>
        </w:tc>
        <w:tc>
          <w:tcPr>
            <w:tcW w:w="1170" w:type="dxa"/>
            <w:tcBorders>
              <w:top w:val="double" w:sz="6" w:space="0" w:color="auto"/>
              <w:left w:val="nil"/>
              <w:bottom w:val="double" w:sz="6" w:space="0" w:color="auto"/>
              <w:right w:val="nil"/>
            </w:tcBorders>
            <w:shd w:val="clear" w:color="000000" w:fill="5B9BD5"/>
            <w:vAlign w:val="center"/>
            <w:hideMark/>
          </w:tcPr>
          <w:p w14:paraId="76454018" w14:textId="77777777" w:rsidR="00820654" w:rsidRPr="00D6171C" w:rsidRDefault="00820654" w:rsidP="00D74C37">
            <w:pPr>
              <w:spacing w:line="240" w:lineRule="auto"/>
              <w:ind w:firstLine="0"/>
              <w:jc w:val="center"/>
              <w:rPr>
                <w:rFonts w:cs="Times New Roman"/>
                <w:color w:val="000000"/>
                <w:lang w:val="en-US"/>
              </w:rPr>
            </w:pPr>
            <w:r w:rsidRPr="00D6171C">
              <w:rPr>
                <w:rFonts w:cs="Times New Roman"/>
              </w:rPr>
              <w:t xml:space="preserve">2027 </w:t>
            </w:r>
            <w:r w:rsidRPr="005A68E6">
              <w:t>forecast</w:t>
            </w:r>
          </w:p>
        </w:tc>
        <w:tc>
          <w:tcPr>
            <w:tcW w:w="1171" w:type="dxa"/>
            <w:tcBorders>
              <w:top w:val="double" w:sz="6" w:space="0" w:color="auto"/>
              <w:left w:val="nil"/>
              <w:bottom w:val="double" w:sz="6" w:space="0" w:color="auto"/>
              <w:right w:val="nil"/>
            </w:tcBorders>
            <w:shd w:val="clear" w:color="000000" w:fill="5B9BD5"/>
            <w:vAlign w:val="center"/>
            <w:hideMark/>
          </w:tcPr>
          <w:p w14:paraId="59B8CA75" w14:textId="77777777" w:rsidR="00820654" w:rsidRPr="00D6171C" w:rsidRDefault="00820654" w:rsidP="00D74C37">
            <w:pPr>
              <w:spacing w:line="240" w:lineRule="auto"/>
              <w:ind w:firstLine="0"/>
              <w:jc w:val="center"/>
              <w:rPr>
                <w:rFonts w:cs="Times New Roman"/>
                <w:color w:val="000000"/>
                <w:lang w:val="en-US"/>
              </w:rPr>
            </w:pPr>
            <w:r w:rsidRPr="00D6171C">
              <w:rPr>
                <w:rFonts w:cs="Times New Roman"/>
              </w:rPr>
              <w:t>20</w:t>
            </w:r>
            <w:r>
              <w:rPr>
                <w:rFonts w:cs="Times New Roman"/>
                <w:lang w:val="en-US"/>
              </w:rPr>
              <w:t>28</w:t>
            </w:r>
            <w:r w:rsidRPr="00D6171C">
              <w:rPr>
                <w:rFonts w:cs="Times New Roman"/>
              </w:rPr>
              <w:t xml:space="preserve"> </w:t>
            </w:r>
            <w:r w:rsidRPr="005A68E6">
              <w:t>forecast</w:t>
            </w:r>
          </w:p>
        </w:tc>
      </w:tr>
      <w:tr w:rsidR="00820654" w:rsidRPr="00D6171C" w14:paraId="76BAE11A" w14:textId="77777777" w:rsidTr="00D74C37">
        <w:trPr>
          <w:trHeight w:val="20"/>
        </w:trPr>
        <w:tc>
          <w:tcPr>
            <w:tcW w:w="3174" w:type="dxa"/>
            <w:tcBorders>
              <w:top w:val="nil"/>
              <w:left w:val="nil"/>
              <w:bottom w:val="single" w:sz="8" w:space="0" w:color="auto"/>
              <w:right w:val="nil"/>
            </w:tcBorders>
            <w:shd w:val="clear" w:color="auto" w:fill="auto"/>
            <w:vAlign w:val="center"/>
            <w:hideMark/>
          </w:tcPr>
          <w:p w14:paraId="11210504" w14:textId="01796FB2" w:rsidR="00820654" w:rsidRPr="00D6171C" w:rsidRDefault="00820654" w:rsidP="00820654">
            <w:pPr>
              <w:spacing w:line="240" w:lineRule="auto"/>
              <w:ind w:firstLine="0"/>
              <w:rPr>
                <w:rFonts w:cs="Times New Roman"/>
                <w:lang w:val="en-US"/>
              </w:rPr>
            </w:pPr>
            <w:r w:rsidRPr="005A68E6">
              <w:rPr>
                <w:color w:val="000000"/>
              </w:rPr>
              <w:t>Interest Payment / GDP (%)</w:t>
            </w:r>
          </w:p>
        </w:tc>
        <w:tc>
          <w:tcPr>
            <w:tcW w:w="1170" w:type="dxa"/>
            <w:tcBorders>
              <w:top w:val="nil"/>
              <w:left w:val="nil"/>
              <w:bottom w:val="single" w:sz="8" w:space="0" w:color="auto"/>
              <w:right w:val="double" w:sz="6" w:space="0" w:color="auto"/>
            </w:tcBorders>
            <w:shd w:val="clear" w:color="auto" w:fill="auto"/>
            <w:vAlign w:val="center"/>
            <w:hideMark/>
          </w:tcPr>
          <w:p w14:paraId="3ACA34DC" w14:textId="2F743A6D" w:rsidR="00820654" w:rsidRPr="00D6171C" w:rsidRDefault="00820654" w:rsidP="00820654">
            <w:pPr>
              <w:spacing w:line="240" w:lineRule="auto"/>
              <w:ind w:firstLine="0"/>
              <w:jc w:val="center"/>
              <w:rPr>
                <w:rFonts w:cs="Times New Roman"/>
                <w:lang w:val="en-US"/>
              </w:rPr>
            </w:pPr>
            <w:r w:rsidRPr="00B559F2">
              <w:rPr>
                <w:sz w:val="20"/>
                <w:szCs w:val="20"/>
              </w:rPr>
              <w:t>3.1</w:t>
            </w:r>
          </w:p>
        </w:tc>
        <w:tc>
          <w:tcPr>
            <w:tcW w:w="1170" w:type="dxa"/>
            <w:tcBorders>
              <w:top w:val="nil"/>
              <w:left w:val="nil"/>
              <w:bottom w:val="single" w:sz="8" w:space="0" w:color="auto"/>
              <w:right w:val="nil"/>
            </w:tcBorders>
            <w:shd w:val="clear" w:color="auto" w:fill="auto"/>
            <w:vAlign w:val="center"/>
            <w:hideMark/>
          </w:tcPr>
          <w:p w14:paraId="7A5A9D8E" w14:textId="2071DB1D" w:rsidR="00820654" w:rsidRPr="00D6171C" w:rsidRDefault="00820654" w:rsidP="00820654">
            <w:pPr>
              <w:spacing w:line="240" w:lineRule="auto"/>
              <w:ind w:firstLine="0"/>
              <w:jc w:val="center"/>
              <w:rPr>
                <w:rFonts w:cs="Times New Roman"/>
                <w:lang w:val="en-US"/>
              </w:rPr>
            </w:pPr>
            <w:r w:rsidRPr="00B559F2">
              <w:rPr>
                <w:sz w:val="20"/>
                <w:szCs w:val="20"/>
              </w:rPr>
              <w:t>3.6</w:t>
            </w:r>
          </w:p>
        </w:tc>
        <w:tc>
          <w:tcPr>
            <w:tcW w:w="1170" w:type="dxa"/>
            <w:tcBorders>
              <w:top w:val="nil"/>
              <w:left w:val="nil"/>
              <w:bottom w:val="single" w:sz="8" w:space="0" w:color="auto"/>
              <w:right w:val="nil"/>
            </w:tcBorders>
            <w:shd w:val="clear" w:color="auto" w:fill="auto"/>
            <w:vAlign w:val="center"/>
            <w:hideMark/>
          </w:tcPr>
          <w:p w14:paraId="015B554A" w14:textId="65B2ECE8" w:rsidR="00820654" w:rsidRPr="00D6171C" w:rsidRDefault="00820654" w:rsidP="00820654">
            <w:pPr>
              <w:spacing w:line="240" w:lineRule="auto"/>
              <w:ind w:firstLine="0"/>
              <w:jc w:val="center"/>
              <w:rPr>
                <w:rFonts w:cs="Times New Roman"/>
                <w:lang w:val="en-US"/>
              </w:rPr>
            </w:pPr>
            <w:r w:rsidRPr="00894A95">
              <w:rPr>
                <w:sz w:val="20"/>
                <w:szCs w:val="20"/>
              </w:rPr>
              <w:t>3.6</w:t>
            </w:r>
          </w:p>
        </w:tc>
        <w:tc>
          <w:tcPr>
            <w:tcW w:w="1170" w:type="dxa"/>
            <w:tcBorders>
              <w:top w:val="nil"/>
              <w:left w:val="nil"/>
              <w:bottom w:val="single" w:sz="8" w:space="0" w:color="auto"/>
              <w:right w:val="nil"/>
            </w:tcBorders>
            <w:shd w:val="clear" w:color="auto" w:fill="auto"/>
            <w:vAlign w:val="center"/>
            <w:hideMark/>
          </w:tcPr>
          <w:p w14:paraId="27E39F5F" w14:textId="143B3569" w:rsidR="00820654" w:rsidRPr="00D6171C" w:rsidRDefault="00820654" w:rsidP="00820654">
            <w:pPr>
              <w:spacing w:line="240" w:lineRule="auto"/>
              <w:ind w:firstLine="0"/>
              <w:jc w:val="center"/>
              <w:rPr>
                <w:rFonts w:cs="Times New Roman"/>
                <w:lang w:val="en-US"/>
              </w:rPr>
            </w:pPr>
            <w:r w:rsidRPr="00894A95">
              <w:rPr>
                <w:sz w:val="20"/>
                <w:szCs w:val="20"/>
              </w:rPr>
              <w:t>3.7</w:t>
            </w:r>
          </w:p>
        </w:tc>
        <w:tc>
          <w:tcPr>
            <w:tcW w:w="1171" w:type="dxa"/>
            <w:tcBorders>
              <w:top w:val="nil"/>
              <w:left w:val="nil"/>
              <w:bottom w:val="single" w:sz="8" w:space="0" w:color="auto"/>
              <w:right w:val="nil"/>
            </w:tcBorders>
            <w:shd w:val="clear" w:color="auto" w:fill="auto"/>
            <w:vAlign w:val="center"/>
            <w:hideMark/>
          </w:tcPr>
          <w:p w14:paraId="6265CEC9" w14:textId="4F3A84D3" w:rsidR="00820654" w:rsidRPr="00D6171C" w:rsidRDefault="00820654" w:rsidP="00820654">
            <w:pPr>
              <w:spacing w:line="240" w:lineRule="auto"/>
              <w:ind w:firstLine="0"/>
              <w:jc w:val="center"/>
              <w:rPr>
                <w:rFonts w:cs="Times New Roman"/>
                <w:lang w:val="en-US"/>
              </w:rPr>
            </w:pPr>
            <w:r w:rsidRPr="00894A95">
              <w:rPr>
                <w:sz w:val="20"/>
                <w:szCs w:val="20"/>
              </w:rPr>
              <w:t>3.8</w:t>
            </w:r>
          </w:p>
        </w:tc>
      </w:tr>
      <w:tr w:rsidR="00820654" w:rsidRPr="00D6171C" w14:paraId="576C042C" w14:textId="77777777" w:rsidTr="00D74C37">
        <w:trPr>
          <w:trHeight w:val="20"/>
        </w:trPr>
        <w:tc>
          <w:tcPr>
            <w:tcW w:w="3174" w:type="dxa"/>
            <w:tcBorders>
              <w:top w:val="nil"/>
              <w:left w:val="nil"/>
              <w:bottom w:val="single" w:sz="8" w:space="0" w:color="auto"/>
              <w:right w:val="nil"/>
            </w:tcBorders>
            <w:shd w:val="clear" w:color="auto" w:fill="auto"/>
            <w:vAlign w:val="center"/>
            <w:hideMark/>
          </w:tcPr>
          <w:p w14:paraId="7A5A9023" w14:textId="11CEC75D" w:rsidR="00820654" w:rsidRPr="00D6171C" w:rsidRDefault="00820654" w:rsidP="00820654">
            <w:pPr>
              <w:spacing w:line="240" w:lineRule="auto"/>
              <w:ind w:firstLine="0"/>
              <w:rPr>
                <w:rFonts w:cs="Times New Roman"/>
                <w:lang w:val="en-US"/>
              </w:rPr>
            </w:pPr>
            <w:r w:rsidRPr="005A68E6">
              <w:rPr>
                <w:color w:val="000000"/>
              </w:rPr>
              <w:t>Interest Payment / State Budget Revenues (%)</w:t>
            </w:r>
          </w:p>
        </w:tc>
        <w:tc>
          <w:tcPr>
            <w:tcW w:w="1170" w:type="dxa"/>
            <w:tcBorders>
              <w:top w:val="nil"/>
              <w:left w:val="nil"/>
              <w:bottom w:val="single" w:sz="8" w:space="0" w:color="auto"/>
              <w:right w:val="double" w:sz="6" w:space="0" w:color="auto"/>
            </w:tcBorders>
            <w:shd w:val="clear" w:color="auto" w:fill="auto"/>
            <w:vAlign w:val="center"/>
            <w:hideMark/>
          </w:tcPr>
          <w:p w14:paraId="7F588BEB" w14:textId="130663BA" w:rsidR="00820654" w:rsidRPr="00D6171C" w:rsidRDefault="00820654" w:rsidP="00820654">
            <w:pPr>
              <w:spacing w:line="240" w:lineRule="auto"/>
              <w:ind w:firstLine="0"/>
              <w:jc w:val="center"/>
              <w:rPr>
                <w:rFonts w:cs="Times New Roman"/>
                <w:lang w:val="en-US"/>
              </w:rPr>
            </w:pPr>
            <w:r w:rsidRPr="00B559F2">
              <w:rPr>
                <w:sz w:val="20"/>
                <w:szCs w:val="20"/>
              </w:rPr>
              <w:t>10.6</w:t>
            </w:r>
          </w:p>
        </w:tc>
        <w:tc>
          <w:tcPr>
            <w:tcW w:w="1170" w:type="dxa"/>
            <w:tcBorders>
              <w:top w:val="nil"/>
              <w:left w:val="nil"/>
              <w:bottom w:val="single" w:sz="8" w:space="0" w:color="auto"/>
              <w:right w:val="nil"/>
            </w:tcBorders>
            <w:shd w:val="clear" w:color="auto" w:fill="auto"/>
            <w:vAlign w:val="center"/>
            <w:hideMark/>
          </w:tcPr>
          <w:p w14:paraId="02FCA44C" w14:textId="772C9E93" w:rsidR="00820654" w:rsidRPr="00D6171C" w:rsidRDefault="00820654" w:rsidP="00820654">
            <w:pPr>
              <w:spacing w:line="240" w:lineRule="auto"/>
              <w:ind w:firstLine="0"/>
              <w:jc w:val="center"/>
              <w:rPr>
                <w:rFonts w:cs="Times New Roman"/>
                <w:lang w:val="en-US"/>
              </w:rPr>
            </w:pPr>
            <w:r w:rsidRPr="00B559F2">
              <w:rPr>
                <w:sz w:val="20"/>
                <w:szCs w:val="20"/>
              </w:rPr>
              <w:t>11.7</w:t>
            </w:r>
          </w:p>
        </w:tc>
        <w:tc>
          <w:tcPr>
            <w:tcW w:w="1170" w:type="dxa"/>
            <w:tcBorders>
              <w:top w:val="nil"/>
              <w:left w:val="nil"/>
              <w:bottom w:val="single" w:sz="8" w:space="0" w:color="auto"/>
              <w:right w:val="nil"/>
            </w:tcBorders>
            <w:shd w:val="clear" w:color="auto" w:fill="auto"/>
            <w:vAlign w:val="center"/>
            <w:hideMark/>
          </w:tcPr>
          <w:p w14:paraId="313796B5" w14:textId="0C092257" w:rsidR="00820654" w:rsidRPr="00D6171C" w:rsidRDefault="00820654" w:rsidP="00820654">
            <w:pPr>
              <w:spacing w:line="240" w:lineRule="auto"/>
              <w:ind w:firstLine="0"/>
              <w:jc w:val="center"/>
              <w:rPr>
                <w:rFonts w:cs="Times New Roman"/>
                <w:lang w:val="en-US"/>
              </w:rPr>
            </w:pPr>
            <w:r w:rsidRPr="00894A95">
              <w:rPr>
                <w:sz w:val="20"/>
                <w:szCs w:val="20"/>
              </w:rPr>
              <w:t>12.0</w:t>
            </w:r>
          </w:p>
        </w:tc>
        <w:tc>
          <w:tcPr>
            <w:tcW w:w="1170" w:type="dxa"/>
            <w:tcBorders>
              <w:top w:val="nil"/>
              <w:left w:val="nil"/>
              <w:bottom w:val="single" w:sz="8" w:space="0" w:color="auto"/>
              <w:right w:val="nil"/>
            </w:tcBorders>
            <w:shd w:val="clear" w:color="auto" w:fill="auto"/>
            <w:vAlign w:val="center"/>
            <w:hideMark/>
          </w:tcPr>
          <w:p w14:paraId="3C9D5FD8" w14:textId="56E25999" w:rsidR="00820654" w:rsidRPr="00D6171C" w:rsidRDefault="00820654" w:rsidP="00820654">
            <w:pPr>
              <w:spacing w:line="240" w:lineRule="auto"/>
              <w:ind w:firstLine="0"/>
              <w:jc w:val="center"/>
              <w:rPr>
                <w:rFonts w:cs="Times New Roman"/>
                <w:lang w:val="en-US"/>
              </w:rPr>
            </w:pPr>
            <w:r w:rsidRPr="00894A95">
              <w:rPr>
                <w:sz w:val="20"/>
                <w:szCs w:val="20"/>
              </w:rPr>
              <w:t>12.9</w:t>
            </w:r>
          </w:p>
        </w:tc>
        <w:tc>
          <w:tcPr>
            <w:tcW w:w="1171" w:type="dxa"/>
            <w:tcBorders>
              <w:top w:val="nil"/>
              <w:left w:val="nil"/>
              <w:bottom w:val="single" w:sz="8" w:space="0" w:color="auto"/>
              <w:right w:val="nil"/>
            </w:tcBorders>
            <w:shd w:val="clear" w:color="auto" w:fill="auto"/>
            <w:vAlign w:val="center"/>
            <w:hideMark/>
          </w:tcPr>
          <w:p w14:paraId="7C72B3E3" w14:textId="03C7EDBE" w:rsidR="00820654" w:rsidRPr="00D6171C" w:rsidRDefault="00820654" w:rsidP="00820654">
            <w:pPr>
              <w:spacing w:line="240" w:lineRule="auto"/>
              <w:ind w:firstLine="0"/>
              <w:jc w:val="center"/>
              <w:rPr>
                <w:rFonts w:cs="Times New Roman"/>
                <w:lang w:val="en-US"/>
              </w:rPr>
            </w:pPr>
            <w:r w:rsidRPr="00894A95">
              <w:rPr>
                <w:sz w:val="20"/>
                <w:szCs w:val="20"/>
              </w:rPr>
              <w:t>13.2</w:t>
            </w:r>
          </w:p>
        </w:tc>
      </w:tr>
      <w:tr w:rsidR="00820654" w:rsidRPr="00D6171C" w14:paraId="3EDC1B47" w14:textId="77777777" w:rsidTr="00D74C37">
        <w:trPr>
          <w:trHeight w:val="20"/>
        </w:trPr>
        <w:tc>
          <w:tcPr>
            <w:tcW w:w="3174" w:type="dxa"/>
            <w:tcBorders>
              <w:top w:val="nil"/>
              <w:left w:val="nil"/>
              <w:bottom w:val="single" w:sz="8" w:space="0" w:color="auto"/>
              <w:right w:val="nil"/>
            </w:tcBorders>
            <w:shd w:val="clear" w:color="auto" w:fill="auto"/>
            <w:vAlign w:val="center"/>
            <w:hideMark/>
          </w:tcPr>
          <w:p w14:paraId="65E8FDCC" w14:textId="06E79EBF" w:rsidR="00820654" w:rsidRPr="00D6171C" w:rsidRDefault="00820654" w:rsidP="00820654">
            <w:pPr>
              <w:spacing w:line="240" w:lineRule="auto"/>
              <w:ind w:firstLine="0"/>
              <w:jc w:val="left"/>
              <w:rPr>
                <w:rFonts w:cs="Times New Roman"/>
                <w:lang w:val="en-US"/>
              </w:rPr>
            </w:pPr>
            <w:r w:rsidRPr="005A68E6">
              <w:rPr>
                <w:color w:val="000000"/>
              </w:rPr>
              <w:t>Interest Payment / State Budget Expenditures (%)</w:t>
            </w:r>
          </w:p>
        </w:tc>
        <w:tc>
          <w:tcPr>
            <w:tcW w:w="1170" w:type="dxa"/>
            <w:tcBorders>
              <w:top w:val="nil"/>
              <w:left w:val="nil"/>
              <w:bottom w:val="single" w:sz="8" w:space="0" w:color="auto"/>
              <w:right w:val="double" w:sz="6" w:space="0" w:color="auto"/>
            </w:tcBorders>
            <w:shd w:val="clear" w:color="auto" w:fill="auto"/>
            <w:vAlign w:val="center"/>
            <w:hideMark/>
          </w:tcPr>
          <w:p w14:paraId="365D77F1" w14:textId="7B21AA93" w:rsidR="00820654" w:rsidRPr="00820654" w:rsidRDefault="00820654" w:rsidP="00820654">
            <w:pPr>
              <w:spacing w:line="240" w:lineRule="auto"/>
              <w:ind w:firstLine="0"/>
              <w:jc w:val="center"/>
              <w:rPr>
                <w:sz w:val="20"/>
                <w:szCs w:val="20"/>
              </w:rPr>
            </w:pPr>
            <w:r w:rsidRPr="00B559F2">
              <w:rPr>
                <w:sz w:val="20"/>
                <w:szCs w:val="20"/>
              </w:rPr>
              <w:t>12.2</w:t>
            </w:r>
          </w:p>
        </w:tc>
        <w:tc>
          <w:tcPr>
            <w:tcW w:w="1170" w:type="dxa"/>
            <w:tcBorders>
              <w:top w:val="nil"/>
              <w:left w:val="nil"/>
              <w:bottom w:val="single" w:sz="8" w:space="0" w:color="auto"/>
              <w:right w:val="nil"/>
            </w:tcBorders>
            <w:shd w:val="clear" w:color="auto" w:fill="auto"/>
            <w:vAlign w:val="center"/>
            <w:hideMark/>
          </w:tcPr>
          <w:p w14:paraId="3ACF238E" w14:textId="05069172" w:rsidR="00820654" w:rsidRPr="00820654" w:rsidRDefault="00820654" w:rsidP="00820654">
            <w:pPr>
              <w:spacing w:line="240" w:lineRule="auto"/>
              <w:ind w:firstLine="0"/>
              <w:jc w:val="center"/>
              <w:rPr>
                <w:sz w:val="20"/>
                <w:szCs w:val="20"/>
              </w:rPr>
            </w:pPr>
            <w:r w:rsidRPr="00B559F2">
              <w:rPr>
                <w:sz w:val="20"/>
                <w:szCs w:val="20"/>
              </w:rPr>
              <w:t>14.2</w:t>
            </w:r>
          </w:p>
        </w:tc>
        <w:tc>
          <w:tcPr>
            <w:tcW w:w="1170" w:type="dxa"/>
            <w:tcBorders>
              <w:top w:val="nil"/>
              <w:left w:val="nil"/>
              <w:bottom w:val="single" w:sz="8" w:space="0" w:color="auto"/>
              <w:right w:val="nil"/>
            </w:tcBorders>
            <w:shd w:val="clear" w:color="auto" w:fill="auto"/>
            <w:vAlign w:val="center"/>
            <w:hideMark/>
          </w:tcPr>
          <w:p w14:paraId="3793D19B" w14:textId="5A9DA0BB" w:rsidR="00820654" w:rsidRPr="00820654" w:rsidRDefault="00820654" w:rsidP="00820654">
            <w:pPr>
              <w:spacing w:line="240" w:lineRule="auto"/>
              <w:ind w:firstLine="0"/>
              <w:jc w:val="center"/>
              <w:rPr>
                <w:sz w:val="20"/>
                <w:szCs w:val="20"/>
              </w:rPr>
            </w:pPr>
            <w:r w:rsidRPr="00894A95">
              <w:rPr>
                <w:sz w:val="20"/>
                <w:szCs w:val="20"/>
              </w:rPr>
              <w:t>14.1</w:t>
            </w:r>
          </w:p>
        </w:tc>
        <w:tc>
          <w:tcPr>
            <w:tcW w:w="1170" w:type="dxa"/>
            <w:tcBorders>
              <w:top w:val="nil"/>
              <w:left w:val="nil"/>
              <w:bottom w:val="single" w:sz="8" w:space="0" w:color="auto"/>
              <w:right w:val="nil"/>
            </w:tcBorders>
            <w:shd w:val="clear" w:color="auto" w:fill="auto"/>
            <w:vAlign w:val="center"/>
            <w:hideMark/>
          </w:tcPr>
          <w:p w14:paraId="3CDD0B0A" w14:textId="72DFD3FB" w:rsidR="00820654" w:rsidRPr="00820654" w:rsidRDefault="00820654" w:rsidP="00820654">
            <w:pPr>
              <w:spacing w:line="240" w:lineRule="auto"/>
              <w:ind w:firstLine="0"/>
              <w:jc w:val="center"/>
              <w:rPr>
                <w:sz w:val="20"/>
                <w:szCs w:val="20"/>
              </w:rPr>
            </w:pPr>
            <w:r w:rsidRPr="00894A95">
              <w:rPr>
                <w:sz w:val="20"/>
                <w:szCs w:val="20"/>
              </w:rPr>
              <w:t>14.6</w:t>
            </w:r>
          </w:p>
        </w:tc>
        <w:tc>
          <w:tcPr>
            <w:tcW w:w="1171" w:type="dxa"/>
            <w:tcBorders>
              <w:top w:val="nil"/>
              <w:left w:val="nil"/>
              <w:bottom w:val="single" w:sz="8" w:space="0" w:color="auto"/>
              <w:right w:val="nil"/>
            </w:tcBorders>
            <w:shd w:val="clear" w:color="auto" w:fill="auto"/>
            <w:vAlign w:val="center"/>
            <w:hideMark/>
          </w:tcPr>
          <w:p w14:paraId="06FD4F69" w14:textId="5CE8E05E" w:rsidR="00820654" w:rsidRPr="00820654" w:rsidRDefault="00820654" w:rsidP="00820654">
            <w:pPr>
              <w:spacing w:line="240" w:lineRule="auto"/>
              <w:ind w:firstLine="0"/>
              <w:jc w:val="center"/>
              <w:rPr>
                <w:sz w:val="20"/>
                <w:szCs w:val="20"/>
              </w:rPr>
            </w:pPr>
            <w:r w:rsidRPr="00894A95">
              <w:rPr>
                <w:sz w:val="20"/>
                <w:szCs w:val="20"/>
              </w:rPr>
              <w:t>14.7</w:t>
            </w:r>
          </w:p>
        </w:tc>
      </w:tr>
    </w:tbl>
    <w:p w14:paraId="7AA7CF3D" w14:textId="37BCF7C0" w:rsidR="006F4A30" w:rsidRPr="0014286E" w:rsidRDefault="009E43A8" w:rsidP="0014286E">
      <w:pPr>
        <w:spacing w:before="120" w:after="240"/>
        <w:ind w:left="450" w:firstLine="0"/>
        <w:rPr>
          <w:lang w:val="en-US"/>
        </w:rPr>
      </w:pPr>
      <w:r w:rsidRPr="005A68E6">
        <w:rPr>
          <w:sz w:val="16"/>
          <w:lang w:val="en-US"/>
        </w:rPr>
        <w:t>Source: RA MoF calculations and forecasts</w:t>
      </w:r>
    </w:p>
    <w:p w14:paraId="2F6D5D91" w14:textId="78A72EB2" w:rsidR="001D792C" w:rsidRDefault="00477C60" w:rsidP="00A1274B">
      <w:r w:rsidRPr="00477C60">
        <w:t>Overall, under the baseline macroeconomic scenario, the Government debt-to-GDP ratio of the Republic of Armenia is projected to increase by an average of 0.9 percentage points annually over the medium term, reaching 55.4% by the end of 2028. The government debt interest payment-to-GDP ratio, interest payment-to-state budget revenue ratio, and interest payment-to-state budget expenditure ratio are expected to reach 3.8%, 13.2%, and 14.7%, respectively, by the end of the medium-term period. The selected debt strategy, developed under the baseline macroeconomic scenario, takes into account the potential of available financing sources and a comprehensive set of cost and risk indicators, aiming to meet the growing financing needs while containing the growth of the debt interest burden within acceptable risk levels.</w:t>
      </w:r>
    </w:p>
    <w:p w14:paraId="4E37B5D5" w14:textId="7758C4DB" w:rsidR="001D792C" w:rsidRPr="0070296A" w:rsidRDefault="00477C60" w:rsidP="00477C60">
      <w:r>
        <w:t xml:space="preserve">From a risk management perspective, exchange rate, refinancing, and interest rate risks have been </w:t>
      </w:r>
      <w:r w:rsidRPr="005A68E6">
        <w:rPr>
          <w:color w:val="000000"/>
          <w:lang w:val="en-US"/>
        </w:rPr>
        <w:t>highlighted</w:t>
      </w:r>
      <w:r>
        <w:t>.</w:t>
      </w:r>
    </w:p>
    <w:p w14:paraId="509507DD" w14:textId="04D0989F" w:rsidR="00025E2D" w:rsidRPr="00761AF1" w:rsidRDefault="00683AF1" w:rsidP="007E37AA">
      <w:pPr>
        <w:pStyle w:val="af8"/>
      </w:pPr>
      <w:r w:rsidRPr="00761AF1">
        <w:t xml:space="preserve">Exchange rate risk </w:t>
      </w:r>
    </w:p>
    <w:p w14:paraId="0D249BCB" w14:textId="6546D120" w:rsidR="00683AF1" w:rsidRPr="00683AF1" w:rsidRDefault="00683AF1" w:rsidP="00683AF1">
      <w:r w:rsidRPr="00683AF1">
        <w:t xml:space="preserve">The share of domestic debt in total debt is projected to decline at a moderate pace over the medium term—by an average of 0.9 percentage points per year—remaining within the established benchmark range and reaching 48.1% by the end of the period. This pace of decline in the share of domestic debt aligns with the volume of government bond placements consistent with </w:t>
      </w:r>
      <w:r>
        <w:rPr>
          <w:lang w:val="en-US"/>
        </w:rPr>
        <w:t>expected</w:t>
      </w:r>
      <w:r w:rsidRPr="00683AF1">
        <w:t xml:space="preserve"> market demand, as well as with a </w:t>
      </w:r>
      <w:r w:rsidR="00910926" w:rsidRPr="00683AF1">
        <w:t xml:space="preserve">volume of placements </w:t>
      </w:r>
      <w:r w:rsidRPr="00683AF1">
        <w:t xml:space="preserve">that </w:t>
      </w:r>
      <w:r w:rsidR="00910926">
        <w:rPr>
          <w:lang w:val="en-US"/>
        </w:rPr>
        <w:t>restrain</w:t>
      </w:r>
      <w:r w:rsidRPr="00683AF1">
        <w:t xml:space="preserve"> the growth of the interest payment over the medium term.</w:t>
      </w:r>
    </w:p>
    <w:p w14:paraId="4FE509C4" w14:textId="59CF8A74" w:rsidR="00025E2D" w:rsidRPr="009A39E4" w:rsidRDefault="00F93169" w:rsidP="00F93169">
      <w:pPr>
        <w:pStyle w:val="af6"/>
        <w:numPr>
          <w:ilvl w:val="0"/>
          <w:numId w:val="18"/>
        </w:numPr>
        <w:ind w:left="1276" w:hanging="1276"/>
      </w:pPr>
      <w:r w:rsidRPr="00F93169">
        <w:t>Shares of RA G</w:t>
      </w:r>
      <w:r>
        <w:t>overnment domestic and AMD-</w:t>
      </w:r>
      <w:r w:rsidRPr="00F93169">
        <w:t>denominated debt in total debt</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57"/>
        <w:gridCol w:w="1143"/>
        <w:gridCol w:w="950"/>
        <w:gridCol w:w="59"/>
        <w:gridCol w:w="910"/>
        <w:gridCol w:w="260"/>
        <w:gridCol w:w="715"/>
        <w:gridCol w:w="260"/>
      </w:tblGrid>
      <w:tr w:rsidR="00F93169" w:rsidRPr="0070296A" w14:paraId="7B196D2D" w14:textId="77777777" w:rsidTr="00F93169">
        <w:trPr>
          <w:trHeight w:val="780"/>
          <w:tblHeader/>
          <w:jc w:val="center"/>
        </w:trPr>
        <w:tc>
          <w:tcPr>
            <w:tcW w:w="4361" w:type="dxa"/>
            <w:tcBorders>
              <w:top w:val="thinThickThinSmallGap" w:sz="24" w:space="0" w:color="auto"/>
              <w:left w:val="nil"/>
              <w:bottom w:val="thinThickSmallGap" w:sz="24" w:space="0" w:color="auto"/>
              <w:right w:val="nil"/>
            </w:tcBorders>
            <w:shd w:val="clear" w:color="auto" w:fill="5B9BD5"/>
          </w:tcPr>
          <w:p w14:paraId="20B47727" w14:textId="77777777" w:rsidR="00F93169" w:rsidRPr="0070296A" w:rsidRDefault="00F93169" w:rsidP="00F93169">
            <w:pPr>
              <w:spacing w:line="240" w:lineRule="auto"/>
              <w:ind w:firstLine="20"/>
            </w:pPr>
          </w:p>
        </w:tc>
        <w:tc>
          <w:tcPr>
            <w:tcW w:w="957" w:type="dxa"/>
            <w:tcBorders>
              <w:top w:val="thinThickThinSmallGap" w:sz="24" w:space="0" w:color="auto"/>
              <w:left w:val="nil"/>
              <w:bottom w:val="thinThickSmallGap" w:sz="24" w:space="0" w:color="auto"/>
              <w:right w:val="nil"/>
            </w:tcBorders>
            <w:shd w:val="clear" w:color="auto" w:fill="5B9BD5"/>
            <w:vAlign w:val="center"/>
          </w:tcPr>
          <w:p w14:paraId="464BD7F4" w14:textId="3BA164EA" w:rsidR="00F93169" w:rsidRPr="0070296A" w:rsidRDefault="00F93169" w:rsidP="00F93169">
            <w:pPr>
              <w:spacing w:line="240" w:lineRule="auto"/>
              <w:ind w:firstLine="20"/>
              <w:jc w:val="center"/>
            </w:pPr>
            <w:r w:rsidRPr="00D6171C">
              <w:rPr>
                <w:rFonts w:cs="Times New Roman"/>
              </w:rPr>
              <w:t xml:space="preserve">2024 </w:t>
            </w:r>
            <w:r w:rsidRPr="005A68E6">
              <w:rPr>
                <w:lang w:val="en-US"/>
              </w:rPr>
              <w:t>actual</w:t>
            </w:r>
          </w:p>
        </w:tc>
        <w:tc>
          <w:tcPr>
            <w:tcW w:w="1143" w:type="dxa"/>
            <w:tcBorders>
              <w:top w:val="thinThickThinSmallGap" w:sz="24" w:space="0" w:color="auto"/>
              <w:left w:val="double" w:sz="4" w:space="0" w:color="auto"/>
              <w:bottom w:val="thinThickSmallGap" w:sz="24" w:space="0" w:color="auto"/>
              <w:right w:val="nil"/>
            </w:tcBorders>
            <w:shd w:val="clear" w:color="auto" w:fill="5B9BD5"/>
            <w:vAlign w:val="center"/>
          </w:tcPr>
          <w:p w14:paraId="58B463A9" w14:textId="2DB472CE" w:rsidR="00F93169" w:rsidRPr="0070296A" w:rsidRDefault="00F93169" w:rsidP="00F93169">
            <w:pPr>
              <w:spacing w:line="240" w:lineRule="auto"/>
              <w:ind w:firstLine="20"/>
              <w:jc w:val="center"/>
            </w:pPr>
            <w:r w:rsidRPr="00D6171C">
              <w:rPr>
                <w:rFonts w:cs="Times New Roman"/>
              </w:rPr>
              <w:t xml:space="preserve">2025 </w:t>
            </w:r>
            <w:r w:rsidRPr="005A68E6">
              <w:t>forecast</w:t>
            </w:r>
          </w:p>
        </w:tc>
        <w:tc>
          <w:tcPr>
            <w:tcW w:w="1009" w:type="dxa"/>
            <w:gridSpan w:val="2"/>
            <w:tcBorders>
              <w:top w:val="thinThickThinSmallGap" w:sz="24" w:space="0" w:color="auto"/>
              <w:left w:val="nil"/>
              <w:bottom w:val="thinThickSmallGap" w:sz="24" w:space="0" w:color="auto"/>
              <w:right w:val="nil"/>
            </w:tcBorders>
            <w:shd w:val="clear" w:color="auto" w:fill="5B9BD5"/>
            <w:vAlign w:val="center"/>
          </w:tcPr>
          <w:p w14:paraId="1B6034A5" w14:textId="1FCB7D0C" w:rsidR="00F93169" w:rsidRPr="0070296A" w:rsidRDefault="00F93169" w:rsidP="00F93169">
            <w:pPr>
              <w:spacing w:line="240" w:lineRule="auto"/>
              <w:ind w:firstLine="20"/>
              <w:jc w:val="center"/>
            </w:pPr>
            <w:r w:rsidRPr="00D6171C">
              <w:rPr>
                <w:rFonts w:cs="Times New Roman"/>
              </w:rPr>
              <w:t xml:space="preserve">2026 </w:t>
            </w:r>
            <w:r w:rsidRPr="005A68E6">
              <w:t>forecast</w:t>
            </w:r>
          </w:p>
        </w:tc>
        <w:tc>
          <w:tcPr>
            <w:tcW w:w="1170" w:type="dxa"/>
            <w:gridSpan w:val="2"/>
            <w:tcBorders>
              <w:top w:val="thinThickThinSmallGap" w:sz="24" w:space="0" w:color="auto"/>
              <w:left w:val="nil"/>
              <w:bottom w:val="thinThickSmallGap" w:sz="24" w:space="0" w:color="auto"/>
              <w:right w:val="nil"/>
            </w:tcBorders>
            <w:shd w:val="clear" w:color="auto" w:fill="5B9BD5"/>
            <w:vAlign w:val="center"/>
          </w:tcPr>
          <w:p w14:paraId="54D06725" w14:textId="0FA8F9C2" w:rsidR="00F93169" w:rsidRPr="0070296A" w:rsidRDefault="00F93169" w:rsidP="00F93169">
            <w:pPr>
              <w:spacing w:line="240" w:lineRule="auto"/>
              <w:ind w:firstLine="20"/>
              <w:jc w:val="center"/>
            </w:pPr>
            <w:r w:rsidRPr="00D6171C">
              <w:rPr>
                <w:rFonts w:cs="Times New Roman"/>
              </w:rPr>
              <w:t xml:space="preserve">2027 </w:t>
            </w:r>
            <w:r w:rsidRPr="005A68E6">
              <w:t>forecast</w:t>
            </w:r>
          </w:p>
        </w:tc>
        <w:tc>
          <w:tcPr>
            <w:tcW w:w="975" w:type="dxa"/>
            <w:gridSpan w:val="2"/>
            <w:tcBorders>
              <w:top w:val="thinThickThinSmallGap" w:sz="24" w:space="0" w:color="auto"/>
              <w:left w:val="nil"/>
              <w:bottom w:val="thinThickSmallGap" w:sz="24" w:space="0" w:color="auto"/>
              <w:right w:val="nil"/>
            </w:tcBorders>
            <w:shd w:val="clear" w:color="auto" w:fill="5B9BD5"/>
            <w:vAlign w:val="center"/>
          </w:tcPr>
          <w:p w14:paraId="5A11E20A" w14:textId="7D9B45A4" w:rsidR="00F93169" w:rsidRPr="0070296A" w:rsidRDefault="00F93169" w:rsidP="00F93169">
            <w:pPr>
              <w:spacing w:line="240" w:lineRule="auto"/>
              <w:ind w:firstLine="20"/>
              <w:jc w:val="center"/>
            </w:pPr>
            <w:r w:rsidRPr="00D6171C">
              <w:rPr>
                <w:rFonts w:cs="Times New Roman"/>
              </w:rPr>
              <w:t>20</w:t>
            </w:r>
            <w:r>
              <w:rPr>
                <w:rFonts w:cs="Times New Roman"/>
                <w:lang w:val="en-US"/>
              </w:rPr>
              <w:t>28</w:t>
            </w:r>
            <w:r w:rsidRPr="00D6171C">
              <w:rPr>
                <w:rFonts w:cs="Times New Roman"/>
              </w:rPr>
              <w:t xml:space="preserve"> </w:t>
            </w:r>
            <w:r w:rsidRPr="005A68E6">
              <w:t>forecast</w:t>
            </w:r>
          </w:p>
        </w:tc>
      </w:tr>
      <w:tr w:rsidR="00F93169" w:rsidRPr="0070296A" w14:paraId="163C74C3" w14:textId="77777777" w:rsidTr="00F93169">
        <w:trPr>
          <w:gridAfter w:val="1"/>
          <w:wAfter w:w="260" w:type="dxa"/>
          <w:trHeight w:val="393"/>
          <w:jc w:val="center"/>
        </w:trPr>
        <w:tc>
          <w:tcPr>
            <w:tcW w:w="4361" w:type="dxa"/>
            <w:tcBorders>
              <w:top w:val="thinThickSmallGap" w:sz="24" w:space="0" w:color="auto"/>
              <w:left w:val="nil"/>
              <w:bottom w:val="single" w:sz="4" w:space="0" w:color="auto"/>
              <w:right w:val="nil"/>
            </w:tcBorders>
            <w:vAlign w:val="center"/>
          </w:tcPr>
          <w:p w14:paraId="197E457F" w14:textId="18AA0766" w:rsidR="00F93169" w:rsidRPr="0070296A" w:rsidRDefault="00F93169" w:rsidP="00F93169">
            <w:pPr>
              <w:spacing w:line="240" w:lineRule="auto"/>
              <w:ind w:firstLine="20"/>
              <w:jc w:val="left"/>
            </w:pPr>
            <w:r w:rsidRPr="005A68E6">
              <w:rPr>
                <w:color w:val="000000"/>
              </w:rPr>
              <w:t>AMD denominated debt / Total debt (%)</w:t>
            </w:r>
          </w:p>
        </w:tc>
        <w:tc>
          <w:tcPr>
            <w:tcW w:w="957" w:type="dxa"/>
            <w:tcBorders>
              <w:top w:val="thinThickSmallGap" w:sz="24" w:space="0" w:color="auto"/>
              <w:left w:val="nil"/>
              <w:bottom w:val="single" w:sz="4" w:space="0" w:color="auto"/>
              <w:right w:val="nil"/>
            </w:tcBorders>
            <w:vAlign w:val="center"/>
          </w:tcPr>
          <w:p w14:paraId="1C3CCD37" w14:textId="6BF529AD" w:rsidR="00F93169" w:rsidRPr="00021774" w:rsidRDefault="00F93169" w:rsidP="00F93169">
            <w:pPr>
              <w:spacing w:line="240" w:lineRule="auto"/>
              <w:ind w:firstLine="20"/>
              <w:jc w:val="center"/>
              <w:rPr>
                <w:sz w:val="20"/>
                <w:szCs w:val="20"/>
                <w:lang w:val="en-US"/>
              </w:rPr>
            </w:pPr>
            <w:r>
              <w:rPr>
                <w:sz w:val="20"/>
                <w:szCs w:val="20"/>
                <w:lang w:val="en-US"/>
              </w:rPr>
              <w:t>50.8</w:t>
            </w:r>
          </w:p>
        </w:tc>
        <w:tc>
          <w:tcPr>
            <w:tcW w:w="1143" w:type="dxa"/>
            <w:tcBorders>
              <w:top w:val="thinThickSmallGap" w:sz="24" w:space="0" w:color="auto"/>
              <w:left w:val="double" w:sz="4" w:space="0" w:color="auto"/>
              <w:bottom w:val="single" w:sz="4" w:space="0" w:color="auto"/>
              <w:right w:val="nil"/>
            </w:tcBorders>
            <w:vAlign w:val="center"/>
          </w:tcPr>
          <w:p w14:paraId="10F76C46" w14:textId="2A904CC8" w:rsidR="00F93169" w:rsidRPr="00021774" w:rsidRDefault="00F93169" w:rsidP="00F93169">
            <w:pPr>
              <w:spacing w:line="240" w:lineRule="auto"/>
              <w:ind w:firstLine="20"/>
              <w:jc w:val="center"/>
              <w:rPr>
                <w:sz w:val="20"/>
                <w:szCs w:val="20"/>
                <w:lang w:val="en-US"/>
              </w:rPr>
            </w:pPr>
            <w:r w:rsidRPr="00021774">
              <w:rPr>
                <w:sz w:val="20"/>
                <w:szCs w:val="20"/>
              </w:rPr>
              <w:t>48.0</w:t>
            </w:r>
          </w:p>
        </w:tc>
        <w:tc>
          <w:tcPr>
            <w:tcW w:w="950" w:type="dxa"/>
            <w:tcBorders>
              <w:top w:val="thinThickSmallGap" w:sz="24" w:space="0" w:color="auto"/>
              <w:left w:val="nil"/>
              <w:bottom w:val="single" w:sz="4" w:space="0" w:color="auto"/>
              <w:right w:val="nil"/>
            </w:tcBorders>
            <w:vAlign w:val="center"/>
          </w:tcPr>
          <w:p w14:paraId="7F016449" w14:textId="36C465E5" w:rsidR="00F93169" w:rsidRPr="002659D1" w:rsidRDefault="00F93169" w:rsidP="00F93169">
            <w:pPr>
              <w:spacing w:line="240" w:lineRule="auto"/>
              <w:ind w:firstLine="0"/>
              <w:jc w:val="center"/>
              <w:rPr>
                <w:sz w:val="20"/>
                <w:szCs w:val="20"/>
                <w:lang w:val="en-US"/>
              </w:rPr>
            </w:pPr>
            <w:r w:rsidRPr="002659D1">
              <w:rPr>
                <w:sz w:val="20"/>
                <w:szCs w:val="20"/>
              </w:rPr>
              <w:t>48.0</w:t>
            </w:r>
          </w:p>
        </w:tc>
        <w:tc>
          <w:tcPr>
            <w:tcW w:w="969" w:type="dxa"/>
            <w:gridSpan w:val="2"/>
            <w:tcBorders>
              <w:top w:val="thinThickSmallGap" w:sz="24" w:space="0" w:color="auto"/>
              <w:left w:val="nil"/>
              <w:bottom w:val="single" w:sz="4" w:space="0" w:color="auto"/>
              <w:right w:val="nil"/>
            </w:tcBorders>
            <w:vAlign w:val="center"/>
          </w:tcPr>
          <w:p w14:paraId="737140D3" w14:textId="51B67A59" w:rsidR="00F93169" w:rsidRPr="002659D1" w:rsidRDefault="00F93169" w:rsidP="00F93169">
            <w:pPr>
              <w:spacing w:line="240" w:lineRule="auto"/>
              <w:ind w:firstLine="20"/>
              <w:jc w:val="center"/>
              <w:rPr>
                <w:sz w:val="20"/>
                <w:szCs w:val="20"/>
                <w:lang w:val="en-US"/>
              </w:rPr>
            </w:pPr>
            <w:r w:rsidRPr="002659D1">
              <w:rPr>
                <w:sz w:val="20"/>
                <w:szCs w:val="20"/>
              </w:rPr>
              <w:t>48.1</w:t>
            </w:r>
          </w:p>
        </w:tc>
        <w:tc>
          <w:tcPr>
            <w:tcW w:w="975" w:type="dxa"/>
            <w:gridSpan w:val="2"/>
            <w:tcBorders>
              <w:top w:val="thinThickSmallGap" w:sz="24" w:space="0" w:color="auto"/>
              <w:left w:val="nil"/>
              <w:bottom w:val="single" w:sz="4" w:space="0" w:color="auto"/>
              <w:right w:val="nil"/>
            </w:tcBorders>
            <w:vAlign w:val="center"/>
          </w:tcPr>
          <w:p w14:paraId="5AD0C5AD" w14:textId="40FF9643" w:rsidR="00F93169" w:rsidRPr="002659D1" w:rsidRDefault="00F93169" w:rsidP="00F93169">
            <w:pPr>
              <w:spacing w:line="240" w:lineRule="auto"/>
              <w:ind w:firstLine="20"/>
              <w:jc w:val="center"/>
              <w:rPr>
                <w:sz w:val="20"/>
                <w:szCs w:val="20"/>
                <w:lang w:val="en-US"/>
              </w:rPr>
            </w:pPr>
            <w:r w:rsidRPr="002659D1">
              <w:rPr>
                <w:sz w:val="20"/>
                <w:szCs w:val="20"/>
              </w:rPr>
              <w:t>47.3</w:t>
            </w:r>
          </w:p>
        </w:tc>
      </w:tr>
      <w:tr w:rsidR="00F93169" w:rsidRPr="0070296A" w14:paraId="104303E0" w14:textId="77777777" w:rsidTr="00F93169">
        <w:trPr>
          <w:gridAfter w:val="1"/>
          <w:wAfter w:w="260" w:type="dxa"/>
          <w:trHeight w:val="439"/>
          <w:jc w:val="center"/>
        </w:trPr>
        <w:tc>
          <w:tcPr>
            <w:tcW w:w="4361" w:type="dxa"/>
            <w:tcBorders>
              <w:top w:val="single" w:sz="4" w:space="0" w:color="auto"/>
              <w:left w:val="nil"/>
              <w:bottom w:val="thickThinSmallGap" w:sz="24" w:space="0" w:color="auto"/>
              <w:right w:val="nil"/>
            </w:tcBorders>
            <w:vAlign w:val="center"/>
          </w:tcPr>
          <w:p w14:paraId="28581A6F" w14:textId="4391C17B" w:rsidR="00F93169" w:rsidRPr="0070296A" w:rsidRDefault="00F93169" w:rsidP="00F93169">
            <w:pPr>
              <w:spacing w:line="240" w:lineRule="auto"/>
              <w:ind w:firstLine="20"/>
              <w:jc w:val="left"/>
            </w:pPr>
            <w:r w:rsidRPr="005A68E6">
              <w:rPr>
                <w:color w:val="000000"/>
              </w:rPr>
              <w:t>Domestic debt / Total debt (%)</w:t>
            </w:r>
          </w:p>
        </w:tc>
        <w:tc>
          <w:tcPr>
            <w:tcW w:w="957" w:type="dxa"/>
            <w:tcBorders>
              <w:top w:val="single" w:sz="4" w:space="0" w:color="auto"/>
              <w:left w:val="nil"/>
              <w:bottom w:val="thickThinSmallGap" w:sz="24" w:space="0" w:color="auto"/>
              <w:right w:val="nil"/>
            </w:tcBorders>
            <w:vAlign w:val="center"/>
          </w:tcPr>
          <w:p w14:paraId="56FAD3A3" w14:textId="3EFC75A2" w:rsidR="00F93169" w:rsidRPr="00021774" w:rsidRDefault="00F93169" w:rsidP="00F93169">
            <w:pPr>
              <w:spacing w:line="240" w:lineRule="auto"/>
              <w:ind w:firstLine="20"/>
              <w:jc w:val="center"/>
              <w:rPr>
                <w:sz w:val="20"/>
                <w:szCs w:val="20"/>
                <w:lang w:val="en-US"/>
              </w:rPr>
            </w:pPr>
            <w:r>
              <w:rPr>
                <w:sz w:val="20"/>
                <w:szCs w:val="20"/>
                <w:lang w:val="en-US"/>
              </w:rPr>
              <w:t>51.8</w:t>
            </w:r>
          </w:p>
        </w:tc>
        <w:tc>
          <w:tcPr>
            <w:tcW w:w="1143" w:type="dxa"/>
            <w:tcBorders>
              <w:top w:val="single" w:sz="4" w:space="0" w:color="auto"/>
              <w:left w:val="double" w:sz="4" w:space="0" w:color="auto"/>
              <w:bottom w:val="thickThinSmallGap" w:sz="24" w:space="0" w:color="auto"/>
              <w:right w:val="nil"/>
            </w:tcBorders>
            <w:vAlign w:val="center"/>
          </w:tcPr>
          <w:p w14:paraId="68A6208E" w14:textId="4C548E76" w:rsidR="00F93169" w:rsidRPr="00021774" w:rsidRDefault="00F93169" w:rsidP="00F93169">
            <w:pPr>
              <w:spacing w:line="240" w:lineRule="auto"/>
              <w:ind w:firstLine="20"/>
              <w:jc w:val="center"/>
              <w:rPr>
                <w:sz w:val="20"/>
                <w:szCs w:val="20"/>
                <w:lang w:val="en-US"/>
              </w:rPr>
            </w:pPr>
            <w:r w:rsidRPr="00021774">
              <w:rPr>
                <w:sz w:val="20"/>
                <w:szCs w:val="20"/>
              </w:rPr>
              <w:t>50.0</w:t>
            </w:r>
          </w:p>
        </w:tc>
        <w:tc>
          <w:tcPr>
            <w:tcW w:w="950" w:type="dxa"/>
            <w:tcBorders>
              <w:top w:val="single" w:sz="4" w:space="0" w:color="auto"/>
              <w:left w:val="nil"/>
              <w:bottom w:val="thickThinSmallGap" w:sz="24" w:space="0" w:color="auto"/>
              <w:right w:val="nil"/>
            </w:tcBorders>
            <w:vAlign w:val="center"/>
          </w:tcPr>
          <w:p w14:paraId="483BCAB7" w14:textId="7E481DA1" w:rsidR="00F93169" w:rsidRPr="002659D1" w:rsidRDefault="00F93169" w:rsidP="00F93169">
            <w:pPr>
              <w:spacing w:line="240" w:lineRule="auto"/>
              <w:ind w:firstLine="20"/>
              <w:jc w:val="center"/>
              <w:rPr>
                <w:sz w:val="20"/>
                <w:szCs w:val="20"/>
                <w:lang w:val="en-US"/>
              </w:rPr>
            </w:pPr>
            <w:r w:rsidRPr="002659D1">
              <w:rPr>
                <w:sz w:val="20"/>
                <w:szCs w:val="20"/>
              </w:rPr>
              <w:t>49.7</w:t>
            </w:r>
          </w:p>
        </w:tc>
        <w:tc>
          <w:tcPr>
            <w:tcW w:w="969" w:type="dxa"/>
            <w:gridSpan w:val="2"/>
            <w:tcBorders>
              <w:top w:val="single" w:sz="4" w:space="0" w:color="auto"/>
              <w:left w:val="nil"/>
              <w:bottom w:val="thickThinSmallGap" w:sz="24" w:space="0" w:color="auto"/>
              <w:right w:val="nil"/>
            </w:tcBorders>
            <w:vAlign w:val="center"/>
          </w:tcPr>
          <w:p w14:paraId="38DCB43C" w14:textId="7E0A840C" w:rsidR="00F93169" w:rsidRPr="002659D1" w:rsidRDefault="00F93169" w:rsidP="00F93169">
            <w:pPr>
              <w:spacing w:line="240" w:lineRule="auto"/>
              <w:ind w:firstLine="20"/>
              <w:jc w:val="center"/>
              <w:rPr>
                <w:sz w:val="20"/>
                <w:szCs w:val="20"/>
                <w:lang w:val="en-US"/>
              </w:rPr>
            </w:pPr>
            <w:r w:rsidRPr="002659D1">
              <w:rPr>
                <w:sz w:val="20"/>
                <w:szCs w:val="20"/>
              </w:rPr>
              <w:t>49.3</w:t>
            </w:r>
          </w:p>
        </w:tc>
        <w:tc>
          <w:tcPr>
            <w:tcW w:w="975" w:type="dxa"/>
            <w:gridSpan w:val="2"/>
            <w:tcBorders>
              <w:top w:val="single" w:sz="4" w:space="0" w:color="auto"/>
              <w:left w:val="nil"/>
              <w:bottom w:val="thickThinSmallGap" w:sz="24" w:space="0" w:color="auto"/>
              <w:right w:val="nil"/>
            </w:tcBorders>
            <w:vAlign w:val="center"/>
          </w:tcPr>
          <w:p w14:paraId="05FB2EE7" w14:textId="55B15AF4" w:rsidR="00F93169" w:rsidRPr="002659D1" w:rsidRDefault="00F93169" w:rsidP="00F93169">
            <w:pPr>
              <w:spacing w:line="240" w:lineRule="auto"/>
              <w:ind w:firstLine="20"/>
              <w:jc w:val="center"/>
              <w:rPr>
                <w:sz w:val="20"/>
                <w:szCs w:val="20"/>
                <w:lang w:val="en-US"/>
              </w:rPr>
            </w:pPr>
            <w:r w:rsidRPr="002659D1">
              <w:rPr>
                <w:sz w:val="20"/>
                <w:szCs w:val="20"/>
              </w:rPr>
              <w:t>48.1</w:t>
            </w:r>
          </w:p>
        </w:tc>
      </w:tr>
    </w:tbl>
    <w:p w14:paraId="208E111D" w14:textId="77777777" w:rsidR="00F93169" w:rsidRPr="005A68E6" w:rsidRDefault="00F93169" w:rsidP="00F93169">
      <w:pPr>
        <w:spacing w:before="120"/>
        <w:ind w:firstLine="180"/>
        <w:rPr>
          <w:sz w:val="16"/>
          <w:lang w:val="en-US"/>
        </w:rPr>
      </w:pPr>
      <w:r w:rsidRPr="005A68E6">
        <w:rPr>
          <w:sz w:val="16"/>
          <w:lang w:val="en-US"/>
        </w:rPr>
        <w:t>Source: RA MoF calculations and forecasts</w:t>
      </w:r>
    </w:p>
    <w:p w14:paraId="55587B50" w14:textId="77777777" w:rsidR="006F4A30" w:rsidRPr="00F93169" w:rsidRDefault="006F4A30" w:rsidP="00A1274B">
      <w:pPr>
        <w:rPr>
          <w:color w:val="FF0000"/>
          <w:sz w:val="8"/>
          <w:szCs w:val="8"/>
          <w:lang w:val="en-US"/>
        </w:rPr>
      </w:pPr>
    </w:p>
    <w:p w14:paraId="3B807FC0" w14:textId="77777777" w:rsidR="00DE7AA9" w:rsidRDefault="00DE7AA9" w:rsidP="00A1274B">
      <w:r>
        <w:lastRenderedPageBreak/>
        <w:t>To manage exchange rate risk and contain the growth of interest payments, the share of AMD-denominated debt in total debt is projected to decrease by an average of 0.9 percentage points annually over the medium term.</w:t>
      </w:r>
    </w:p>
    <w:p w14:paraId="4EEED46C" w14:textId="5C3FE8FD" w:rsidR="00DE7AA9" w:rsidRPr="0070296A" w:rsidRDefault="00DE7AA9" w:rsidP="00DE7AA9">
      <w:r>
        <w:rPr>
          <w:lang w:val="en-US"/>
        </w:rPr>
        <w:t>T</w:t>
      </w:r>
      <w:r>
        <w:t>he share of foreign currency debt is projected to increase by 3.4 percentage points compared to the end of 2024, reaching 52.7%</w:t>
      </w:r>
      <w:r>
        <w:rPr>
          <w:lang w:val="en-US"/>
        </w:rPr>
        <w:t xml:space="preserve"> by the end of 2028</w:t>
      </w:r>
      <w:r>
        <w:t>. Therefore, exchange rate risk in the</w:t>
      </w:r>
      <w:r>
        <w:rPr>
          <w:lang w:val="en-US"/>
        </w:rPr>
        <w:t xml:space="preserve"> RA</w:t>
      </w:r>
      <w:r>
        <w:t xml:space="preserve"> Government debt portfolio is expected to remain a significant risk in the coming years.</w:t>
      </w:r>
    </w:p>
    <w:p w14:paraId="624484AF" w14:textId="2D30212F" w:rsidR="00025E2D" w:rsidRPr="0070296A" w:rsidRDefault="00C10F26" w:rsidP="00C10F26">
      <w:pPr>
        <w:pStyle w:val="af6"/>
        <w:numPr>
          <w:ilvl w:val="0"/>
          <w:numId w:val="18"/>
        </w:numPr>
        <w:ind w:left="1276" w:hanging="1276"/>
      </w:pPr>
      <w:r w:rsidRPr="00C10F26">
        <w:t>S</w:t>
      </w:r>
      <w:r w:rsidRPr="00803D9A">
        <w:t>tructure of the RA G</w:t>
      </w:r>
      <w:r w:rsidRPr="00C10F26">
        <w:t>overnmen</w:t>
      </w:r>
      <w:r>
        <w:t>t foreign currency debt</w:t>
      </w:r>
      <w:r w:rsidRPr="00C10F26">
        <w:t xml:space="preserve"> at year end, 2024-2028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1260"/>
        <w:gridCol w:w="1483"/>
        <w:gridCol w:w="1080"/>
        <w:gridCol w:w="1277"/>
        <w:gridCol w:w="1457"/>
      </w:tblGrid>
      <w:tr w:rsidR="00F93169" w:rsidRPr="0070296A" w14:paraId="21800663" w14:textId="77777777" w:rsidTr="0014286E">
        <w:trPr>
          <w:trHeight w:val="720"/>
          <w:tblHeader/>
          <w:jc w:val="center"/>
        </w:trPr>
        <w:tc>
          <w:tcPr>
            <w:tcW w:w="1530" w:type="dxa"/>
            <w:tcBorders>
              <w:top w:val="thinThickThinSmallGap" w:sz="24" w:space="0" w:color="auto"/>
              <w:left w:val="nil"/>
              <w:bottom w:val="thinThickSmallGap" w:sz="24" w:space="0" w:color="auto"/>
              <w:right w:val="nil"/>
            </w:tcBorders>
            <w:shd w:val="clear" w:color="auto" w:fill="5B9BD5"/>
          </w:tcPr>
          <w:p w14:paraId="79A32A40" w14:textId="77777777" w:rsidR="00F93169" w:rsidRPr="0070296A" w:rsidRDefault="00F93169" w:rsidP="00F93169">
            <w:pPr>
              <w:spacing w:line="240" w:lineRule="auto"/>
              <w:ind w:firstLine="6"/>
            </w:pPr>
          </w:p>
        </w:tc>
        <w:tc>
          <w:tcPr>
            <w:tcW w:w="1260" w:type="dxa"/>
            <w:tcBorders>
              <w:top w:val="thinThickThinSmallGap" w:sz="24" w:space="0" w:color="auto"/>
              <w:left w:val="nil"/>
              <w:bottom w:val="thinThickSmallGap" w:sz="24" w:space="0" w:color="auto"/>
              <w:right w:val="nil"/>
            </w:tcBorders>
            <w:shd w:val="clear" w:color="auto" w:fill="5B9BD5"/>
            <w:vAlign w:val="center"/>
          </w:tcPr>
          <w:p w14:paraId="0398E30C" w14:textId="0B9F91B0" w:rsidR="00F93169" w:rsidRPr="0070296A" w:rsidRDefault="00F93169" w:rsidP="00F93169">
            <w:pPr>
              <w:spacing w:line="240" w:lineRule="auto"/>
              <w:ind w:firstLine="6"/>
              <w:jc w:val="center"/>
            </w:pPr>
            <w:r w:rsidRPr="00D6171C">
              <w:rPr>
                <w:rFonts w:cs="Times New Roman"/>
              </w:rPr>
              <w:t xml:space="preserve">2024 </w:t>
            </w:r>
            <w:r w:rsidRPr="005A68E6">
              <w:rPr>
                <w:lang w:val="en-US"/>
              </w:rPr>
              <w:t>actual</w:t>
            </w:r>
          </w:p>
        </w:tc>
        <w:tc>
          <w:tcPr>
            <w:tcW w:w="1483" w:type="dxa"/>
            <w:tcBorders>
              <w:top w:val="thinThickThinSmallGap" w:sz="24" w:space="0" w:color="auto"/>
              <w:left w:val="double" w:sz="4" w:space="0" w:color="auto"/>
              <w:bottom w:val="thinThickSmallGap" w:sz="24" w:space="0" w:color="auto"/>
              <w:right w:val="nil"/>
            </w:tcBorders>
            <w:shd w:val="clear" w:color="auto" w:fill="5B9BD5"/>
            <w:vAlign w:val="center"/>
          </w:tcPr>
          <w:p w14:paraId="11169EB7" w14:textId="6159E0FB" w:rsidR="00F93169" w:rsidRPr="0070296A" w:rsidRDefault="00F93169" w:rsidP="00F93169">
            <w:pPr>
              <w:spacing w:line="240" w:lineRule="auto"/>
              <w:ind w:firstLine="6"/>
              <w:jc w:val="center"/>
            </w:pPr>
            <w:r w:rsidRPr="00D6171C">
              <w:rPr>
                <w:rFonts w:cs="Times New Roman"/>
              </w:rPr>
              <w:t xml:space="preserve">2025 </w:t>
            </w:r>
            <w:r w:rsidRPr="005A68E6">
              <w:t>forecast</w:t>
            </w:r>
          </w:p>
        </w:tc>
        <w:tc>
          <w:tcPr>
            <w:tcW w:w="1080" w:type="dxa"/>
            <w:tcBorders>
              <w:top w:val="thinThickThinSmallGap" w:sz="24" w:space="0" w:color="auto"/>
              <w:left w:val="nil"/>
              <w:bottom w:val="thinThickSmallGap" w:sz="24" w:space="0" w:color="auto"/>
              <w:right w:val="nil"/>
            </w:tcBorders>
            <w:shd w:val="clear" w:color="auto" w:fill="5B9BD5"/>
            <w:vAlign w:val="center"/>
          </w:tcPr>
          <w:p w14:paraId="2BD381D6" w14:textId="6792C998" w:rsidR="00F93169" w:rsidRPr="0070296A" w:rsidRDefault="00F93169" w:rsidP="00F93169">
            <w:pPr>
              <w:spacing w:line="240" w:lineRule="auto"/>
              <w:ind w:firstLine="6"/>
              <w:jc w:val="center"/>
            </w:pPr>
            <w:r w:rsidRPr="00D6171C">
              <w:rPr>
                <w:rFonts w:cs="Times New Roman"/>
              </w:rPr>
              <w:t xml:space="preserve">2026 </w:t>
            </w:r>
            <w:r w:rsidRPr="005A68E6">
              <w:t>forecast</w:t>
            </w:r>
          </w:p>
        </w:tc>
        <w:tc>
          <w:tcPr>
            <w:tcW w:w="1277" w:type="dxa"/>
            <w:tcBorders>
              <w:top w:val="thinThickThinSmallGap" w:sz="24" w:space="0" w:color="auto"/>
              <w:left w:val="nil"/>
              <w:bottom w:val="thinThickSmallGap" w:sz="24" w:space="0" w:color="auto"/>
              <w:right w:val="nil"/>
            </w:tcBorders>
            <w:shd w:val="clear" w:color="auto" w:fill="5B9BD5"/>
            <w:vAlign w:val="center"/>
          </w:tcPr>
          <w:p w14:paraId="6C28C0C9" w14:textId="6CB00F66" w:rsidR="00F93169" w:rsidRPr="0070296A" w:rsidRDefault="00F93169" w:rsidP="00F93169">
            <w:pPr>
              <w:spacing w:line="240" w:lineRule="auto"/>
              <w:ind w:firstLine="6"/>
              <w:jc w:val="center"/>
            </w:pPr>
            <w:r w:rsidRPr="00D6171C">
              <w:rPr>
                <w:rFonts w:cs="Times New Roman"/>
              </w:rPr>
              <w:t xml:space="preserve">2027 </w:t>
            </w:r>
            <w:r w:rsidRPr="005A68E6">
              <w:t>forecast</w:t>
            </w:r>
          </w:p>
        </w:tc>
        <w:tc>
          <w:tcPr>
            <w:tcW w:w="1457" w:type="dxa"/>
            <w:tcBorders>
              <w:top w:val="thinThickThinSmallGap" w:sz="24" w:space="0" w:color="auto"/>
              <w:left w:val="nil"/>
              <w:bottom w:val="thinThickSmallGap" w:sz="24" w:space="0" w:color="auto"/>
              <w:right w:val="nil"/>
            </w:tcBorders>
            <w:shd w:val="clear" w:color="auto" w:fill="5B9BD5"/>
            <w:vAlign w:val="center"/>
          </w:tcPr>
          <w:p w14:paraId="7278DB3F" w14:textId="25C4CCDE" w:rsidR="00F93169" w:rsidRPr="0070296A" w:rsidRDefault="00F93169" w:rsidP="00F93169">
            <w:pPr>
              <w:spacing w:line="240" w:lineRule="auto"/>
              <w:ind w:firstLine="6"/>
              <w:jc w:val="center"/>
            </w:pPr>
            <w:r w:rsidRPr="00D6171C">
              <w:rPr>
                <w:rFonts w:cs="Times New Roman"/>
              </w:rPr>
              <w:t>20</w:t>
            </w:r>
            <w:r>
              <w:rPr>
                <w:rFonts w:cs="Times New Roman"/>
                <w:lang w:val="en-US"/>
              </w:rPr>
              <w:t>28</w:t>
            </w:r>
            <w:r w:rsidRPr="00D6171C">
              <w:rPr>
                <w:rFonts w:cs="Times New Roman"/>
              </w:rPr>
              <w:t xml:space="preserve"> </w:t>
            </w:r>
            <w:r w:rsidRPr="005A68E6">
              <w:t>forecast</w:t>
            </w:r>
          </w:p>
        </w:tc>
      </w:tr>
      <w:tr w:rsidR="003A1F19" w:rsidRPr="00E06CCC" w14:paraId="1A284EE8" w14:textId="77777777" w:rsidTr="0014286E">
        <w:trPr>
          <w:jc w:val="center"/>
        </w:trPr>
        <w:tc>
          <w:tcPr>
            <w:tcW w:w="1530" w:type="dxa"/>
            <w:tcBorders>
              <w:top w:val="thinThickSmallGap" w:sz="24" w:space="0" w:color="auto"/>
              <w:left w:val="nil"/>
              <w:right w:val="nil"/>
            </w:tcBorders>
          </w:tcPr>
          <w:p w14:paraId="4781B93D" w14:textId="77777777" w:rsidR="003A1F19" w:rsidRPr="0070296A" w:rsidRDefault="003A1F19" w:rsidP="003A1F19">
            <w:pPr>
              <w:spacing w:line="240" w:lineRule="auto"/>
              <w:ind w:firstLine="6"/>
              <w:jc w:val="center"/>
            </w:pPr>
            <w:r w:rsidRPr="0070296A">
              <w:t>USD</w:t>
            </w:r>
          </w:p>
        </w:tc>
        <w:tc>
          <w:tcPr>
            <w:tcW w:w="1260" w:type="dxa"/>
            <w:tcBorders>
              <w:top w:val="thinThickSmallGap" w:sz="24" w:space="0" w:color="auto"/>
              <w:left w:val="nil"/>
              <w:right w:val="nil"/>
            </w:tcBorders>
            <w:vAlign w:val="center"/>
          </w:tcPr>
          <w:p w14:paraId="56AC389E" w14:textId="397990B7"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57.</w:t>
            </w:r>
            <w:r w:rsidR="006672FA">
              <w:rPr>
                <w:color w:val="000000" w:themeColor="text1"/>
                <w:sz w:val="20"/>
                <w:szCs w:val="20"/>
              </w:rPr>
              <w:t>3</w:t>
            </w:r>
          </w:p>
        </w:tc>
        <w:tc>
          <w:tcPr>
            <w:tcW w:w="1483" w:type="dxa"/>
            <w:tcBorders>
              <w:top w:val="thinThickSmallGap" w:sz="24" w:space="0" w:color="auto"/>
              <w:left w:val="double" w:sz="4" w:space="0" w:color="auto"/>
              <w:right w:val="nil"/>
            </w:tcBorders>
            <w:vAlign w:val="center"/>
          </w:tcPr>
          <w:p w14:paraId="60509DAC" w14:textId="14534BF6"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54.1</w:t>
            </w:r>
          </w:p>
        </w:tc>
        <w:tc>
          <w:tcPr>
            <w:tcW w:w="1080" w:type="dxa"/>
            <w:tcBorders>
              <w:top w:val="thinThickSmallGap" w:sz="24" w:space="0" w:color="auto"/>
              <w:left w:val="nil"/>
              <w:right w:val="nil"/>
            </w:tcBorders>
            <w:vAlign w:val="center"/>
          </w:tcPr>
          <w:p w14:paraId="0FBDB9D0" w14:textId="71EBA041" w:rsidR="003A1F19" w:rsidRPr="003A1F19" w:rsidRDefault="003A1F19" w:rsidP="003A1F19">
            <w:pPr>
              <w:spacing w:line="240" w:lineRule="auto"/>
              <w:ind w:firstLine="6"/>
              <w:jc w:val="center"/>
              <w:rPr>
                <w:sz w:val="20"/>
                <w:szCs w:val="20"/>
              </w:rPr>
            </w:pPr>
            <w:r w:rsidRPr="003A1F19">
              <w:rPr>
                <w:sz w:val="20"/>
                <w:szCs w:val="20"/>
              </w:rPr>
              <w:t>53.7</w:t>
            </w:r>
          </w:p>
        </w:tc>
        <w:tc>
          <w:tcPr>
            <w:tcW w:w="1277" w:type="dxa"/>
            <w:tcBorders>
              <w:top w:val="thinThickSmallGap" w:sz="24" w:space="0" w:color="auto"/>
              <w:left w:val="nil"/>
              <w:right w:val="nil"/>
            </w:tcBorders>
            <w:vAlign w:val="center"/>
          </w:tcPr>
          <w:p w14:paraId="7C8E0A5E" w14:textId="15E037D1" w:rsidR="003A1F19" w:rsidRPr="003A1F19" w:rsidRDefault="003A1F19" w:rsidP="003A1F19">
            <w:pPr>
              <w:spacing w:line="240" w:lineRule="auto"/>
              <w:ind w:firstLine="6"/>
              <w:jc w:val="center"/>
              <w:rPr>
                <w:sz w:val="20"/>
                <w:szCs w:val="20"/>
              </w:rPr>
            </w:pPr>
            <w:r w:rsidRPr="003A1F19">
              <w:rPr>
                <w:sz w:val="20"/>
                <w:szCs w:val="20"/>
              </w:rPr>
              <w:t>52.3</w:t>
            </w:r>
          </w:p>
        </w:tc>
        <w:tc>
          <w:tcPr>
            <w:tcW w:w="1457" w:type="dxa"/>
            <w:tcBorders>
              <w:top w:val="thinThickSmallGap" w:sz="24" w:space="0" w:color="auto"/>
              <w:left w:val="nil"/>
              <w:right w:val="nil"/>
            </w:tcBorders>
            <w:vAlign w:val="center"/>
          </w:tcPr>
          <w:p w14:paraId="7030C5FC" w14:textId="423638D0" w:rsidR="003A1F19" w:rsidRPr="003A1F19" w:rsidRDefault="003A1F19" w:rsidP="003A1F19">
            <w:pPr>
              <w:spacing w:line="240" w:lineRule="auto"/>
              <w:ind w:firstLine="6"/>
              <w:jc w:val="center"/>
              <w:rPr>
                <w:sz w:val="20"/>
                <w:szCs w:val="20"/>
              </w:rPr>
            </w:pPr>
            <w:r w:rsidRPr="003A1F19">
              <w:rPr>
                <w:sz w:val="20"/>
                <w:szCs w:val="20"/>
              </w:rPr>
              <w:t>50.6</w:t>
            </w:r>
          </w:p>
        </w:tc>
      </w:tr>
      <w:tr w:rsidR="003A1F19" w:rsidRPr="00E06CCC" w14:paraId="7E6BB9DD" w14:textId="77777777" w:rsidTr="0014286E">
        <w:trPr>
          <w:jc w:val="center"/>
        </w:trPr>
        <w:tc>
          <w:tcPr>
            <w:tcW w:w="1530" w:type="dxa"/>
            <w:tcBorders>
              <w:left w:val="nil"/>
              <w:right w:val="nil"/>
            </w:tcBorders>
          </w:tcPr>
          <w:p w14:paraId="1767E596" w14:textId="77777777" w:rsidR="003A1F19" w:rsidRPr="0070296A" w:rsidRDefault="003A1F19" w:rsidP="003A1F19">
            <w:pPr>
              <w:spacing w:line="240" w:lineRule="auto"/>
              <w:ind w:firstLine="6"/>
              <w:jc w:val="center"/>
            </w:pPr>
            <w:r w:rsidRPr="0070296A">
              <w:t>SDR</w:t>
            </w:r>
          </w:p>
        </w:tc>
        <w:tc>
          <w:tcPr>
            <w:tcW w:w="1260" w:type="dxa"/>
            <w:tcBorders>
              <w:left w:val="nil"/>
              <w:right w:val="nil"/>
            </w:tcBorders>
            <w:vAlign w:val="center"/>
          </w:tcPr>
          <w:p w14:paraId="07DF7407" w14:textId="2B4C9010"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22.</w:t>
            </w:r>
            <w:r w:rsidR="006672FA">
              <w:rPr>
                <w:color w:val="000000" w:themeColor="text1"/>
                <w:sz w:val="20"/>
                <w:szCs w:val="20"/>
              </w:rPr>
              <w:t>4</w:t>
            </w:r>
          </w:p>
        </w:tc>
        <w:tc>
          <w:tcPr>
            <w:tcW w:w="1483" w:type="dxa"/>
            <w:tcBorders>
              <w:left w:val="double" w:sz="4" w:space="0" w:color="auto"/>
              <w:right w:val="nil"/>
            </w:tcBorders>
            <w:vAlign w:val="center"/>
          </w:tcPr>
          <w:p w14:paraId="2BA570DF" w14:textId="27D09B5B"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12.7</w:t>
            </w:r>
          </w:p>
        </w:tc>
        <w:tc>
          <w:tcPr>
            <w:tcW w:w="1080" w:type="dxa"/>
            <w:tcBorders>
              <w:left w:val="nil"/>
              <w:right w:val="nil"/>
            </w:tcBorders>
            <w:vAlign w:val="center"/>
          </w:tcPr>
          <w:p w14:paraId="04E7DF6D" w14:textId="4F68C297" w:rsidR="003A1F19" w:rsidRPr="003A1F19" w:rsidRDefault="003A1F19" w:rsidP="003A1F19">
            <w:pPr>
              <w:spacing w:line="240" w:lineRule="auto"/>
              <w:ind w:firstLine="6"/>
              <w:jc w:val="center"/>
              <w:rPr>
                <w:sz w:val="20"/>
                <w:szCs w:val="20"/>
              </w:rPr>
            </w:pPr>
            <w:r w:rsidRPr="003A1F19">
              <w:rPr>
                <w:sz w:val="20"/>
                <w:szCs w:val="20"/>
              </w:rPr>
              <w:t>10.0</w:t>
            </w:r>
          </w:p>
        </w:tc>
        <w:tc>
          <w:tcPr>
            <w:tcW w:w="1277" w:type="dxa"/>
            <w:tcBorders>
              <w:left w:val="nil"/>
              <w:right w:val="nil"/>
            </w:tcBorders>
            <w:vAlign w:val="center"/>
          </w:tcPr>
          <w:p w14:paraId="4E7305DB" w14:textId="283CB260" w:rsidR="003A1F19" w:rsidRPr="003A1F19" w:rsidRDefault="003A1F19" w:rsidP="003A1F19">
            <w:pPr>
              <w:spacing w:line="240" w:lineRule="auto"/>
              <w:ind w:firstLine="6"/>
              <w:jc w:val="center"/>
              <w:rPr>
                <w:sz w:val="20"/>
                <w:szCs w:val="20"/>
              </w:rPr>
            </w:pPr>
            <w:r w:rsidRPr="003A1F19">
              <w:rPr>
                <w:sz w:val="20"/>
                <w:szCs w:val="20"/>
              </w:rPr>
              <w:t>8.1</w:t>
            </w:r>
          </w:p>
        </w:tc>
        <w:tc>
          <w:tcPr>
            <w:tcW w:w="1457" w:type="dxa"/>
            <w:tcBorders>
              <w:left w:val="nil"/>
              <w:right w:val="nil"/>
            </w:tcBorders>
            <w:vAlign w:val="center"/>
          </w:tcPr>
          <w:p w14:paraId="2DB4714F" w14:textId="300D4570" w:rsidR="003A1F19" w:rsidRPr="003A1F19" w:rsidRDefault="003A1F19" w:rsidP="003A1F19">
            <w:pPr>
              <w:spacing w:line="240" w:lineRule="auto"/>
              <w:ind w:firstLine="6"/>
              <w:jc w:val="center"/>
              <w:rPr>
                <w:sz w:val="20"/>
                <w:szCs w:val="20"/>
              </w:rPr>
            </w:pPr>
            <w:r w:rsidRPr="003A1F19">
              <w:rPr>
                <w:sz w:val="20"/>
                <w:szCs w:val="20"/>
              </w:rPr>
              <w:t>6.5</w:t>
            </w:r>
          </w:p>
        </w:tc>
      </w:tr>
      <w:tr w:rsidR="003A1F19" w:rsidRPr="00E06CCC" w14:paraId="44002C46" w14:textId="77777777" w:rsidTr="0014286E">
        <w:trPr>
          <w:jc w:val="center"/>
        </w:trPr>
        <w:tc>
          <w:tcPr>
            <w:tcW w:w="1530" w:type="dxa"/>
            <w:tcBorders>
              <w:left w:val="nil"/>
              <w:right w:val="nil"/>
            </w:tcBorders>
          </w:tcPr>
          <w:p w14:paraId="05C64F25" w14:textId="77777777" w:rsidR="003A1F19" w:rsidRPr="0070296A" w:rsidRDefault="003A1F19" w:rsidP="003A1F19">
            <w:pPr>
              <w:spacing w:line="240" w:lineRule="auto"/>
              <w:ind w:firstLine="6"/>
              <w:jc w:val="center"/>
            </w:pPr>
            <w:r w:rsidRPr="0070296A">
              <w:t>EUR</w:t>
            </w:r>
          </w:p>
        </w:tc>
        <w:tc>
          <w:tcPr>
            <w:tcW w:w="1260" w:type="dxa"/>
            <w:tcBorders>
              <w:left w:val="nil"/>
              <w:right w:val="nil"/>
            </w:tcBorders>
            <w:vAlign w:val="center"/>
          </w:tcPr>
          <w:p w14:paraId="23D6FBA9" w14:textId="4F7E140D" w:rsidR="003A1F19" w:rsidRPr="00032495" w:rsidRDefault="006672FA" w:rsidP="003A1F19">
            <w:pPr>
              <w:spacing w:line="240" w:lineRule="auto"/>
              <w:ind w:firstLine="6"/>
              <w:jc w:val="center"/>
              <w:rPr>
                <w:color w:val="000000" w:themeColor="text1"/>
                <w:sz w:val="20"/>
                <w:szCs w:val="20"/>
                <w:lang w:val="en-US"/>
              </w:rPr>
            </w:pPr>
            <w:r>
              <w:rPr>
                <w:color w:val="000000" w:themeColor="text1"/>
                <w:sz w:val="20"/>
                <w:szCs w:val="20"/>
              </w:rPr>
              <w:t>18.1</w:t>
            </w:r>
          </w:p>
        </w:tc>
        <w:tc>
          <w:tcPr>
            <w:tcW w:w="1483" w:type="dxa"/>
            <w:tcBorders>
              <w:left w:val="double" w:sz="4" w:space="0" w:color="auto"/>
              <w:right w:val="nil"/>
            </w:tcBorders>
            <w:vAlign w:val="center"/>
          </w:tcPr>
          <w:p w14:paraId="3F49C32C" w14:textId="7FF157E6"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31.3</w:t>
            </w:r>
          </w:p>
        </w:tc>
        <w:tc>
          <w:tcPr>
            <w:tcW w:w="1080" w:type="dxa"/>
            <w:tcBorders>
              <w:left w:val="nil"/>
              <w:right w:val="nil"/>
            </w:tcBorders>
            <w:vAlign w:val="center"/>
          </w:tcPr>
          <w:p w14:paraId="0BD1478E" w14:textId="58D4DBAD" w:rsidR="003A1F19" w:rsidRPr="003A1F19" w:rsidRDefault="003A1F19" w:rsidP="003A1F19">
            <w:pPr>
              <w:spacing w:line="240" w:lineRule="auto"/>
              <w:ind w:firstLine="0"/>
              <w:jc w:val="center"/>
              <w:rPr>
                <w:sz w:val="20"/>
                <w:szCs w:val="20"/>
              </w:rPr>
            </w:pPr>
            <w:r w:rsidRPr="003A1F19">
              <w:rPr>
                <w:sz w:val="20"/>
                <w:szCs w:val="20"/>
              </w:rPr>
              <w:t>34.8</w:t>
            </w:r>
          </w:p>
        </w:tc>
        <w:tc>
          <w:tcPr>
            <w:tcW w:w="1277" w:type="dxa"/>
            <w:tcBorders>
              <w:left w:val="nil"/>
              <w:right w:val="nil"/>
            </w:tcBorders>
            <w:vAlign w:val="center"/>
          </w:tcPr>
          <w:p w14:paraId="76B2BA85" w14:textId="047B6696" w:rsidR="003A1F19" w:rsidRPr="003A1F19" w:rsidRDefault="003A1F19" w:rsidP="003A1F19">
            <w:pPr>
              <w:spacing w:line="240" w:lineRule="auto"/>
              <w:ind w:firstLine="6"/>
              <w:jc w:val="center"/>
              <w:rPr>
                <w:sz w:val="20"/>
                <w:szCs w:val="20"/>
              </w:rPr>
            </w:pPr>
            <w:r w:rsidRPr="003A1F19">
              <w:rPr>
                <w:sz w:val="20"/>
                <w:szCs w:val="20"/>
              </w:rPr>
              <w:t>38.2</w:t>
            </w:r>
          </w:p>
        </w:tc>
        <w:tc>
          <w:tcPr>
            <w:tcW w:w="1457" w:type="dxa"/>
            <w:tcBorders>
              <w:left w:val="nil"/>
              <w:right w:val="nil"/>
            </w:tcBorders>
            <w:vAlign w:val="center"/>
          </w:tcPr>
          <w:p w14:paraId="41AA7967" w14:textId="68D86AC3" w:rsidR="003A1F19" w:rsidRPr="003A1F19" w:rsidRDefault="003A1F19" w:rsidP="003A1F19">
            <w:pPr>
              <w:spacing w:line="240" w:lineRule="auto"/>
              <w:ind w:firstLine="6"/>
              <w:jc w:val="center"/>
              <w:rPr>
                <w:sz w:val="20"/>
                <w:szCs w:val="20"/>
              </w:rPr>
            </w:pPr>
            <w:r w:rsidRPr="003A1F19">
              <w:rPr>
                <w:sz w:val="20"/>
                <w:szCs w:val="20"/>
              </w:rPr>
              <w:t>41.7</w:t>
            </w:r>
          </w:p>
        </w:tc>
      </w:tr>
      <w:tr w:rsidR="003A1F19" w:rsidRPr="00E06CCC" w14:paraId="32942C74" w14:textId="77777777" w:rsidTr="0014286E">
        <w:trPr>
          <w:jc w:val="center"/>
        </w:trPr>
        <w:tc>
          <w:tcPr>
            <w:tcW w:w="1530" w:type="dxa"/>
            <w:tcBorders>
              <w:left w:val="nil"/>
              <w:right w:val="nil"/>
            </w:tcBorders>
          </w:tcPr>
          <w:p w14:paraId="55AF5AB0" w14:textId="77777777" w:rsidR="003A1F19" w:rsidRPr="0070296A" w:rsidRDefault="003A1F19" w:rsidP="003A1F19">
            <w:pPr>
              <w:spacing w:line="240" w:lineRule="auto"/>
              <w:ind w:firstLine="6"/>
              <w:jc w:val="center"/>
            </w:pPr>
            <w:r w:rsidRPr="0070296A">
              <w:t>JPY</w:t>
            </w:r>
          </w:p>
        </w:tc>
        <w:tc>
          <w:tcPr>
            <w:tcW w:w="1260" w:type="dxa"/>
            <w:tcBorders>
              <w:left w:val="nil"/>
              <w:right w:val="nil"/>
            </w:tcBorders>
            <w:vAlign w:val="center"/>
          </w:tcPr>
          <w:p w14:paraId="4336E2EF" w14:textId="2E22A763"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2.</w:t>
            </w:r>
            <w:r w:rsidR="006672FA">
              <w:rPr>
                <w:color w:val="000000" w:themeColor="text1"/>
                <w:sz w:val="20"/>
                <w:szCs w:val="20"/>
              </w:rPr>
              <w:t>0</w:t>
            </w:r>
          </w:p>
        </w:tc>
        <w:tc>
          <w:tcPr>
            <w:tcW w:w="1483" w:type="dxa"/>
            <w:tcBorders>
              <w:left w:val="double" w:sz="4" w:space="0" w:color="auto"/>
              <w:right w:val="nil"/>
            </w:tcBorders>
            <w:vAlign w:val="center"/>
          </w:tcPr>
          <w:p w14:paraId="2009C806" w14:textId="003177E3"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1.6</w:t>
            </w:r>
          </w:p>
        </w:tc>
        <w:tc>
          <w:tcPr>
            <w:tcW w:w="1080" w:type="dxa"/>
            <w:tcBorders>
              <w:left w:val="nil"/>
              <w:right w:val="nil"/>
            </w:tcBorders>
            <w:vAlign w:val="center"/>
          </w:tcPr>
          <w:p w14:paraId="324B5690" w14:textId="6BF72771" w:rsidR="003A1F19" w:rsidRPr="003A1F19" w:rsidRDefault="003A1F19" w:rsidP="003A1F19">
            <w:pPr>
              <w:spacing w:line="240" w:lineRule="auto"/>
              <w:ind w:firstLine="6"/>
              <w:jc w:val="center"/>
              <w:rPr>
                <w:sz w:val="20"/>
                <w:szCs w:val="20"/>
              </w:rPr>
            </w:pPr>
            <w:r w:rsidRPr="003A1F19">
              <w:rPr>
                <w:sz w:val="20"/>
                <w:szCs w:val="20"/>
              </w:rPr>
              <w:t>1.4</w:t>
            </w:r>
          </w:p>
        </w:tc>
        <w:tc>
          <w:tcPr>
            <w:tcW w:w="1277" w:type="dxa"/>
            <w:tcBorders>
              <w:left w:val="nil"/>
              <w:right w:val="nil"/>
            </w:tcBorders>
            <w:vAlign w:val="center"/>
          </w:tcPr>
          <w:p w14:paraId="0F4497A0" w14:textId="3A2C99AD" w:rsidR="003A1F19" w:rsidRPr="003A1F19" w:rsidRDefault="003A1F19" w:rsidP="003A1F19">
            <w:pPr>
              <w:spacing w:line="240" w:lineRule="auto"/>
              <w:ind w:firstLine="6"/>
              <w:jc w:val="center"/>
              <w:rPr>
                <w:sz w:val="20"/>
                <w:szCs w:val="20"/>
              </w:rPr>
            </w:pPr>
            <w:r w:rsidRPr="003A1F19">
              <w:rPr>
                <w:sz w:val="20"/>
                <w:szCs w:val="20"/>
              </w:rPr>
              <w:t>1.2</w:t>
            </w:r>
          </w:p>
        </w:tc>
        <w:tc>
          <w:tcPr>
            <w:tcW w:w="1457" w:type="dxa"/>
            <w:tcBorders>
              <w:left w:val="nil"/>
              <w:right w:val="nil"/>
            </w:tcBorders>
            <w:vAlign w:val="center"/>
          </w:tcPr>
          <w:p w14:paraId="55798946" w14:textId="76F40AA3" w:rsidR="003A1F19" w:rsidRPr="003A1F19" w:rsidRDefault="003A1F19" w:rsidP="003A1F19">
            <w:pPr>
              <w:spacing w:line="240" w:lineRule="auto"/>
              <w:ind w:firstLine="6"/>
              <w:jc w:val="center"/>
              <w:rPr>
                <w:sz w:val="20"/>
                <w:szCs w:val="20"/>
              </w:rPr>
            </w:pPr>
            <w:r w:rsidRPr="003A1F19">
              <w:rPr>
                <w:sz w:val="20"/>
                <w:szCs w:val="20"/>
              </w:rPr>
              <w:t>1.0</w:t>
            </w:r>
          </w:p>
        </w:tc>
      </w:tr>
      <w:tr w:rsidR="003A1F19" w:rsidRPr="00E06CCC" w14:paraId="3ACFEB22" w14:textId="77777777" w:rsidTr="0014286E">
        <w:trPr>
          <w:jc w:val="center"/>
        </w:trPr>
        <w:tc>
          <w:tcPr>
            <w:tcW w:w="1530" w:type="dxa"/>
            <w:tcBorders>
              <w:left w:val="nil"/>
              <w:right w:val="nil"/>
            </w:tcBorders>
          </w:tcPr>
          <w:p w14:paraId="797A38CD" w14:textId="77777777" w:rsidR="003A1F19" w:rsidRPr="0070296A" w:rsidRDefault="003A1F19" w:rsidP="003A1F19">
            <w:pPr>
              <w:spacing w:line="240" w:lineRule="auto"/>
              <w:ind w:firstLine="6"/>
              <w:jc w:val="center"/>
            </w:pPr>
            <w:r w:rsidRPr="0070296A">
              <w:t>AED</w:t>
            </w:r>
          </w:p>
        </w:tc>
        <w:tc>
          <w:tcPr>
            <w:tcW w:w="1260" w:type="dxa"/>
            <w:tcBorders>
              <w:left w:val="nil"/>
              <w:right w:val="nil"/>
            </w:tcBorders>
            <w:vAlign w:val="center"/>
          </w:tcPr>
          <w:p w14:paraId="60E2086E" w14:textId="77777777"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0.0</w:t>
            </w:r>
          </w:p>
        </w:tc>
        <w:tc>
          <w:tcPr>
            <w:tcW w:w="1483" w:type="dxa"/>
            <w:tcBorders>
              <w:left w:val="double" w:sz="4" w:space="0" w:color="auto"/>
              <w:right w:val="nil"/>
            </w:tcBorders>
            <w:vAlign w:val="center"/>
          </w:tcPr>
          <w:p w14:paraId="3D77BD9B" w14:textId="309C1F17"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0.0</w:t>
            </w:r>
          </w:p>
        </w:tc>
        <w:tc>
          <w:tcPr>
            <w:tcW w:w="1080" w:type="dxa"/>
            <w:tcBorders>
              <w:left w:val="nil"/>
              <w:right w:val="nil"/>
            </w:tcBorders>
            <w:vAlign w:val="center"/>
          </w:tcPr>
          <w:p w14:paraId="35B1AA91" w14:textId="0C4EB424" w:rsidR="003A1F19" w:rsidRPr="003A1F19" w:rsidRDefault="003A1F19" w:rsidP="003A1F19">
            <w:pPr>
              <w:spacing w:line="240" w:lineRule="auto"/>
              <w:ind w:firstLine="6"/>
              <w:jc w:val="center"/>
              <w:rPr>
                <w:sz w:val="20"/>
                <w:szCs w:val="20"/>
              </w:rPr>
            </w:pPr>
            <w:r w:rsidRPr="003A1F19">
              <w:rPr>
                <w:sz w:val="20"/>
                <w:szCs w:val="20"/>
              </w:rPr>
              <w:t>0.0</w:t>
            </w:r>
          </w:p>
        </w:tc>
        <w:tc>
          <w:tcPr>
            <w:tcW w:w="1277" w:type="dxa"/>
            <w:tcBorders>
              <w:left w:val="nil"/>
              <w:right w:val="nil"/>
            </w:tcBorders>
            <w:vAlign w:val="center"/>
          </w:tcPr>
          <w:p w14:paraId="7BE94C8C" w14:textId="33A3265A" w:rsidR="003A1F19" w:rsidRPr="003A1F19" w:rsidRDefault="003A1F19" w:rsidP="003A1F19">
            <w:pPr>
              <w:spacing w:line="240" w:lineRule="auto"/>
              <w:ind w:firstLine="6"/>
              <w:jc w:val="center"/>
              <w:rPr>
                <w:sz w:val="20"/>
                <w:szCs w:val="20"/>
              </w:rPr>
            </w:pPr>
            <w:r w:rsidRPr="003A1F19">
              <w:rPr>
                <w:sz w:val="20"/>
                <w:szCs w:val="20"/>
              </w:rPr>
              <w:t>-</w:t>
            </w:r>
          </w:p>
        </w:tc>
        <w:tc>
          <w:tcPr>
            <w:tcW w:w="1457" w:type="dxa"/>
            <w:tcBorders>
              <w:left w:val="nil"/>
              <w:right w:val="nil"/>
            </w:tcBorders>
            <w:vAlign w:val="center"/>
          </w:tcPr>
          <w:p w14:paraId="402A88D3" w14:textId="30AC7AD6" w:rsidR="003A1F19" w:rsidRPr="003A1F19" w:rsidRDefault="003A1F19" w:rsidP="003A1F19">
            <w:pPr>
              <w:spacing w:line="240" w:lineRule="auto"/>
              <w:ind w:firstLine="6"/>
              <w:jc w:val="center"/>
              <w:rPr>
                <w:sz w:val="20"/>
                <w:szCs w:val="20"/>
              </w:rPr>
            </w:pPr>
            <w:r w:rsidRPr="003A1F19">
              <w:rPr>
                <w:sz w:val="20"/>
                <w:szCs w:val="20"/>
              </w:rPr>
              <w:t>-</w:t>
            </w:r>
          </w:p>
        </w:tc>
      </w:tr>
      <w:tr w:rsidR="003A1F19" w:rsidRPr="00E06CCC" w14:paraId="2186BAF6" w14:textId="77777777" w:rsidTr="0014286E">
        <w:trPr>
          <w:jc w:val="center"/>
        </w:trPr>
        <w:tc>
          <w:tcPr>
            <w:tcW w:w="1530" w:type="dxa"/>
            <w:tcBorders>
              <w:left w:val="nil"/>
              <w:bottom w:val="thickThinSmallGap" w:sz="24" w:space="0" w:color="auto"/>
              <w:right w:val="nil"/>
            </w:tcBorders>
          </w:tcPr>
          <w:p w14:paraId="557C4114" w14:textId="77777777" w:rsidR="003A1F19" w:rsidRPr="0070296A" w:rsidRDefault="003A1F19" w:rsidP="003A1F19">
            <w:pPr>
              <w:spacing w:line="240" w:lineRule="auto"/>
              <w:ind w:firstLine="6"/>
              <w:jc w:val="center"/>
            </w:pPr>
            <w:r w:rsidRPr="0070296A">
              <w:t>CNY</w:t>
            </w:r>
          </w:p>
        </w:tc>
        <w:tc>
          <w:tcPr>
            <w:tcW w:w="1260" w:type="dxa"/>
            <w:tcBorders>
              <w:left w:val="nil"/>
              <w:bottom w:val="thickThinSmallGap" w:sz="24" w:space="0" w:color="auto"/>
              <w:right w:val="nil"/>
            </w:tcBorders>
            <w:vAlign w:val="center"/>
          </w:tcPr>
          <w:p w14:paraId="1AD99248" w14:textId="3485BC2F" w:rsidR="003A1F19" w:rsidRPr="00032495" w:rsidRDefault="003A1F19" w:rsidP="003A1F19">
            <w:pPr>
              <w:spacing w:line="240" w:lineRule="auto"/>
              <w:ind w:firstLine="6"/>
              <w:jc w:val="center"/>
              <w:rPr>
                <w:color w:val="000000" w:themeColor="text1"/>
                <w:sz w:val="20"/>
                <w:szCs w:val="20"/>
                <w:lang w:val="en-US"/>
              </w:rPr>
            </w:pPr>
            <w:r w:rsidRPr="00032495">
              <w:rPr>
                <w:color w:val="000000" w:themeColor="text1"/>
                <w:sz w:val="20"/>
                <w:szCs w:val="20"/>
              </w:rPr>
              <w:t>0.</w:t>
            </w:r>
            <w:r w:rsidR="006672FA">
              <w:rPr>
                <w:color w:val="000000" w:themeColor="text1"/>
                <w:sz w:val="20"/>
                <w:szCs w:val="20"/>
              </w:rPr>
              <w:t>2</w:t>
            </w:r>
          </w:p>
        </w:tc>
        <w:tc>
          <w:tcPr>
            <w:tcW w:w="1483" w:type="dxa"/>
            <w:tcBorders>
              <w:left w:val="double" w:sz="4" w:space="0" w:color="auto"/>
              <w:bottom w:val="thickThinSmallGap" w:sz="24" w:space="0" w:color="auto"/>
              <w:right w:val="nil"/>
            </w:tcBorders>
            <w:vAlign w:val="center"/>
          </w:tcPr>
          <w:p w14:paraId="1354BDF7" w14:textId="7FEAF569" w:rsidR="003A1F19" w:rsidRPr="002C5800" w:rsidRDefault="003A1F19" w:rsidP="003A1F19">
            <w:pPr>
              <w:spacing w:line="240" w:lineRule="auto"/>
              <w:ind w:firstLine="6"/>
              <w:jc w:val="center"/>
              <w:rPr>
                <w:color w:val="000000" w:themeColor="text1"/>
                <w:sz w:val="20"/>
                <w:szCs w:val="20"/>
              </w:rPr>
            </w:pPr>
            <w:r w:rsidRPr="002C5800">
              <w:rPr>
                <w:color w:val="000000" w:themeColor="text1"/>
                <w:sz w:val="20"/>
                <w:szCs w:val="20"/>
              </w:rPr>
              <w:t>0.2</w:t>
            </w:r>
          </w:p>
        </w:tc>
        <w:tc>
          <w:tcPr>
            <w:tcW w:w="1080" w:type="dxa"/>
            <w:tcBorders>
              <w:left w:val="nil"/>
              <w:bottom w:val="thickThinSmallGap" w:sz="24" w:space="0" w:color="auto"/>
              <w:right w:val="nil"/>
            </w:tcBorders>
            <w:vAlign w:val="center"/>
          </w:tcPr>
          <w:p w14:paraId="35086E5E" w14:textId="3711031B" w:rsidR="003A1F19" w:rsidRPr="003A1F19" w:rsidRDefault="003A1F19" w:rsidP="003A1F19">
            <w:pPr>
              <w:spacing w:line="240" w:lineRule="auto"/>
              <w:ind w:firstLine="6"/>
              <w:jc w:val="center"/>
              <w:rPr>
                <w:sz w:val="20"/>
                <w:szCs w:val="20"/>
              </w:rPr>
            </w:pPr>
            <w:r w:rsidRPr="003A1F19">
              <w:rPr>
                <w:sz w:val="20"/>
                <w:szCs w:val="20"/>
              </w:rPr>
              <w:t>0.2</w:t>
            </w:r>
          </w:p>
        </w:tc>
        <w:tc>
          <w:tcPr>
            <w:tcW w:w="1277" w:type="dxa"/>
            <w:tcBorders>
              <w:left w:val="nil"/>
              <w:bottom w:val="thickThinSmallGap" w:sz="24" w:space="0" w:color="auto"/>
              <w:right w:val="nil"/>
            </w:tcBorders>
            <w:vAlign w:val="center"/>
          </w:tcPr>
          <w:p w14:paraId="1F7EEA7C" w14:textId="7A01A7AC" w:rsidR="003A1F19" w:rsidRPr="003A1F19" w:rsidRDefault="003A1F19" w:rsidP="003A1F19">
            <w:pPr>
              <w:spacing w:line="240" w:lineRule="auto"/>
              <w:ind w:firstLine="6"/>
              <w:jc w:val="center"/>
              <w:rPr>
                <w:sz w:val="20"/>
                <w:szCs w:val="20"/>
              </w:rPr>
            </w:pPr>
            <w:r w:rsidRPr="003A1F19">
              <w:rPr>
                <w:sz w:val="20"/>
                <w:szCs w:val="20"/>
              </w:rPr>
              <w:t>0.1</w:t>
            </w:r>
          </w:p>
        </w:tc>
        <w:tc>
          <w:tcPr>
            <w:tcW w:w="1457" w:type="dxa"/>
            <w:tcBorders>
              <w:left w:val="nil"/>
              <w:bottom w:val="thickThinSmallGap" w:sz="24" w:space="0" w:color="auto"/>
              <w:right w:val="nil"/>
            </w:tcBorders>
            <w:vAlign w:val="center"/>
          </w:tcPr>
          <w:p w14:paraId="62F664D2" w14:textId="567A5BC9" w:rsidR="003A1F19" w:rsidRPr="003A1F19" w:rsidRDefault="003A1F19" w:rsidP="003A1F19">
            <w:pPr>
              <w:spacing w:line="240" w:lineRule="auto"/>
              <w:ind w:firstLine="6"/>
              <w:jc w:val="center"/>
              <w:rPr>
                <w:sz w:val="20"/>
                <w:szCs w:val="20"/>
              </w:rPr>
            </w:pPr>
            <w:r w:rsidRPr="003A1F19">
              <w:rPr>
                <w:sz w:val="20"/>
                <w:szCs w:val="20"/>
              </w:rPr>
              <w:t>0.1</w:t>
            </w:r>
          </w:p>
        </w:tc>
      </w:tr>
    </w:tbl>
    <w:p w14:paraId="683369EB" w14:textId="2557C2B9" w:rsidR="00F93169" w:rsidRPr="005A68E6" w:rsidRDefault="0014286E" w:rsidP="0014286E">
      <w:pPr>
        <w:spacing w:before="120"/>
        <w:ind w:left="720" w:firstLine="0"/>
        <w:rPr>
          <w:sz w:val="16"/>
          <w:lang w:val="en-US"/>
        </w:rPr>
      </w:pPr>
      <w:r>
        <w:rPr>
          <w:sz w:val="16"/>
          <w:lang w:val="en-US"/>
        </w:rPr>
        <w:t xml:space="preserve">    </w:t>
      </w:r>
      <w:r w:rsidR="00F93169" w:rsidRPr="005A68E6">
        <w:rPr>
          <w:sz w:val="16"/>
          <w:lang w:val="en-US"/>
        </w:rPr>
        <w:t>Source: RA MoF calculations and forecasts</w:t>
      </w:r>
    </w:p>
    <w:p w14:paraId="69495763" w14:textId="77777777" w:rsidR="006F4A30" w:rsidRPr="00F93169" w:rsidRDefault="006F4A30" w:rsidP="00A1274B">
      <w:pPr>
        <w:rPr>
          <w:lang w:val="en-US"/>
        </w:rPr>
      </w:pPr>
    </w:p>
    <w:p w14:paraId="11DD38C2" w14:textId="57FDD1BE" w:rsidR="0057010E" w:rsidRPr="00F71F0B" w:rsidRDefault="0057010E" w:rsidP="00F71F0B">
      <w:pPr>
        <w:rPr>
          <w:color w:val="FF0000"/>
        </w:rPr>
      </w:pPr>
      <w:r>
        <w:t xml:space="preserve">The share of </w:t>
      </w:r>
      <w:r>
        <w:rPr>
          <w:lang w:val="en-US"/>
        </w:rPr>
        <w:t xml:space="preserve">SDR-denominated </w:t>
      </w:r>
      <w:r>
        <w:t xml:space="preserve">debt </w:t>
      </w:r>
      <w:r w:rsidRPr="00E811F1">
        <w:t>in the structure of the RA Government foreign currency debt</w:t>
      </w:r>
      <w:r>
        <w:t xml:space="preserve"> is expected to gradually decline. The SDR basket consists of five currencies with the following weights: USD – 43.38%, EUR – 29.31%, GBP – 7.44%, JPY – 7.59%, and CNY – 12.28%. Accordingly, by the end of the medium-term period, the share of USD-denominated debt in the </w:t>
      </w:r>
      <w:r>
        <w:rPr>
          <w:lang w:val="en-US"/>
        </w:rPr>
        <w:t>RA G</w:t>
      </w:r>
      <w:r>
        <w:t>overnment foreign currency debt portfolio is projected to decrease from 67.0% to 53.4%, while the share of EUR-denominated debt is expected to increase from 24.6% to 43.7%.</w:t>
      </w:r>
    </w:p>
    <w:p w14:paraId="4B631738" w14:textId="349C9069" w:rsidR="00025E2D" w:rsidRPr="009A39E4" w:rsidRDefault="00C10F26" w:rsidP="00C10F26">
      <w:pPr>
        <w:pStyle w:val="af6"/>
        <w:numPr>
          <w:ilvl w:val="0"/>
          <w:numId w:val="18"/>
        </w:numPr>
        <w:ind w:left="1276" w:hanging="1276"/>
      </w:pPr>
      <w:r w:rsidRPr="00C10F26">
        <w:t>S</w:t>
      </w:r>
      <w:r w:rsidRPr="000F45BE">
        <w:t>tructure of the RA G</w:t>
      </w:r>
      <w:r w:rsidRPr="00C10F26">
        <w:t>overnment foreign currency debt at year end, 2024-2028, with SDR breakdown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363"/>
        <w:gridCol w:w="1159"/>
        <w:gridCol w:w="1159"/>
        <w:gridCol w:w="1249"/>
        <w:gridCol w:w="1429"/>
      </w:tblGrid>
      <w:tr w:rsidR="00F93169" w:rsidRPr="0070296A" w14:paraId="481FDFB3" w14:textId="77777777" w:rsidTr="0014286E">
        <w:trPr>
          <w:tblHeader/>
          <w:jc w:val="center"/>
        </w:trPr>
        <w:tc>
          <w:tcPr>
            <w:tcW w:w="1620" w:type="dxa"/>
            <w:tcBorders>
              <w:top w:val="thinThickThinSmallGap" w:sz="24" w:space="0" w:color="auto"/>
              <w:left w:val="nil"/>
              <w:bottom w:val="thinThickSmallGap" w:sz="24" w:space="0" w:color="auto"/>
              <w:right w:val="nil"/>
            </w:tcBorders>
            <w:shd w:val="clear" w:color="auto" w:fill="5B9BD5"/>
          </w:tcPr>
          <w:p w14:paraId="337EA58C" w14:textId="77777777" w:rsidR="00F93169" w:rsidRPr="0070296A" w:rsidRDefault="00F93169" w:rsidP="00F93169">
            <w:pPr>
              <w:spacing w:line="240" w:lineRule="auto"/>
              <w:ind w:firstLine="39"/>
            </w:pPr>
          </w:p>
        </w:tc>
        <w:tc>
          <w:tcPr>
            <w:tcW w:w="1363" w:type="dxa"/>
            <w:tcBorders>
              <w:top w:val="thinThickThinSmallGap" w:sz="24" w:space="0" w:color="auto"/>
              <w:left w:val="nil"/>
              <w:bottom w:val="thinThickSmallGap" w:sz="24" w:space="0" w:color="auto"/>
              <w:right w:val="nil"/>
            </w:tcBorders>
            <w:shd w:val="clear" w:color="auto" w:fill="5B9BD5"/>
            <w:vAlign w:val="center"/>
          </w:tcPr>
          <w:p w14:paraId="1CA1BC69" w14:textId="61BD48AD" w:rsidR="00F93169" w:rsidRPr="0070296A" w:rsidRDefault="00F93169" w:rsidP="00F93169">
            <w:pPr>
              <w:spacing w:line="240" w:lineRule="auto"/>
              <w:ind w:firstLine="39"/>
              <w:jc w:val="center"/>
            </w:pPr>
            <w:r w:rsidRPr="00D6171C">
              <w:rPr>
                <w:rFonts w:cs="Times New Roman"/>
              </w:rPr>
              <w:t xml:space="preserve">2024 </w:t>
            </w:r>
            <w:r w:rsidRPr="005A68E6">
              <w:rPr>
                <w:lang w:val="en-US"/>
              </w:rPr>
              <w:t>actual</w:t>
            </w:r>
          </w:p>
        </w:tc>
        <w:tc>
          <w:tcPr>
            <w:tcW w:w="1159" w:type="dxa"/>
            <w:tcBorders>
              <w:top w:val="thinThickThinSmallGap" w:sz="24" w:space="0" w:color="auto"/>
              <w:left w:val="double" w:sz="4" w:space="0" w:color="auto"/>
              <w:bottom w:val="thinThickSmallGap" w:sz="24" w:space="0" w:color="auto"/>
              <w:right w:val="nil"/>
            </w:tcBorders>
            <w:shd w:val="clear" w:color="auto" w:fill="5B9BD5"/>
            <w:vAlign w:val="center"/>
          </w:tcPr>
          <w:p w14:paraId="055C16F5" w14:textId="70D0804B" w:rsidR="00F93169" w:rsidRPr="0070296A" w:rsidRDefault="00F93169" w:rsidP="00F93169">
            <w:pPr>
              <w:spacing w:line="240" w:lineRule="auto"/>
              <w:ind w:firstLine="39"/>
              <w:jc w:val="center"/>
            </w:pPr>
            <w:r w:rsidRPr="00D6171C">
              <w:rPr>
                <w:rFonts w:cs="Times New Roman"/>
              </w:rPr>
              <w:t xml:space="preserve">2025 </w:t>
            </w:r>
            <w:r w:rsidRPr="005A68E6">
              <w:t>forecast</w:t>
            </w:r>
          </w:p>
        </w:tc>
        <w:tc>
          <w:tcPr>
            <w:tcW w:w="1159" w:type="dxa"/>
            <w:tcBorders>
              <w:top w:val="thinThickThinSmallGap" w:sz="24" w:space="0" w:color="auto"/>
              <w:left w:val="nil"/>
              <w:bottom w:val="thinThickSmallGap" w:sz="24" w:space="0" w:color="auto"/>
              <w:right w:val="nil"/>
            </w:tcBorders>
            <w:shd w:val="clear" w:color="auto" w:fill="5B9BD5"/>
            <w:vAlign w:val="center"/>
          </w:tcPr>
          <w:p w14:paraId="38E96914" w14:textId="0A57A2C2" w:rsidR="00F93169" w:rsidRPr="0070296A" w:rsidRDefault="00F93169" w:rsidP="00F93169">
            <w:pPr>
              <w:spacing w:line="240" w:lineRule="auto"/>
              <w:ind w:firstLine="39"/>
              <w:jc w:val="center"/>
            </w:pPr>
            <w:r w:rsidRPr="00D6171C">
              <w:rPr>
                <w:rFonts w:cs="Times New Roman"/>
              </w:rPr>
              <w:t xml:space="preserve">2026 </w:t>
            </w:r>
            <w:r w:rsidRPr="005A68E6">
              <w:t>forecast</w:t>
            </w:r>
          </w:p>
        </w:tc>
        <w:tc>
          <w:tcPr>
            <w:tcW w:w="1249" w:type="dxa"/>
            <w:tcBorders>
              <w:top w:val="thinThickThinSmallGap" w:sz="24" w:space="0" w:color="auto"/>
              <w:left w:val="nil"/>
              <w:bottom w:val="thinThickSmallGap" w:sz="24" w:space="0" w:color="auto"/>
              <w:right w:val="nil"/>
            </w:tcBorders>
            <w:shd w:val="clear" w:color="auto" w:fill="5B9BD5"/>
            <w:vAlign w:val="center"/>
          </w:tcPr>
          <w:p w14:paraId="6D710752" w14:textId="5B7D0B64" w:rsidR="00F93169" w:rsidRPr="0070296A" w:rsidRDefault="00F93169" w:rsidP="00F93169">
            <w:pPr>
              <w:spacing w:line="240" w:lineRule="auto"/>
              <w:ind w:firstLine="39"/>
              <w:jc w:val="center"/>
            </w:pPr>
            <w:r w:rsidRPr="00D6171C">
              <w:rPr>
                <w:rFonts w:cs="Times New Roman"/>
              </w:rPr>
              <w:t xml:space="preserve">2027 </w:t>
            </w:r>
            <w:r w:rsidRPr="005A68E6">
              <w:t>forecast</w:t>
            </w:r>
          </w:p>
        </w:tc>
        <w:tc>
          <w:tcPr>
            <w:tcW w:w="1429" w:type="dxa"/>
            <w:tcBorders>
              <w:top w:val="thinThickThinSmallGap" w:sz="24" w:space="0" w:color="auto"/>
              <w:left w:val="nil"/>
              <w:bottom w:val="thinThickSmallGap" w:sz="24" w:space="0" w:color="auto"/>
              <w:right w:val="nil"/>
            </w:tcBorders>
            <w:shd w:val="clear" w:color="auto" w:fill="5B9BD5"/>
            <w:vAlign w:val="center"/>
          </w:tcPr>
          <w:p w14:paraId="2432B393" w14:textId="717741D5" w:rsidR="00F93169" w:rsidRPr="0070296A" w:rsidRDefault="00F93169" w:rsidP="00F93169">
            <w:pPr>
              <w:spacing w:line="240" w:lineRule="auto"/>
              <w:ind w:firstLine="39"/>
              <w:jc w:val="center"/>
            </w:pPr>
            <w:r w:rsidRPr="00D6171C">
              <w:rPr>
                <w:rFonts w:cs="Times New Roman"/>
              </w:rPr>
              <w:t>20</w:t>
            </w:r>
            <w:r>
              <w:rPr>
                <w:rFonts w:cs="Times New Roman"/>
                <w:lang w:val="en-US"/>
              </w:rPr>
              <w:t>28</w:t>
            </w:r>
            <w:r w:rsidRPr="00D6171C">
              <w:rPr>
                <w:rFonts w:cs="Times New Roman"/>
              </w:rPr>
              <w:t xml:space="preserve"> </w:t>
            </w:r>
            <w:r w:rsidRPr="005A68E6">
              <w:t>forecast</w:t>
            </w:r>
          </w:p>
        </w:tc>
      </w:tr>
      <w:tr w:rsidR="003A1F19" w:rsidRPr="00E06CCC" w14:paraId="1C42AE56" w14:textId="77777777" w:rsidTr="0014286E">
        <w:trPr>
          <w:jc w:val="center"/>
        </w:trPr>
        <w:tc>
          <w:tcPr>
            <w:tcW w:w="1620" w:type="dxa"/>
            <w:tcBorders>
              <w:top w:val="thinThickSmallGap" w:sz="24" w:space="0" w:color="auto"/>
              <w:left w:val="nil"/>
              <w:right w:val="nil"/>
            </w:tcBorders>
            <w:vAlign w:val="center"/>
          </w:tcPr>
          <w:p w14:paraId="09D5B2F1" w14:textId="77777777" w:rsidR="003A1F19" w:rsidRPr="0070296A" w:rsidRDefault="003A1F19" w:rsidP="003A1F19">
            <w:pPr>
              <w:spacing w:line="240" w:lineRule="auto"/>
              <w:ind w:firstLine="39"/>
              <w:jc w:val="center"/>
            </w:pPr>
            <w:r w:rsidRPr="0070296A">
              <w:t>USD</w:t>
            </w:r>
          </w:p>
        </w:tc>
        <w:tc>
          <w:tcPr>
            <w:tcW w:w="1363" w:type="dxa"/>
            <w:tcBorders>
              <w:top w:val="thinThickSmallGap" w:sz="24" w:space="0" w:color="auto"/>
              <w:left w:val="nil"/>
              <w:right w:val="nil"/>
            </w:tcBorders>
            <w:vAlign w:val="center"/>
          </w:tcPr>
          <w:p w14:paraId="663E8404" w14:textId="596243B7"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67.0</w:t>
            </w:r>
          </w:p>
        </w:tc>
        <w:tc>
          <w:tcPr>
            <w:tcW w:w="1159" w:type="dxa"/>
            <w:tcBorders>
              <w:top w:val="thinThickSmallGap" w:sz="24" w:space="0" w:color="auto"/>
              <w:left w:val="double" w:sz="4" w:space="0" w:color="auto"/>
              <w:right w:val="nil"/>
            </w:tcBorders>
            <w:vAlign w:val="center"/>
          </w:tcPr>
          <w:p w14:paraId="5BF1F340" w14:textId="4789F758"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59.7</w:t>
            </w:r>
          </w:p>
        </w:tc>
        <w:tc>
          <w:tcPr>
            <w:tcW w:w="1159" w:type="dxa"/>
            <w:tcBorders>
              <w:top w:val="thinThickSmallGap" w:sz="24" w:space="0" w:color="auto"/>
              <w:left w:val="nil"/>
              <w:right w:val="nil"/>
            </w:tcBorders>
            <w:vAlign w:val="center"/>
          </w:tcPr>
          <w:p w14:paraId="6C0DB311" w14:textId="4B54FC08" w:rsidR="003A1F19" w:rsidRPr="003A1F19" w:rsidRDefault="003A1F19" w:rsidP="003A1F19">
            <w:pPr>
              <w:spacing w:line="240" w:lineRule="auto"/>
              <w:ind w:firstLine="6"/>
              <w:jc w:val="center"/>
              <w:rPr>
                <w:sz w:val="20"/>
                <w:szCs w:val="20"/>
              </w:rPr>
            </w:pPr>
            <w:r w:rsidRPr="003A1F19">
              <w:rPr>
                <w:sz w:val="20"/>
                <w:szCs w:val="20"/>
              </w:rPr>
              <w:t>58.0</w:t>
            </w:r>
          </w:p>
        </w:tc>
        <w:tc>
          <w:tcPr>
            <w:tcW w:w="1249" w:type="dxa"/>
            <w:tcBorders>
              <w:top w:val="thinThickSmallGap" w:sz="24" w:space="0" w:color="auto"/>
              <w:left w:val="nil"/>
              <w:right w:val="nil"/>
            </w:tcBorders>
            <w:vAlign w:val="center"/>
          </w:tcPr>
          <w:p w14:paraId="649B84B1" w14:textId="6CB20A7B" w:rsidR="003A1F19" w:rsidRPr="003A1F19" w:rsidRDefault="003A1F19" w:rsidP="003A1F19">
            <w:pPr>
              <w:spacing w:line="240" w:lineRule="auto"/>
              <w:ind w:firstLine="6"/>
              <w:jc w:val="center"/>
              <w:rPr>
                <w:sz w:val="20"/>
                <w:szCs w:val="20"/>
              </w:rPr>
            </w:pPr>
            <w:r w:rsidRPr="003A1F19">
              <w:rPr>
                <w:sz w:val="20"/>
                <w:szCs w:val="20"/>
              </w:rPr>
              <w:t>55.8</w:t>
            </w:r>
          </w:p>
        </w:tc>
        <w:tc>
          <w:tcPr>
            <w:tcW w:w="1429" w:type="dxa"/>
            <w:tcBorders>
              <w:top w:val="thinThickSmallGap" w:sz="24" w:space="0" w:color="auto"/>
              <w:left w:val="nil"/>
              <w:right w:val="nil"/>
            </w:tcBorders>
            <w:vAlign w:val="center"/>
          </w:tcPr>
          <w:p w14:paraId="3D3E5B55" w14:textId="5A53FD40" w:rsidR="003A1F19" w:rsidRPr="003A1F19" w:rsidRDefault="003A1F19" w:rsidP="003A1F19">
            <w:pPr>
              <w:spacing w:line="240" w:lineRule="auto"/>
              <w:ind w:firstLine="6"/>
              <w:jc w:val="center"/>
              <w:rPr>
                <w:sz w:val="20"/>
                <w:szCs w:val="20"/>
              </w:rPr>
            </w:pPr>
            <w:r w:rsidRPr="003A1F19">
              <w:rPr>
                <w:sz w:val="20"/>
                <w:szCs w:val="20"/>
              </w:rPr>
              <w:t>53.4</w:t>
            </w:r>
          </w:p>
        </w:tc>
      </w:tr>
      <w:tr w:rsidR="003A1F19" w:rsidRPr="00E06CCC" w14:paraId="37E0C3F7" w14:textId="77777777" w:rsidTr="0014286E">
        <w:trPr>
          <w:jc w:val="center"/>
        </w:trPr>
        <w:tc>
          <w:tcPr>
            <w:tcW w:w="1620" w:type="dxa"/>
            <w:tcBorders>
              <w:left w:val="nil"/>
              <w:right w:val="nil"/>
            </w:tcBorders>
            <w:vAlign w:val="center"/>
          </w:tcPr>
          <w:p w14:paraId="4526E6A5" w14:textId="77777777" w:rsidR="003A1F19" w:rsidRPr="0070296A" w:rsidRDefault="003A1F19" w:rsidP="003A1F19">
            <w:pPr>
              <w:spacing w:line="240" w:lineRule="auto"/>
              <w:ind w:firstLine="39"/>
              <w:jc w:val="center"/>
            </w:pPr>
            <w:r w:rsidRPr="0070296A">
              <w:t>EUR</w:t>
            </w:r>
          </w:p>
        </w:tc>
        <w:tc>
          <w:tcPr>
            <w:tcW w:w="1363" w:type="dxa"/>
            <w:tcBorders>
              <w:left w:val="nil"/>
              <w:right w:val="nil"/>
            </w:tcBorders>
            <w:vAlign w:val="center"/>
          </w:tcPr>
          <w:p w14:paraId="006B13C6" w14:textId="2909EC7B"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24.6</w:t>
            </w:r>
          </w:p>
        </w:tc>
        <w:tc>
          <w:tcPr>
            <w:tcW w:w="1159" w:type="dxa"/>
            <w:tcBorders>
              <w:left w:val="double" w:sz="4" w:space="0" w:color="auto"/>
              <w:right w:val="nil"/>
            </w:tcBorders>
            <w:vAlign w:val="center"/>
          </w:tcPr>
          <w:p w14:paraId="50AB615A" w14:textId="7B922DD9"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35.0</w:t>
            </w:r>
          </w:p>
        </w:tc>
        <w:tc>
          <w:tcPr>
            <w:tcW w:w="1159" w:type="dxa"/>
            <w:tcBorders>
              <w:left w:val="nil"/>
              <w:right w:val="nil"/>
            </w:tcBorders>
            <w:vAlign w:val="center"/>
          </w:tcPr>
          <w:p w14:paraId="59C29A17" w14:textId="77C095A3" w:rsidR="003A1F19" w:rsidRPr="003A1F19" w:rsidRDefault="003A1F19" w:rsidP="003A1F19">
            <w:pPr>
              <w:spacing w:line="240" w:lineRule="auto"/>
              <w:ind w:firstLine="6"/>
              <w:jc w:val="center"/>
              <w:rPr>
                <w:sz w:val="20"/>
                <w:szCs w:val="20"/>
              </w:rPr>
            </w:pPr>
            <w:r w:rsidRPr="003A1F19">
              <w:rPr>
                <w:sz w:val="20"/>
                <w:szCs w:val="20"/>
              </w:rPr>
              <w:t>37.7</w:t>
            </w:r>
          </w:p>
        </w:tc>
        <w:tc>
          <w:tcPr>
            <w:tcW w:w="1249" w:type="dxa"/>
            <w:tcBorders>
              <w:left w:val="nil"/>
              <w:right w:val="nil"/>
            </w:tcBorders>
            <w:vAlign w:val="center"/>
          </w:tcPr>
          <w:p w14:paraId="199E452A" w14:textId="632DE6A8" w:rsidR="003A1F19" w:rsidRPr="003A1F19" w:rsidRDefault="003A1F19" w:rsidP="003A1F19">
            <w:pPr>
              <w:spacing w:line="240" w:lineRule="auto"/>
              <w:ind w:firstLine="6"/>
              <w:jc w:val="center"/>
              <w:rPr>
                <w:sz w:val="20"/>
                <w:szCs w:val="20"/>
              </w:rPr>
            </w:pPr>
            <w:r w:rsidRPr="003A1F19">
              <w:rPr>
                <w:sz w:val="20"/>
                <w:szCs w:val="20"/>
              </w:rPr>
              <w:t>40.6</w:t>
            </w:r>
          </w:p>
        </w:tc>
        <w:tc>
          <w:tcPr>
            <w:tcW w:w="1429" w:type="dxa"/>
            <w:tcBorders>
              <w:left w:val="nil"/>
              <w:right w:val="nil"/>
            </w:tcBorders>
            <w:vAlign w:val="center"/>
          </w:tcPr>
          <w:p w14:paraId="67D029CE" w14:textId="7AC80903" w:rsidR="003A1F19" w:rsidRPr="003A1F19" w:rsidRDefault="003A1F19" w:rsidP="003A1F19">
            <w:pPr>
              <w:spacing w:line="240" w:lineRule="auto"/>
              <w:ind w:firstLine="6"/>
              <w:jc w:val="center"/>
              <w:rPr>
                <w:sz w:val="20"/>
                <w:szCs w:val="20"/>
              </w:rPr>
            </w:pPr>
            <w:r w:rsidRPr="003A1F19">
              <w:rPr>
                <w:sz w:val="20"/>
                <w:szCs w:val="20"/>
              </w:rPr>
              <w:t>43.7</w:t>
            </w:r>
          </w:p>
        </w:tc>
      </w:tr>
      <w:tr w:rsidR="003A1F19" w:rsidRPr="00E06CCC" w14:paraId="7CEB98EA" w14:textId="77777777" w:rsidTr="0014286E">
        <w:trPr>
          <w:jc w:val="center"/>
        </w:trPr>
        <w:tc>
          <w:tcPr>
            <w:tcW w:w="1620" w:type="dxa"/>
            <w:tcBorders>
              <w:left w:val="nil"/>
              <w:right w:val="nil"/>
            </w:tcBorders>
            <w:vAlign w:val="center"/>
          </w:tcPr>
          <w:p w14:paraId="44CAA56F" w14:textId="77777777" w:rsidR="003A1F19" w:rsidRPr="0070296A" w:rsidRDefault="003A1F19" w:rsidP="003A1F19">
            <w:pPr>
              <w:spacing w:line="240" w:lineRule="auto"/>
              <w:ind w:firstLine="39"/>
              <w:jc w:val="center"/>
            </w:pPr>
            <w:r w:rsidRPr="0070296A">
              <w:t>GBP</w:t>
            </w:r>
          </w:p>
        </w:tc>
        <w:tc>
          <w:tcPr>
            <w:tcW w:w="1363" w:type="dxa"/>
            <w:tcBorders>
              <w:left w:val="nil"/>
              <w:right w:val="nil"/>
            </w:tcBorders>
            <w:vAlign w:val="center"/>
          </w:tcPr>
          <w:p w14:paraId="2D3970D6" w14:textId="382EF1A2"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1.7</w:t>
            </w:r>
          </w:p>
        </w:tc>
        <w:tc>
          <w:tcPr>
            <w:tcW w:w="1159" w:type="dxa"/>
            <w:tcBorders>
              <w:left w:val="double" w:sz="4" w:space="0" w:color="auto"/>
              <w:right w:val="nil"/>
            </w:tcBorders>
            <w:vAlign w:val="center"/>
          </w:tcPr>
          <w:p w14:paraId="1D53897F" w14:textId="74DBBE86"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0.9</w:t>
            </w:r>
          </w:p>
        </w:tc>
        <w:tc>
          <w:tcPr>
            <w:tcW w:w="1159" w:type="dxa"/>
            <w:tcBorders>
              <w:left w:val="nil"/>
              <w:right w:val="nil"/>
            </w:tcBorders>
            <w:vAlign w:val="center"/>
          </w:tcPr>
          <w:p w14:paraId="28CE875C" w14:textId="3CA99102" w:rsidR="003A1F19" w:rsidRPr="003A1F19" w:rsidRDefault="003A1F19" w:rsidP="003A1F19">
            <w:pPr>
              <w:spacing w:line="240" w:lineRule="auto"/>
              <w:ind w:firstLine="6"/>
              <w:jc w:val="center"/>
              <w:rPr>
                <w:sz w:val="20"/>
                <w:szCs w:val="20"/>
              </w:rPr>
            </w:pPr>
            <w:r w:rsidRPr="003A1F19">
              <w:rPr>
                <w:sz w:val="20"/>
                <w:szCs w:val="20"/>
              </w:rPr>
              <w:t>0.7</w:t>
            </w:r>
          </w:p>
        </w:tc>
        <w:tc>
          <w:tcPr>
            <w:tcW w:w="1249" w:type="dxa"/>
            <w:tcBorders>
              <w:left w:val="nil"/>
              <w:right w:val="nil"/>
            </w:tcBorders>
            <w:vAlign w:val="center"/>
          </w:tcPr>
          <w:p w14:paraId="162B8D12" w14:textId="6236196D" w:rsidR="003A1F19" w:rsidRPr="003A1F19" w:rsidRDefault="003A1F19" w:rsidP="003A1F19">
            <w:pPr>
              <w:spacing w:line="240" w:lineRule="auto"/>
              <w:ind w:firstLine="6"/>
              <w:jc w:val="center"/>
              <w:rPr>
                <w:sz w:val="20"/>
                <w:szCs w:val="20"/>
              </w:rPr>
            </w:pPr>
            <w:r w:rsidRPr="003A1F19">
              <w:rPr>
                <w:sz w:val="20"/>
                <w:szCs w:val="20"/>
              </w:rPr>
              <w:t>0.6</w:t>
            </w:r>
          </w:p>
        </w:tc>
        <w:tc>
          <w:tcPr>
            <w:tcW w:w="1429" w:type="dxa"/>
            <w:tcBorders>
              <w:left w:val="nil"/>
              <w:right w:val="nil"/>
            </w:tcBorders>
            <w:vAlign w:val="center"/>
          </w:tcPr>
          <w:p w14:paraId="1FCFAB4E" w14:textId="7DD6EBE6" w:rsidR="003A1F19" w:rsidRPr="003A1F19" w:rsidRDefault="003A1F19" w:rsidP="003A1F19">
            <w:pPr>
              <w:spacing w:line="240" w:lineRule="auto"/>
              <w:ind w:firstLine="6"/>
              <w:jc w:val="center"/>
              <w:rPr>
                <w:sz w:val="20"/>
                <w:szCs w:val="20"/>
              </w:rPr>
            </w:pPr>
            <w:r w:rsidRPr="003A1F19">
              <w:rPr>
                <w:sz w:val="20"/>
                <w:szCs w:val="20"/>
              </w:rPr>
              <w:t>0.5</w:t>
            </w:r>
          </w:p>
        </w:tc>
      </w:tr>
      <w:tr w:rsidR="003A1F19" w:rsidRPr="00E06CCC" w14:paraId="355F5AA8" w14:textId="77777777" w:rsidTr="0014286E">
        <w:trPr>
          <w:jc w:val="center"/>
        </w:trPr>
        <w:tc>
          <w:tcPr>
            <w:tcW w:w="1620" w:type="dxa"/>
            <w:tcBorders>
              <w:left w:val="nil"/>
              <w:right w:val="nil"/>
            </w:tcBorders>
            <w:vAlign w:val="center"/>
          </w:tcPr>
          <w:p w14:paraId="75563115" w14:textId="77777777" w:rsidR="003A1F19" w:rsidRPr="0070296A" w:rsidRDefault="003A1F19" w:rsidP="003A1F19">
            <w:pPr>
              <w:spacing w:line="240" w:lineRule="auto"/>
              <w:ind w:firstLine="39"/>
              <w:jc w:val="center"/>
            </w:pPr>
            <w:r w:rsidRPr="0070296A">
              <w:t>JPY</w:t>
            </w:r>
          </w:p>
        </w:tc>
        <w:tc>
          <w:tcPr>
            <w:tcW w:w="1363" w:type="dxa"/>
            <w:tcBorders>
              <w:left w:val="nil"/>
              <w:right w:val="nil"/>
            </w:tcBorders>
            <w:vAlign w:val="center"/>
          </w:tcPr>
          <w:p w14:paraId="06A5D803" w14:textId="0A4F5D77"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3.7</w:t>
            </w:r>
          </w:p>
        </w:tc>
        <w:tc>
          <w:tcPr>
            <w:tcW w:w="1159" w:type="dxa"/>
            <w:tcBorders>
              <w:left w:val="double" w:sz="4" w:space="0" w:color="auto"/>
              <w:right w:val="nil"/>
            </w:tcBorders>
            <w:vAlign w:val="center"/>
          </w:tcPr>
          <w:p w14:paraId="31DD4220" w14:textId="6859E3A9"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2.6</w:t>
            </w:r>
          </w:p>
        </w:tc>
        <w:tc>
          <w:tcPr>
            <w:tcW w:w="1159" w:type="dxa"/>
            <w:tcBorders>
              <w:left w:val="nil"/>
              <w:right w:val="nil"/>
            </w:tcBorders>
            <w:vAlign w:val="center"/>
          </w:tcPr>
          <w:p w14:paraId="103EA310" w14:textId="550205A4" w:rsidR="003A1F19" w:rsidRPr="003A1F19" w:rsidRDefault="003A1F19" w:rsidP="003A1F19">
            <w:pPr>
              <w:spacing w:line="240" w:lineRule="auto"/>
              <w:ind w:firstLine="6"/>
              <w:jc w:val="center"/>
              <w:rPr>
                <w:sz w:val="20"/>
                <w:szCs w:val="20"/>
              </w:rPr>
            </w:pPr>
            <w:r w:rsidRPr="003A1F19">
              <w:rPr>
                <w:sz w:val="20"/>
                <w:szCs w:val="20"/>
              </w:rPr>
              <w:t>2.1</w:t>
            </w:r>
          </w:p>
        </w:tc>
        <w:tc>
          <w:tcPr>
            <w:tcW w:w="1249" w:type="dxa"/>
            <w:tcBorders>
              <w:left w:val="nil"/>
              <w:right w:val="nil"/>
            </w:tcBorders>
            <w:vAlign w:val="center"/>
          </w:tcPr>
          <w:p w14:paraId="4E0263B2" w14:textId="7C8687E9" w:rsidR="003A1F19" w:rsidRPr="003A1F19" w:rsidRDefault="003A1F19" w:rsidP="003A1F19">
            <w:pPr>
              <w:spacing w:line="240" w:lineRule="auto"/>
              <w:ind w:firstLine="6"/>
              <w:jc w:val="center"/>
              <w:rPr>
                <w:sz w:val="20"/>
                <w:szCs w:val="20"/>
              </w:rPr>
            </w:pPr>
            <w:r w:rsidRPr="003A1F19">
              <w:rPr>
                <w:sz w:val="20"/>
                <w:szCs w:val="20"/>
              </w:rPr>
              <w:t>1.8</w:t>
            </w:r>
          </w:p>
        </w:tc>
        <w:tc>
          <w:tcPr>
            <w:tcW w:w="1429" w:type="dxa"/>
            <w:tcBorders>
              <w:left w:val="nil"/>
              <w:right w:val="nil"/>
            </w:tcBorders>
            <w:vAlign w:val="center"/>
          </w:tcPr>
          <w:p w14:paraId="4CB7770F" w14:textId="69403021" w:rsidR="003A1F19" w:rsidRPr="003A1F19" w:rsidRDefault="003A1F19" w:rsidP="003A1F19">
            <w:pPr>
              <w:spacing w:line="240" w:lineRule="auto"/>
              <w:ind w:firstLine="6"/>
              <w:jc w:val="center"/>
              <w:rPr>
                <w:sz w:val="20"/>
                <w:szCs w:val="20"/>
              </w:rPr>
            </w:pPr>
            <w:r w:rsidRPr="003A1F19">
              <w:rPr>
                <w:sz w:val="20"/>
                <w:szCs w:val="20"/>
              </w:rPr>
              <w:t>1.5</w:t>
            </w:r>
          </w:p>
        </w:tc>
      </w:tr>
      <w:tr w:rsidR="003A1F19" w:rsidRPr="00E06CCC" w14:paraId="48AF83DA" w14:textId="77777777" w:rsidTr="0014286E">
        <w:trPr>
          <w:jc w:val="center"/>
        </w:trPr>
        <w:tc>
          <w:tcPr>
            <w:tcW w:w="1620" w:type="dxa"/>
            <w:tcBorders>
              <w:left w:val="nil"/>
              <w:right w:val="nil"/>
            </w:tcBorders>
            <w:vAlign w:val="center"/>
          </w:tcPr>
          <w:p w14:paraId="2625C190" w14:textId="77777777" w:rsidR="003A1F19" w:rsidRPr="0070296A" w:rsidRDefault="003A1F19" w:rsidP="003A1F19">
            <w:pPr>
              <w:spacing w:line="240" w:lineRule="auto"/>
              <w:ind w:firstLine="39"/>
              <w:jc w:val="center"/>
            </w:pPr>
            <w:r w:rsidRPr="0070296A">
              <w:t>AED</w:t>
            </w:r>
          </w:p>
        </w:tc>
        <w:tc>
          <w:tcPr>
            <w:tcW w:w="1363" w:type="dxa"/>
            <w:tcBorders>
              <w:left w:val="nil"/>
              <w:right w:val="nil"/>
            </w:tcBorders>
            <w:vAlign w:val="center"/>
          </w:tcPr>
          <w:p w14:paraId="117F85AF" w14:textId="1017E20D"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0.0</w:t>
            </w:r>
          </w:p>
        </w:tc>
        <w:tc>
          <w:tcPr>
            <w:tcW w:w="1159" w:type="dxa"/>
            <w:tcBorders>
              <w:left w:val="double" w:sz="4" w:space="0" w:color="auto"/>
              <w:right w:val="nil"/>
            </w:tcBorders>
            <w:vAlign w:val="center"/>
          </w:tcPr>
          <w:p w14:paraId="5FB9677A" w14:textId="75D3AA68"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0.0</w:t>
            </w:r>
          </w:p>
        </w:tc>
        <w:tc>
          <w:tcPr>
            <w:tcW w:w="1159" w:type="dxa"/>
            <w:tcBorders>
              <w:left w:val="nil"/>
              <w:right w:val="nil"/>
            </w:tcBorders>
            <w:vAlign w:val="center"/>
          </w:tcPr>
          <w:p w14:paraId="66C38C8F" w14:textId="70946C65" w:rsidR="003A1F19" w:rsidRPr="003A1F19" w:rsidRDefault="003A1F19" w:rsidP="003A1F19">
            <w:pPr>
              <w:spacing w:line="240" w:lineRule="auto"/>
              <w:ind w:firstLine="6"/>
              <w:jc w:val="center"/>
              <w:rPr>
                <w:sz w:val="20"/>
                <w:szCs w:val="20"/>
              </w:rPr>
            </w:pPr>
            <w:r w:rsidRPr="003A1F19">
              <w:rPr>
                <w:sz w:val="20"/>
                <w:szCs w:val="20"/>
              </w:rPr>
              <w:t>0.0</w:t>
            </w:r>
          </w:p>
        </w:tc>
        <w:tc>
          <w:tcPr>
            <w:tcW w:w="1249" w:type="dxa"/>
            <w:tcBorders>
              <w:left w:val="nil"/>
              <w:right w:val="nil"/>
            </w:tcBorders>
            <w:vAlign w:val="center"/>
          </w:tcPr>
          <w:p w14:paraId="76F43099" w14:textId="2A45D091" w:rsidR="003A1F19" w:rsidRPr="003A1F19" w:rsidRDefault="003A1F19" w:rsidP="003A1F19">
            <w:pPr>
              <w:spacing w:line="240" w:lineRule="auto"/>
              <w:ind w:firstLine="6"/>
              <w:jc w:val="center"/>
              <w:rPr>
                <w:sz w:val="20"/>
                <w:szCs w:val="20"/>
              </w:rPr>
            </w:pPr>
            <w:r w:rsidRPr="003A1F19">
              <w:rPr>
                <w:sz w:val="20"/>
                <w:szCs w:val="20"/>
              </w:rPr>
              <w:t>-</w:t>
            </w:r>
          </w:p>
        </w:tc>
        <w:tc>
          <w:tcPr>
            <w:tcW w:w="1429" w:type="dxa"/>
            <w:tcBorders>
              <w:left w:val="nil"/>
              <w:right w:val="nil"/>
            </w:tcBorders>
            <w:vAlign w:val="center"/>
          </w:tcPr>
          <w:p w14:paraId="10F957F1" w14:textId="03D7CFD4" w:rsidR="003A1F19" w:rsidRPr="003A1F19" w:rsidRDefault="003A1F19" w:rsidP="003A1F19">
            <w:pPr>
              <w:spacing w:line="240" w:lineRule="auto"/>
              <w:ind w:firstLine="6"/>
              <w:jc w:val="center"/>
              <w:rPr>
                <w:sz w:val="20"/>
                <w:szCs w:val="20"/>
              </w:rPr>
            </w:pPr>
            <w:r w:rsidRPr="003A1F19">
              <w:rPr>
                <w:sz w:val="20"/>
                <w:szCs w:val="20"/>
              </w:rPr>
              <w:t>-</w:t>
            </w:r>
          </w:p>
        </w:tc>
      </w:tr>
      <w:tr w:rsidR="003A1F19" w:rsidRPr="00E06CCC" w14:paraId="52581089" w14:textId="77777777" w:rsidTr="0014286E">
        <w:trPr>
          <w:jc w:val="center"/>
        </w:trPr>
        <w:tc>
          <w:tcPr>
            <w:tcW w:w="1620" w:type="dxa"/>
            <w:tcBorders>
              <w:left w:val="nil"/>
              <w:bottom w:val="thickThinSmallGap" w:sz="24" w:space="0" w:color="auto"/>
              <w:right w:val="nil"/>
            </w:tcBorders>
            <w:vAlign w:val="center"/>
          </w:tcPr>
          <w:p w14:paraId="10623118" w14:textId="77777777" w:rsidR="003A1F19" w:rsidRPr="0070296A" w:rsidRDefault="003A1F19" w:rsidP="003A1F19">
            <w:pPr>
              <w:spacing w:line="240" w:lineRule="auto"/>
              <w:ind w:firstLine="39"/>
              <w:jc w:val="center"/>
            </w:pPr>
            <w:r w:rsidRPr="0070296A">
              <w:t>CNY</w:t>
            </w:r>
          </w:p>
        </w:tc>
        <w:tc>
          <w:tcPr>
            <w:tcW w:w="1363" w:type="dxa"/>
            <w:tcBorders>
              <w:left w:val="nil"/>
              <w:bottom w:val="thickThinSmallGap" w:sz="24" w:space="0" w:color="auto"/>
              <w:right w:val="nil"/>
            </w:tcBorders>
            <w:vAlign w:val="center"/>
          </w:tcPr>
          <w:p w14:paraId="2202129A" w14:textId="7E9F7674" w:rsidR="003A1F19" w:rsidRPr="00E15EC6" w:rsidRDefault="003A1F19" w:rsidP="003A1F19">
            <w:pPr>
              <w:spacing w:line="240" w:lineRule="auto"/>
              <w:ind w:firstLine="6"/>
              <w:jc w:val="center"/>
              <w:rPr>
                <w:color w:val="000000" w:themeColor="text1"/>
                <w:sz w:val="20"/>
                <w:szCs w:val="20"/>
              </w:rPr>
            </w:pPr>
            <w:r w:rsidRPr="00E15EC6">
              <w:rPr>
                <w:color w:val="000000" w:themeColor="text1"/>
                <w:sz w:val="20"/>
                <w:szCs w:val="20"/>
              </w:rPr>
              <w:t>3.0</w:t>
            </w:r>
          </w:p>
        </w:tc>
        <w:tc>
          <w:tcPr>
            <w:tcW w:w="1159" w:type="dxa"/>
            <w:tcBorders>
              <w:left w:val="double" w:sz="4" w:space="0" w:color="auto"/>
              <w:bottom w:val="thickThinSmallGap" w:sz="24" w:space="0" w:color="auto"/>
              <w:right w:val="nil"/>
            </w:tcBorders>
            <w:vAlign w:val="center"/>
          </w:tcPr>
          <w:p w14:paraId="742DD8C0" w14:textId="07EA3BB1" w:rsidR="003A1F19" w:rsidRPr="00032495" w:rsidRDefault="003A1F19" w:rsidP="003A1F19">
            <w:pPr>
              <w:spacing w:line="240" w:lineRule="auto"/>
              <w:ind w:firstLine="6"/>
              <w:jc w:val="center"/>
              <w:rPr>
                <w:color w:val="000000" w:themeColor="text1"/>
                <w:sz w:val="20"/>
                <w:szCs w:val="20"/>
              </w:rPr>
            </w:pPr>
            <w:r w:rsidRPr="00E15EC6">
              <w:rPr>
                <w:color w:val="000000" w:themeColor="text1"/>
                <w:sz w:val="20"/>
                <w:szCs w:val="20"/>
              </w:rPr>
              <w:t>1.8</w:t>
            </w:r>
          </w:p>
        </w:tc>
        <w:tc>
          <w:tcPr>
            <w:tcW w:w="1159" w:type="dxa"/>
            <w:tcBorders>
              <w:left w:val="nil"/>
              <w:bottom w:val="thickThinSmallGap" w:sz="24" w:space="0" w:color="auto"/>
              <w:right w:val="nil"/>
            </w:tcBorders>
            <w:vAlign w:val="center"/>
          </w:tcPr>
          <w:p w14:paraId="1DE137BC" w14:textId="5C4ABEBB" w:rsidR="003A1F19" w:rsidRPr="003A1F19" w:rsidRDefault="003A1F19" w:rsidP="003A1F19">
            <w:pPr>
              <w:spacing w:line="240" w:lineRule="auto"/>
              <w:ind w:firstLine="6"/>
              <w:jc w:val="center"/>
              <w:rPr>
                <w:sz w:val="20"/>
                <w:szCs w:val="20"/>
              </w:rPr>
            </w:pPr>
            <w:r w:rsidRPr="003A1F19">
              <w:rPr>
                <w:sz w:val="20"/>
                <w:szCs w:val="20"/>
              </w:rPr>
              <w:t>1.4</w:t>
            </w:r>
          </w:p>
        </w:tc>
        <w:tc>
          <w:tcPr>
            <w:tcW w:w="1249" w:type="dxa"/>
            <w:tcBorders>
              <w:left w:val="nil"/>
              <w:bottom w:val="thickThinSmallGap" w:sz="24" w:space="0" w:color="auto"/>
              <w:right w:val="nil"/>
            </w:tcBorders>
            <w:vAlign w:val="center"/>
          </w:tcPr>
          <w:p w14:paraId="6423F60B" w14:textId="722F41CC" w:rsidR="003A1F19" w:rsidRPr="003A1F19" w:rsidRDefault="003A1F19" w:rsidP="003A1F19">
            <w:pPr>
              <w:spacing w:line="240" w:lineRule="auto"/>
              <w:ind w:firstLine="6"/>
              <w:jc w:val="center"/>
              <w:rPr>
                <w:sz w:val="20"/>
                <w:szCs w:val="20"/>
              </w:rPr>
            </w:pPr>
            <w:r w:rsidRPr="003A1F19">
              <w:rPr>
                <w:sz w:val="20"/>
                <w:szCs w:val="20"/>
              </w:rPr>
              <w:t>1.1</w:t>
            </w:r>
          </w:p>
        </w:tc>
        <w:tc>
          <w:tcPr>
            <w:tcW w:w="1429" w:type="dxa"/>
            <w:tcBorders>
              <w:left w:val="nil"/>
              <w:bottom w:val="thickThinSmallGap" w:sz="24" w:space="0" w:color="auto"/>
              <w:right w:val="nil"/>
            </w:tcBorders>
            <w:vAlign w:val="center"/>
          </w:tcPr>
          <w:p w14:paraId="52A30087" w14:textId="76F86C8A" w:rsidR="003A1F19" w:rsidRPr="003A1F19" w:rsidRDefault="003A1F19" w:rsidP="003A1F19">
            <w:pPr>
              <w:spacing w:line="240" w:lineRule="auto"/>
              <w:ind w:firstLine="6"/>
              <w:jc w:val="center"/>
              <w:rPr>
                <w:sz w:val="20"/>
                <w:szCs w:val="20"/>
              </w:rPr>
            </w:pPr>
            <w:r w:rsidRPr="003A1F19">
              <w:rPr>
                <w:sz w:val="20"/>
                <w:szCs w:val="20"/>
              </w:rPr>
              <w:t>0.9</w:t>
            </w:r>
          </w:p>
        </w:tc>
      </w:tr>
    </w:tbl>
    <w:p w14:paraId="0711CEAA" w14:textId="7C8F4907" w:rsidR="006F4A30" w:rsidRPr="002B7A55" w:rsidRDefault="0014286E" w:rsidP="0014286E">
      <w:pPr>
        <w:spacing w:before="120"/>
        <w:ind w:left="567" w:firstLine="0"/>
        <w:rPr>
          <w:sz w:val="16"/>
          <w:lang w:val="en-US"/>
        </w:rPr>
      </w:pPr>
      <w:r>
        <w:rPr>
          <w:sz w:val="16"/>
          <w:lang w:val="en-US"/>
        </w:rPr>
        <w:t xml:space="preserve">         </w:t>
      </w:r>
      <w:r w:rsidR="00F93169" w:rsidRPr="005A68E6">
        <w:rPr>
          <w:sz w:val="16"/>
          <w:lang w:val="en-US"/>
        </w:rPr>
        <w:t>Source: RA MoF calculations and forecasts</w:t>
      </w:r>
    </w:p>
    <w:p w14:paraId="1951F785" w14:textId="1AF99779" w:rsidR="002B7A55" w:rsidRPr="002B7A55" w:rsidRDefault="002B7A55" w:rsidP="002B7A55">
      <w:r>
        <w:lastRenderedPageBreak/>
        <w:t xml:space="preserve">To reduce and effectively manage exchange rate risk, various hedging approaches (such as </w:t>
      </w:r>
      <w:r>
        <w:rPr>
          <w:lang w:val="en-US"/>
        </w:rPr>
        <w:t>FX</w:t>
      </w:r>
      <w:r>
        <w:t xml:space="preserve"> swaps) will be </w:t>
      </w:r>
      <w:r>
        <w:rPr>
          <w:lang w:val="en-US"/>
        </w:rPr>
        <w:t>used</w:t>
      </w:r>
      <w:r>
        <w:t xml:space="preserve"> </w:t>
      </w:r>
      <w:r>
        <w:rPr>
          <w:lang w:val="en-US"/>
        </w:rPr>
        <w:t>along</w:t>
      </w:r>
      <w:r>
        <w:t xml:space="preserve"> with the development of the foreign exchange market.</w:t>
      </w:r>
    </w:p>
    <w:p w14:paraId="0E0EAC32" w14:textId="520195FC" w:rsidR="00DA0F8B" w:rsidRPr="00DA0F8B" w:rsidRDefault="00DA0F8B" w:rsidP="00DA0F8B">
      <w:r>
        <w:rPr>
          <w:lang w:val="en-US"/>
        </w:rPr>
        <w:t>T</w:t>
      </w:r>
      <w:r>
        <w:t>he share of SDR-denominated debt</w:t>
      </w:r>
      <w:r w:rsidRPr="00DA0F8B">
        <w:rPr>
          <w:lang w:val="en-US"/>
        </w:rPr>
        <w:t xml:space="preserve"> </w:t>
      </w:r>
      <w:r>
        <w:rPr>
          <w:lang w:val="en-US"/>
        </w:rPr>
        <w:t>in the RA Government foreign currency debt</w:t>
      </w:r>
      <w:r>
        <w:t xml:space="preserve"> is expected to decline by 15.8 percentage points by the end of the forecast period compared to the actual figure in 2024, as SDR-denominated loans are gradually repaid and no new loans are being </w:t>
      </w:r>
      <w:r w:rsidR="00147F10">
        <w:rPr>
          <w:lang w:val="en-US"/>
        </w:rPr>
        <w:t>disburs</w:t>
      </w:r>
      <w:r w:rsidR="00147F10">
        <w:t xml:space="preserve">ed </w:t>
      </w:r>
      <w:r>
        <w:t xml:space="preserve">in this currency, given that international organizations primarily provide loans in SDR primarily to low-income countries. The Government continues its policy of diversifying foreign currency debt, resulting in the share of the </w:t>
      </w:r>
      <w:r>
        <w:rPr>
          <w:lang w:val="en-US"/>
        </w:rPr>
        <w:t>USD</w:t>
      </w:r>
      <w:r>
        <w:t xml:space="preserve"> in the portfolio decreasing by 6.7 percentage points and the share of the </w:t>
      </w:r>
      <w:r>
        <w:rPr>
          <w:lang w:val="en-US"/>
        </w:rPr>
        <w:t>EUR</w:t>
      </w:r>
      <w:r>
        <w:t xml:space="preserve"> increasing by 23.7 percentage points by the end of the medium-term period.</w:t>
      </w:r>
    </w:p>
    <w:p w14:paraId="561B295B" w14:textId="61F3C3E1" w:rsidR="00EE6CEA" w:rsidRPr="00027B70" w:rsidRDefault="00AD0345" w:rsidP="0014286E">
      <w:pPr>
        <w:pStyle w:val="af7"/>
        <w:numPr>
          <w:ilvl w:val="0"/>
          <w:numId w:val="20"/>
        </w:numPr>
        <w:tabs>
          <w:tab w:val="left" w:pos="180"/>
          <w:tab w:val="left" w:pos="630"/>
          <w:tab w:val="left" w:pos="1710"/>
          <w:tab w:val="left" w:pos="1890"/>
          <w:tab w:val="left" w:pos="1980"/>
          <w:tab w:val="left" w:pos="2430"/>
          <w:tab w:val="left" w:pos="2610"/>
          <w:tab w:val="left" w:pos="2880"/>
        </w:tabs>
        <w:rPr>
          <w:b w:val="0"/>
          <w:sz w:val="22"/>
          <w:szCs w:val="22"/>
        </w:rPr>
      </w:pPr>
      <w:r w:rsidRPr="00AD0345">
        <w:rPr>
          <w:b w:val="0"/>
          <w:sz w:val="22"/>
          <w:szCs w:val="22"/>
        </w:rPr>
        <w:t>S</w:t>
      </w:r>
      <w:r w:rsidR="0002595A" w:rsidRPr="0002595A">
        <w:rPr>
          <w:b w:val="0"/>
          <w:sz w:val="22"/>
          <w:szCs w:val="22"/>
        </w:rPr>
        <w:t>hare of the RA Government foreign currency debt redemptions and interest payments in the CBA external assets as of the end of the previous year,</w:t>
      </w:r>
      <w:r w:rsidRPr="00AD0345">
        <w:rPr>
          <w:b w:val="0"/>
          <w:sz w:val="22"/>
          <w:szCs w:val="22"/>
        </w:rPr>
        <w:t xml:space="preserve"> 2024-2028</w:t>
      </w:r>
    </w:p>
    <w:p w14:paraId="18553AD8" w14:textId="1CE28D3B" w:rsidR="00027B70" w:rsidRPr="0070296A" w:rsidRDefault="00027B70" w:rsidP="00EE6CEA">
      <w:pPr>
        <w:pStyle w:val="af7"/>
        <w:jc w:val="center"/>
      </w:pPr>
      <w:r>
        <w:rPr>
          <w:noProof/>
          <w:lang w:val="en-US"/>
        </w:rPr>
        <w:drawing>
          <wp:inline distT="0" distB="0" distL="0" distR="0" wp14:anchorId="3A50C269" wp14:editId="555DEFC7">
            <wp:extent cx="6276975" cy="2819400"/>
            <wp:effectExtent l="0" t="0" r="9525" b="0"/>
            <wp:docPr id="1"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7696D2" w14:textId="77777777" w:rsidR="004B18D4" w:rsidRPr="001C5451" w:rsidRDefault="004B18D4" w:rsidP="004B18D4">
      <w:pPr>
        <w:pStyle w:val="NoSpacing"/>
        <w:spacing w:before="120"/>
        <w:ind w:left="540"/>
        <w:rPr>
          <w:sz w:val="18"/>
          <w:szCs w:val="18"/>
          <w:lang w:val="hy-AM"/>
        </w:rPr>
      </w:pPr>
      <w:r w:rsidRPr="001E6401">
        <w:rPr>
          <w:sz w:val="18"/>
          <w:szCs w:val="18"/>
          <w:lang w:val="hy-AM"/>
        </w:rPr>
        <w:t>Source: RA MoF calculations and forecasts</w:t>
      </w:r>
      <w:r w:rsidRPr="001C5451">
        <w:rPr>
          <w:sz w:val="18"/>
          <w:szCs w:val="18"/>
          <w:lang w:val="hy-AM"/>
        </w:rPr>
        <w:t>, CBA, IMF</w:t>
      </w:r>
    </w:p>
    <w:p w14:paraId="24976628" w14:textId="77777777" w:rsidR="00F135ED" w:rsidRPr="00E73464" w:rsidRDefault="00F135ED" w:rsidP="00581010">
      <w:pPr>
        <w:pStyle w:val="NoSpacing"/>
        <w:rPr>
          <w:color w:val="FF0000"/>
          <w:lang w:val="hy-AM"/>
        </w:rPr>
      </w:pPr>
    </w:p>
    <w:p w14:paraId="7A9BF0D6" w14:textId="7F570AE6" w:rsidR="00F05D55" w:rsidRDefault="00F05D55" w:rsidP="0014286E">
      <w:r>
        <w:t>The share of the Republic of Armenia Government’s foreign currency debt redemptions and interest payments in a given year relative to the Central Bank of Armenia’s external assets at the end of the previous year increased significantly in 2025, reaching 30.1%, primarily due to the redemption of Eurobonds</w:t>
      </w:r>
      <w:r>
        <w:rPr>
          <w:lang w:val="en-US"/>
        </w:rPr>
        <w:t xml:space="preserve"> in 2025</w:t>
      </w:r>
      <w:r>
        <w:t>. By the end of 2028, this ratio is projected to decline to 21.7%. This indicates that over one-fifth of foreign assets will be allocated to servicing the government’s foreign currency debt redemptions and interest payments during the medium-term period, which has been a significant factor in developing the currency composition scenario for new government debt issuance.</w:t>
      </w:r>
    </w:p>
    <w:p w14:paraId="1CD1F788" w14:textId="77777777" w:rsidR="00342850" w:rsidRPr="00761AF1" w:rsidRDefault="00342850" w:rsidP="00342850">
      <w:pPr>
        <w:pStyle w:val="af8"/>
      </w:pPr>
      <w:r w:rsidRPr="00761AF1">
        <w:lastRenderedPageBreak/>
        <w:t xml:space="preserve">Refinancing risk </w:t>
      </w:r>
    </w:p>
    <w:p w14:paraId="737C4320" w14:textId="0799BCE0" w:rsidR="00761AF1" w:rsidRPr="00202DED" w:rsidRDefault="00761AF1" w:rsidP="00202DED">
      <w:pPr>
        <w:rPr>
          <w:color w:val="000000"/>
        </w:rPr>
      </w:pPr>
      <w:r>
        <w:t xml:space="preserve">The refinancing risk is </w:t>
      </w:r>
      <w:r w:rsidR="00202DED">
        <w:t xml:space="preserve">emphasized in light of the </w:t>
      </w:r>
      <w:r>
        <w:t xml:space="preserve">volume of </w:t>
      </w:r>
      <w:r>
        <w:rPr>
          <w:lang w:val="en-US"/>
        </w:rPr>
        <w:t xml:space="preserve">the RA Government </w:t>
      </w:r>
      <w:r>
        <w:t xml:space="preserve">debt repayments </w:t>
      </w:r>
      <w:r>
        <w:rPr>
          <w:lang w:val="en-US"/>
        </w:rPr>
        <w:t>and</w:t>
      </w:r>
      <w:r>
        <w:t xml:space="preserve"> potential </w:t>
      </w:r>
      <w:r w:rsidR="00147F10" w:rsidRPr="00147F10">
        <w:t>negative</w:t>
      </w:r>
      <w:r w:rsidR="00147F10" w:rsidRPr="00147F10" w:rsidDel="00147F10">
        <w:t xml:space="preserve"> </w:t>
      </w:r>
      <w:r>
        <w:t>developments in both international and domestic financial markets</w:t>
      </w:r>
      <w:r>
        <w:rPr>
          <w:lang w:val="en-US"/>
        </w:rPr>
        <w:t xml:space="preserve"> </w:t>
      </w:r>
      <w:r>
        <w:t xml:space="preserve">in the coming years. When negotiating </w:t>
      </w:r>
      <w:r w:rsidR="006213FA">
        <w:rPr>
          <w:lang w:val="en-US"/>
        </w:rPr>
        <w:t xml:space="preserve">and making decisions on </w:t>
      </w:r>
      <w:r>
        <w:t xml:space="preserve">the financial terms of new borrowings, the </w:t>
      </w:r>
      <w:r w:rsidR="00202DED">
        <w:rPr>
          <w:lang w:val="en-US"/>
        </w:rPr>
        <w:t xml:space="preserve">RA </w:t>
      </w:r>
      <w:r>
        <w:t xml:space="preserve">Government </w:t>
      </w:r>
      <w:r w:rsidR="00202DED">
        <w:rPr>
          <w:lang w:val="en-US"/>
        </w:rPr>
        <w:t>s</w:t>
      </w:r>
      <w:r>
        <w:t xml:space="preserve">eeks to smooth </w:t>
      </w:r>
      <w:r w:rsidR="00202DED">
        <w:rPr>
          <w:color w:val="000000"/>
        </w:rPr>
        <w:t xml:space="preserve">the redemption profile, </w:t>
      </w:r>
      <w:r w:rsidR="00202DED">
        <w:t xml:space="preserve">thereby </w:t>
      </w:r>
      <w:r w:rsidR="00202DED" w:rsidRPr="005A68E6">
        <w:rPr>
          <w:color w:val="000000"/>
        </w:rPr>
        <w:t>mitigating the refinancing risk</w:t>
      </w:r>
      <w:r>
        <w:t xml:space="preserve">. </w:t>
      </w:r>
      <w:r w:rsidR="00202DED" w:rsidRPr="005A68E6">
        <w:rPr>
          <w:color w:val="000000"/>
        </w:rPr>
        <w:t xml:space="preserve">Buybacks are also used </w:t>
      </w:r>
      <w:r w:rsidR="00202DED">
        <w:rPr>
          <w:color w:val="000000"/>
          <w:lang w:val="en-US"/>
        </w:rPr>
        <w:t xml:space="preserve">to </w:t>
      </w:r>
      <w:r w:rsidR="00202DED">
        <w:t xml:space="preserve">as a tool to reduce </w:t>
      </w:r>
      <w:r w:rsidR="00202DED" w:rsidRPr="005A68E6">
        <w:rPr>
          <w:color w:val="000000"/>
        </w:rPr>
        <w:t>refinancing risk.</w:t>
      </w:r>
    </w:p>
    <w:p w14:paraId="238EF024" w14:textId="1D9228EA" w:rsidR="00025E2D" w:rsidRDefault="0061557A" w:rsidP="00AD0801">
      <w:pPr>
        <w:pStyle w:val="af6"/>
        <w:numPr>
          <w:ilvl w:val="0"/>
          <w:numId w:val="18"/>
        </w:numPr>
        <w:ind w:left="1276" w:hanging="1276"/>
      </w:pPr>
      <w:r w:rsidRPr="00EC686F">
        <w:t>Refinancing risk indicators of the RA Government debt for</w:t>
      </w:r>
      <w:r w:rsidR="00025E2D" w:rsidRPr="0070296A">
        <w:t xml:space="preserve"> </w:t>
      </w:r>
      <w:r w:rsidRPr="0061557A">
        <w:t>2024-2028</w:t>
      </w:r>
    </w:p>
    <w:tbl>
      <w:tblPr>
        <w:tblW w:w="4645" w:type="pct"/>
        <w:tblLook w:val="04A0" w:firstRow="1" w:lastRow="0" w:firstColumn="1" w:lastColumn="0" w:noHBand="0" w:noVBand="1"/>
      </w:tblPr>
      <w:tblGrid>
        <w:gridCol w:w="4590"/>
        <w:gridCol w:w="821"/>
        <w:gridCol w:w="976"/>
        <w:gridCol w:w="976"/>
        <w:gridCol w:w="976"/>
        <w:gridCol w:w="975"/>
      </w:tblGrid>
      <w:tr w:rsidR="00605B2F" w:rsidRPr="00605B2F" w14:paraId="34736078" w14:textId="77777777" w:rsidTr="004D6E46">
        <w:trPr>
          <w:trHeight w:val="589"/>
        </w:trPr>
        <w:tc>
          <w:tcPr>
            <w:tcW w:w="2464" w:type="pct"/>
            <w:tcBorders>
              <w:top w:val="double" w:sz="6" w:space="0" w:color="auto"/>
              <w:left w:val="nil"/>
              <w:bottom w:val="double" w:sz="6" w:space="0" w:color="auto"/>
              <w:right w:val="nil"/>
            </w:tcBorders>
            <w:shd w:val="clear" w:color="000000" w:fill="5B9BD5"/>
            <w:vAlign w:val="center"/>
            <w:hideMark/>
          </w:tcPr>
          <w:p w14:paraId="0B523D90" w14:textId="77777777" w:rsidR="00605B2F" w:rsidRPr="00607426" w:rsidRDefault="00605B2F" w:rsidP="00605B2F">
            <w:pPr>
              <w:spacing w:line="240" w:lineRule="auto"/>
              <w:ind w:firstLine="0"/>
              <w:rPr>
                <w:rFonts w:cs="Times New Roman"/>
              </w:rPr>
            </w:pPr>
            <w:r w:rsidRPr="00607426">
              <w:rPr>
                <w:rFonts w:ascii="Calibri" w:hAnsi="Calibri" w:cs="Calibri"/>
              </w:rPr>
              <w:t> </w:t>
            </w:r>
          </w:p>
        </w:tc>
        <w:tc>
          <w:tcPr>
            <w:tcW w:w="441" w:type="pct"/>
            <w:tcBorders>
              <w:top w:val="double" w:sz="6" w:space="0" w:color="auto"/>
              <w:left w:val="nil"/>
              <w:bottom w:val="double" w:sz="6" w:space="0" w:color="auto"/>
              <w:right w:val="nil"/>
            </w:tcBorders>
            <w:shd w:val="clear" w:color="000000" w:fill="5B9BD5"/>
            <w:vAlign w:val="center"/>
            <w:hideMark/>
          </w:tcPr>
          <w:p w14:paraId="6D10786E" w14:textId="6F1DB209" w:rsidR="00605B2F" w:rsidRPr="00605B2F" w:rsidRDefault="00605B2F" w:rsidP="00605B2F">
            <w:pPr>
              <w:spacing w:line="240" w:lineRule="auto"/>
              <w:ind w:firstLine="0"/>
              <w:jc w:val="center"/>
              <w:rPr>
                <w:rFonts w:cs="Times New Roman"/>
                <w:lang w:val="en-US"/>
              </w:rPr>
            </w:pPr>
            <w:r w:rsidRPr="00605B2F">
              <w:rPr>
                <w:rFonts w:cs="Times New Roman"/>
                <w:lang w:val="en-US"/>
              </w:rPr>
              <w:t xml:space="preserve">2024 </w:t>
            </w:r>
            <w:r w:rsidR="0061557A" w:rsidRPr="005A68E6">
              <w:rPr>
                <w:lang w:val="en-US"/>
              </w:rPr>
              <w:t>actual</w:t>
            </w:r>
          </w:p>
        </w:tc>
        <w:tc>
          <w:tcPr>
            <w:tcW w:w="524" w:type="pct"/>
            <w:tcBorders>
              <w:top w:val="double" w:sz="6" w:space="0" w:color="auto"/>
              <w:left w:val="nil"/>
              <w:bottom w:val="double" w:sz="6" w:space="0" w:color="auto"/>
              <w:right w:val="nil"/>
            </w:tcBorders>
            <w:shd w:val="clear" w:color="000000" w:fill="5B9BD5"/>
            <w:vAlign w:val="center"/>
            <w:hideMark/>
          </w:tcPr>
          <w:p w14:paraId="2BE8F9DD" w14:textId="02980708" w:rsidR="00605B2F" w:rsidRPr="00605B2F" w:rsidRDefault="00605B2F" w:rsidP="00605B2F">
            <w:pPr>
              <w:spacing w:line="240" w:lineRule="auto"/>
              <w:ind w:firstLine="0"/>
              <w:jc w:val="center"/>
              <w:rPr>
                <w:rFonts w:cs="Times New Roman"/>
                <w:lang w:val="en-US"/>
              </w:rPr>
            </w:pPr>
            <w:r w:rsidRPr="00605B2F">
              <w:rPr>
                <w:rFonts w:cs="Times New Roman"/>
                <w:lang w:val="en-US"/>
              </w:rPr>
              <w:t xml:space="preserve">2025 </w:t>
            </w:r>
            <w:r w:rsidR="0061557A" w:rsidRPr="005A68E6">
              <w:rPr>
                <w:lang w:val="en-US"/>
              </w:rPr>
              <w:t>forecast</w:t>
            </w:r>
          </w:p>
        </w:tc>
        <w:tc>
          <w:tcPr>
            <w:tcW w:w="524" w:type="pct"/>
            <w:tcBorders>
              <w:top w:val="double" w:sz="6" w:space="0" w:color="auto"/>
              <w:left w:val="nil"/>
              <w:bottom w:val="double" w:sz="6" w:space="0" w:color="auto"/>
              <w:right w:val="nil"/>
            </w:tcBorders>
            <w:shd w:val="clear" w:color="000000" w:fill="5B9BD5"/>
            <w:vAlign w:val="center"/>
            <w:hideMark/>
          </w:tcPr>
          <w:p w14:paraId="23C66E53" w14:textId="6C838012" w:rsidR="00605B2F" w:rsidRPr="00605B2F" w:rsidRDefault="00605B2F" w:rsidP="00605B2F">
            <w:pPr>
              <w:spacing w:line="240" w:lineRule="auto"/>
              <w:ind w:firstLine="0"/>
              <w:jc w:val="center"/>
              <w:rPr>
                <w:rFonts w:cs="Times New Roman"/>
                <w:lang w:val="en-US"/>
              </w:rPr>
            </w:pPr>
            <w:r w:rsidRPr="00605B2F">
              <w:rPr>
                <w:rFonts w:cs="Times New Roman"/>
                <w:lang w:val="en-US"/>
              </w:rPr>
              <w:t xml:space="preserve">2026 </w:t>
            </w:r>
            <w:r w:rsidR="0061557A" w:rsidRPr="005A68E6">
              <w:rPr>
                <w:lang w:val="en-US"/>
              </w:rPr>
              <w:t>forecast</w:t>
            </w:r>
          </w:p>
        </w:tc>
        <w:tc>
          <w:tcPr>
            <w:tcW w:w="524" w:type="pct"/>
            <w:tcBorders>
              <w:top w:val="double" w:sz="6" w:space="0" w:color="auto"/>
              <w:left w:val="nil"/>
              <w:bottom w:val="double" w:sz="6" w:space="0" w:color="auto"/>
              <w:right w:val="nil"/>
            </w:tcBorders>
            <w:shd w:val="clear" w:color="000000" w:fill="5B9BD5"/>
            <w:vAlign w:val="center"/>
            <w:hideMark/>
          </w:tcPr>
          <w:p w14:paraId="0E83343B" w14:textId="78BD1C99" w:rsidR="00605B2F" w:rsidRPr="00605B2F" w:rsidRDefault="00605B2F" w:rsidP="00605B2F">
            <w:pPr>
              <w:spacing w:line="240" w:lineRule="auto"/>
              <w:ind w:firstLine="0"/>
              <w:jc w:val="center"/>
              <w:rPr>
                <w:rFonts w:cs="Times New Roman"/>
                <w:lang w:val="en-US"/>
              </w:rPr>
            </w:pPr>
            <w:r w:rsidRPr="00605B2F">
              <w:rPr>
                <w:rFonts w:cs="Times New Roman"/>
                <w:lang w:val="en-US"/>
              </w:rPr>
              <w:t xml:space="preserve">2027 </w:t>
            </w:r>
            <w:r w:rsidR="0061557A" w:rsidRPr="005A68E6">
              <w:rPr>
                <w:lang w:val="en-US"/>
              </w:rPr>
              <w:t>forecast</w:t>
            </w:r>
          </w:p>
        </w:tc>
        <w:tc>
          <w:tcPr>
            <w:tcW w:w="523" w:type="pct"/>
            <w:tcBorders>
              <w:top w:val="double" w:sz="6" w:space="0" w:color="auto"/>
              <w:left w:val="nil"/>
              <w:bottom w:val="double" w:sz="6" w:space="0" w:color="auto"/>
              <w:right w:val="nil"/>
            </w:tcBorders>
            <w:shd w:val="clear" w:color="000000" w:fill="5B9BD5"/>
            <w:vAlign w:val="center"/>
            <w:hideMark/>
          </w:tcPr>
          <w:p w14:paraId="5A777940" w14:textId="56A61135" w:rsidR="00605B2F" w:rsidRPr="00605B2F" w:rsidRDefault="00605B2F" w:rsidP="00605B2F">
            <w:pPr>
              <w:spacing w:line="240" w:lineRule="auto"/>
              <w:ind w:firstLine="0"/>
              <w:jc w:val="center"/>
              <w:rPr>
                <w:rFonts w:cs="Times New Roman"/>
                <w:lang w:val="en-US"/>
              </w:rPr>
            </w:pPr>
            <w:r w:rsidRPr="00605B2F">
              <w:rPr>
                <w:rFonts w:cs="Times New Roman"/>
                <w:lang w:val="en-US"/>
              </w:rPr>
              <w:t xml:space="preserve">2028 </w:t>
            </w:r>
            <w:r w:rsidR="0061557A" w:rsidRPr="005A68E6">
              <w:rPr>
                <w:lang w:val="en-US"/>
              </w:rPr>
              <w:t>forecast</w:t>
            </w:r>
          </w:p>
        </w:tc>
      </w:tr>
      <w:tr w:rsidR="00605B2F" w:rsidRPr="00605B2F" w14:paraId="00D0FD10" w14:textId="77777777" w:rsidTr="004D6E46">
        <w:trPr>
          <w:trHeight w:val="711"/>
        </w:trPr>
        <w:tc>
          <w:tcPr>
            <w:tcW w:w="2464" w:type="pct"/>
            <w:tcBorders>
              <w:top w:val="nil"/>
              <w:left w:val="nil"/>
              <w:bottom w:val="single" w:sz="8" w:space="0" w:color="auto"/>
              <w:right w:val="nil"/>
            </w:tcBorders>
            <w:shd w:val="clear" w:color="auto" w:fill="auto"/>
            <w:vAlign w:val="center"/>
            <w:hideMark/>
          </w:tcPr>
          <w:p w14:paraId="4948BBBA" w14:textId="257F81AA" w:rsidR="00605B2F" w:rsidRPr="00607426" w:rsidRDefault="0061557A" w:rsidP="004D6E46">
            <w:pPr>
              <w:spacing w:line="240" w:lineRule="auto"/>
              <w:ind w:firstLine="0"/>
              <w:jc w:val="left"/>
              <w:rPr>
                <w:rFonts w:cs="Times New Roman"/>
                <w:b/>
                <w:bCs/>
              </w:rPr>
            </w:pPr>
            <w:r w:rsidRPr="0061557A">
              <w:rPr>
                <w:rFonts w:cs="Times New Roman"/>
                <w:b/>
                <w:bCs/>
              </w:rPr>
              <w:t xml:space="preserve">Average time to maturity </w:t>
            </w:r>
            <w:r w:rsidR="004D6E46">
              <w:rPr>
                <w:rFonts w:cs="Times New Roman"/>
                <w:b/>
                <w:bCs/>
                <w:lang w:val="en-US"/>
              </w:rPr>
              <w:t>of</w:t>
            </w:r>
            <w:r w:rsidRPr="0061557A">
              <w:rPr>
                <w:rFonts w:cs="Times New Roman"/>
                <w:b/>
                <w:bCs/>
              </w:rPr>
              <w:t xml:space="preserve"> RA Government debt (years)</w:t>
            </w:r>
          </w:p>
        </w:tc>
        <w:tc>
          <w:tcPr>
            <w:tcW w:w="441" w:type="pct"/>
            <w:tcBorders>
              <w:top w:val="nil"/>
              <w:left w:val="nil"/>
              <w:bottom w:val="single" w:sz="8" w:space="0" w:color="auto"/>
              <w:right w:val="nil"/>
            </w:tcBorders>
            <w:shd w:val="clear" w:color="auto" w:fill="auto"/>
            <w:vAlign w:val="center"/>
            <w:hideMark/>
          </w:tcPr>
          <w:p w14:paraId="0656AA23" w14:textId="77777777"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6.9</w:t>
            </w:r>
          </w:p>
        </w:tc>
        <w:tc>
          <w:tcPr>
            <w:tcW w:w="524" w:type="pct"/>
            <w:tcBorders>
              <w:top w:val="nil"/>
              <w:left w:val="nil"/>
              <w:bottom w:val="single" w:sz="8" w:space="0" w:color="auto"/>
              <w:right w:val="nil"/>
            </w:tcBorders>
            <w:shd w:val="clear" w:color="auto" w:fill="auto"/>
            <w:vAlign w:val="center"/>
            <w:hideMark/>
          </w:tcPr>
          <w:p w14:paraId="45C9B2D8" w14:textId="4601BE6B"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7.1</w:t>
            </w:r>
          </w:p>
        </w:tc>
        <w:tc>
          <w:tcPr>
            <w:tcW w:w="524" w:type="pct"/>
            <w:tcBorders>
              <w:top w:val="nil"/>
              <w:left w:val="nil"/>
              <w:bottom w:val="single" w:sz="8" w:space="0" w:color="auto"/>
              <w:right w:val="nil"/>
            </w:tcBorders>
            <w:shd w:val="clear" w:color="auto" w:fill="auto"/>
            <w:vAlign w:val="center"/>
            <w:hideMark/>
          </w:tcPr>
          <w:p w14:paraId="65DECFCC" w14:textId="41F5D2DB"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7.2</w:t>
            </w:r>
          </w:p>
        </w:tc>
        <w:tc>
          <w:tcPr>
            <w:tcW w:w="524" w:type="pct"/>
            <w:tcBorders>
              <w:top w:val="nil"/>
              <w:left w:val="nil"/>
              <w:bottom w:val="single" w:sz="8" w:space="0" w:color="auto"/>
              <w:right w:val="nil"/>
            </w:tcBorders>
            <w:shd w:val="clear" w:color="auto" w:fill="auto"/>
            <w:vAlign w:val="center"/>
            <w:hideMark/>
          </w:tcPr>
          <w:p w14:paraId="2FD6C251" w14:textId="378B4B6F"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7.1</w:t>
            </w:r>
          </w:p>
        </w:tc>
        <w:tc>
          <w:tcPr>
            <w:tcW w:w="523" w:type="pct"/>
            <w:tcBorders>
              <w:top w:val="nil"/>
              <w:left w:val="nil"/>
              <w:bottom w:val="single" w:sz="8" w:space="0" w:color="auto"/>
              <w:right w:val="nil"/>
            </w:tcBorders>
            <w:shd w:val="clear" w:color="auto" w:fill="auto"/>
            <w:vAlign w:val="center"/>
            <w:hideMark/>
          </w:tcPr>
          <w:p w14:paraId="5CE964E8" w14:textId="39C93024" w:rsidR="00605B2F" w:rsidRPr="00605B2F" w:rsidRDefault="00D255F8" w:rsidP="00F749F0">
            <w:pPr>
              <w:spacing w:line="240" w:lineRule="auto"/>
              <w:ind w:firstLine="0"/>
              <w:jc w:val="center"/>
              <w:rPr>
                <w:rFonts w:cs="Times New Roman"/>
                <w:b/>
                <w:bCs/>
                <w:lang w:val="en-US"/>
              </w:rPr>
            </w:pPr>
            <w:r>
              <w:rPr>
                <w:rFonts w:cs="Times New Roman"/>
                <w:b/>
                <w:bCs/>
              </w:rPr>
              <w:t>7.0</w:t>
            </w:r>
          </w:p>
        </w:tc>
      </w:tr>
      <w:tr w:rsidR="004D6E46" w:rsidRPr="00605B2F" w14:paraId="3E9E9FEB" w14:textId="77777777" w:rsidTr="004D6E46">
        <w:trPr>
          <w:trHeight w:val="736"/>
        </w:trPr>
        <w:tc>
          <w:tcPr>
            <w:tcW w:w="2464" w:type="pct"/>
            <w:tcBorders>
              <w:top w:val="nil"/>
              <w:left w:val="nil"/>
              <w:bottom w:val="single" w:sz="8" w:space="0" w:color="auto"/>
              <w:right w:val="nil"/>
            </w:tcBorders>
            <w:shd w:val="clear" w:color="auto" w:fill="auto"/>
            <w:hideMark/>
          </w:tcPr>
          <w:p w14:paraId="6C890E0D" w14:textId="19B684BB" w:rsidR="004D6E46" w:rsidRPr="004B21CA" w:rsidRDefault="004D6E46" w:rsidP="004D6E46">
            <w:pPr>
              <w:spacing w:line="240" w:lineRule="auto"/>
              <w:ind w:firstLine="0"/>
              <w:jc w:val="left"/>
              <w:rPr>
                <w:rFonts w:cs="Times New Roman"/>
              </w:rPr>
            </w:pPr>
            <w:r w:rsidRPr="00CA495C">
              <w:t xml:space="preserve">Average time to maturity </w:t>
            </w:r>
            <w:r>
              <w:rPr>
                <w:lang w:val="en-US"/>
              </w:rPr>
              <w:t>of</w:t>
            </w:r>
            <w:r w:rsidRPr="00CA495C">
              <w:t xml:space="preserve"> RA Government foreign currency debt (years)</w:t>
            </w:r>
          </w:p>
        </w:tc>
        <w:tc>
          <w:tcPr>
            <w:tcW w:w="441" w:type="pct"/>
            <w:tcBorders>
              <w:top w:val="nil"/>
              <w:left w:val="nil"/>
              <w:bottom w:val="single" w:sz="8" w:space="0" w:color="auto"/>
              <w:right w:val="nil"/>
            </w:tcBorders>
            <w:shd w:val="clear" w:color="auto" w:fill="auto"/>
            <w:vAlign w:val="center"/>
            <w:hideMark/>
          </w:tcPr>
          <w:p w14:paraId="60ECEE40" w14:textId="77777777" w:rsidR="004D6E46" w:rsidRPr="00605B2F" w:rsidRDefault="004D6E46" w:rsidP="004D6E46">
            <w:pPr>
              <w:spacing w:line="240" w:lineRule="auto"/>
              <w:ind w:firstLine="0"/>
              <w:jc w:val="center"/>
              <w:rPr>
                <w:rFonts w:cs="Times New Roman"/>
                <w:lang w:val="en-US"/>
              </w:rPr>
            </w:pPr>
            <w:r w:rsidRPr="00605B2F">
              <w:rPr>
                <w:rFonts w:cs="Times New Roman"/>
                <w:lang w:val="en-US"/>
              </w:rPr>
              <w:t>6.6</w:t>
            </w:r>
          </w:p>
        </w:tc>
        <w:tc>
          <w:tcPr>
            <w:tcW w:w="524" w:type="pct"/>
            <w:tcBorders>
              <w:top w:val="nil"/>
              <w:left w:val="nil"/>
              <w:bottom w:val="single" w:sz="8" w:space="0" w:color="auto"/>
              <w:right w:val="nil"/>
            </w:tcBorders>
            <w:shd w:val="clear" w:color="auto" w:fill="auto"/>
            <w:vAlign w:val="center"/>
            <w:hideMark/>
          </w:tcPr>
          <w:p w14:paraId="7C7CF76C" w14:textId="5DD2BA63" w:rsidR="004D6E46" w:rsidRPr="00605B2F" w:rsidRDefault="004D6E46" w:rsidP="004D6E46">
            <w:pPr>
              <w:spacing w:line="240" w:lineRule="auto"/>
              <w:ind w:firstLine="0"/>
              <w:jc w:val="center"/>
              <w:rPr>
                <w:rFonts w:cs="Times New Roman"/>
                <w:lang w:val="en-US"/>
              </w:rPr>
            </w:pPr>
            <w:r w:rsidRPr="00605B2F">
              <w:rPr>
                <w:rFonts w:cs="Times New Roman"/>
                <w:lang w:val="en-US"/>
              </w:rPr>
              <w:t>7.5</w:t>
            </w:r>
          </w:p>
        </w:tc>
        <w:tc>
          <w:tcPr>
            <w:tcW w:w="524" w:type="pct"/>
            <w:tcBorders>
              <w:top w:val="nil"/>
              <w:left w:val="nil"/>
              <w:bottom w:val="single" w:sz="8" w:space="0" w:color="auto"/>
              <w:right w:val="nil"/>
            </w:tcBorders>
            <w:shd w:val="clear" w:color="auto" w:fill="auto"/>
            <w:vAlign w:val="center"/>
            <w:hideMark/>
          </w:tcPr>
          <w:p w14:paraId="612CD2D5" w14:textId="14B2453C" w:rsidR="004D6E46" w:rsidRPr="00605B2F" w:rsidRDefault="004D6E46" w:rsidP="004D6E46">
            <w:pPr>
              <w:spacing w:line="240" w:lineRule="auto"/>
              <w:ind w:firstLine="0"/>
              <w:jc w:val="center"/>
              <w:rPr>
                <w:rFonts w:cs="Times New Roman"/>
                <w:lang w:val="en-US"/>
              </w:rPr>
            </w:pPr>
            <w:r w:rsidRPr="00605B2F">
              <w:rPr>
                <w:rFonts w:cs="Times New Roman"/>
                <w:lang w:val="en-US"/>
              </w:rPr>
              <w:t>7.2</w:t>
            </w:r>
          </w:p>
        </w:tc>
        <w:tc>
          <w:tcPr>
            <w:tcW w:w="524" w:type="pct"/>
            <w:tcBorders>
              <w:top w:val="nil"/>
              <w:left w:val="nil"/>
              <w:bottom w:val="single" w:sz="8" w:space="0" w:color="auto"/>
              <w:right w:val="nil"/>
            </w:tcBorders>
            <w:shd w:val="clear" w:color="auto" w:fill="auto"/>
            <w:vAlign w:val="center"/>
            <w:hideMark/>
          </w:tcPr>
          <w:p w14:paraId="0FA1251A" w14:textId="02D44159" w:rsidR="004D6E46" w:rsidRPr="00605B2F" w:rsidRDefault="004D6E46" w:rsidP="004D6E46">
            <w:pPr>
              <w:spacing w:line="240" w:lineRule="auto"/>
              <w:ind w:firstLine="0"/>
              <w:jc w:val="center"/>
              <w:rPr>
                <w:rFonts w:cs="Times New Roman"/>
                <w:lang w:val="en-US"/>
              </w:rPr>
            </w:pPr>
            <w:r w:rsidRPr="00605B2F">
              <w:rPr>
                <w:rFonts w:cs="Times New Roman"/>
                <w:lang w:val="en-US"/>
              </w:rPr>
              <w:t>7.1</w:t>
            </w:r>
          </w:p>
        </w:tc>
        <w:tc>
          <w:tcPr>
            <w:tcW w:w="523" w:type="pct"/>
            <w:tcBorders>
              <w:top w:val="nil"/>
              <w:left w:val="nil"/>
              <w:bottom w:val="single" w:sz="8" w:space="0" w:color="auto"/>
              <w:right w:val="nil"/>
            </w:tcBorders>
            <w:shd w:val="clear" w:color="auto" w:fill="auto"/>
            <w:vAlign w:val="center"/>
            <w:hideMark/>
          </w:tcPr>
          <w:p w14:paraId="34190341" w14:textId="39FA8323" w:rsidR="004D6E46" w:rsidRPr="00605B2F" w:rsidRDefault="004D6E46" w:rsidP="004D6E46">
            <w:pPr>
              <w:spacing w:line="240" w:lineRule="auto"/>
              <w:ind w:firstLine="0"/>
              <w:jc w:val="center"/>
              <w:rPr>
                <w:rFonts w:cs="Times New Roman"/>
                <w:lang w:val="en-US"/>
              </w:rPr>
            </w:pPr>
            <w:r>
              <w:rPr>
                <w:rFonts w:cs="Times New Roman"/>
              </w:rPr>
              <w:t>7.0</w:t>
            </w:r>
          </w:p>
        </w:tc>
      </w:tr>
      <w:tr w:rsidR="004D6E46" w:rsidRPr="00605B2F" w14:paraId="1F5D1A25" w14:textId="77777777" w:rsidTr="004D6E46">
        <w:trPr>
          <w:trHeight w:val="727"/>
        </w:trPr>
        <w:tc>
          <w:tcPr>
            <w:tcW w:w="2464" w:type="pct"/>
            <w:tcBorders>
              <w:top w:val="nil"/>
              <w:left w:val="nil"/>
              <w:bottom w:val="single" w:sz="12" w:space="0" w:color="auto"/>
              <w:right w:val="nil"/>
            </w:tcBorders>
            <w:shd w:val="clear" w:color="auto" w:fill="auto"/>
            <w:hideMark/>
          </w:tcPr>
          <w:p w14:paraId="6669C2E6" w14:textId="05579132" w:rsidR="004D6E46" w:rsidRPr="00607426" w:rsidRDefault="004D6E46" w:rsidP="004D6E46">
            <w:pPr>
              <w:spacing w:line="240" w:lineRule="auto"/>
              <w:ind w:firstLine="0"/>
              <w:jc w:val="left"/>
              <w:rPr>
                <w:rFonts w:cs="Times New Roman"/>
              </w:rPr>
            </w:pPr>
            <w:r w:rsidRPr="00CA495C">
              <w:t xml:space="preserve">Average time to maturity </w:t>
            </w:r>
            <w:r>
              <w:rPr>
                <w:lang w:val="en-US"/>
              </w:rPr>
              <w:t>of</w:t>
            </w:r>
            <w:r w:rsidRPr="00CA495C">
              <w:t xml:space="preserve"> RA Government local currency debt (years)</w:t>
            </w:r>
          </w:p>
        </w:tc>
        <w:tc>
          <w:tcPr>
            <w:tcW w:w="441" w:type="pct"/>
            <w:tcBorders>
              <w:top w:val="nil"/>
              <w:left w:val="nil"/>
              <w:bottom w:val="single" w:sz="12" w:space="0" w:color="auto"/>
              <w:right w:val="nil"/>
            </w:tcBorders>
            <w:shd w:val="clear" w:color="auto" w:fill="auto"/>
            <w:vAlign w:val="center"/>
            <w:hideMark/>
          </w:tcPr>
          <w:p w14:paraId="0266EB2B" w14:textId="77777777" w:rsidR="004D6E46" w:rsidRPr="00605B2F" w:rsidRDefault="004D6E46" w:rsidP="004D6E46">
            <w:pPr>
              <w:spacing w:line="240" w:lineRule="auto"/>
              <w:ind w:firstLine="0"/>
              <w:jc w:val="center"/>
              <w:rPr>
                <w:rFonts w:cs="Times New Roman"/>
                <w:lang w:val="en-US"/>
              </w:rPr>
            </w:pPr>
            <w:r w:rsidRPr="00605B2F">
              <w:rPr>
                <w:rFonts w:cs="Times New Roman"/>
                <w:lang w:val="en-US"/>
              </w:rPr>
              <w:t>7.2</w:t>
            </w:r>
          </w:p>
        </w:tc>
        <w:tc>
          <w:tcPr>
            <w:tcW w:w="524" w:type="pct"/>
            <w:tcBorders>
              <w:top w:val="nil"/>
              <w:left w:val="nil"/>
              <w:bottom w:val="single" w:sz="12" w:space="0" w:color="auto"/>
              <w:right w:val="nil"/>
            </w:tcBorders>
            <w:shd w:val="clear" w:color="auto" w:fill="auto"/>
            <w:vAlign w:val="center"/>
            <w:hideMark/>
          </w:tcPr>
          <w:p w14:paraId="41587C88" w14:textId="54175E7E" w:rsidR="004D6E46" w:rsidRPr="00605B2F" w:rsidRDefault="004D6E46" w:rsidP="004D6E46">
            <w:pPr>
              <w:spacing w:line="240" w:lineRule="auto"/>
              <w:ind w:firstLine="0"/>
              <w:jc w:val="center"/>
              <w:rPr>
                <w:rFonts w:cs="Times New Roman"/>
                <w:lang w:val="en-US"/>
              </w:rPr>
            </w:pPr>
            <w:r w:rsidRPr="00605B2F">
              <w:rPr>
                <w:rFonts w:cs="Times New Roman"/>
                <w:lang w:val="en-US"/>
              </w:rPr>
              <w:t>6.7</w:t>
            </w:r>
          </w:p>
        </w:tc>
        <w:tc>
          <w:tcPr>
            <w:tcW w:w="524" w:type="pct"/>
            <w:tcBorders>
              <w:top w:val="nil"/>
              <w:left w:val="nil"/>
              <w:bottom w:val="single" w:sz="12" w:space="0" w:color="auto"/>
              <w:right w:val="nil"/>
            </w:tcBorders>
            <w:shd w:val="clear" w:color="auto" w:fill="auto"/>
            <w:vAlign w:val="center"/>
            <w:hideMark/>
          </w:tcPr>
          <w:p w14:paraId="7AAE31D1" w14:textId="14F26CC9" w:rsidR="004D6E46" w:rsidRPr="00605B2F" w:rsidRDefault="004D6E46" w:rsidP="004D6E46">
            <w:pPr>
              <w:spacing w:line="240" w:lineRule="auto"/>
              <w:ind w:firstLine="0"/>
              <w:jc w:val="center"/>
              <w:rPr>
                <w:rFonts w:cs="Times New Roman"/>
                <w:lang w:val="en-US"/>
              </w:rPr>
            </w:pPr>
            <w:r w:rsidRPr="00605B2F">
              <w:rPr>
                <w:rFonts w:cs="Times New Roman"/>
                <w:lang w:val="en-US"/>
              </w:rPr>
              <w:t>6.8</w:t>
            </w:r>
          </w:p>
        </w:tc>
        <w:tc>
          <w:tcPr>
            <w:tcW w:w="524" w:type="pct"/>
            <w:tcBorders>
              <w:top w:val="nil"/>
              <w:left w:val="nil"/>
              <w:bottom w:val="single" w:sz="12" w:space="0" w:color="auto"/>
              <w:right w:val="nil"/>
            </w:tcBorders>
            <w:shd w:val="clear" w:color="auto" w:fill="auto"/>
            <w:vAlign w:val="center"/>
            <w:hideMark/>
          </w:tcPr>
          <w:p w14:paraId="07BA098D" w14:textId="583CE9A8" w:rsidR="004D6E46" w:rsidRPr="00605B2F" w:rsidRDefault="004D6E46" w:rsidP="004D6E46">
            <w:pPr>
              <w:spacing w:line="240" w:lineRule="auto"/>
              <w:ind w:firstLine="0"/>
              <w:jc w:val="center"/>
              <w:rPr>
                <w:rFonts w:cs="Times New Roman"/>
                <w:lang w:val="en-US"/>
              </w:rPr>
            </w:pPr>
            <w:r w:rsidRPr="00605B2F">
              <w:rPr>
                <w:rFonts w:cs="Times New Roman"/>
                <w:lang w:val="en-US"/>
              </w:rPr>
              <w:t>7.0</w:t>
            </w:r>
          </w:p>
        </w:tc>
        <w:tc>
          <w:tcPr>
            <w:tcW w:w="523" w:type="pct"/>
            <w:tcBorders>
              <w:top w:val="nil"/>
              <w:left w:val="nil"/>
              <w:bottom w:val="single" w:sz="12" w:space="0" w:color="auto"/>
              <w:right w:val="nil"/>
            </w:tcBorders>
            <w:shd w:val="clear" w:color="auto" w:fill="auto"/>
            <w:vAlign w:val="center"/>
            <w:hideMark/>
          </w:tcPr>
          <w:p w14:paraId="070D2BFC" w14:textId="0FB705BC" w:rsidR="004D6E46" w:rsidRPr="005E654C" w:rsidRDefault="004D6E46" w:rsidP="004D6E46">
            <w:pPr>
              <w:spacing w:line="240" w:lineRule="auto"/>
              <w:ind w:firstLine="0"/>
              <w:jc w:val="center"/>
              <w:rPr>
                <w:rFonts w:cs="Times New Roman"/>
              </w:rPr>
            </w:pPr>
            <w:r>
              <w:rPr>
                <w:rFonts w:cs="Times New Roman"/>
                <w:lang w:val="en-US"/>
              </w:rPr>
              <w:t>6.9</w:t>
            </w:r>
          </w:p>
        </w:tc>
      </w:tr>
      <w:tr w:rsidR="00605B2F" w:rsidRPr="00605B2F" w14:paraId="430F0C9D" w14:textId="77777777" w:rsidTr="004D6E46">
        <w:trPr>
          <w:trHeight w:val="936"/>
        </w:trPr>
        <w:tc>
          <w:tcPr>
            <w:tcW w:w="2464" w:type="pct"/>
            <w:tcBorders>
              <w:top w:val="nil"/>
              <w:left w:val="nil"/>
              <w:bottom w:val="single" w:sz="8" w:space="0" w:color="auto"/>
              <w:right w:val="nil"/>
            </w:tcBorders>
            <w:shd w:val="clear" w:color="auto" w:fill="auto"/>
            <w:vAlign w:val="center"/>
            <w:hideMark/>
          </w:tcPr>
          <w:p w14:paraId="51C0CEBD" w14:textId="33DA4127" w:rsidR="00605B2F" w:rsidRPr="00607426" w:rsidRDefault="004D6E46" w:rsidP="00605B2F">
            <w:pPr>
              <w:spacing w:line="240" w:lineRule="auto"/>
              <w:ind w:firstLine="0"/>
              <w:jc w:val="left"/>
              <w:rPr>
                <w:rFonts w:cs="Times New Roman"/>
                <w:b/>
                <w:bCs/>
              </w:rPr>
            </w:pPr>
            <w:r w:rsidRPr="004D6E46">
              <w:rPr>
                <w:rFonts w:cs="Times New Roman"/>
                <w:b/>
                <w:bCs/>
              </w:rPr>
              <w:t>Share of RA Government debt maturing within the coming three years in total debt (%)</w:t>
            </w:r>
          </w:p>
        </w:tc>
        <w:tc>
          <w:tcPr>
            <w:tcW w:w="441" w:type="pct"/>
            <w:tcBorders>
              <w:top w:val="nil"/>
              <w:left w:val="nil"/>
              <w:bottom w:val="single" w:sz="8" w:space="0" w:color="auto"/>
              <w:right w:val="nil"/>
            </w:tcBorders>
            <w:shd w:val="clear" w:color="auto" w:fill="auto"/>
            <w:vAlign w:val="center"/>
            <w:hideMark/>
          </w:tcPr>
          <w:p w14:paraId="6CC80592" w14:textId="77777777"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29.6</w:t>
            </w:r>
          </w:p>
        </w:tc>
        <w:tc>
          <w:tcPr>
            <w:tcW w:w="524" w:type="pct"/>
            <w:tcBorders>
              <w:top w:val="nil"/>
              <w:left w:val="nil"/>
              <w:bottom w:val="single" w:sz="8" w:space="0" w:color="auto"/>
              <w:right w:val="nil"/>
            </w:tcBorders>
            <w:shd w:val="clear" w:color="auto" w:fill="auto"/>
            <w:vAlign w:val="center"/>
            <w:hideMark/>
          </w:tcPr>
          <w:p w14:paraId="508A94DE" w14:textId="552BBDFA"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25.8</w:t>
            </w:r>
          </w:p>
        </w:tc>
        <w:tc>
          <w:tcPr>
            <w:tcW w:w="524" w:type="pct"/>
            <w:tcBorders>
              <w:top w:val="nil"/>
              <w:left w:val="nil"/>
              <w:bottom w:val="single" w:sz="8" w:space="0" w:color="auto"/>
              <w:right w:val="nil"/>
            </w:tcBorders>
            <w:shd w:val="clear" w:color="auto" w:fill="auto"/>
            <w:vAlign w:val="center"/>
            <w:hideMark/>
          </w:tcPr>
          <w:p w14:paraId="6F7DF8F7" w14:textId="2491B303"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29.4</w:t>
            </w:r>
          </w:p>
        </w:tc>
        <w:tc>
          <w:tcPr>
            <w:tcW w:w="524" w:type="pct"/>
            <w:tcBorders>
              <w:top w:val="nil"/>
              <w:left w:val="nil"/>
              <w:bottom w:val="single" w:sz="8" w:space="0" w:color="auto"/>
              <w:right w:val="nil"/>
            </w:tcBorders>
            <w:shd w:val="clear" w:color="auto" w:fill="auto"/>
            <w:vAlign w:val="center"/>
            <w:hideMark/>
          </w:tcPr>
          <w:p w14:paraId="4EC50049" w14:textId="3A3EC123"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27.4</w:t>
            </w:r>
          </w:p>
        </w:tc>
        <w:tc>
          <w:tcPr>
            <w:tcW w:w="523" w:type="pct"/>
            <w:tcBorders>
              <w:top w:val="nil"/>
              <w:left w:val="nil"/>
              <w:bottom w:val="single" w:sz="8" w:space="0" w:color="auto"/>
              <w:right w:val="nil"/>
            </w:tcBorders>
            <w:shd w:val="clear" w:color="auto" w:fill="auto"/>
            <w:vAlign w:val="center"/>
            <w:hideMark/>
          </w:tcPr>
          <w:p w14:paraId="76A8C15D" w14:textId="2E832035"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33.0</w:t>
            </w:r>
          </w:p>
        </w:tc>
      </w:tr>
      <w:tr w:rsidR="00605B2F" w:rsidRPr="00605B2F" w14:paraId="018970DB" w14:textId="77777777" w:rsidTr="00BB0FFE">
        <w:trPr>
          <w:trHeight w:val="934"/>
        </w:trPr>
        <w:tc>
          <w:tcPr>
            <w:tcW w:w="2464" w:type="pct"/>
            <w:tcBorders>
              <w:top w:val="nil"/>
              <w:left w:val="nil"/>
              <w:bottom w:val="single" w:sz="8" w:space="0" w:color="auto"/>
              <w:right w:val="nil"/>
            </w:tcBorders>
            <w:shd w:val="clear" w:color="auto" w:fill="auto"/>
            <w:vAlign w:val="center"/>
            <w:hideMark/>
          </w:tcPr>
          <w:p w14:paraId="3363B861" w14:textId="62EBF724" w:rsidR="00605B2F" w:rsidRPr="00607426" w:rsidRDefault="004D6E46" w:rsidP="00BB0FFE">
            <w:pPr>
              <w:spacing w:line="240" w:lineRule="auto"/>
              <w:ind w:firstLine="0"/>
              <w:jc w:val="left"/>
              <w:rPr>
                <w:rFonts w:cs="Times New Roman"/>
              </w:rPr>
            </w:pPr>
            <w:r w:rsidRPr="00EC686F">
              <w:t xml:space="preserve">Share of RA Government foreign currency debt maturing within the coming three years in </w:t>
            </w:r>
            <w:r>
              <w:rPr>
                <w:lang w:val="en-US"/>
              </w:rPr>
              <w:t xml:space="preserve">total </w:t>
            </w:r>
            <w:r w:rsidRPr="00EC686F">
              <w:t xml:space="preserve">foreign currency debt </w:t>
            </w:r>
            <w:r w:rsidRPr="0070296A">
              <w:t>(%)</w:t>
            </w:r>
          </w:p>
        </w:tc>
        <w:tc>
          <w:tcPr>
            <w:tcW w:w="441" w:type="pct"/>
            <w:tcBorders>
              <w:top w:val="nil"/>
              <w:left w:val="nil"/>
              <w:bottom w:val="single" w:sz="8" w:space="0" w:color="auto"/>
              <w:right w:val="nil"/>
            </w:tcBorders>
            <w:shd w:val="clear" w:color="auto" w:fill="auto"/>
            <w:vAlign w:val="center"/>
            <w:hideMark/>
          </w:tcPr>
          <w:p w14:paraId="13A536CF"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23.5</w:t>
            </w:r>
          </w:p>
        </w:tc>
        <w:tc>
          <w:tcPr>
            <w:tcW w:w="524" w:type="pct"/>
            <w:tcBorders>
              <w:top w:val="nil"/>
              <w:left w:val="nil"/>
              <w:bottom w:val="single" w:sz="8" w:space="0" w:color="auto"/>
              <w:right w:val="nil"/>
            </w:tcBorders>
            <w:shd w:val="clear" w:color="auto" w:fill="auto"/>
            <w:vAlign w:val="center"/>
            <w:hideMark/>
          </w:tcPr>
          <w:p w14:paraId="4434674F" w14:textId="3AECCE0C" w:rsidR="00605B2F" w:rsidRPr="00605B2F" w:rsidRDefault="00605B2F" w:rsidP="00F749F0">
            <w:pPr>
              <w:spacing w:line="240" w:lineRule="auto"/>
              <w:ind w:firstLine="0"/>
              <w:jc w:val="center"/>
              <w:rPr>
                <w:rFonts w:cs="Times New Roman"/>
                <w:lang w:val="en-US"/>
              </w:rPr>
            </w:pPr>
            <w:r w:rsidRPr="00605B2F">
              <w:rPr>
                <w:rFonts w:cs="Times New Roman"/>
                <w:lang w:val="en-US"/>
              </w:rPr>
              <w:t>15.4</w:t>
            </w:r>
          </w:p>
        </w:tc>
        <w:tc>
          <w:tcPr>
            <w:tcW w:w="524" w:type="pct"/>
            <w:tcBorders>
              <w:top w:val="nil"/>
              <w:left w:val="nil"/>
              <w:bottom w:val="single" w:sz="8" w:space="0" w:color="auto"/>
              <w:right w:val="nil"/>
            </w:tcBorders>
            <w:shd w:val="clear" w:color="auto" w:fill="auto"/>
            <w:vAlign w:val="center"/>
            <w:hideMark/>
          </w:tcPr>
          <w:p w14:paraId="296C1FD0" w14:textId="653F8B82" w:rsidR="00605B2F" w:rsidRPr="00605B2F" w:rsidRDefault="00605B2F" w:rsidP="00F749F0">
            <w:pPr>
              <w:spacing w:line="240" w:lineRule="auto"/>
              <w:ind w:firstLine="0"/>
              <w:jc w:val="center"/>
              <w:rPr>
                <w:rFonts w:cs="Times New Roman"/>
                <w:lang w:val="en-US"/>
              </w:rPr>
            </w:pPr>
            <w:r w:rsidRPr="00605B2F">
              <w:rPr>
                <w:rFonts w:cs="Times New Roman"/>
                <w:lang w:val="en-US"/>
              </w:rPr>
              <w:t>20.0</w:t>
            </w:r>
          </w:p>
        </w:tc>
        <w:tc>
          <w:tcPr>
            <w:tcW w:w="524" w:type="pct"/>
            <w:tcBorders>
              <w:top w:val="nil"/>
              <w:left w:val="nil"/>
              <w:bottom w:val="single" w:sz="8" w:space="0" w:color="auto"/>
              <w:right w:val="nil"/>
            </w:tcBorders>
            <w:shd w:val="clear" w:color="auto" w:fill="auto"/>
            <w:vAlign w:val="center"/>
            <w:hideMark/>
          </w:tcPr>
          <w:p w14:paraId="340D276F" w14:textId="6416F1FF" w:rsidR="00605B2F" w:rsidRPr="00605B2F" w:rsidRDefault="00605B2F" w:rsidP="00F749F0">
            <w:pPr>
              <w:spacing w:line="240" w:lineRule="auto"/>
              <w:ind w:firstLine="0"/>
              <w:jc w:val="center"/>
              <w:rPr>
                <w:rFonts w:cs="Times New Roman"/>
                <w:lang w:val="en-US"/>
              </w:rPr>
            </w:pPr>
            <w:r w:rsidRPr="00605B2F">
              <w:rPr>
                <w:rFonts w:cs="Times New Roman"/>
                <w:lang w:val="en-US"/>
              </w:rPr>
              <w:t>18.9</w:t>
            </w:r>
          </w:p>
        </w:tc>
        <w:tc>
          <w:tcPr>
            <w:tcW w:w="523" w:type="pct"/>
            <w:tcBorders>
              <w:top w:val="nil"/>
              <w:left w:val="nil"/>
              <w:bottom w:val="single" w:sz="8" w:space="0" w:color="auto"/>
              <w:right w:val="nil"/>
            </w:tcBorders>
            <w:shd w:val="clear" w:color="auto" w:fill="auto"/>
            <w:vAlign w:val="center"/>
            <w:hideMark/>
          </w:tcPr>
          <w:p w14:paraId="77AEA1FD" w14:textId="676092F4" w:rsidR="00605B2F" w:rsidRPr="00605B2F" w:rsidRDefault="00605B2F" w:rsidP="00F749F0">
            <w:pPr>
              <w:spacing w:line="240" w:lineRule="auto"/>
              <w:ind w:firstLine="0"/>
              <w:jc w:val="center"/>
              <w:rPr>
                <w:rFonts w:cs="Times New Roman"/>
                <w:lang w:val="en-US"/>
              </w:rPr>
            </w:pPr>
            <w:r w:rsidRPr="00605B2F">
              <w:rPr>
                <w:rFonts w:cs="Times New Roman"/>
                <w:lang w:val="en-US"/>
              </w:rPr>
              <w:t>27.7</w:t>
            </w:r>
          </w:p>
        </w:tc>
      </w:tr>
      <w:tr w:rsidR="00605B2F" w:rsidRPr="00605B2F" w14:paraId="6BF5C163" w14:textId="77777777" w:rsidTr="00BB0FFE">
        <w:trPr>
          <w:trHeight w:val="1024"/>
        </w:trPr>
        <w:tc>
          <w:tcPr>
            <w:tcW w:w="2464" w:type="pct"/>
            <w:tcBorders>
              <w:top w:val="nil"/>
              <w:left w:val="nil"/>
              <w:bottom w:val="single" w:sz="8" w:space="0" w:color="auto"/>
              <w:right w:val="nil"/>
            </w:tcBorders>
            <w:shd w:val="clear" w:color="auto" w:fill="auto"/>
            <w:vAlign w:val="center"/>
            <w:hideMark/>
          </w:tcPr>
          <w:p w14:paraId="10BB4479" w14:textId="294A1ABF" w:rsidR="00605B2F" w:rsidRPr="00607426" w:rsidRDefault="004D6E46" w:rsidP="00BB0FFE">
            <w:pPr>
              <w:spacing w:line="240" w:lineRule="auto"/>
              <w:ind w:firstLine="0"/>
              <w:jc w:val="left"/>
              <w:rPr>
                <w:rFonts w:cs="Times New Roman"/>
              </w:rPr>
            </w:pPr>
            <w:r w:rsidRPr="00EC686F">
              <w:t>Share of RA Government local currency debt maturing within the coming three years in</w:t>
            </w:r>
            <w:r>
              <w:rPr>
                <w:lang w:val="en-US"/>
              </w:rPr>
              <w:t xml:space="preserve"> total</w:t>
            </w:r>
            <w:r w:rsidRPr="00EC686F">
              <w:t xml:space="preserve"> local currency debt </w:t>
            </w:r>
            <w:r w:rsidRPr="0070296A">
              <w:t>(%)</w:t>
            </w:r>
          </w:p>
        </w:tc>
        <w:tc>
          <w:tcPr>
            <w:tcW w:w="441" w:type="pct"/>
            <w:tcBorders>
              <w:top w:val="nil"/>
              <w:left w:val="nil"/>
              <w:bottom w:val="single" w:sz="8" w:space="0" w:color="auto"/>
              <w:right w:val="nil"/>
            </w:tcBorders>
            <w:shd w:val="clear" w:color="auto" w:fill="auto"/>
            <w:vAlign w:val="center"/>
            <w:hideMark/>
          </w:tcPr>
          <w:p w14:paraId="7B3E914C" w14:textId="77777777" w:rsidR="00605B2F" w:rsidRPr="00605B2F" w:rsidRDefault="00605B2F" w:rsidP="00F749F0">
            <w:pPr>
              <w:spacing w:line="240" w:lineRule="auto"/>
              <w:ind w:firstLine="0"/>
              <w:jc w:val="center"/>
              <w:rPr>
                <w:rFonts w:cs="Times New Roman"/>
                <w:lang w:val="en-US"/>
              </w:rPr>
            </w:pPr>
            <w:r w:rsidRPr="00605B2F">
              <w:rPr>
                <w:rFonts w:cs="Times New Roman"/>
                <w:lang w:val="en-US"/>
              </w:rPr>
              <w:t>35.6</w:t>
            </w:r>
          </w:p>
        </w:tc>
        <w:tc>
          <w:tcPr>
            <w:tcW w:w="524" w:type="pct"/>
            <w:tcBorders>
              <w:top w:val="nil"/>
              <w:left w:val="nil"/>
              <w:bottom w:val="single" w:sz="8" w:space="0" w:color="auto"/>
              <w:right w:val="nil"/>
            </w:tcBorders>
            <w:shd w:val="clear" w:color="auto" w:fill="auto"/>
            <w:vAlign w:val="center"/>
            <w:hideMark/>
          </w:tcPr>
          <w:p w14:paraId="2A5916EC" w14:textId="3A427820" w:rsidR="00605B2F" w:rsidRPr="00605B2F" w:rsidRDefault="00605B2F" w:rsidP="00F749F0">
            <w:pPr>
              <w:spacing w:line="240" w:lineRule="auto"/>
              <w:ind w:firstLine="0"/>
              <w:jc w:val="center"/>
              <w:rPr>
                <w:rFonts w:cs="Times New Roman"/>
                <w:lang w:val="en-US"/>
              </w:rPr>
            </w:pPr>
            <w:r w:rsidRPr="00605B2F">
              <w:rPr>
                <w:rFonts w:cs="Times New Roman"/>
                <w:lang w:val="en-US"/>
              </w:rPr>
              <w:t>36.5</w:t>
            </w:r>
          </w:p>
        </w:tc>
        <w:tc>
          <w:tcPr>
            <w:tcW w:w="524" w:type="pct"/>
            <w:tcBorders>
              <w:top w:val="nil"/>
              <w:left w:val="nil"/>
              <w:bottom w:val="single" w:sz="8" w:space="0" w:color="auto"/>
              <w:right w:val="nil"/>
            </w:tcBorders>
            <w:shd w:val="clear" w:color="auto" w:fill="auto"/>
            <w:vAlign w:val="center"/>
            <w:hideMark/>
          </w:tcPr>
          <w:p w14:paraId="36D112CF" w14:textId="693DBF59" w:rsidR="00605B2F" w:rsidRPr="00605B2F" w:rsidRDefault="00605B2F" w:rsidP="00F749F0">
            <w:pPr>
              <w:spacing w:line="240" w:lineRule="auto"/>
              <w:ind w:firstLine="0"/>
              <w:jc w:val="center"/>
              <w:rPr>
                <w:rFonts w:cs="Times New Roman"/>
                <w:lang w:val="en-US"/>
              </w:rPr>
            </w:pPr>
            <w:r w:rsidRPr="00605B2F">
              <w:rPr>
                <w:rFonts w:cs="Times New Roman"/>
                <w:lang w:val="en-US"/>
              </w:rPr>
              <w:t>39.0</w:t>
            </w:r>
          </w:p>
        </w:tc>
        <w:tc>
          <w:tcPr>
            <w:tcW w:w="524" w:type="pct"/>
            <w:tcBorders>
              <w:top w:val="nil"/>
              <w:left w:val="nil"/>
              <w:bottom w:val="single" w:sz="8" w:space="0" w:color="auto"/>
              <w:right w:val="nil"/>
            </w:tcBorders>
            <w:shd w:val="clear" w:color="auto" w:fill="auto"/>
            <w:vAlign w:val="center"/>
            <w:hideMark/>
          </w:tcPr>
          <w:p w14:paraId="0DCB5616" w14:textId="109380E2" w:rsidR="00605B2F" w:rsidRPr="00605B2F" w:rsidRDefault="00605B2F" w:rsidP="00F749F0">
            <w:pPr>
              <w:spacing w:line="240" w:lineRule="auto"/>
              <w:ind w:firstLine="0"/>
              <w:jc w:val="center"/>
              <w:rPr>
                <w:rFonts w:cs="Times New Roman"/>
                <w:lang w:val="en-US"/>
              </w:rPr>
            </w:pPr>
            <w:r w:rsidRPr="00605B2F">
              <w:rPr>
                <w:rFonts w:cs="Times New Roman"/>
                <w:lang w:val="en-US"/>
              </w:rPr>
              <w:t>36.0</w:t>
            </w:r>
          </w:p>
        </w:tc>
        <w:tc>
          <w:tcPr>
            <w:tcW w:w="523" w:type="pct"/>
            <w:tcBorders>
              <w:top w:val="nil"/>
              <w:left w:val="nil"/>
              <w:bottom w:val="single" w:sz="8" w:space="0" w:color="auto"/>
              <w:right w:val="nil"/>
            </w:tcBorders>
            <w:shd w:val="clear" w:color="auto" w:fill="auto"/>
            <w:vAlign w:val="center"/>
            <w:hideMark/>
          </w:tcPr>
          <w:p w14:paraId="4CB23706" w14:textId="4D36BFB3" w:rsidR="00605B2F" w:rsidRPr="00605B2F" w:rsidRDefault="00605B2F" w:rsidP="00F749F0">
            <w:pPr>
              <w:spacing w:line="240" w:lineRule="auto"/>
              <w:ind w:firstLine="0"/>
              <w:jc w:val="center"/>
              <w:rPr>
                <w:rFonts w:cs="Times New Roman"/>
                <w:lang w:val="en-US"/>
              </w:rPr>
            </w:pPr>
            <w:r w:rsidRPr="00605B2F">
              <w:rPr>
                <w:rFonts w:cs="Times New Roman"/>
                <w:lang w:val="en-US"/>
              </w:rPr>
              <w:t>38.6</w:t>
            </w:r>
          </w:p>
        </w:tc>
      </w:tr>
      <w:tr w:rsidR="00605B2F" w:rsidRPr="00605B2F" w14:paraId="0DE9BD31" w14:textId="77777777" w:rsidTr="004D6E46">
        <w:trPr>
          <w:trHeight w:val="576"/>
        </w:trPr>
        <w:tc>
          <w:tcPr>
            <w:tcW w:w="2464" w:type="pct"/>
            <w:tcBorders>
              <w:top w:val="nil"/>
              <w:left w:val="nil"/>
              <w:bottom w:val="single" w:sz="8" w:space="0" w:color="auto"/>
              <w:right w:val="nil"/>
            </w:tcBorders>
            <w:shd w:val="clear" w:color="auto" w:fill="auto"/>
            <w:vAlign w:val="center"/>
            <w:hideMark/>
          </w:tcPr>
          <w:p w14:paraId="4E08D57F" w14:textId="3F58B3F1" w:rsidR="00605B2F" w:rsidRPr="00607426" w:rsidRDefault="004D6E46" w:rsidP="00605B2F">
            <w:pPr>
              <w:spacing w:line="240" w:lineRule="auto"/>
              <w:ind w:firstLine="0"/>
              <w:jc w:val="left"/>
              <w:rPr>
                <w:rFonts w:cs="Times New Roman"/>
                <w:b/>
                <w:bCs/>
              </w:rPr>
            </w:pPr>
            <w:r w:rsidRPr="005A68E6">
              <w:rPr>
                <w:b/>
                <w:color w:val="000000"/>
              </w:rPr>
              <w:t>Share of RA Government debt maturing in one year</w:t>
            </w:r>
            <w:r>
              <w:rPr>
                <w:b/>
                <w:color w:val="000000"/>
                <w:lang w:val="en-US"/>
              </w:rPr>
              <w:t xml:space="preserve"> in total debt </w:t>
            </w:r>
            <w:r w:rsidRPr="005A68E6">
              <w:rPr>
                <w:b/>
                <w:color w:val="000000"/>
              </w:rPr>
              <w:t xml:space="preserve"> (%)</w:t>
            </w:r>
          </w:p>
        </w:tc>
        <w:tc>
          <w:tcPr>
            <w:tcW w:w="441" w:type="pct"/>
            <w:tcBorders>
              <w:top w:val="nil"/>
              <w:left w:val="nil"/>
              <w:bottom w:val="single" w:sz="8" w:space="0" w:color="auto"/>
              <w:right w:val="nil"/>
            </w:tcBorders>
            <w:shd w:val="clear" w:color="auto" w:fill="auto"/>
            <w:vAlign w:val="center"/>
            <w:hideMark/>
          </w:tcPr>
          <w:p w14:paraId="43F33D95" w14:textId="25601275" w:rsidR="00605B2F" w:rsidRPr="00605B2F" w:rsidRDefault="00605B2F" w:rsidP="00F749F0">
            <w:pPr>
              <w:spacing w:line="240" w:lineRule="auto"/>
              <w:ind w:firstLine="0"/>
              <w:jc w:val="center"/>
              <w:rPr>
                <w:rFonts w:cs="Times New Roman"/>
                <w:b/>
                <w:bCs/>
              </w:rPr>
            </w:pPr>
            <w:r w:rsidRPr="00605B2F">
              <w:rPr>
                <w:rFonts w:cs="Times New Roman"/>
                <w:b/>
                <w:bCs/>
                <w:lang w:val="en-US"/>
              </w:rPr>
              <w:t>13</w:t>
            </w:r>
            <w:r w:rsidR="00672DD4">
              <w:rPr>
                <w:rFonts w:cs="Times New Roman"/>
                <w:b/>
                <w:bCs/>
              </w:rPr>
              <w:t>.0</w:t>
            </w:r>
          </w:p>
        </w:tc>
        <w:tc>
          <w:tcPr>
            <w:tcW w:w="524" w:type="pct"/>
            <w:tcBorders>
              <w:top w:val="nil"/>
              <w:left w:val="nil"/>
              <w:bottom w:val="single" w:sz="8" w:space="0" w:color="auto"/>
              <w:right w:val="nil"/>
            </w:tcBorders>
            <w:shd w:val="clear" w:color="auto" w:fill="auto"/>
            <w:vAlign w:val="center"/>
            <w:hideMark/>
          </w:tcPr>
          <w:p w14:paraId="658E4BCD" w14:textId="670EE594"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9.8</w:t>
            </w:r>
          </w:p>
        </w:tc>
        <w:tc>
          <w:tcPr>
            <w:tcW w:w="524" w:type="pct"/>
            <w:tcBorders>
              <w:top w:val="nil"/>
              <w:left w:val="nil"/>
              <w:bottom w:val="single" w:sz="8" w:space="0" w:color="auto"/>
              <w:right w:val="nil"/>
            </w:tcBorders>
            <w:shd w:val="clear" w:color="auto" w:fill="auto"/>
            <w:vAlign w:val="center"/>
            <w:hideMark/>
          </w:tcPr>
          <w:p w14:paraId="1EFEED0A" w14:textId="6FFD94B8"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9.2</w:t>
            </w:r>
          </w:p>
        </w:tc>
        <w:tc>
          <w:tcPr>
            <w:tcW w:w="524" w:type="pct"/>
            <w:tcBorders>
              <w:top w:val="nil"/>
              <w:left w:val="nil"/>
              <w:bottom w:val="single" w:sz="8" w:space="0" w:color="auto"/>
              <w:right w:val="nil"/>
            </w:tcBorders>
            <w:shd w:val="clear" w:color="auto" w:fill="auto"/>
            <w:vAlign w:val="center"/>
            <w:hideMark/>
          </w:tcPr>
          <w:p w14:paraId="34D84BE3" w14:textId="0B0766A2"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8.9</w:t>
            </w:r>
          </w:p>
        </w:tc>
        <w:tc>
          <w:tcPr>
            <w:tcW w:w="523" w:type="pct"/>
            <w:tcBorders>
              <w:top w:val="nil"/>
              <w:left w:val="nil"/>
              <w:bottom w:val="single" w:sz="8" w:space="0" w:color="auto"/>
              <w:right w:val="nil"/>
            </w:tcBorders>
            <w:shd w:val="clear" w:color="auto" w:fill="auto"/>
            <w:vAlign w:val="center"/>
            <w:hideMark/>
          </w:tcPr>
          <w:p w14:paraId="68E4003B" w14:textId="2DAA5139" w:rsidR="00605B2F" w:rsidRPr="00605B2F" w:rsidRDefault="00605B2F" w:rsidP="00F749F0">
            <w:pPr>
              <w:spacing w:line="240" w:lineRule="auto"/>
              <w:ind w:firstLine="0"/>
              <w:jc w:val="center"/>
              <w:rPr>
                <w:rFonts w:cs="Times New Roman"/>
                <w:b/>
                <w:bCs/>
                <w:lang w:val="en-US"/>
              </w:rPr>
            </w:pPr>
            <w:r w:rsidRPr="00605B2F">
              <w:rPr>
                <w:rFonts w:cs="Times New Roman"/>
                <w:b/>
                <w:bCs/>
                <w:lang w:val="en-US"/>
              </w:rPr>
              <w:t>12.5</w:t>
            </w:r>
          </w:p>
        </w:tc>
      </w:tr>
      <w:tr w:rsidR="004D6E46" w:rsidRPr="00605B2F" w14:paraId="138F98CC" w14:textId="77777777" w:rsidTr="00BB0FFE">
        <w:trPr>
          <w:trHeight w:val="1006"/>
        </w:trPr>
        <w:tc>
          <w:tcPr>
            <w:tcW w:w="2464" w:type="pct"/>
            <w:tcBorders>
              <w:top w:val="nil"/>
              <w:left w:val="nil"/>
              <w:bottom w:val="single" w:sz="8" w:space="0" w:color="auto"/>
              <w:right w:val="nil"/>
            </w:tcBorders>
            <w:shd w:val="clear" w:color="auto" w:fill="auto"/>
            <w:vAlign w:val="center"/>
            <w:hideMark/>
          </w:tcPr>
          <w:p w14:paraId="5B0BA78A" w14:textId="6B701F90" w:rsidR="004D6E46" w:rsidRPr="00607426" w:rsidRDefault="004D6E46" w:rsidP="00BB0FFE">
            <w:pPr>
              <w:spacing w:line="240" w:lineRule="auto"/>
              <w:ind w:firstLine="0"/>
              <w:jc w:val="left"/>
              <w:rPr>
                <w:rFonts w:cs="Times New Roman"/>
              </w:rPr>
            </w:pPr>
            <w:r w:rsidRPr="005A68E6">
              <w:rPr>
                <w:color w:val="000000"/>
              </w:rPr>
              <w:t>Share of RA Government foreign currency</w:t>
            </w:r>
            <w:r w:rsidRPr="005A68E6">
              <w:rPr>
                <w:color w:val="000000"/>
                <w:lang w:val="en-US"/>
              </w:rPr>
              <w:t xml:space="preserve"> </w:t>
            </w:r>
            <w:r w:rsidRPr="005A68E6">
              <w:rPr>
                <w:color w:val="000000"/>
              </w:rPr>
              <w:t>debt maturing in one year</w:t>
            </w:r>
            <w:r w:rsidRPr="005A68E6">
              <w:rPr>
                <w:color w:val="000000"/>
                <w:lang w:val="en-US"/>
              </w:rPr>
              <w:t xml:space="preserve"> in</w:t>
            </w:r>
            <w:r w:rsidRPr="005A68E6">
              <w:rPr>
                <w:color w:val="000000"/>
              </w:rPr>
              <w:t xml:space="preserve"> </w:t>
            </w:r>
            <w:r>
              <w:rPr>
                <w:color w:val="000000"/>
                <w:lang w:val="en-US"/>
              </w:rPr>
              <w:t xml:space="preserve">total </w:t>
            </w:r>
            <w:r w:rsidRPr="005A68E6">
              <w:rPr>
                <w:color w:val="000000"/>
              </w:rPr>
              <w:t>foreign currency</w:t>
            </w:r>
            <w:r w:rsidRPr="005A68E6">
              <w:rPr>
                <w:color w:val="000000"/>
                <w:lang w:val="en-US"/>
              </w:rPr>
              <w:t xml:space="preserve"> </w:t>
            </w:r>
            <w:r w:rsidRPr="005A68E6">
              <w:rPr>
                <w:color w:val="000000"/>
              </w:rPr>
              <w:t>debt (%)</w:t>
            </w:r>
          </w:p>
        </w:tc>
        <w:tc>
          <w:tcPr>
            <w:tcW w:w="441" w:type="pct"/>
            <w:tcBorders>
              <w:top w:val="nil"/>
              <w:left w:val="nil"/>
              <w:bottom w:val="single" w:sz="8" w:space="0" w:color="auto"/>
              <w:right w:val="nil"/>
            </w:tcBorders>
            <w:shd w:val="clear" w:color="auto" w:fill="auto"/>
            <w:vAlign w:val="center"/>
            <w:hideMark/>
          </w:tcPr>
          <w:p w14:paraId="69272F73" w14:textId="77777777" w:rsidR="004D6E46" w:rsidRPr="00605B2F" w:rsidRDefault="004D6E46" w:rsidP="004D6E46">
            <w:pPr>
              <w:spacing w:line="240" w:lineRule="auto"/>
              <w:ind w:firstLine="0"/>
              <w:jc w:val="center"/>
              <w:rPr>
                <w:rFonts w:cs="Times New Roman"/>
                <w:lang w:val="en-US"/>
              </w:rPr>
            </w:pPr>
            <w:r w:rsidRPr="00605B2F">
              <w:rPr>
                <w:rFonts w:cs="Times New Roman"/>
                <w:lang w:val="en-US"/>
              </w:rPr>
              <w:t>11.6</w:t>
            </w:r>
          </w:p>
        </w:tc>
        <w:tc>
          <w:tcPr>
            <w:tcW w:w="524" w:type="pct"/>
            <w:tcBorders>
              <w:top w:val="nil"/>
              <w:left w:val="nil"/>
              <w:bottom w:val="single" w:sz="8" w:space="0" w:color="auto"/>
              <w:right w:val="nil"/>
            </w:tcBorders>
            <w:shd w:val="clear" w:color="auto" w:fill="auto"/>
            <w:vAlign w:val="center"/>
            <w:hideMark/>
          </w:tcPr>
          <w:p w14:paraId="1F543236" w14:textId="2565839F" w:rsidR="004D6E46" w:rsidRPr="00605B2F" w:rsidRDefault="004D6E46" w:rsidP="004D6E46">
            <w:pPr>
              <w:spacing w:line="240" w:lineRule="auto"/>
              <w:ind w:firstLine="0"/>
              <w:jc w:val="center"/>
              <w:rPr>
                <w:rFonts w:cs="Times New Roman"/>
                <w:lang w:val="en-US"/>
              </w:rPr>
            </w:pPr>
            <w:r w:rsidRPr="00605B2F">
              <w:rPr>
                <w:rFonts w:cs="Times New Roman"/>
                <w:lang w:val="en-US"/>
              </w:rPr>
              <w:t>6.1</w:t>
            </w:r>
          </w:p>
        </w:tc>
        <w:tc>
          <w:tcPr>
            <w:tcW w:w="524" w:type="pct"/>
            <w:tcBorders>
              <w:top w:val="nil"/>
              <w:left w:val="nil"/>
              <w:bottom w:val="single" w:sz="8" w:space="0" w:color="auto"/>
              <w:right w:val="nil"/>
            </w:tcBorders>
            <w:shd w:val="clear" w:color="auto" w:fill="auto"/>
            <w:vAlign w:val="center"/>
            <w:hideMark/>
          </w:tcPr>
          <w:p w14:paraId="7C16F683" w14:textId="70EC4384" w:rsidR="004D6E46" w:rsidRPr="00605B2F" w:rsidRDefault="004D6E46" w:rsidP="004D6E46">
            <w:pPr>
              <w:spacing w:line="240" w:lineRule="auto"/>
              <w:ind w:firstLine="0"/>
              <w:jc w:val="center"/>
              <w:rPr>
                <w:rFonts w:cs="Times New Roman"/>
                <w:lang w:val="en-US"/>
              </w:rPr>
            </w:pPr>
            <w:r w:rsidRPr="00605B2F">
              <w:rPr>
                <w:rFonts w:cs="Times New Roman"/>
                <w:lang w:val="en-US"/>
              </w:rPr>
              <w:t>4.5</w:t>
            </w:r>
          </w:p>
        </w:tc>
        <w:tc>
          <w:tcPr>
            <w:tcW w:w="524" w:type="pct"/>
            <w:tcBorders>
              <w:top w:val="nil"/>
              <w:left w:val="nil"/>
              <w:bottom w:val="single" w:sz="8" w:space="0" w:color="auto"/>
              <w:right w:val="nil"/>
            </w:tcBorders>
            <w:shd w:val="clear" w:color="auto" w:fill="auto"/>
            <w:vAlign w:val="center"/>
            <w:hideMark/>
          </w:tcPr>
          <w:p w14:paraId="17FC08F0" w14:textId="667260FC" w:rsidR="004D6E46" w:rsidRPr="00605B2F" w:rsidRDefault="004D6E46" w:rsidP="004D6E46">
            <w:pPr>
              <w:spacing w:line="240" w:lineRule="auto"/>
              <w:ind w:firstLine="0"/>
              <w:jc w:val="center"/>
              <w:rPr>
                <w:rFonts w:cs="Times New Roman"/>
                <w:lang w:val="en-US"/>
              </w:rPr>
            </w:pPr>
            <w:r w:rsidRPr="00605B2F">
              <w:rPr>
                <w:rFonts w:cs="Times New Roman"/>
                <w:lang w:val="en-US"/>
              </w:rPr>
              <w:t>4.3</w:t>
            </w:r>
          </w:p>
        </w:tc>
        <w:tc>
          <w:tcPr>
            <w:tcW w:w="523" w:type="pct"/>
            <w:tcBorders>
              <w:top w:val="nil"/>
              <w:left w:val="nil"/>
              <w:bottom w:val="single" w:sz="8" w:space="0" w:color="auto"/>
              <w:right w:val="nil"/>
            </w:tcBorders>
            <w:shd w:val="clear" w:color="auto" w:fill="auto"/>
            <w:vAlign w:val="center"/>
            <w:hideMark/>
          </w:tcPr>
          <w:p w14:paraId="3AEF90B7" w14:textId="03AD4BC8" w:rsidR="004D6E46" w:rsidRPr="00605B2F" w:rsidRDefault="004D6E46" w:rsidP="004D6E46">
            <w:pPr>
              <w:spacing w:line="240" w:lineRule="auto"/>
              <w:ind w:firstLine="0"/>
              <w:jc w:val="center"/>
              <w:rPr>
                <w:rFonts w:cs="Times New Roman"/>
                <w:lang w:val="en-US"/>
              </w:rPr>
            </w:pPr>
            <w:r w:rsidRPr="00605B2F">
              <w:rPr>
                <w:rFonts w:cs="Times New Roman"/>
                <w:lang w:val="en-US"/>
              </w:rPr>
              <w:t>9.4</w:t>
            </w:r>
          </w:p>
        </w:tc>
      </w:tr>
      <w:tr w:rsidR="004D6E46" w:rsidRPr="00605B2F" w14:paraId="3C201A98" w14:textId="77777777" w:rsidTr="004D6E46">
        <w:trPr>
          <w:trHeight w:val="858"/>
        </w:trPr>
        <w:tc>
          <w:tcPr>
            <w:tcW w:w="2464" w:type="pct"/>
            <w:tcBorders>
              <w:top w:val="nil"/>
              <w:left w:val="nil"/>
              <w:bottom w:val="double" w:sz="6" w:space="0" w:color="auto"/>
              <w:right w:val="nil"/>
            </w:tcBorders>
            <w:shd w:val="clear" w:color="auto" w:fill="auto"/>
            <w:vAlign w:val="center"/>
            <w:hideMark/>
          </w:tcPr>
          <w:p w14:paraId="06E57532" w14:textId="70784FA4" w:rsidR="004D6E46" w:rsidRPr="00607426" w:rsidRDefault="004D6E46" w:rsidP="00BB0FFE">
            <w:pPr>
              <w:spacing w:line="240" w:lineRule="auto"/>
              <w:ind w:firstLine="0"/>
              <w:jc w:val="left"/>
              <w:rPr>
                <w:rFonts w:cs="Times New Roman"/>
              </w:rPr>
            </w:pPr>
            <w:r w:rsidRPr="005A68E6">
              <w:rPr>
                <w:color w:val="000000"/>
              </w:rPr>
              <w:t xml:space="preserve">Share of RA Government </w:t>
            </w:r>
            <w:r w:rsidRPr="005A68E6">
              <w:rPr>
                <w:color w:val="000000"/>
                <w:lang w:val="en-US"/>
              </w:rPr>
              <w:t>local</w:t>
            </w:r>
            <w:r w:rsidRPr="005A68E6">
              <w:rPr>
                <w:color w:val="000000"/>
              </w:rPr>
              <w:t xml:space="preserve"> currency debt maturing in one year </w:t>
            </w:r>
            <w:r w:rsidRPr="005A68E6">
              <w:rPr>
                <w:color w:val="000000"/>
                <w:lang w:val="en-US"/>
              </w:rPr>
              <w:t>in</w:t>
            </w:r>
            <w:r>
              <w:rPr>
                <w:color w:val="000000"/>
                <w:lang w:val="en-US"/>
              </w:rPr>
              <w:t xml:space="preserve"> total</w:t>
            </w:r>
            <w:r w:rsidRPr="005A68E6">
              <w:rPr>
                <w:color w:val="000000"/>
                <w:lang w:val="en-US"/>
              </w:rPr>
              <w:t xml:space="preserve"> local</w:t>
            </w:r>
            <w:r w:rsidRPr="005A68E6">
              <w:rPr>
                <w:color w:val="000000"/>
              </w:rPr>
              <w:t xml:space="preserve"> currency debt (%)</w:t>
            </w:r>
          </w:p>
        </w:tc>
        <w:tc>
          <w:tcPr>
            <w:tcW w:w="441" w:type="pct"/>
            <w:tcBorders>
              <w:top w:val="nil"/>
              <w:left w:val="nil"/>
              <w:bottom w:val="double" w:sz="6" w:space="0" w:color="auto"/>
              <w:right w:val="nil"/>
            </w:tcBorders>
            <w:shd w:val="clear" w:color="auto" w:fill="auto"/>
            <w:vAlign w:val="center"/>
            <w:hideMark/>
          </w:tcPr>
          <w:p w14:paraId="2BCDC3A6" w14:textId="77777777" w:rsidR="004D6E46" w:rsidRPr="00605B2F" w:rsidRDefault="004D6E46" w:rsidP="004D6E46">
            <w:pPr>
              <w:spacing w:line="240" w:lineRule="auto"/>
              <w:ind w:firstLine="0"/>
              <w:jc w:val="center"/>
              <w:rPr>
                <w:rFonts w:cs="Times New Roman"/>
                <w:lang w:val="en-US"/>
              </w:rPr>
            </w:pPr>
            <w:r w:rsidRPr="00605B2F">
              <w:rPr>
                <w:rFonts w:cs="Times New Roman"/>
                <w:lang w:val="en-US"/>
              </w:rPr>
              <w:t>14.4</w:t>
            </w:r>
          </w:p>
        </w:tc>
        <w:tc>
          <w:tcPr>
            <w:tcW w:w="524" w:type="pct"/>
            <w:tcBorders>
              <w:top w:val="nil"/>
              <w:left w:val="nil"/>
              <w:bottom w:val="double" w:sz="6" w:space="0" w:color="auto"/>
              <w:right w:val="nil"/>
            </w:tcBorders>
            <w:shd w:val="clear" w:color="auto" w:fill="auto"/>
            <w:vAlign w:val="center"/>
            <w:hideMark/>
          </w:tcPr>
          <w:p w14:paraId="0FD791E5" w14:textId="19AE5053" w:rsidR="004D6E46" w:rsidRPr="00605B2F" w:rsidRDefault="004D6E46" w:rsidP="004D6E46">
            <w:pPr>
              <w:spacing w:line="240" w:lineRule="auto"/>
              <w:ind w:firstLine="0"/>
              <w:jc w:val="center"/>
              <w:rPr>
                <w:rFonts w:cs="Times New Roman"/>
                <w:lang w:val="en-US"/>
              </w:rPr>
            </w:pPr>
            <w:r w:rsidRPr="00605B2F">
              <w:rPr>
                <w:rFonts w:cs="Times New Roman"/>
                <w:lang w:val="en-US"/>
              </w:rPr>
              <w:t>13.6</w:t>
            </w:r>
          </w:p>
        </w:tc>
        <w:tc>
          <w:tcPr>
            <w:tcW w:w="524" w:type="pct"/>
            <w:tcBorders>
              <w:top w:val="nil"/>
              <w:left w:val="nil"/>
              <w:bottom w:val="double" w:sz="6" w:space="0" w:color="auto"/>
              <w:right w:val="nil"/>
            </w:tcBorders>
            <w:shd w:val="clear" w:color="auto" w:fill="auto"/>
            <w:vAlign w:val="center"/>
            <w:hideMark/>
          </w:tcPr>
          <w:p w14:paraId="5C04C8D2" w14:textId="3C1A39FE" w:rsidR="004D6E46" w:rsidRPr="00605B2F" w:rsidRDefault="004D6E46" w:rsidP="004D6E46">
            <w:pPr>
              <w:spacing w:line="240" w:lineRule="auto"/>
              <w:ind w:firstLine="0"/>
              <w:jc w:val="center"/>
              <w:rPr>
                <w:rFonts w:cs="Times New Roman"/>
                <w:lang w:val="en-US"/>
              </w:rPr>
            </w:pPr>
            <w:r w:rsidRPr="00605B2F">
              <w:rPr>
                <w:rFonts w:cs="Times New Roman"/>
                <w:lang w:val="en-US"/>
              </w:rPr>
              <w:t>14.1</w:t>
            </w:r>
          </w:p>
        </w:tc>
        <w:tc>
          <w:tcPr>
            <w:tcW w:w="524" w:type="pct"/>
            <w:tcBorders>
              <w:top w:val="nil"/>
              <w:left w:val="nil"/>
              <w:bottom w:val="double" w:sz="6" w:space="0" w:color="auto"/>
              <w:right w:val="nil"/>
            </w:tcBorders>
            <w:shd w:val="clear" w:color="auto" w:fill="auto"/>
            <w:vAlign w:val="center"/>
            <w:hideMark/>
          </w:tcPr>
          <w:p w14:paraId="3E98F6D5" w14:textId="1F8A869D" w:rsidR="004D6E46" w:rsidRPr="00605B2F" w:rsidRDefault="004D6E46" w:rsidP="004D6E46">
            <w:pPr>
              <w:spacing w:line="240" w:lineRule="auto"/>
              <w:ind w:firstLine="0"/>
              <w:jc w:val="center"/>
              <w:rPr>
                <w:rFonts w:cs="Times New Roman"/>
                <w:lang w:val="en-US"/>
              </w:rPr>
            </w:pPr>
            <w:r w:rsidRPr="00605B2F">
              <w:rPr>
                <w:rFonts w:cs="Times New Roman"/>
                <w:lang w:val="en-US"/>
              </w:rPr>
              <w:t>13.6</w:t>
            </w:r>
          </w:p>
        </w:tc>
        <w:tc>
          <w:tcPr>
            <w:tcW w:w="523" w:type="pct"/>
            <w:tcBorders>
              <w:top w:val="nil"/>
              <w:left w:val="nil"/>
              <w:bottom w:val="double" w:sz="6" w:space="0" w:color="auto"/>
              <w:right w:val="nil"/>
            </w:tcBorders>
            <w:shd w:val="clear" w:color="auto" w:fill="auto"/>
            <w:vAlign w:val="center"/>
            <w:hideMark/>
          </w:tcPr>
          <w:p w14:paraId="0D421B5B" w14:textId="5D84F982" w:rsidR="004D6E46" w:rsidRPr="00605B2F" w:rsidRDefault="004D6E46" w:rsidP="004D6E46">
            <w:pPr>
              <w:spacing w:line="240" w:lineRule="auto"/>
              <w:ind w:firstLine="0"/>
              <w:jc w:val="center"/>
              <w:rPr>
                <w:rFonts w:cs="Times New Roman"/>
                <w:lang w:val="en-US"/>
              </w:rPr>
            </w:pPr>
            <w:r w:rsidRPr="00605B2F">
              <w:rPr>
                <w:rFonts w:cs="Times New Roman"/>
                <w:lang w:val="en-US"/>
              </w:rPr>
              <w:t>15.9</w:t>
            </w:r>
          </w:p>
        </w:tc>
      </w:tr>
    </w:tbl>
    <w:p w14:paraId="3DA20AFB" w14:textId="779D905B" w:rsidR="006F4A30" w:rsidRPr="00D30884" w:rsidRDefault="00F93169" w:rsidP="00D30884">
      <w:pPr>
        <w:spacing w:before="120"/>
        <w:rPr>
          <w:sz w:val="16"/>
          <w:lang w:val="en-US"/>
        </w:rPr>
      </w:pPr>
      <w:r w:rsidRPr="005A68E6">
        <w:rPr>
          <w:sz w:val="16"/>
          <w:lang w:val="en-US"/>
        </w:rPr>
        <w:t>Source: RA MoF calculations and forecasts</w:t>
      </w:r>
    </w:p>
    <w:p w14:paraId="7AFE0504" w14:textId="59B105F6" w:rsidR="008028FD" w:rsidRPr="000D7B95" w:rsidRDefault="008028FD" w:rsidP="000D7B95">
      <w:r>
        <w:t xml:space="preserve">The average time to maturity of the RA Government debt portfolio is projected to reach 7.0 years by the end of 2028, remaining within the benchmark range. The decline in the average time to maturity of foreign currency debt over the medium term is </w:t>
      </w:r>
      <w:r w:rsidR="000D7B95">
        <w:rPr>
          <w:lang w:val="en-US"/>
        </w:rPr>
        <w:t xml:space="preserve">due to </w:t>
      </w:r>
      <w:r>
        <w:t>the shorteni</w:t>
      </w:r>
      <w:r w:rsidR="00494D55">
        <w:t>ng maturity of foreign currency</w:t>
      </w:r>
      <w:r>
        <w:t xml:space="preserve"> bonds. </w:t>
      </w:r>
      <w:r w:rsidR="00494D55">
        <w:rPr>
          <w:lang w:val="en-US"/>
        </w:rPr>
        <w:t>T</w:t>
      </w:r>
      <w:r>
        <w:t xml:space="preserve">he average time to maturity of </w:t>
      </w:r>
      <w:r w:rsidR="00494D55">
        <w:rPr>
          <w:lang w:val="en-US"/>
        </w:rPr>
        <w:t>local</w:t>
      </w:r>
      <w:r>
        <w:t xml:space="preserve"> currency debt is increasing, driven by the growing share of </w:t>
      </w:r>
      <w:r>
        <w:lastRenderedPageBreak/>
        <w:t>medium- and long-term bonds in the structure of new issuances, supported by a declining interest rate environment.</w:t>
      </w:r>
    </w:p>
    <w:p w14:paraId="5E9427B8" w14:textId="0013AB1C" w:rsidR="0075706E" w:rsidRPr="005C156B" w:rsidRDefault="0075706E" w:rsidP="005C156B">
      <w:r w:rsidRPr="0075706E">
        <w:t xml:space="preserve">The share of RA Government debt maturing within the coming three years in total debt is projected to reach 33.0% by the end of 2028. </w:t>
      </w:r>
      <w:r w:rsidR="005C156B">
        <w:t>Specifically</w:t>
      </w:r>
      <w:r w:rsidRPr="0075706E">
        <w:t xml:space="preserve">, </w:t>
      </w:r>
      <w:r>
        <w:rPr>
          <w:lang w:val="en-US"/>
        </w:rPr>
        <w:t xml:space="preserve">the share of </w:t>
      </w:r>
      <w:r w:rsidRPr="00EC686F">
        <w:t xml:space="preserve">foreign currency debt maturing within the coming three years in </w:t>
      </w:r>
      <w:r>
        <w:rPr>
          <w:lang w:val="en-US"/>
        </w:rPr>
        <w:t xml:space="preserve">total </w:t>
      </w:r>
      <w:r w:rsidRPr="00EC686F">
        <w:t>foreign currency debt</w:t>
      </w:r>
      <w:r w:rsidRPr="0075706E">
        <w:t xml:space="preserve"> will amount to 27.7%, while the share of </w:t>
      </w:r>
      <w:r w:rsidRPr="00EC686F">
        <w:t>local currency debt maturing within the coming three years in</w:t>
      </w:r>
      <w:r>
        <w:rPr>
          <w:lang w:val="en-US"/>
        </w:rPr>
        <w:t xml:space="preserve"> total</w:t>
      </w:r>
      <w:r w:rsidRPr="00EC686F">
        <w:t xml:space="preserve"> local currency debt </w:t>
      </w:r>
      <w:r w:rsidRPr="0075706E">
        <w:t>will be 38.6%.</w:t>
      </w:r>
      <w:r w:rsidR="005C156B">
        <w:rPr>
          <w:lang w:val="en-US"/>
        </w:rPr>
        <w:t xml:space="preserve"> </w:t>
      </w:r>
      <w:r w:rsidRPr="0075706E">
        <w:t xml:space="preserve">The sharp increase in the share of </w:t>
      </w:r>
      <w:r w:rsidR="005C156B" w:rsidRPr="00EC686F">
        <w:t xml:space="preserve">foreign currency debt maturing within the coming three years in </w:t>
      </w:r>
      <w:r w:rsidR="005C156B">
        <w:rPr>
          <w:lang w:val="en-US"/>
        </w:rPr>
        <w:t xml:space="preserve">total </w:t>
      </w:r>
      <w:r w:rsidR="005C156B" w:rsidRPr="00EC686F">
        <w:t>foreign currency debt</w:t>
      </w:r>
      <w:r w:rsidR="005C156B" w:rsidRPr="0075706E">
        <w:t xml:space="preserve"> </w:t>
      </w:r>
      <w:r w:rsidRPr="0075706E">
        <w:t xml:space="preserve">by </w:t>
      </w:r>
      <w:r w:rsidR="005C156B">
        <w:rPr>
          <w:lang w:val="en-US"/>
        </w:rPr>
        <w:t xml:space="preserve">the end of </w:t>
      </w:r>
      <w:r w:rsidRPr="0075706E">
        <w:t>2028 is due to the scheduled redemption of Eurobonds</w:t>
      </w:r>
      <w:r w:rsidR="005C156B">
        <w:rPr>
          <w:lang w:val="en-US"/>
        </w:rPr>
        <w:t xml:space="preserve"> </w:t>
      </w:r>
      <w:r w:rsidR="005C156B" w:rsidRPr="0075706E">
        <w:t xml:space="preserve">USD </w:t>
      </w:r>
      <w:r w:rsidR="005C156B">
        <w:rPr>
          <w:lang w:val="en-US"/>
        </w:rPr>
        <w:t xml:space="preserve">in the amount of </w:t>
      </w:r>
      <w:r w:rsidR="00A62262">
        <w:rPr>
          <w:lang w:val="en-US"/>
        </w:rPr>
        <w:t xml:space="preserve">USD </w:t>
      </w:r>
      <w:r w:rsidR="005C156B" w:rsidRPr="0075706E">
        <w:t xml:space="preserve">500 million </w:t>
      </w:r>
      <w:r w:rsidRPr="0075706E">
        <w:t xml:space="preserve">in 2029. The share of </w:t>
      </w:r>
      <w:r w:rsidR="005C156B" w:rsidRPr="00EC686F">
        <w:t>local currency debt maturing within the coming three years in</w:t>
      </w:r>
      <w:r w:rsidR="005C156B">
        <w:rPr>
          <w:lang w:val="en-US"/>
        </w:rPr>
        <w:t xml:space="preserve"> total</w:t>
      </w:r>
      <w:r w:rsidR="005C156B" w:rsidRPr="00EC686F">
        <w:t xml:space="preserve"> local currency debt </w:t>
      </w:r>
      <w:r w:rsidRPr="0075706E">
        <w:t>is driven by the maturity profiles of pr</w:t>
      </w:r>
      <w:r w:rsidR="005C156B">
        <w:t>eviously issued benchmark bonds.</w:t>
      </w:r>
    </w:p>
    <w:p w14:paraId="641C7776" w14:textId="4950C5B2" w:rsidR="006A714A" w:rsidRPr="00A62262" w:rsidRDefault="006A714A" w:rsidP="00A62262">
      <w:r w:rsidRPr="006A714A">
        <w:t xml:space="preserve">Within the framework of refinancing risk management, the share of RA Government debt maturing </w:t>
      </w:r>
      <w:r>
        <w:rPr>
          <w:lang w:val="en-US"/>
        </w:rPr>
        <w:t>in</w:t>
      </w:r>
      <w:r w:rsidRPr="006A714A">
        <w:t xml:space="preserve"> one year in total debt is projected to increase by the end of the medium-term period, reaching 12.5% by </w:t>
      </w:r>
      <w:r>
        <w:rPr>
          <w:lang w:val="en-US"/>
        </w:rPr>
        <w:t xml:space="preserve">the end of </w:t>
      </w:r>
      <w:r w:rsidRPr="006A714A">
        <w:t xml:space="preserve">2028. Specifically, the share of </w:t>
      </w:r>
      <w:r w:rsidR="00A62262" w:rsidRPr="005A68E6">
        <w:rPr>
          <w:color w:val="000000"/>
        </w:rPr>
        <w:t>foreign currency</w:t>
      </w:r>
      <w:r w:rsidR="00A62262" w:rsidRPr="005A68E6">
        <w:rPr>
          <w:color w:val="000000"/>
          <w:lang w:val="en-US"/>
        </w:rPr>
        <w:t xml:space="preserve"> </w:t>
      </w:r>
      <w:r w:rsidR="00A62262" w:rsidRPr="005A68E6">
        <w:rPr>
          <w:color w:val="000000"/>
        </w:rPr>
        <w:t>debt maturing in one year</w:t>
      </w:r>
      <w:r w:rsidR="00A62262" w:rsidRPr="005A68E6">
        <w:rPr>
          <w:color w:val="000000"/>
          <w:lang w:val="en-US"/>
        </w:rPr>
        <w:t xml:space="preserve"> in</w:t>
      </w:r>
      <w:r w:rsidR="00A62262" w:rsidRPr="005A68E6">
        <w:rPr>
          <w:color w:val="000000"/>
        </w:rPr>
        <w:t xml:space="preserve"> </w:t>
      </w:r>
      <w:r w:rsidR="00A62262">
        <w:rPr>
          <w:color w:val="000000"/>
          <w:lang w:val="en-US"/>
        </w:rPr>
        <w:t xml:space="preserve">total </w:t>
      </w:r>
      <w:r w:rsidR="00A62262" w:rsidRPr="005A68E6">
        <w:rPr>
          <w:color w:val="000000"/>
        </w:rPr>
        <w:t>foreign currency</w:t>
      </w:r>
      <w:r w:rsidR="00A62262" w:rsidRPr="005A68E6">
        <w:rPr>
          <w:color w:val="000000"/>
          <w:lang w:val="en-US"/>
        </w:rPr>
        <w:t xml:space="preserve"> </w:t>
      </w:r>
      <w:r w:rsidR="00A62262" w:rsidRPr="005A68E6">
        <w:rPr>
          <w:color w:val="000000"/>
        </w:rPr>
        <w:t xml:space="preserve">debt </w:t>
      </w:r>
      <w:r w:rsidRPr="006A714A">
        <w:t xml:space="preserve">will amount to 9.4%, while the share of </w:t>
      </w:r>
      <w:r w:rsidR="00A62262" w:rsidRPr="005A68E6">
        <w:rPr>
          <w:color w:val="000000"/>
          <w:lang w:val="en-US"/>
        </w:rPr>
        <w:t>local</w:t>
      </w:r>
      <w:r w:rsidR="00A62262" w:rsidRPr="005A68E6">
        <w:rPr>
          <w:color w:val="000000"/>
        </w:rPr>
        <w:t xml:space="preserve"> currency debt maturing in one year </w:t>
      </w:r>
      <w:r w:rsidR="00A62262" w:rsidRPr="005A68E6">
        <w:rPr>
          <w:color w:val="000000"/>
          <w:lang w:val="en-US"/>
        </w:rPr>
        <w:t>in</w:t>
      </w:r>
      <w:r w:rsidR="00A62262">
        <w:rPr>
          <w:color w:val="000000"/>
          <w:lang w:val="en-US"/>
        </w:rPr>
        <w:t xml:space="preserve"> total</w:t>
      </w:r>
      <w:r w:rsidR="00A62262" w:rsidRPr="005A68E6">
        <w:rPr>
          <w:color w:val="000000"/>
          <w:lang w:val="en-US"/>
        </w:rPr>
        <w:t xml:space="preserve"> local</w:t>
      </w:r>
      <w:r w:rsidR="00A62262" w:rsidRPr="005A68E6">
        <w:rPr>
          <w:color w:val="000000"/>
        </w:rPr>
        <w:t xml:space="preserve"> currency debt</w:t>
      </w:r>
      <w:r w:rsidR="00A62262" w:rsidRPr="006A714A">
        <w:t xml:space="preserve"> </w:t>
      </w:r>
      <w:r w:rsidRPr="006A714A">
        <w:t>will be 15.9%.</w:t>
      </w:r>
      <w:r w:rsidR="00A62262">
        <w:rPr>
          <w:lang w:val="en-US"/>
        </w:rPr>
        <w:t xml:space="preserve"> </w:t>
      </w:r>
      <w:r w:rsidRPr="006A714A">
        <w:t xml:space="preserve">The sharp increase in the share of </w:t>
      </w:r>
      <w:r w:rsidR="00A62262" w:rsidRPr="005A68E6">
        <w:rPr>
          <w:color w:val="000000"/>
        </w:rPr>
        <w:t>foreign currency</w:t>
      </w:r>
      <w:r w:rsidR="00A62262" w:rsidRPr="005A68E6">
        <w:rPr>
          <w:color w:val="000000"/>
          <w:lang w:val="en-US"/>
        </w:rPr>
        <w:t xml:space="preserve"> </w:t>
      </w:r>
      <w:r w:rsidR="00A62262" w:rsidRPr="005A68E6">
        <w:rPr>
          <w:color w:val="000000"/>
        </w:rPr>
        <w:t>debt maturing in one year</w:t>
      </w:r>
      <w:r w:rsidR="00A62262" w:rsidRPr="005A68E6">
        <w:rPr>
          <w:color w:val="000000"/>
          <w:lang w:val="en-US"/>
        </w:rPr>
        <w:t xml:space="preserve"> in</w:t>
      </w:r>
      <w:r w:rsidR="00A62262" w:rsidRPr="005A68E6">
        <w:rPr>
          <w:color w:val="000000"/>
        </w:rPr>
        <w:t xml:space="preserve"> </w:t>
      </w:r>
      <w:r w:rsidR="00A62262">
        <w:rPr>
          <w:color w:val="000000"/>
          <w:lang w:val="en-US"/>
        </w:rPr>
        <w:t xml:space="preserve">total </w:t>
      </w:r>
      <w:r w:rsidR="00A62262" w:rsidRPr="005A68E6">
        <w:rPr>
          <w:color w:val="000000"/>
        </w:rPr>
        <w:t>foreign currency</w:t>
      </w:r>
      <w:r w:rsidR="00A62262" w:rsidRPr="005A68E6">
        <w:rPr>
          <w:color w:val="000000"/>
          <w:lang w:val="en-US"/>
        </w:rPr>
        <w:t xml:space="preserve"> </w:t>
      </w:r>
      <w:r w:rsidR="00A62262" w:rsidRPr="005A68E6">
        <w:rPr>
          <w:color w:val="000000"/>
        </w:rPr>
        <w:t>debt</w:t>
      </w:r>
      <w:r w:rsidRPr="006A714A">
        <w:t xml:space="preserve"> is also due to the scheduled redemption of Eurobonds in the amount of USD 500 million in 2029.</w:t>
      </w:r>
    </w:p>
    <w:p w14:paraId="02A88256" w14:textId="582510F5" w:rsidR="0014286E" w:rsidRPr="0070296A" w:rsidRDefault="007D4BAF" w:rsidP="0014286E">
      <w:r>
        <w:t xml:space="preserve">Below are the projected indicators of the RA Government debt </w:t>
      </w:r>
      <w:r>
        <w:rPr>
          <w:lang w:val="en-US"/>
        </w:rPr>
        <w:t>payments</w:t>
      </w:r>
      <w:r>
        <w:t>, represent</w:t>
      </w:r>
      <w:r>
        <w:rPr>
          <w:lang w:val="en-US"/>
        </w:rPr>
        <w:t>ing</w:t>
      </w:r>
      <w:r>
        <w:t xml:space="preserve"> the total amount of principal repayments and interest payments </w:t>
      </w:r>
      <w:r w:rsidRPr="005A68E6">
        <w:rPr>
          <w:color w:val="000000"/>
        </w:rPr>
        <w:t>during the year</w:t>
      </w:r>
      <w:r>
        <w:t>.</w:t>
      </w:r>
    </w:p>
    <w:p w14:paraId="43E32D62" w14:textId="0022FB2E" w:rsidR="005C1146" w:rsidRPr="00D30884" w:rsidRDefault="00771D9D" w:rsidP="0014286E">
      <w:pPr>
        <w:pStyle w:val="ListParagraph"/>
        <w:numPr>
          <w:ilvl w:val="0"/>
          <w:numId w:val="20"/>
        </w:numPr>
        <w:spacing w:after="0"/>
        <w:rPr>
          <w:rFonts w:ascii="GHEA Grapalat" w:eastAsia="Times New Roman" w:hAnsi="GHEA Grapalat" w:cs="Times Unicode"/>
          <w:bCs/>
          <w:i/>
          <w:iCs/>
        </w:rPr>
      </w:pPr>
      <w:r>
        <w:rPr>
          <w:rFonts w:ascii="GHEA Grapalat" w:eastAsia="Times New Roman" w:hAnsi="GHEA Grapalat" w:cs="Times Unicode"/>
          <w:bCs/>
          <w:i/>
          <w:iCs/>
        </w:rPr>
        <w:t>RA Government debt payments, 2023-2028</w:t>
      </w:r>
      <w:r w:rsidRPr="00771D9D">
        <w:rPr>
          <w:rFonts w:ascii="GHEA Grapalat" w:eastAsia="Times New Roman" w:hAnsi="GHEA Grapalat" w:cs="Times Unicode"/>
          <w:bCs/>
          <w:i/>
          <w:iCs/>
        </w:rPr>
        <w:t xml:space="preserve"> (AMD billion)</w:t>
      </w:r>
    </w:p>
    <w:p w14:paraId="3018F36F" w14:textId="6299C5FF" w:rsidR="00D30884" w:rsidRDefault="00D30884" w:rsidP="007E37AA">
      <w:pPr>
        <w:pStyle w:val="af7"/>
      </w:pPr>
      <w:r>
        <w:rPr>
          <w:noProof/>
          <w:lang w:val="en-US"/>
        </w:rPr>
        <w:drawing>
          <wp:inline distT="0" distB="0" distL="0" distR="0" wp14:anchorId="404DBB8D" wp14:editId="01EBD6BE">
            <wp:extent cx="6366510" cy="3095625"/>
            <wp:effectExtent l="38100" t="57150" r="53340" b="47625"/>
            <wp:docPr id="4" name="Chart 4">
              <a:extLst xmlns:a="http://schemas.openxmlformats.org/drawingml/2006/main">
                <a:ext uri="{FF2B5EF4-FFF2-40B4-BE49-F238E27FC236}">
                  <a16:creationId xmlns:a16="http://schemas.microsoft.com/office/drawing/2014/main" id="{00000000-0008-0000-0C00-000061175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F6329A" w14:textId="2AAD3849" w:rsidR="0014286E" w:rsidRPr="004717CB" w:rsidRDefault="00D30884" w:rsidP="004717CB">
      <w:pPr>
        <w:pStyle w:val="NoSpacing1"/>
        <w:spacing w:before="120"/>
        <w:rPr>
          <w:rFonts w:ascii="GHEA Grapalat" w:hAnsi="GHEA Grapalat"/>
          <w:noProof/>
          <w:sz w:val="18"/>
          <w:szCs w:val="18"/>
        </w:rPr>
      </w:pPr>
      <w:r w:rsidRPr="005A68E6">
        <w:rPr>
          <w:rFonts w:ascii="GHEA Grapalat" w:hAnsi="GHEA Grapalat"/>
          <w:noProof/>
          <w:sz w:val="18"/>
          <w:szCs w:val="18"/>
        </w:rPr>
        <w:t xml:space="preserve">Source: RA MoF calculations and forecasts </w:t>
      </w:r>
    </w:p>
    <w:p w14:paraId="18EE975A" w14:textId="60612C87" w:rsidR="002E4F8A" w:rsidRPr="002E4F8A" w:rsidRDefault="002E4F8A" w:rsidP="002E4F8A">
      <w:r>
        <w:lastRenderedPageBreak/>
        <w:t xml:space="preserve">The RA Government debt </w:t>
      </w:r>
      <w:r>
        <w:rPr>
          <w:lang w:val="en-US"/>
        </w:rPr>
        <w:t>payments</w:t>
      </w:r>
      <w:r>
        <w:t xml:space="preserve"> are projected to increase over the medium term, reaching AMD 1,202 billion </w:t>
      </w:r>
      <w:r>
        <w:rPr>
          <w:lang w:val="en-US"/>
        </w:rPr>
        <w:t>by</w:t>
      </w:r>
      <w:r>
        <w:t xml:space="preserve"> 2028. The sharp </w:t>
      </w:r>
      <w:r>
        <w:rPr>
          <w:lang w:val="en-US"/>
        </w:rPr>
        <w:t>increase</w:t>
      </w:r>
      <w:r>
        <w:t xml:space="preserve"> in debt </w:t>
      </w:r>
      <w:r>
        <w:rPr>
          <w:lang w:val="en-US"/>
        </w:rPr>
        <w:t>payments</w:t>
      </w:r>
      <w:r>
        <w:t xml:space="preserve"> in 2025 is driven by the scheduled redemption of Eurobonds.</w:t>
      </w:r>
    </w:p>
    <w:p w14:paraId="28D14555" w14:textId="535E446D" w:rsidR="00025E2D" w:rsidRPr="00F749F0" w:rsidRDefault="008E3BFC" w:rsidP="008E3BFC">
      <w:pPr>
        <w:pStyle w:val="af6"/>
        <w:numPr>
          <w:ilvl w:val="0"/>
          <w:numId w:val="18"/>
        </w:numPr>
        <w:ind w:left="1276" w:hanging="1276"/>
      </w:pPr>
      <w:r w:rsidRPr="00DA65FD">
        <w:t>RA Government debt payments by instruments (AMD billion)</w:t>
      </w:r>
    </w:p>
    <w:tbl>
      <w:tblPr>
        <w:tblW w:w="10016" w:type="dxa"/>
        <w:tblLook w:val="04A0" w:firstRow="1" w:lastRow="0" w:firstColumn="1" w:lastColumn="0" w:noHBand="0" w:noVBand="1"/>
      </w:tblPr>
      <w:tblGrid>
        <w:gridCol w:w="3420"/>
        <w:gridCol w:w="944"/>
        <w:gridCol w:w="1391"/>
        <w:gridCol w:w="975"/>
        <w:gridCol w:w="984"/>
        <w:gridCol w:w="975"/>
        <w:gridCol w:w="1327"/>
      </w:tblGrid>
      <w:tr w:rsidR="004C39AC" w:rsidRPr="00F749F0" w14:paraId="5568B054" w14:textId="77777777" w:rsidTr="00BE5D6C">
        <w:trPr>
          <w:trHeight w:val="345"/>
        </w:trPr>
        <w:tc>
          <w:tcPr>
            <w:tcW w:w="3420" w:type="dxa"/>
            <w:vMerge w:val="restart"/>
            <w:tcBorders>
              <w:top w:val="double" w:sz="6" w:space="0" w:color="auto"/>
              <w:left w:val="nil"/>
              <w:bottom w:val="double" w:sz="6" w:space="0" w:color="000000"/>
              <w:right w:val="nil"/>
            </w:tcBorders>
            <w:shd w:val="clear" w:color="000000" w:fill="5B9BD5"/>
            <w:vAlign w:val="center"/>
            <w:hideMark/>
          </w:tcPr>
          <w:p w14:paraId="5CA92AAE" w14:textId="77777777" w:rsidR="00F749F0" w:rsidRPr="00F749F0" w:rsidRDefault="00F749F0" w:rsidP="00F749F0">
            <w:pPr>
              <w:spacing w:line="240" w:lineRule="auto"/>
              <w:ind w:firstLine="0"/>
              <w:jc w:val="center"/>
              <w:rPr>
                <w:rFonts w:cs="Times New Roman"/>
              </w:rPr>
            </w:pPr>
            <w:r w:rsidRPr="00F749F0">
              <w:rPr>
                <w:rFonts w:ascii="Calibri" w:hAnsi="Calibri" w:cs="Calibri"/>
              </w:rPr>
              <w:t> </w:t>
            </w:r>
          </w:p>
        </w:tc>
        <w:tc>
          <w:tcPr>
            <w:tcW w:w="944" w:type="dxa"/>
            <w:vMerge w:val="restart"/>
            <w:tcBorders>
              <w:top w:val="double" w:sz="6" w:space="0" w:color="auto"/>
              <w:left w:val="nil"/>
              <w:bottom w:val="double" w:sz="6" w:space="0" w:color="000000"/>
              <w:right w:val="nil"/>
            </w:tcBorders>
            <w:shd w:val="clear" w:color="000000" w:fill="5B9BD5"/>
            <w:vAlign w:val="center"/>
            <w:hideMark/>
          </w:tcPr>
          <w:p w14:paraId="60D730C6" w14:textId="56419565" w:rsidR="00F749F0" w:rsidRPr="00F749F0" w:rsidRDefault="00F749F0" w:rsidP="00F749F0">
            <w:pPr>
              <w:spacing w:line="240" w:lineRule="auto"/>
              <w:ind w:firstLine="0"/>
              <w:jc w:val="center"/>
              <w:rPr>
                <w:rFonts w:cs="Times New Roman"/>
                <w:lang w:val="en-US"/>
              </w:rPr>
            </w:pPr>
            <w:r w:rsidRPr="00F749F0">
              <w:rPr>
                <w:rFonts w:cs="Times New Roman"/>
                <w:lang w:val="en-US"/>
              </w:rPr>
              <w:t xml:space="preserve">2024 </w:t>
            </w:r>
            <w:r w:rsidR="00BB7DE3">
              <w:rPr>
                <w:rFonts w:cs="Times New Roman"/>
                <w:lang w:val="en-US"/>
              </w:rPr>
              <w:t>actual</w:t>
            </w:r>
          </w:p>
        </w:tc>
        <w:tc>
          <w:tcPr>
            <w:tcW w:w="1391" w:type="dxa"/>
            <w:tcBorders>
              <w:top w:val="double" w:sz="6" w:space="0" w:color="auto"/>
              <w:left w:val="nil"/>
              <w:bottom w:val="nil"/>
              <w:right w:val="double" w:sz="6" w:space="0" w:color="auto"/>
            </w:tcBorders>
            <w:shd w:val="clear" w:color="000000" w:fill="5B9BD5"/>
            <w:vAlign w:val="center"/>
            <w:hideMark/>
          </w:tcPr>
          <w:p w14:paraId="3A76F46C" w14:textId="77777777" w:rsidR="00F749F0" w:rsidRPr="00F749F0" w:rsidRDefault="00F749F0" w:rsidP="00F749F0">
            <w:pPr>
              <w:spacing w:line="240" w:lineRule="auto"/>
              <w:ind w:firstLine="0"/>
              <w:jc w:val="center"/>
              <w:rPr>
                <w:rFonts w:cs="Times New Roman"/>
                <w:lang w:val="en-US"/>
              </w:rPr>
            </w:pPr>
            <w:r w:rsidRPr="00F749F0">
              <w:rPr>
                <w:rFonts w:cs="Times New Roman"/>
                <w:lang w:val="en-US"/>
              </w:rPr>
              <w:t>2025</w:t>
            </w:r>
          </w:p>
        </w:tc>
        <w:tc>
          <w:tcPr>
            <w:tcW w:w="975" w:type="dxa"/>
            <w:vMerge w:val="restart"/>
            <w:tcBorders>
              <w:top w:val="double" w:sz="6" w:space="0" w:color="auto"/>
              <w:left w:val="nil"/>
              <w:bottom w:val="double" w:sz="6" w:space="0" w:color="000000"/>
              <w:right w:val="nil"/>
            </w:tcBorders>
            <w:shd w:val="clear" w:color="000000" w:fill="5B9BD5"/>
            <w:vAlign w:val="center"/>
            <w:hideMark/>
          </w:tcPr>
          <w:p w14:paraId="008B9A92" w14:textId="11AA135F" w:rsidR="00F749F0" w:rsidRPr="00F749F0" w:rsidRDefault="00F749F0" w:rsidP="00F749F0">
            <w:pPr>
              <w:spacing w:line="240" w:lineRule="auto"/>
              <w:ind w:firstLine="0"/>
              <w:jc w:val="center"/>
              <w:rPr>
                <w:rFonts w:cs="Times New Roman"/>
                <w:lang w:val="en-US"/>
              </w:rPr>
            </w:pPr>
            <w:r w:rsidRPr="00F749F0">
              <w:rPr>
                <w:rFonts w:cs="Times New Roman"/>
                <w:lang w:val="en-US"/>
              </w:rPr>
              <w:t xml:space="preserve">2025 </w:t>
            </w:r>
            <w:r w:rsidR="00BB7DE3" w:rsidRPr="005A68E6">
              <w:rPr>
                <w:lang w:val="en-US"/>
              </w:rPr>
              <w:t>forecast</w:t>
            </w:r>
          </w:p>
        </w:tc>
        <w:tc>
          <w:tcPr>
            <w:tcW w:w="984" w:type="dxa"/>
            <w:vMerge w:val="restart"/>
            <w:tcBorders>
              <w:top w:val="double" w:sz="6" w:space="0" w:color="auto"/>
              <w:left w:val="nil"/>
              <w:bottom w:val="double" w:sz="6" w:space="0" w:color="000000"/>
              <w:right w:val="nil"/>
            </w:tcBorders>
            <w:shd w:val="clear" w:color="000000" w:fill="5B9BD5"/>
            <w:vAlign w:val="center"/>
            <w:hideMark/>
          </w:tcPr>
          <w:p w14:paraId="06B58386" w14:textId="5BA937D9" w:rsidR="00F749F0" w:rsidRPr="00F749F0" w:rsidRDefault="00F749F0" w:rsidP="00F749F0">
            <w:pPr>
              <w:spacing w:line="240" w:lineRule="auto"/>
              <w:ind w:firstLine="0"/>
              <w:jc w:val="center"/>
              <w:rPr>
                <w:rFonts w:cs="Times New Roman"/>
                <w:lang w:val="en-US"/>
              </w:rPr>
            </w:pPr>
            <w:r w:rsidRPr="00F749F0">
              <w:rPr>
                <w:rFonts w:cs="Times New Roman"/>
                <w:lang w:val="en-US"/>
              </w:rPr>
              <w:t xml:space="preserve">2026 </w:t>
            </w:r>
            <w:r w:rsidR="00BB7DE3" w:rsidRPr="005A68E6">
              <w:rPr>
                <w:lang w:val="en-US"/>
              </w:rPr>
              <w:t>forecast</w:t>
            </w:r>
          </w:p>
        </w:tc>
        <w:tc>
          <w:tcPr>
            <w:tcW w:w="975" w:type="dxa"/>
            <w:vMerge w:val="restart"/>
            <w:tcBorders>
              <w:top w:val="double" w:sz="6" w:space="0" w:color="auto"/>
              <w:left w:val="nil"/>
              <w:bottom w:val="double" w:sz="6" w:space="0" w:color="000000"/>
              <w:right w:val="nil"/>
            </w:tcBorders>
            <w:shd w:val="clear" w:color="000000" w:fill="5B9BD5"/>
            <w:vAlign w:val="center"/>
            <w:hideMark/>
          </w:tcPr>
          <w:p w14:paraId="7C834CCC" w14:textId="56B4B6D8" w:rsidR="00F749F0" w:rsidRPr="00F749F0" w:rsidRDefault="00F749F0" w:rsidP="00F749F0">
            <w:pPr>
              <w:spacing w:line="240" w:lineRule="auto"/>
              <w:ind w:firstLine="0"/>
              <w:jc w:val="center"/>
              <w:rPr>
                <w:rFonts w:cs="Times New Roman"/>
                <w:lang w:val="en-US"/>
              </w:rPr>
            </w:pPr>
            <w:r w:rsidRPr="00F749F0">
              <w:rPr>
                <w:rFonts w:cs="Times New Roman"/>
                <w:lang w:val="en-US"/>
              </w:rPr>
              <w:t xml:space="preserve">2027 </w:t>
            </w:r>
            <w:r w:rsidR="00BB7DE3" w:rsidRPr="005A68E6">
              <w:rPr>
                <w:lang w:val="en-US"/>
              </w:rPr>
              <w:t>forecast</w:t>
            </w:r>
          </w:p>
        </w:tc>
        <w:tc>
          <w:tcPr>
            <w:tcW w:w="1327" w:type="dxa"/>
            <w:vMerge w:val="restart"/>
            <w:tcBorders>
              <w:top w:val="double" w:sz="6" w:space="0" w:color="auto"/>
              <w:left w:val="nil"/>
              <w:bottom w:val="double" w:sz="6" w:space="0" w:color="000000"/>
              <w:right w:val="nil"/>
            </w:tcBorders>
            <w:shd w:val="clear" w:color="000000" w:fill="5B9BD5"/>
            <w:vAlign w:val="center"/>
            <w:hideMark/>
          </w:tcPr>
          <w:p w14:paraId="54261E63" w14:textId="0B3CDC09" w:rsidR="00F749F0" w:rsidRPr="00F749F0" w:rsidRDefault="00F749F0" w:rsidP="00F749F0">
            <w:pPr>
              <w:spacing w:line="240" w:lineRule="auto"/>
              <w:ind w:firstLine="0"/>
              <w:jc w:val="center"/>
              <w:rPr>
                <w:rFonts w:cs="Times New Roman"/>
                <w:lang w:val="en-US"/>
              </w:rPr>
            </w:pPr>
            <w:r w:rsidRPr="00F749F0">
              <w:rPr>
                <w:rFonts w:cs="Times New Roman"/>
                <w:lang w:val="en-US"/>
              </w:rPr>
              <w:t xml:space="preserve">2028 </w:t>
            </w:r>
            <w:r w:rsidR="00BB7DE3" w:rsidRPr="005A68E6">
              <w:rPr>
                <w:lang w:val="en-US"/>
              </w:rPr>
              <w:t>forecast</w:t>
            </w:r>
          </w:p>
        </w:tc>
      </w:tr>
      <w:tr w:rsidR="00F749F0" w:rsidRPr="00F749F0" w14:paraId="1A4D6F49" w14:textId="77777777" w:rsidTr="00BE5D6C">
        <w:trPr>
          <w:trHeight w:val="1005"/>
        </w:trPr>
        <w:tc>
          <w:tcPr>
            <w:tcW w:w="3420" w:type="dxa"/>
            <w:vMerge/>
            <w:tcBorders>
              <w:top w:val="double" w:sz="6" w:space="0" w:color="auto"/>
              <w:left w:val="nil"/>
              <w:bottom w:val="double" w:sz="6" w:space="0" w:color="000000"/>
              <w:right w:val="nil"/>
            </w:tcBorders>
            <w:vAlign w:val="center"/>
            <w:hideMark/>
          </w:tcPr>
          <w:p w14:paraId="2C4163BA" w14:textId="77777777" w:rsidR="00F749F0" w:rsidRPr="00F749F0" w:rsidRDefault="00F749F0" w:rsidP="00F749F0">
            <w:pPr>
              <w:spacing w:line="240" w:lineRule="auto"/>
              <w:ind w:firstLine="0"/>
              <w:jc w:val="left"/>
              <w:rPr>
                <w:rFonts w:cs="Times New Roman"/>
                <w:lang w:val="en-US"/>
              </w:rPr>
            </w:pPr>
          </w:p>
        </w:tc>
        <w:tc>
          <w:tcPr>
            <w:tcW w:w="944" w:type="dxa"/>
            <w:vMerge/>
            <w:tcBorders>
              <w:top w:val="double" w:sz="6" w:space="0" w:color="auto"/>
              <w:left w:val="nil"/>
              <w:bottom w:val="double" w:sz="6" w:space="0" w:color="000000"/>
              <w:right w:val="nil"/>
            </w:tcBorders>
            <w:vAlign w:val="center"/>
            <w:hideMark/>
          </w:tcPr>
          <w:p w14:paraId="639BAEE9" w14:textId="77777777" w:rsidR="00F749F0" w:rsidRPr="00F749F0" w:rsidRDefault="00F749F0" w:rsidP="00F749F0">
            <w:pPr>
              <w:spacing w:line="240" w:lineRule="auto"/>
              <w:ind w:firstLine="0"/>
              <w:jc w:val="left"/>
              <w:rPr>
                <w:rFonts w:cs="Times New Roman"/>
                <w:lang w:val="en-US"/>
              </w:rPr>
            </w:pPr>
          </w:p>
        </w:tc>
        <w:tc>
          <w:tcPr>
            <w:tcW w:w="1391" w:type="dxa"/>
            <w:tcBorders>
              <w:top w:val="nil"/>
              <w:left w:val="nil"/>
              <w:bottom w:val="double" w:sz="6" w:space="0" w:color="auto"/>
              <w:right w:val="double" w:sz="6" w:space="0" w:color="auto"/>
            </w:tcBorders>
            <w:shd w:val="clear" w:color="000000" w:fill="5B9BD5"/>
            <w:vAlign w:val="center"/>
            <w:hideMark/>
          </w:tcPr>
          <w:p w14:paraId="66920067" w14:textId="1118161D" w:rsidR="00F749F0" w:rsidRPr="00F749F0" w:rsidRDefault="00BB7DE3" w:rsidP="00F749F0">
            <w:pPr>
              <w:spacing w:line="240" w:lineRule="auto"/>
              <w:ind w:firstLine="0"/>
              <w:jc w:val="center"/>
              <w:rPr>
                <w:rFonts w:cs="Times New Roman"/>
                <w:lang w:val="en-US"/>
              </w:rPr>
            </w:pPr>
            <w:r w:rsidRPr="005A68E6">
              <w:rPr>
                <w:color w:val="000000"/>
                <w:lang w:val="en-US"/>
              </w:rPr>
              <w:t xml:space="preserve">State </w:t>
            </w:r>
            <w:r w:rsidRPr="005A68E6">
              <w:rPr>
                <w:color w:val="000000"/>
              </w:rPr>
              <w:t>budget program</w:t>
            </w:r>
          </w:p>
        </w:tc>
        <w:tc>
          <w:tcPr>
            <w:tcW w:w="975" w:type="dxa"/>
            <w:vMerge/>
            <w:tcBorders>
              <w:top w:val="double" w:sz="6" w:space="0" w:color="auto"/>
              <w:left w:val="nil"/>
              <w:bottom w:val="double" w:sz="6" w:space="0" w:color="000000"/>
              <w:right w:val="nil"/>
            </w:tcBorders>
            <w:vAlign w:val="center"/>
            <w:hideMark/>
          </w:tcPr>
          <w:p w14:paraId="0A264E81" w14:textId="77777777" w:rsidR="00F749F0" w:rsidRPr="00F749F0" w:rsidRDefault="00F749F0" w:rsidP="00F749F0">
            <w:pPr>
              <w:spacing w:line="240" w:lineRule="auto"/>
              <w:ind w:firstLine="0"/>
              <w:jc w:val="left"/>
              <w:rPr>
                <w:rFonts w:cs="Times New Roman"/>
                <w:lang w:val="en-US"/>
              </w:rPr>
            </w:pPr>
          </w:p>
        </w:tc>
        <w:tc>
          <w:tcPr>
            <w:tcW w:w="984" w:type="dxa"/>
            <w:vMerge/>
            <w:tcBorders>
              <w:top w:val="double" w:sz="6" w:space="0" w:color="auto"/>
              <w:left w:val="nil"/>
              <w:bottom w:val="double" w:sz="6" w:space="0" w:color="000000"/>
              <w:right w:val="nil"/>
            </w:tcBorders>
            <w:vAlign w:val="center"/>
            <w:hideMark/>
          </w:tcPr>
          <w:p w14:paraId="7A9E7198" w14:textId="77777777" w:rsidR="00F749F0" w:rsidRPr="00F749F0" w:rsidRDefault="00F749F0" w:rsidP="00F749F0">
            <w:pPr>
              <w:spacing w:line="240" w:lineRule="auto"/>
              <w:ind w:firstLine="0"/>
              <w:jc w:val="left"/>
              <w:rPr>
                <w:rFonts w:cs="Times New Roman"/>
                <w:lang w:val="en-US"/>
              </w:rPr>
            </w:pPr>
          </w:p>
        </w:tc>
        <w:tc>
          <w:tcPr>
            <w:tcW w:w="975" w:type="dxa"/>
            <w:vMerge/>
            <w:tcBorders>
              <w:top w:val="double" w:sz="6" w:space="0" w:color="auto"/>
              <w:left w:val="nil"/>
              <w:bottom w:val="double" w:sz="6" w:space="0" w:color="000000"/>
              <w:right w:val="nil"/>
            </w:tcBorders>
            <w:vAlign w:val="center"/>
            <w:hideMark/>
          </w:tcPr>
          <w:p w14:paraId="2B78C00B" w14:textId="77777777" w:rsidR="00F749F0" w:rsidRPr="00F749F0" w:rsidRDefault="00F749F0" w:rsidP="00F749F0">
            <w:pPr>
              <w:spacing w:line="240" w:lineRule="auto"/>
              <w:ind w:firstLine="0"/>
              <w:jc w:val="left"/>
              <w:rPr>
                <w:rFonts w:cs="Times New Roman"/>
                <w:lang w:val="en-US"/>
              </w:rPr>
            </w:pPr>
          </w:p>
        </w:tc>
        <w:tc>
          <w:tcPr>
            <w:tcW w:w="1327" w:type="dxa"/>
            <w:vMerge/>
            <w:tcBorders>
              <w:top w:val="double" w:sz="6" w:space="0" w:color="auto"/>
              <w:left w:val="nil"/>
              <w:bottom w:val="double" w:sz="6" w:space="0" w:color="000000"/>
              <w:right w:val="nil"/>
            </w:tcBorders>
            <w:vAlign w:val="center"/>
            <w:hideMark/>
          </w:tcPr>
          <w:p w14:paraId="526C2828" w14:textId="77777777" w:rsidR="00F749F0" w:rsidRPr="00F749F0" w:rsidRDefault="00F749F0" w:rsidP="00F749F0">
            <w:pPr>
              <w:spacing w:line="240" w:lineRule="auto"/>
              <w:ind w:firstLine="0"/>
              <w:jc w:val="left"/>
              <w:rPr>
                <w:rFonts w:cs="Times New Roman"/>
                <w:lang w:val="en-US"/>
              </w:rPr>
            </w:pPr>
          </w:p>
        </w:tc>
      </w:tr>
      <w:tr w:rsidR="00E22B7B" w:rsidRPr="00F749F0" w14:paraId="344229F0" w14:textId="77777777" w:rsidTr="00BE5D6C">
        <w:trPr>
          <w:trHeight w:val="792"/>
        </w:trPr>
        <w:tc>
          <w:tcPr>
            <w:tcW w:w="3420" w:type="dxa"/>
            <w:tcBorders>
              <w:top w:val="nil"/>
              <w:left w:val="nil"/>
              <w:bottom w:val="single" w:sz="8" w:space="0" w:color="auto"/>
              <w:right w:val="nil"/>
            </w:tcBorders>
            <w:shd w:val="clear" w:color="auto" w:fill="auto"/>
            <w:vAlign w:val="center"/>
            <w:hideMark/>
          </w:tcPr>
          <w:p w14:paraId="27B2F473" w14:textId="63B81A8D" w:rsidR="00E22B7B" w:rsidRPr="00607426" w:rsidRDefault="00BE5D6C" w:rsidP="00E22B7B">
            <w:pPr>
              <w:spacing w:line="240" w:lineRule="auto"/>
              <w:ind w:firstLine="0"/>
              <w:jc w:val="left"/>
              <w:rPr>
                <w:rFonts w:cs="Times New Roman"/>
              </w:rPr>
            </w:pPr>
            <w:r w:rsidRPr="005A68E6">
              <w:rPr>
                <w:b/>
              </w:rPr>
              <w:t>RA Government debt payments by instruments, of wh</w:t>
            </w:r>
            <w:r w:rsidRPr="005A68E6">
              <w:rPr>
                <w:b/>
                <w:lang w:val="en-US"/>
              </w:rPr>
              <w:t>ich:</w:t>
            </w:r>
          </w:p>
        </w:tc>
        <w:tc>
          <w:tcPr>
            <w:tcW w:w="944" w:type="dxa"/>
            <w:tcBorders>
              <w:top w:val="nil"/>
              <w:left w:val="nil"/>
              <w:bottom w:val="single" w:sz="8" w:space="0" w:color="auto"/>
              <w:right w:val="nil"/>
            </w:tcBorders>
            <w:shd w:val="clear" w:color="auto" w:fill="auto"/>
            <w:vAlign w:val="center"/>
            <w:hideMark/>
          </w:tcPr>
          <w:p w14:paraId="1758AAB5" w14:textId="22EACA85" w:rsidR="00E22B7B" w:rsidRPr="00F749F0" w:rsidRDefault="00E22B7B" w:rsidP="00E22B7B">
            <w:pPr>
              <w:spacing w:line="240" w:lineRule="auto"/>
              <w:ind w:firstLine="0"/>
              <w:jc w:val="center"/>
              <w:rPr>
                <w:rFonts w:cs="Times New Roman"/>
                <w:lang w:val="en-US"/>
              </w:rPr>
            </w:pPr>
            <w:r>
              <w:t>764.8</w:t>
            </w:r>
          </w:p>
        </w:tc>
        <w:tc>
          <w:tcPr>
            <w:tcW w:w="1391" w:type="dxa"/>
            <w:tcBorders>
              <w:top w:val="nil"/>
              <w:left w:val="nil"/>
              <w:bottom w:val="single" w:sz="8" w:space="0" w:color="auto"/>
              <w:right w:val="double" w:sz="6" w:space="0" w:color="auto"/>
            </w:tcBorders>
            <w:shd w:val="clear" w:color="auto" w:fill="auto"/>
            <w:vAlign w:val="center"/>
            <w:hideMark/>
          </w:tcPr>
          <w:p w14:paraId="3F99ADCE" w14:textId="47437EF3" w:rsidR="00E22B7B" w:rsidRPr="00F749F0" w:rsidRDefault="00E22B7B" w:rsidP="00E22B7B">
            <w:pPr>
              <w:spacing w:line="240" w:lineRule="auto"/>
              <w:ind w:firstLine="0"/>
              <w:jc w:val="center"/>
              <w:rPr>
                <w:rFonts w:cs="Times New Roman"/>
                <w:lang w:val="en-US"/>
              </w:rPr>
            </w:pPr>
            <w:r>
              <w:t>1,117.1</w:t>
            </w:r>
          </w:p>
        </w:tc>
        <w:tc>
          <w:tcPr>
            <w:tcW w:w="975" w:type="dxa"/>
            <w:tcBorders>
              <w:top w:val="nil"/>
              <w:left w:val="nil"/>
              <w:bottom w:val="single" w:sz="8" w:space="0" w:color="auto"/>
              <w:right w:val="nil"/>
            </w:tcBorders>
            <w:shd w:val="clear" w:color="auto" w:fill="auto"/>
            <w:vAlign w:val="center"/>
            <w:hideMark/>
          </w:tcPr>
          <w:p w14:paraId="05AD9FB1" w14:textId="16F8E83A" w:rsidR="00E22B7B" w:rsidRPr="00F749F0" w:rsidRDefault="00E22B7B" w:rsidP="00E22B7B">
            <w:pPr>
              <w:spacing w:line="240" w:lineRule="auto"/>
              <w:ind w:firstLine="0"/>
              <w:jc w:val="center"/>
              <w:rPr>
                <w:rFonts w:cs="Times New Roman"/>
                <w:lang w:val="en-US"/>
              </w:rPr>
            </w:pPr>
            <w:r>
              <w:t>1,108.1</w:t>
            </w:r>
          </w:p>
        </w:tc>
        <w:tc>
          <w:tcPr>
            <w:tcW w:w="984" w:type="dxa"/>
            <w:tcBorders>
              <w:top w:val="nil"/>
              <w:left w:val="nil"/>
              <w:bottom w:val="single" w:sz="8" w:space="0" w:color="auto"/>
              <w:right w:val="nil"/>
            </w:tcBorders>
            <w:shd w:val="clear" w:color="auto" w:fill="auto"/>
            <w:vAlign w:val="center"/>
            <w:hideMark/>
          </w:tcPr>
          <w:p w14:paraId="70D3F355" w14:textId="05B9EE69" w:rsidR="00E22B7B" w:rsidRPr="00F749F0" w:rsidRDefault="00E22B7B" w:rsidP="00E22B7B">
            <w:pPr>
              <w:spacing w:line="240" w:lineRule="auto"/>
              <w:ind w:firstLine="0"/>
              <w:jc w:val="center"/>
              <w:rPr>
                <w:rFonts w:cs="Times New Roman"/>
                <w:lang w:val="en-US"/>
              </w:rPr>
            </w:pPr>
            <w:r>
              <w:t>1,060.1</w:t>
            </w:r>
          </w:p>
        </w:tc>
        <w:tc>
          <w:tcPr>
            <w:tcW w:w="975" w:type="dxa"/>
            <w:tcBorders>
              <w:top w:val="nil"/>
              <w:left w:val="nil"/>
              <w:bottom w:val="single" w:sz="8" w:space="0" w:color="auto"/>
              <w:right w:val="nil"/>
            </w:tcBorders>
            <w:shd w:val="clear" w:color="auto" w:fill="auto"/>
            <w:vAlign w:val="center"/>
            <w:hideMark/>
          </w:tcPr>
          <w:p w14:paraId="0E2B0043" w14:textId="044E434C" w:rsidR="00E22B7B" w:rsidRPr="00F749F0" w:rsidRDefault="00E22B7B" w:rsidP="00E22B7B">
            <w:pPr>
              <w:spacing w:line="240" w:lineRule="auto"/>
              <w:ind w:firstLine="0"/>
              <w:jc w:val="center"/>
              <w:rPr>
                <w:rFonts w:cs="Times New Roman"/>
                <w:lang w:val="en-US"/>
              </w:rPr>
            </w:pPr>
            <w:r>
              <w:t>1,125.5</w:t>
            </w:r>
          </w:p>
        </w:tc>
        <w:tc>
          <w:tcPr>
            <w:tcW w:w="1327" w:type="dxa"/>
            <w:tcBorders>
              <w:top w:val="nil"/>
              <w:left w:val="nil"/>
              <w:bottom w:val="single" w:sz="8" w:space="0" w:color="auto"/>
              <w:right w:val="nil"/>
            </w:tcBorders>
            <w:shd w:val="clear" w:color="auto" w:fill="auto"/>
            <w:vAlign w:val="center"/>
            <w:hideMark/>
          </w:tcPr>
          <w:p w14:paraId="22B5D1E6" w14:textId="2CA84DB7" w:rsidR="00E22B7B" w:rsidRPr="00F749F0" w:rsidRDefault="00E22B7B" w:rsidP="00E22B7B">
            <w:pPr>
              <w:spacing w:line="240" w:lineRule="auto"/>
              <w:ind w:firstLine="0"/>
              <w:jc w:val="center"/>
              <w:rPr>
                <w:rFonts w:cs="Times New Roman"/>
                <w:lang w:val="en-US"/>
              </w:rPr>
            </w:pPr>
            <w:r>
              <w:t>1,202.3</w:t>
            </w:r>
          </w:p>
        </w:tc>
      </w:tr>
      <w:tr w:rsidR="00E22B7B" w:rsidRPr="00F749F0" w14:paraId="21652B24" w14:textId="77777777" w:rsidTr="00BE5D6C">
        <w:trPr>
          <w:trHeight w:val="511"/>
        </w:trPr>
        <w:tc>
          <w:tcPr>
            <w:tcW w:w="3420" w:type="dxa"/>
            <w:tcBorders>
              <w:top w:val="nil"/>
              <w:left w:val="nil"/>
              <w:bottom w:val="single" w:sz="8" w:space="0" w:color="auto"/>
              <w:right w:val="nil"/>
            </w:tcBorders>
            <w:shd w:val="clear" w:color="auto" w:fill="auto"/>
            <w:vAlign w:val="center"/>
            <w:hideMark/>
          </w:tcPr>
          <w:p w14:paraId="694FBDAB" w14:textId="08EAB154" w:rsidR="00E22B7B" w:rsidRPr="00F749F0" w:rsidRDefault="00BE5D6C" w:rsidP="00E22B7B">
            <w:pPr>
              <w:spacing w:line="240" w:lineRule="auto"/>
              <w:ind w:firstLine="0"/>
              <w:jc w:val="left"/>
              <w:rPr>
                <w:rFonts w:cs="Times New Roman"/>
                <w:lang w:val="en-US"/>
              </w:rPr>
            </w:pPr>
            <w:r w:rsidRPr="005A68E6">
              <w:rPr>
                <w:rFonts w:cs="Calibri Light"/>
              </w:rPr>
              <w:t>External Loans and Borrowings</w:t>
            </w:r>
          </w:p>
        </w:tc>
        <w:tc>
          <w:tcPr>
            <w:tcW w:w="944" w:type="dxa"/>
            <w:tcBorders>
              <w:top w:val="nil"/>
              <w:left w:val="nil"/>
              <w:bottom w:val="single" w:sz="8" w:space="0" w:color="auto"/>
              <w:right w:val="nil"/>
            </w:tcBorders>
            <w:shd w:val="clear" w:color="auto" w:fill="auto"/>
            <w:vAlign w:val="center"/>
            <w:hideMark/>
          </w:tcPr>
          <w:p w14:paraId="332C2F06" w14:textId="3760FB5C" w:rsidR="00E22B7B" w:rsidRPr="00F749F0" w:rsidRDefault="00E22B7B" w:rsidP="00E22B7B">
            <w:pPr>
              <w:spacing w:line="240" w:lineRule="auto"/>
              <w:ind w:firstLine="0"/>
              <w:jc w:val="center"/>
              <w:rPr>
                <w:rFonts w:cs="Times New Roman"/>
                <w:lang w:val="en-US"/>
              </w:rPr>
            </w:pPr>
            <w:r>
              <w:t>232.3</w:t>
            </w:r>
          </w:p>
        </w:tc>
        <w:tc>
          <w:tcPr>
            <w:tcW w:w="1391" w:type="dxa"/>
            <w:tcBorders>
              <w:top w:val="nil"/>
              <w:left w:val="nil"/>
              <w:bottom w:val="single" w:sz="8" w:space="0" w:color="auto"/>
              <w:right w:val="double" w:sz="6" w:space="0" w:color="auto"/>
            </w:tcBorders>
            <w:shd w:val="clear" w:color="auto" w:fill="auto"/>
            <w:vAlign w:val="center"/>
            <w:hideMark/>
          </w:tcPr>
          <w:p w14:paraId="4114D438" w14:textId="3E060D12" w:rsidR="00E22B7B" w:rsidRPr="00F749F0" w:rsidRDefault="00E22B7B" w:rsidP="00E22B7B">
            <w:pPr>
              <w:spacing w:line="240" w:lineRule="auto"/>
              <w:ind w:firstLine="0"/>
              <w:jc w:val="center"/>
              <w:rPr>
                <w:rFonts w:cs="Times New Roman"/>
                <w:lang w:val="en-US"/>
              </w:rPr>
            </w:pPr>
            <w:r>
              <w:t>290.6</w:t>
            </w:r>
          </w:p>
        </w:tc>
        <w:tc>
          <w:tcPr>
            <w:tcW w:w="975" w:type="dxa"/>
            <w:tcBorders>
              <w:top w:val="nil"/>
              <w:left w:val="nil"/>
              <w:bottom w:val="single" w:sz="8" w:space="0" w:color="auto"/>
              <w:right w:val="nil"/>
            </w:tcBorders>
            <w:shd w:val="clear" w:color="auto" w:fill="auto"/>
            <w:vAlign w:val="center"/>
            <w:hideMark/>
          </w:tcPr>
          <w:p w14:paraId="571E366B" w14:textId="189B11AD" w:rsidR="00E22B7B" w:rsidRPr="00F749F0" w:rsidRDefault="00E22B7B" w:rsidP="00E22B7B">
            <w:pPr>
              <w:spacing w:line="240" w:lineRule="auto"/>
              <w:ind w:firstLine="0"/>
              <w:jc w:val="center"/>
              <w:rPr>
                <w:rFonts w:cs="Times New Roman"/>
                <w:lang w:val="en-US"/>
              </w:rPr>
            </w:pPr>
            <w:r>
              <w:t>290.6</w:t>
            </w:r>
          </w:p>
        </w:tc>
        <w:tc>
          <w:tcPr>
            <w:tcW w:w="984" w:type="dxa"/>
            <w:tcBorders>
              <w:top w:val="nil"/>
              <w:left w:val="nil"/>
              <w:bottom w:val="single" w:sz="8" w:space="0" w:color="auto"/>
              <w:right w:val="nil"/>
            </w:tcBorders>
            <w:shd w:val="clear" w:color="auto" w:fill="auto"/>
            <w:vAlign w:val="center"/>
            <w:hideMark/>
          </w:tcPr>
          <w:p w14:paraId="3D1A8B0D" w14:textId="3239E34A" w:rsidR="00E22B7B" w:rsidRPr="00F749F0" w:rsidRDefault="00E22B7B" w:rsidP="00E22B7B">
            <w:pPr>
              <w:spacing w:line="240" w:lineRule="auto"/>
              <w:ind w:firstLine="0"/>
              <w:jc w:val="center"/>
              <w:rPr>
                <w:rFonts w:cs="Times New Roman"/>
                <w:lang w:val="en-US"/>
              </w:rPr>
            </w:pPr>
            <w:r>
              <w:t>290.3</w:t>
            </w:r>
          </w:p>
        </w:tc>
        <w:tc>
          <w:tcPr>
            <w:tcW w:w="975" w:type="dxa"/>
            <w:tcBorders>
              <w:top w:val="nil"/>
              <w:left w:val="nil"/>
              <w:bottom w:val="single" w:sz="8" w:space="0" w:color="auto"/>
              <w:right w:val="nil"/>
            </w:tcBorders>
            <w:shd w:val="clear" w:color="auto" w:fill="auto"/>
            <w:vAlign w:val="center"/>
            <w:hideMark/>
          </w:tcPr>
          <w:p w14:paraId="3E5545F1" w14:textId="06491B21" w:rsidR="00E22B7B" w:rsidRPr="00F749F0" w:rsidRDefault="00E22B7B" w:rsidP="00E22B7B">
            <w:pPr>
              <w:spacing w:line="240" w:lineRule="auto"/>
              <w:ind w:firstLine="0"/>
              <w:jc w:val="center"/>
              <w:rPr>
                <w:rFonts w:cs="Times New Roman"/>
                <w:lang w:val="en-US"/>
              </w:rPr>
            </w:pPr>
            <w:r>
              <w:t>274.2</w:t>
            </w:r>
          </w:p>
        </w:tc>
        <w:tc>
          <w:tcPr>
            <w:tcW w:w="1327" w:type="dxa"/>
            <w:tcBorders>
              <w:top w:val="nil"/>
              <w:left w:val="nil"/>
              <w:bottom w:val="single" w:sz="8" w:space="0" w:color="auto"/>
              <w:right w:val="nil"/>
            </w:tcBorders>
            <w:shd w:val="clear" w:color="auto" w:fill="auto"/>
            <w:vAlign w:val="center"/>
            <w:hideMark/>
          </w:tcPr>
          <w:p w14:paraId="68690EAE" w14:textId="1BF34F90" w:rsidR="00E22B7B" w:rsidRPr="00F749F0" w:rsidRDefault="00E22B7B" w:rsidP="00E22B7B">
            <w:pPr>
              <w:spacing w:line="240" w:lineRule="auto"/>
              <w:ind w:firstLine="0"/>
              <w:jc w:val="center"/>
              <w:rPr>
                <w:rFonts w:cs="Times New Roman"/>
                <w:lang w:val="en-US"/>
              </w:rPr>
            </w:pPr>
            <w:r>
              <w:t>299.1</w:t>
            </w:r>
          </w:p>
        </w:tc>
      </w:tr>
      <w:tr w:rsidR="00BE5D6C" w:rsidRPr="00F749F0" w14:paraId="3FD8FE24" w14:textId="77777777" w:rsidTr="00D74C37">
        <w:trPr>
          <w:trHeight w:val="345"/>
        </w:trPr>
        <w:tc>
          <w:tcPr>
            <w:tcW w:w="3420" w:type="dxa"/>
            <w:tcBorders>
              <w:top w:val="nil"/>
              <w:left w:val="nil"/>
              <w:bottom w:val="single" w:sz="8" w:space="0" w:color="auto"/>
              <w:right w:val="nil"/>
            </w:tcBorders>
            <w:shd w:val="clear" w:color="auto" w:fill="auto"/>
            <w:hideMark/>
          </w:tcPr>
          <w:p w14:paraId="4134B635" w14:textId="3151111C" w:rsidR="00BE5D6C" w:rsidRPr="00F749F0" w:rsidRDefault="00BE5D6C" w:rsidP="00BE5D6C">
            <w:pPr>
              <w:spacing w:line="240" w:lineRule="auto"/>
              <w:ind w:firstLineChars="300" w:firstLine="660"/>
              <w:jc w:val="left"/>
              <w:rPr>
                <w:rFonts w:cs="Times New Roman"/>
                <w:lang w:val="en-US"/>
              </w:rPr>
            </w:pPr>
            <w:r w:rsidRPr="005A68E6">
              <w:rPr>
                <w:rFonts w:cs="Calibri Light"/>
              </w:rPr>
              <w:t>Interest Payment</w:t>
            </w:r>
          </w:p>
        </w:tc>
        <w:tc>
          <w:tcPr>
            <w:tcW w:w="944" w:type="dxa"/>
            <w:tcBorders>
              <w:top w:val="nil"/>
              <w:left w:val="nil"/>
              <w:bottom w:val="single" w:sz="8" w:space="0" w:color="auto"/>
              <w:right w:val="nil"/>
            </w:tcBorders>
            <w:shd w:val="clear" w:color="auto" w:fill="auto"/>
            <w:vAlign w:val="center"/>
            <w:hideMark/>
          </w:tcPr>
          <w:p w14:paraId="1E3ED697" w14:textId="10B032A1" w:rsidR="00BE5D6C" w:rsidRPr="00F749F0" w:rsidRDefault="00BE5D6C" w:rsidP="00BE5D6C">
            <w:pPr>
              <w:spacing w:line="240" w:lineRule="auto"/>
              <w:ind w:firstLine="0"/>
              <w:jc w:val="center"/>
              <w:rPr>
                <w:rFonts w:cs="Times New Roman"/>
                <w:sz w:val="20"/>
                <w:szCs w:val="20"/>
                <w:lang w:val="en-US"/>
              </w:rPr>
            </w:pPr>
            <w:r>
              <w:rPr>
                <w:sz w:val="20"/>
                <w:szCs w:val="20"/>
              </w:rPr>
              <w:t>66.3</w:t>
            </w:r>
          </w:p>
        </w:tc>
        <w:tc>
          <w:tcPr>
            <w:tcW w:w="1391" w:type="dxa"/>
            <w:tcBorders>
              <w:top w:val="nil"/>
              <w:left w:val="nil"/>
              <w:bottom w:val="single" w:sz="8" w:space="0" w:color="auto"/>
              <w:right w:val="double" w:sz="6" w:space="0" w:color="auto"/>
            </w:tcBorders>
            <w:shd w:val="clear" w:color="auto" w:fill="auto"/>
            <w:vAlign w:val="center"/>
            <w:hideMark/>
          </w:tcPr>
          <w:p w14:paraId="6BBB0F55" w14:textId="6BC9C28A" w:rsidR="00BE5D6C" w:rsidRPr="00F749F0" w:rsidRDefault="00BE5D6C" w:rsidP="00BE5D6C">
            <w:pPr>
              <w:spacing w:line="240" w:lineRule="auto"/>
              <w:ind w:firstLine="0"/>
              <w:jc w:val="center"/>
              <w:rPr>
                <w:rFonts w:cs="Times New Roman"/>
                <w:sz w:val="20"/>
                <w:szCs w:val="20"/>
                <w:lang w:val="en-US"/>
              </w:rPr>
            </w:pPr>
            <w:r>
              <w:rPr>
                <w:sz w:val="20"/>
                <w:szCs w:val="20"/>
              </w:rPr>
              <w:t>108.5</w:t>
            </w:r>
          </w:p>
        </w:tc>
        <w:tc>
          <w:tcPr>
            <w:tcW w:w="975" w:type="dxa"/>
            <w:tcBorders>
              <w:top w:val="nil"/>
              <w:left w:val="nil"/>
              <w:bottom w:val="single" w:sz="8" w:space="0" w:color="auto"/>
              <w:right w:val="nil"/>
            </w:tcBorders>
            <w:shd w:val="clear" w:color="auto" w:fill="auto"/>
            <w:vAlign w:val="center"/>
            <w:hideMark/>
          </w:tcPr>
          <w:p w14:paraId="02481DBA" w14:textId="46802303" w:rsidR="00BE5D6C" w:rsidRPr="00F749F0" w:rsidRDefault="00BE5D6C" w:rsidP="00BE5D6C">
            <w:pPr>
              <w:spacing w:line="240" w:lineRule="auto"/>
              <w:ind w:firstLine="0"/>
              <w:jc w:val="center"/>
              <w:rPr>
                <w:rFonts w:cs="Times New Roman"/>
                <w:sz w:val="20"/>
                <w:szCs w:val="20"/>
                <w:lang w:val="en-US"/>
              </w:rPr>
            </w:pPr>
            <w:r>
              <w:rPr>
                <w:sz w:val="20"/>
                <w:szCs w:val="20"/>
              </w:rPr>
              <w:t>108.5</w:t>
            </w:r>
          </w:p>
        </w:tc>
        <w:tc>
          <w:tcPr>
            <w:tcW w:w="984" w:type="dxa"/>
            <w:tcBorders>
              <w:top w:val="nil"/>
              <w:left w:val="nil"/>
              <w:bottom w:val="single" w:sz="8" w:space="0" w:color="auto"/>
              <w:right w:val="nil"/>
            </w:tcBorders>
            <w:shd w:val="clear" w:color="auto" w:fill="auto"/>
            <w:vAlign w:val="center"/>
            <w:hideMark/>
          </w:tcPr>
          <w:p w14:paraId="23A92723" w14:textId="7852838E" w:rsidR="00BE5D6C" w:rsidRPr="00F749F0" w:rsidRDefault="00BE5D6C" w:rsidP="00BE5D6C">
            <w:pPr>
              <w:spacing w:line="240" w:lineRule="auto"/>
              <w:ind w:firstLine="0"/>
              <w:jc w:val="center"/>
              <w:rPr>
                <w:rFonts w:cs="Times New Roman"/>
                <w:sz w:val="20"/>
                <w:szCs w:val="20"/>
                <w:lang w:val="en-US"/>
              </w:rPr>
            </w:pPr>
            <w:r>
              <w:rPr>
                <w:sz w:val="20"/>
                <w:szCs w:val="20"/>
              </w:rPr>
              <w:t>104.9</w:t>
            </w:r>
          </w:p>
        </w:tc>
        <w:tc>
          <w:tcPr>
            <w:tcW w:w="975" w:type="dxa"/>
            <w:tcBorders>
              <w:top w:val="nil"/>
              <w:left w:val="nil"/>
              <w:bottom w:val="single" w:sz="8" w:space="0" w:color="auto"/>
              <w:right w:val="nil"/>
            </w:tcBorders>
            <w:shd w:val="clear" w:color="auto" w:fill="auto"/>
            <w:vAlign w:val="center"/>
            <w:hideMark/>
          </w:tcPr>
          <w:p w14:paraId="2B4F36E5" w14:textId="2B8975A6" w:rsidR="00BE5D6C" w:rsidRPr="00F749F0" w:rsidRDefault="00BE5D6C" w:rsidP="00BE5D6C">
            <w:pPr>
              <w:spacing w:line="240" w:lineRule="auto"/>
              <w:ind w:firstLine="0"/>
              <w:jc w:val="center"/>
              <w:rPr>
                <w:rFonts w:cs="Times New Roman"/>
                <w:sz w:val="20"/>
                <w:szCs w:val="20"/>
                <w:lang w:val="en-US"/>
              </w:rPr>
            </w:pPr>
            <w:r>
              <w:rPr>
                <w:sz w:val="20"/>
                <w:szCs w:val="20"/>
              </w:rPr>
              <w:t>126.5</w:t>
            </w:r>
          </w:p>
        </w:tc>
        <w:tc>
          <w:tcPr>
            <w:tcW w:w="1327" w:type="dxa"/>
            <w:tcBorders>
              <w:top w:val="nil"/>
              <w:left w:val="nil"/>
              <w:bottom w:val="single" w:sz="8" w:space="0" w:color="auto"/>
              <w:right w:val="nil"/>
            </w:tcBorders>
            <w:shd w:val="clear" w:color="auto" w:fill="auto"/>
            <w:vAlign w:val="center"/>
            <w:hideMark/>
          </w:tcPr>
          <w:p w14:paraId="18F9BD1F" w14:textId="04B40302" w:rsidR="00BE5D6C" w:rsidRPr="00F749F0" w:rsidRDefault="00BE5D6C" w:rsidP="00BE5D6C">
            <w:pPr>
              <w:spacing w:line="240" w:lineRule="auto"/>
              <w:ind w:firstLine="0"/>
              <w:jc w:val="center"/>
              <w:rPr>
                <w:rFonts w:cs="Times New Roman"/>
                <w:sz w:val="20"/>
                <w:szCs w:val="20"/>
                <w:lang w:val="en-US"/>
              </w:rPr>
            </w:pPr>
            <w:r>
              <w:rPr>
                <w:sz w:val="20"/>
                <w:szCs w:val="20"/>
              </w:rPr>
              <w:t>148.6</w:t>
            </w:r>
          </w:p>
        </w:tc>
      </w:tr>
      <w:tr w:rsidR="00BE5D6C" w:rsidRPr="00F749F0" w14:paraId="14CC3B84" w14:textId="77777777" w:rsidTr="00BE5D6C">
        <w:trPr>
          <w:trHeight w:val="345"/>
        </w:trPr>
        <w:tc>
          <w:tcPr>
            <w:tcW w:w="3420" w:type="dxa"/>
            <w:tcBorders>
              <w:top w:val="nil"/>
              <w:left w:val="nil"/>
              <w:bottom w:val="single" w:sz="8" w:space="0" w:color="auto"/>
              <w:right w:val="nil"/>
            </w:tcBorders>
            <w:shd w:val="clear" w:color="auto" w:fill="auto"/>
            <w:vAlign w:val="center"/>
            <w:hideMark/>
          </w:tcPr>
          <w:p w14:paraId="029A878B" w14:textId="37628EF9" w:rsidR="00BE5D6C" w:rsidRPr="00F749F0" w:rsidRDefault="00BE5D6C" w:rsidP="00BE5D6C">
            <w:pPr>
              <w:spacing w:line="240" w:lineRule="auto"/>
              <w:ind w:firstLineChars="300" w:firstLine="660"/>
              <w:jc w:val="left"/>
              <w:rPr>
                <w:rFonts w:cs="Times New Roman"/>
                <w:lang w:val="en-US"/>
              </w:rPr>
            </w:pPr>
            <w:r w:rsidRPr="005A68E6">
              <w:rPr>
                <w:rFonts w:cs="Calibri Light"/>
              </w:rPr>
              <w:t>Redemption</w:t>
            </w:r>
          </w:p>
        </w:tc>
        <w:tc>
          <w:tcPr>
            <w:tcW w:w="944" w:type="dxa"/>
            <w:tcBorders>
              <w:top w:val="nil"/>
              <w:left w:val="nil"/>
              <w:bottom w:val="single" w:sz="8" w:space="0" w:color="auto"/>
              <w:right w:val="nil"/>
            </w:tcBorders>
            <w:shd w:val="clear" w:color="auto" w:fill="auto"/>
            <w:vAlign w:val="center"/>
            <w:hideMark/>
          </w:tcPr>
          <w:p w14:paraId="7D4E9883" w14:textId="315DD76F" w:rsidR="00BE5D6C" w:rsidRPr="00F749F0" w:rsidRDefault="00BE5D6C" w:rsidP="00BE5D6C">
            <w:pPr>
              <w:spacing w:line="240" w:lineRule="auto"/>
              <w:ind w:firstLine="0"/>
              <w:jc w:val="center"/>
              <w:rPr>
                <w:rFonts w:cs="Times New Roman"/>
                <w:sz w:val="20"/>
                <w:szCs w:val="20"/>
                <w:lang w:val="en-US"/>
              </w:rPr>
            </w:pPr>
            <w:r>
              <w:rPr>
                <w:sz w:val="20"/>
                <w:szCs w:val="20"/>
              </w:rPr>
              <w:t>166.0</w:t>
            </w:r>
          </w:p>
        </w:tc>
        <w:tc>
          <w:tcPr>
            <w:tcW w:w="1391" w:type="dxa"/>
            <w:tcBorders>
              <w:top w:val="nil"/>
              <w:left w:val="nil"/>
              <w:bottom w:val="single" w:sz="8" w:space="0" w:color="auto"/>
              <w:right w:val="double" w:sz="6" w:space="0" w:color="auto"/>
            </w:tcBorders>
            <w:shd w:val="clear" w:color="auto" w:fill="auto"/>
            <w:vAlign w:val="center"/>
            <w:hideMark/>
          </w:tcPr>
          <w:p w14:paraId="4B3DE290" w14:textId="47EA9FD2" w:rsidR="00BE5D6C" w:rsidRPr="00F749F0" w:rsidRDefault="00BE5D6C" w:rsidP="00BE5D6C">
            <w:pPr>
              <w:spacing w:line="240" w:lineRule="auto"/>
              <w:ind w:firstLine="0"/>
              <w:jc w:val="center"/>
              <w:rPr>
                <w:rFonts w:cs="Times New Roman"/>
                <w:sz w:val="20"/>
                <w:szCs w:val="20"/>
                <w:lang w:val="en-US"/>
              </w:rPr>
            </w:pPr>
            <w:r>
              <w:rPr>
                <w:sz w:val="20"/>
                <w:szCs w:val="20"/>
              </w:rPr>
              <w:t>182.1</w:t>
            </w:r>
          </w:p>
        </w:tc>
        <w:tc>
          <w:tcPr>
            <w:tcW w:w="975" w:type="dxa"/>
            <w:tcBorders>
              <w:top w:val="nil"/>
              <w:left w:val="nil"/>
              <w:bottom w:val="single" w:sz="8" w:space="0" w:color="auto"/>
              <w:right w:val="nil"/>
            </w:tcBorders>
            <w:shd w:val="clear" w:color="auto" w:fill="auto"/>
            <w:vAlign w:val="center"/>
            <w:hideMark/>
          </w:tcPr>
          <w:p w14:paraId="20297A5E" w14:textId="5B50C2EC" w:rsidR="00BE5D6C" w:rsidRPr="00F749F0" w:rsidRDefault="00BE5D6C" w:rsidP="00BE5D6C">
            <w:pPr>
              <w:spacing w:line="240" w:lineRule="auto"/>
              <w:ind w:firstLine="0"/>
              <w:jc w:val="center"/>
              <w:rPr>
                <w:rFonts w:cs="Times New Roman"/>
                <w:sz w:val="20"/>
                <w:szCs w:val="20"/>
                <w:lang w:val="en-US"/>
              </w:rPr>
            </w:pPr>
            <w:r>
              <w:rPr>
                <w:sz w:val="20"/>
                <w:szCs w:val="20"/>
              </w:rPr>
              <w:t>182.1</w:t>
            </w:r>
          </w:p>
        </w:tc>
        <w:tc>
          <w:tcPr>
            <w:tcW w:w="984" w:type="dxa"/>
            <w:tcBorders>
              <w:top w:val="nil"/>
              <w:left w:val="nil"/>
              <w:bottom w:val="single" w:sz="8" w:space="0" w:color="auto"/>
              <w:right w:val="nil"/>
            </w:tcBorders>
            <w:shd w:val="clear" w:color="auto" w:fill="auto"/>
            <w:vAlign w:val="center"/>
            <w:hideMark/>
          </w:tcPr>
          <w:p w14:paraId="724829A2" w14:textId="342B1DCC" w:rsidR="00BE5D6C" w:rsidRPr="00F749F0" w:rsidRDefault="00BE5D6C" w:rsidP="00BE5D6C">
            <w:pPr>
              <w:spacing w:line="240" w:lineRule="auto"/>
              <w:ind w:firstLine="0"/>
              <w:jc w:val="center"/>
              <w:rPr>
                <w:rFonts w:cs="Times New Roman"/>
                <w:sz w:val="20"/>
                <w:szCs w:val="20"/>
                <w:lang w:val="en-US"/>
              </w:rPr>
            </w:pPr>
            <w:r>
              <w:rPr>
                <w:sz w:val="20"/>
                <w:szCs w:val="20"/>
              </w:rPr>
              <w:t>185.4</w:t>
            </w:r>
          </w:p>
        </w:tc>
        <w:tc>
          <w:tcPr>
            <w:tcW w:w="975" w:type="dxa"/>
            <w:tcBorders>
              <w:top w:val="nil"/>
              <w:left w:val="nil"/>
              <w:bottom w:val="single" w:sz="8" w:space="0" w:color="auto"/>
              <w:right w:val="nil"/>
            </w:tcBorders>
            <w:shd w:val="clear" w:color="auto" w:fill="auto"/>
            <w:vAlign w:val="center"/>
            <w:hideMark/>
          </w:tcPr>
          <w:p w14:paraId="5572229D" w14:textId="59C29872" w:rsidR="00BE5D6C" w:rsidRPr="00F749F0" w:rsidRDefault="00BE5D6C" w:rsidP="00BE5D6C">
            <w:pPr>
              <w:spacing w:line="240" w:lineRule="auto"/>
              <w:ind w:firstLine="0"/>
              <w:jc w:val="center"/>
              <w:rPr>
                <w:rFonts w:cs="Times New Roman"/>
                <w:sz w:val="20"/>
                <w:szCs w:val="20"/>
                <w:lang w:val="en-US"/>
              </w:rPr>
            </w:pPr>
            <w:r>
              <w:rPr>
                <w:sz w:val="20"/>
                <w:szCs w:val="20"/>
              </w:rPr>
              <w:t>147.6</w:t>
            </w:r>
          </w:p>
        </w:tc>
        <w:tc>
          <w:tcPr>
            <w:tcW w:w="1327" w:type="dxa"/>
            <w:tcBorders>
              <w:top w:val="nil"/>
              <w:left w:val="nil"/>
              <w:bottom w:val="single" w:sz="8" w:space="0" w:color="auto"/>
              <w:right w:val="nil"/>
            </w:tcBorders>
            <w:shd w:val="clear" w:color="auto" w:fill="auto"/>
            <w:vAlign w:val="center"/>
            <w:hideMark/>
          </w:tcPr>
          <w:p w14:paraId="16A6B721" w14:textId="76CD081B" w:rsidR="00BE5D6C" w:rsidRPr="00F749F0" w:rsidRDefault="00BE5D6C" w:rsidP="00BE5D6C">
            <w:pPr>
              <w:spacing w:line="240" w:lineRule="auto"/>
              <w:ind w:firstLine="0"/>
              <w:jc w:val="center"/>
              <w:rPr>
                <w:rFonts w:cs="Times New Roman"/>
                <w:sz w:val="20"/>
                <w:szCs w:val="20"/>
                <w:lang w:val="en-US"/>
              </w:rPr>
            </w:pPr>
            <w:r>
              <w:rPr>
                <w:sz w:val="20"/>
                <w:szCs w:val="20"/>
              </w:rPr>
              <w:t>150.6</w:t>
            </w:r>
          </w:p>
        </w:tc>
      </w:tr>
      <w:tr w:rsidR="00E22B7B" w:rsidRPr="00F749F0" w14:paraId="629C0176" w14:textId="77777777" w:rsidTr="00BE5D6C">
        <w:trPr>
          <w:trHeight w:val="511"/>
        </w:trPr>
        <w:tc>
          <w:tcPr>
            <w:tcW w:w="3420" w:type="dxa"/>
            <w:tcBorders>
              <w:top w:val="nil"/>
              <w:left w:val="nil"/>
              <w:bottom w:val="single" w:sz="8" w:space="0" w:color="auto"/>
              <w:right w:val="nil"/>
            </w:tcBorders>
            <w:shd w:val="clear" w:color="auto" w:fill="auto"/>
            <w:vAlign w:val="center"/>
            <w:hideMark/>
          </w:tcPr>
          <w:p w14:paraId="7A13F836" w14:textId="126F7A7B" w:rsidR="00E22B7B" w:rsidRPr="00F749F0" w:rsidRDefault="00BE5D6C" w:rsidP="00E22B7B">
            <w:pPr>
              <w:spacing w:line="240" w:lineRule="auto"/>
              <w:ind w:firstLine="0"/>
              <w:jc w:val="left"/>
              <w:rPr>
                <w:rFonts w:cs="Times New Roman"/>
                <w:lang w:val="en-US"/>
              </w:rPr>
            </w:pPr>
            <w:r w:rsidRPr="005A68E6">
              <w:rPr>
                <w:rFonts w:cs="Calibri Light"/>
              </w:rPr>
              <w:t>Government Treasury Bonds</w:t>
            </w:r>
          </w:p>
        </w:tc>
        <w:tc>
          <w:tcPr>
            <w:tcW w:w="944" w:type="dxa"/>
            <w:tcBorders>
              <w:top w:val="nil"/>
              <w:left w:val="nil"/>
              <w:bottom w:val="single" w:sz="8" w:space="0" w:color="auto"/>
              <w:right w:val="nil"/>
            </w:tcBorders>
            <w:shd w:val="clear" w:color="auto" w:fill="auto"/>
            <w:vAlign w:val="center"/>
            <w:hideMark/>
          </w:tcPr>
          <w:p w14:paraId="6B2637D6" w14:textId="11F0569F" w:rsidR="00E22B7B" w:rsidRPr="00F749F0" w:rsidRDefault="00E22B7B" w:rsidP="00E22B7B">
            <w:pPr>
              <w:spacing w:line="240" w:lineRule="auto"/>
              <w:ind w:firstLine="0"/>
              <w:jc w:val="center"/>
              <w:rPr>
                <w:rFonts w:cs="Times New Roman"/>
                <w:lang w:val="en-US"/>
              </w:rPr>
            </w:pPr>
            <w:r>
              <w:t>505.1</w:t>
            </w:r>
          </w:p>
        </w:tc>
        <w:tc>
          <w:tcPr>
            <w:tcW w:w="1391" w:type="dxa"/>
            <w:tcBorders>
              <w:top w:val="nil"/>
              <w:left w:val="nil"/>
              <w:bottom w:val="single" w:sz="8" w:space="0" w:color="auto"/>
              <w:right w:val="double" w:sz="6" w:space="0" w:color="auto"/>
            </w:tcBorders>
            <w:shd w:val="clear" w:color="auto" w:fill="auto"/>
            <w:vAlign w:val="center"/>
            <w:hideMark/>
          </w:tcPr>
          <w:p w14:paraId="3438EF46" w14:textId="13B8D9C6" w:rsidR="00E22B7B" w:rsidRPr="00F749F0" w:rsidRDefault="00E22B7B" w:rsidP="00E22B7B">
            <w:pPr>
              <w:spacing w:line="240" w:lineRule="auto"/>
              <w:ind w:firstLine="0"/>
              <w:jc w:val="center"/>
              <w:rPr>
                <w:rFonts w:cs="Times New Roman"/>
                <w:lang w:val="en-US"/>
              </w:rPr>
            </w:pPr>
            <w:r>
              <w:t>661.7</w:t>
            </w:r>
          </w:p>
        </w:tc>
        <w:tc>
          <w:tcPr>
            <w:tcW w:w="975" w:type="dxa"/>
            <w:tcBorders>
              <w:top w:val="nil"/>
              <w:left w:val="nil"/>
              <w:bottom w:val="single" w:sz="8" w:space="0" w:color="auto"/>
              <w:right w:val="nil"/>
            </w:tcBorders>
            <w:shd w:val="clear" w:color="auto" w:fill="auto"/>
            <w:vAlign w:val="center"/>
            <w:hideMark/>
          </w:tcPr>
          <w:p w14:paraId="074024E1" w14:textId="1FBE6246" w:rsidR="00E22B7B" w:rsidRPr="00F749F0" w:rsidRDefault="00E22B7B" w:rsidP="00E22B7B">
            <w:pPr>
              <w:spacing w:line="240" w:lineRule="auto"/>
              <w:ind w:firstLine="0"/>
              <w:jc w:val="center"/>
              <w:rPr>
                <w:rFonts w:cs="Times New Roman"/>
                <w:lang w:val="en-US"/>
              </w:rPr>
            </w:pPr>
            <w:r>
              <w:t>661.7</w:t>
            </w:r>
          </w:p>
        </w:tc>
        <w:tc>
          <w:tcPr>
            <w:tcW w:w="984" w:type="dxa"/>
            <w:tcBorders>
              <w:top w:val="nil"/>
              <w:left w:val="nil"/>
              <w:bottom w:val="single" w:sz="8" w:space="0" w:color="auto"/>
              <w:right w:val="nil"/>
            </w:tcBorders>
            <w:shd w:val="clear" w:color="auto" w:fill="auto"/>
            <w:vAlign w:val="center"/>
            <w:hideMark/>
          </w:tcPr>
          <w:p w14:paraId="42D3740D" w14:textId="7EA4C006" w:rsidR="00E22B7B" w:rsidRPr="00F749F0" w:rsidRDefault="00E22B7B" w:rsidP="00E22B7B">
            <w:pPr>
              <w:spacing w:line="240" w:lineRule="auto"/>
              <w:ind w:firstLine="0"/>
              <w:jc w:val="center"/>
              <w:rPr>
                <w:rFonts w:cs="Times New Roman"/>
                <w:lang w:val="en-US"/>
              </w:rPr>
            </w:pPr>
            <w:r>
              <w:t>728.4</w:t>
            </w:r>
          </w:p>
        </w:tc>
        <w:tc>
          <w:tcPr>
            <w:tcW w:w="975" w:type="dxa"/>
            <w:tcBorders>
              <w:top w:val="nil"/>
              <w:left w:val="nil"/>
              <w:bottom w:val="single" w:sz="8" w:space="0" w:color="auto"/>
              <w:right w:val="nil"/>
            </w:tcBorders>
            <w:shd w:val="clear" w:color="auto" w:fill="auto"/>
            <w:vAlign w:val="center"/>
            <w:hideMark/>
          </w:tcPr>
          <w:p w14:paraId="4517E5EC" w14:textId="511067CB" w:rsidR="00E22B7B" w:rsidRPr="00F749F0" w:rsidRDefault="00E22B7B" w:rsidP="00E22B7B">
            <w:pPr>
              <w:spacing w:line="240" w:lineRule="auto"/>
              <w:ind w:firstLine="0"/>
              <w:jc w:val="center"/>
              <w:rPr>
                <w:rFonts w:cs="Times New Roman"/>
                <w:lang w:val="en-US"/>
              </w:rPr>
            </w:pPr>
            <w:r>
              <w:t>809.9</w:t>
            </w:r>
          </w:p>
        </w:tc>
        <w:tc>
          <w:tcPr>
            <w:tcW w:w="1327" w:type="dxa"/>
            <w:tcBorders>
              <w:top w:val="nil"/>
              <w:left w:val="nil"/>
              <w:bottom w:val="single" w:sz="8" w:space="0" w:color="auto"/>
              <w:right w:val="nil"/>
            </w:tcBorders>
            <w:shd w:val="clear" w:color="auto" w:fill="auto"/>
            <w:vAlign w:val="center"/>
            <w:hideMark/>
          </w:tcPr>
          <w:p w14:paraId="40DC6859" w14:textId="01195B43" w:rsidR="00E22B7B" w:rsidRPr="00F749F0" w:rsidRDefault="00E22B7B" w:rsidP="00E22B7B">
            <w:pPr>
              <w:spacing w:line="240" w:lineRule="auto"/>
              <w:ind w:firstLine="0"/>
              <w:jc w:val="center"/>
              <w:rPr>
                <w:rFonts w:cs="Times New Roman"/>
                <w:lang w:val="en-US"/>
              </w:rPr>
            </w:pPr>
            <w:r>
              <w:t>861.8</w:t>
            </w:r>
          </w:p>
        </w:tc>
      </w:tr>
      <w:tr w:rsidR="00BE5D6C" w:rsidRPr="00F749F0" w14:paraId="73D24706" w14:textId="77777777" w:rsidTr="00D74C37">
        <w:trPr>
          <w:trHeight w:val="345"/>
        </w:trPr>
        <w:tc>
          <w:tcPr>
            <w:tcW w:w="3420" w:type="dxa"/>
            <w:tcBorders>
              <w:top w:val="nil"/>
              <w:left w:val="nil"/>
              <w:bottom w:val="single" w:sz="8" w:space="0" w:color="auto"/>
              <w:right w:val="nil"/>
            </w:tcBorders>
            <w:shd w:val="clear" w:color="auto" w:fill="auto"/>
            <w:hideMark/>
          </w:tcPr>
          <w:p w14:paraId="15F0F19F" w14:textId="3A165125" w:rsidR="00BE5D6C" w:rsidRPr="00F749F0" w:rsidRDefault="00BE5D6C" w:rsidP="00BE5D6C">
            <w:pPr>
              <w:spacing w:line="240" w:lineRule="auto"/>
              <w:ind w:firstLineChars="300" w:firstLine="660"/>
              <w:jc w:val="left"/>
              <w:rPr>
                <w:rFonts w:cs="Times New Roman"/>
                <w:lang w:val="en-US"/>
              </w:rPr>
            </w:pPr>
            <w:r w:rsidRPr="005A68E6">
              <w:rPr>
                <w:rFonts w:cs="Calibri Light"/>
              </w:rPr>
              <w:t>Interest Payment</w:t>
            </w:r>
          </w:p>
        </w:tc>
        <w:tc>
          <w:tcPr>
            <w:tcW w:w="944" w:type="dxa"/>
            <w:tcBorders>
              <w:top w:val="nil"/>
              <w:left w:val="nil"/>
              <w:bottom w:val="single" w:sz="8" w:space="0" w:color="auto"/>
              <w:right w:val="nil"/>
            </w:tcBorders>
            <w:shd w:val="clear" w:color="auto" w:fill="auto"/>
            <w:vAlign w:val="center"/>
            <w:hideMark/>
          </w:tcPr>
          <w:p w14:paraId="57722DDD" w14:textId="4DF2EFD2" w:rsidR="00BE5D6C" w:rsidRPr="00F749F0" w:rsidRDefault="00BE5D6C" w:rsidP="00BE5D6C">
            <w:pPr>
              <w:spacing w:line="240" w:lineRule="auto"/>
              <w:ind w:firstLine="0"/>
              <w:jc w:val="center"/>
              <w:rPr>
                <w:rFonts w:cs="Times New Roman"/>
                <w:sz w:val="20"/>
                <w:szCs w:val="20"/>
                <w:lang w:val="en-US"/>
              </w:rPr>
            </w:pPr>
            <w:r>
              <w:rPr>
                <w:sz w:val="20"/>
                <w:szCs w:val="20"/>
              </w:rPr>
              <w:t>219.8</w:t>
            </w:r>
          </w:p>
        </w:tc>
        <w:tc>
          <w:tcPr>
            <w:tcW w:w="1391" w:type="dxa"/>
            <w:tcBorders>
              <w:top w:val="nil"/>
              <w:left w:val="nil"/>
              <w:bottom w:val="single" w:sz="8" w:space="0" w:color="auto"/>
              <w:right w:val="double" w:sz="6" w:space="0" w:color="auto"/>
            </w:tcBorders>
            <w:shd w:val="clear" w:color="auto" w:fill="auto"/>
            <w:vAlign w:val="center"/>
            <w:hideMark/>
          </w:tcPr>
          <w:p w14:paraId="52564D9A" w14:textId="6E9388A1" w:rsidR="00BE5D6C" w:rsidRPr="00F749F0" w:rsidRDefault="00BE5D6C" w:rsidP="00BE5D6C">
            <w:pPr>
              <w:spacing w:line="240" w:lineRule="auto"/>
              <w:ind w:firstLine="0"/>
              <w:jc w:val="center"/>
              <w:rPr>
                <w:rFonts w:cs="Times New Roman"/>
                <w:sz w:val="20"/>
                <w:szCs w:val="20"/>
                <w:lang w:val="en-US"/>
              </w:rPr>
            </w:pPr>
            <w:r>
              <w:rPr>
                <w:sz w:val="20"/>
                <w:szCs w:val="20"/>
              </w:rPr>
              <w:t>253.2</w:t>
            </w:r>
          </w:p>
        </w:tc>
        <w:tc>
          <w:tcPr>
            <w:tcW w:w="975" w:type="dxa"/>
            <w:tcBorders>
              <w:top w:val="nil"/>
              <w:left w:val="nil"/>
              <w:bottom w:val="single" w:sz="8" w:space="0" w:color="auto"/>
              <w:right w:val="nil"/>
            </w:tcBorders>
            <w:shd w:val="clear" w:color="auto" w:fill="auto"/>
            <w:vAlign w:val="center"/>
            <w:hideMark/>
          </w:tcPr>
          <w:p w14:paraId="53EBF060" w14:textId="2FA1C00D" w:rsidR="00BE5D6C" w:rsidRPr="00F749F0" w:rsidRDefault="00BE5D6C" w:rsidP="00BE5D6C">
            <w:pPr>
              <w:spacing w:line="240" w:lineRule="auto"/>
              <w:ind w:firstLine="0"/>
              <w:jc w:val="center"/>
              <w:rPr>
                <w:rFonts w:cs="Times New Roman"/>
                <w:sz w:val="20"/>
                <w:szCs w:val="20"/>
                <w:lang w:val="en-US"/>
              </w:rPr>
            </w:pPr>
            <w:r>
              <w:rPr>
                <w:sz w:val="20"/>
                <w:szCs w:val="20"/>
              </w:rPr>
              <w:t>253.2</w:t>
            </w:r>
          </w:p>
        </w:tc>
        <w:tc>
          <w:tcPr>
            <w:tcW w:w="984" w:type="dxa"/>
            <w:tcBorders>
              <w:top w:val="nil"/>
              <w:left w:val="nil"/>
              <w:bottom w:val="single" w:sz="8" w:space="0" w:color="auto"/>
              <w:right w:val="nil"/>
            </w:tcBorders>
            <w:shd w:val="clear" w:color="auto" w:fill="auto"/>
            <w:vAlign w:val="center"/>
            <w:hideMark/>
          </w:tcPr>
          <w:p w14:paraId="1D716E24" w14:textId="2DC498F3" w:rsidR="00BE5D6C" w:rsidRPr="00F749F0" w:rsidRDefault="00BE5D6C" w:rsidP="00BE5D6C">
            <w:pPr>
              <w:spacing w:line="240" w:lineRule="auto"/>
              <w:ind w:firstLine="0"/>
              <w:jc w:val="center"/>
              <w:rPr>
                <w:rFonts w:cs="Times New Roman"/>
                <w:sz w:val="20"/>
                <w:szCs w:val="20"/>
                <w:lang w:val="en-US"/>
              </w:rPr>
            </w:pPr>
            <w:r>
              <w:rPr>
                <w:sz w:val="20"/>
                <w:szCs w:val="20"/>
              </w:rPr>
              <w:t>284.5</w:t>
            </w:r>
          </w:p>
        </w:tc>
        <w:tc>
          <w:tcPr>
            <w:tcW w:w="975" w:type="dxa"/>
            <w:tcBorders>
              <w:top w:val="nil"/>
              <w:left w:val="nil"/>
              <w:bottom w:val="single" w:sz="8" w:space="0" w:color="auto"/>
              <w:right w:val="nil"/>
            </w:tcBorders>
            <w:shd w:val="clear" w:color="auto" w:fill="auto"/>
            <w:vAlign w:val="center"/>
            <w:hideMark/>
          </w:tcPr>
          <w:p w14:paraId="239B17B2" w14:textId="4597341C" w:rsidR="00BE5D6C" w:rsidRPr="00F749F0" w:rsidRDefault="00BE5D6C" w:rsidP="00BE5D6C">
            <w:pPr>
              <w:spacing w:line="240" w:lineRule="auto"/>
              <w:ind w:firstLine="0"/>
              <w:jc w:val="center"/>
              <w:rPr>
                <w:rFonts w:cs="Times New Roman"/>
                <w:sz w:val="20"/>
                <w:szCs w:val="20"/>
                <w:lang w:val="en-US"/>
              </w:rPr>
            </w:pPr>
            <w:r>
              <w:rPr>
                <w:sz w:val="20"/>
                <w:szCs w:val="20"/>
              </w:rPr>
              <w:t>314.6</w:t>
            </w:r>
          </w:p>
        </w:tc>
        <w:tc>
          <w:tcPr>
            <w:tcW w:w="1327" w:type="dxa"/>
            <w:tcBorders>
              <w:top w:val="nil"/>
              <w:left w:val="nil"/>
              <w:bottom w:val="single" w:sz="8" w:space="0" w:color="auto"/>
              <w:right w:val="nil"/>
            </w:tcBorders>
            <w:shd w:val="clear" w:color="auto" w:fill="auto"/>
            <w:vAlign w:val="center"/>
            <w:hideMark/>
          </w:tcPr>
          <w:p w14:paraId="0FE8DF7C" w14:textId="067C1349" w:rsidR="00BE5D6C" w:rsidRPr="00F749F0" w:rsidRDefault="00BE5D6C" w:rsidP="00BE5D6C">
            <w:pPr>
              <w:spacing w:line="240" w:lineRule="auto"/>
              <w:ind w:firstLine="0"/>
              <w:jc w:val="center"/>
              <w:rPr>
                <w:rFonts w:cs="Times New Roman"/>
                <w:sz w:val="20"/>
                <w:szCs w:val="20"/>
                <w:lang w:val="en-US"/>
              </w:rPr>
            </w:pPr>
            <w:r>
              <w:rPr>
                <w:sz w:val="20"/>
                <w:szCs w:val="20"/>
              </w:rPr>
              <w:t>338.4</w:t>
            </w:r>
          </w:p>
        </w:tc>
      </w:tr>
      <w:tr w:rsidR="00BE5D6C" w:rsidRPr="00F749F0" w14:paraId="7101D801" w14:textId="77777777" w:rsidTr="00D74C37">
        <w:trPr>
          <w:trHeight w:val="345"/>
        </w:trPr>
        <w:tc>
          <w:tcPr>
            <w:tcW w:w="3420" w:type="dxa"/>
            <w:tcBorders>
              <w:top w:val="nil"/>
              <w:left w:val="nil"/>
              <w:bottom w:val="single" w:sz="8" w:space="0" w:color="auto"/>
              <w:right w:val="nil"/>
            </w:tcBorders>
            <w:shd w:val="clear" w:color="auto" w:fill="auto"/>
            <w:hideMark/>
          </w:tcPr>
          <w:p w14:paraId="64FBAD1C" w14:textId="3113DA73" w:rsidR="00BE5D6C" w:rsidRPr="00F749F0" w:rsidRDefault="00BE5D6C" w:rsidP="00BE5D6C">
            <w:pPr>
              <w:spacing w:line="240" w:lineRule="auto"/>
              <w:ind w:firstLineChars="300" w:firstLine="660"/>
              <w:jc w:val="left"/>
              <w:rPr>
                <w:rFonts w:cs="Times New Roman"/>
                <w:lang w:val="en-US"/>
              </w:rPr>
            </w:pPr>
            <w:r w:rsidRPr="005A68E6">
              <w:rPr>
                <w:rFonts w:cs="Calibri Light"/>
              </w:rPr>
              <w:t>Redemption</w:t>
            </w:r>
          </w:p>
        </w:tc>
        <w:tc>
          <w:tcPr>
            <w:tcW w:w="944" w:type="dxa"/>
            <w:tcBorders>
              <w:top w:val="nil"/>
              <w:left w:val="nil"/>
              <w:bottom w:val="single" w:sz="8" w:space="0" w:color="auto"/>
              <w:right w:val="nil"/>
            </w:tcBorders>
            <w:shd w:val="clear" w:color="auto" w:fill="auto"/>
            <w:vAlign w:val="center"/>
            <w:hideMark/>
          </w:tcPr>
          <w:p w14:paraId="262CF5CC" w14:textId="556153CE" w:rsidR="00BE5D6C" w:rsidRPr="00F749F0" w:rsidRDefault="00BE5D6C" w:rsidP="00BE5D6C">
            <w:pPr>
              <w:spacing w:line="240" w:lineRule="auto"/>
              <w:ind w:firstLine="0"/>
              <w:jc w:val="center"/>
              <w:rPr>
                <w:rFonts w:cs="Times New Roman"/>
                <w:sz w:val="20"/>
                <w:szCs w:val="20"/>
                <w:lang w:val="en-US"/>
              </w:rPr>
            </w:pPr>
            <w:r>
              <w:rPr>
                <w:sz w:val="20"/>
                <w:szCs w:val="20"/>
              </w:rPr>
              <w:t>285.2</w:t>
            </w:r>
          </w:p>
        </w:tc>
        <w:tc>
          <w:tcPr>
            <w:tcW w:w="1391" w:type="dxa"/>
            <w:tcBorders>
              <w:top w:val="nil"/>
              <w:left w:val="nil"/>
              <w:bottom w:val="single" w:sz="8" w:space="0" w:color="auto"/>
              <w:right w:val="double" w:sz="6" w:space="0" w:color="auto"/>
            </w:tcBorders>
            <w:shd w:val="clear" w:color="auto" w:fill="auto"/>
            <w:vAlign w:val="center"/>
            <w:hideMark/>
          </w:tcPr>
          <w:p w14:paraId="25DE58CB" w14:textId="49BEADDD" w:rsidR="00BE5D6C" w:rsidRPr="00F749F0" w:rsidRDefault="00BE5D6C" w:rsidP="00BE5D6C">
            <w:pPr>
              <w:spacing w:line="240" w:lineRule="auto"/>
              <w:ind w:firstLine="0"/>
              <w:jc w:val="center"/>
              <w:rPr>
                <w:rFonts w:cs="Times New Roman"/>
                <w:sz w:val="20"/>
                <w:szCs w:val="20"/>
                <w:lang w:val="en-US"/>
              </w:rPr>
            </w:pPr>
            <w:r>
              <w:rPr>
                <w:sz w:val="20"/>
                <w:szCs w:val="20"/>
              </w:rPr>
              <w:t>408.5</w:t>
            </w:r>
          </w:p>
        </w:tc>
        <w:tc>
          <w:tcPr>
            <w:tcW w:w="975" w:type="dxa"/>
            <w:tcBorders>
              <w:top w:val="nil"/>
              <w:left w:val="nil"/>
              <w:bottom w:val="single" w:sz="8" w:space="0" w:color="auto"/>
              <w:right w:val="nil"/>
            </w:tcBorders>
            <w:shd w:val="clear" w:color="auto" w:fill="auto"/>
            <w:vAlign w:val="center"/>
            <w:hideMark/>
          </w:tcPr>
          <w:p w14:paraId="5E013ABD" w14:textId="0B0F60CE" w:rsidR="00BE5D6C" w:rsidRPr="00F749F0" w:rsidRDefault="00BE5D6C" w:rsidP="00BE5D6C">
            <w:pPr>
              <w:spacing w:line="240" w:lineRule="auto"/>
              <w:ind w:firstLine="0"/>
              <w:jc w:val="center"/>
              <w:rPr>
                <w:rFonts w:cs="Times New Roman"/>
                <w:sz w:val="20"/>
                <w:szCs w:val="20"/>
                <w:lang w:val="en-US"/>
              </w:rPr>
            </w:pPr>
            <w:r>
              <w:rPr>
                <w:sz w:val="20"/>
                <w:szCs w:val="20"/>
              </w:rPr>
              <w:t>408.5</w:t>
            </w:r>
          </w:p>
        </w:tc>
        <w:tc>
          <w:tcPr>
            <w:tcW w:w="984" w:type="dxa"/>
            <w:tcBorders>
              <w:top w:val="nil"/>
              <w:left w:val="nil"/>
              <w:bottom w:val="single" w:sz="8" w:space="0" w:color="auto"/>
              <w:right w:val="nil"/>
            </w:tcBorders>
            <w:shd w:val="clear" w:color="auto" w:fill="auto"/>
            <w:vAlign w:val="center"/>
            <w:hideMark/>
          </w:tcPr>
          <w:p w14:paraId="70373A13" w14:textId="18B3CDF2" w:rsidR="00BE5D6C" w:rsidRPr="00F749F0" w:rsidRDefault="00BE5D6C" w:rsidP="00BE5D6C">
            <w:pPr>
              <w:spacing w:line="240" w:lineRule="auto"/>
              <w:ind w:firstLine="0"/>
              <w:jc w:val="center"/>
              <w:rPr>
                <w:rFonts w:cs="Times New Roman"/>
                <w:sz w:val="20"/>
                <w:szCs w:val="20"/>
                <w:lang w:val="en-US"/>
              </w:rPr>
            </w:pPr>
            <w:r>
              <w:rPr>
                <w:sz w:val="20"/>
                <w:szCs w:val="20"/>
              </w:rPr>
              <w:t>443.9</w:t>
            </w:r>
          </w:p>
        </w:tc>
        <w:tc>
          <w:tcPr>
            <w:tcW w:w="975" w:type="dxa"/>
            <w:tcBorders>
              <w:top w:val="nil"/>
              <w:left w:val="nil"/>
              <w:bottom w:val="single" w:sz="8" w:space="0" w:color="auto"/>
              <w:right w:val="nil"/>
            </w:tcBorders>
            <w:shd w:val="clear" w:color="auto" w:fill="auto"/>
            <w:vAlign w:val="center"/>
            <w:hideMark/>
          </w:tcPr>
          <w:p w14:paraId="11BBEDCE" w14:textId="5A8F95E8" w:rsidR="00BE5D6C" w:rsidRPr="00F749F0" w:rsidRDefault="00BE5D6C" w:rsidP="00BE5D6C">
            <w:pPr>
              <w:spacing w:line="240" w:lineRule="auto"/>
              <w:ind w:firstLine="0"/>
              <w:jc w:val="center"/>
              <w:rPr>
                <w:rFonts w:cs="Times New Roman"/>
                <w:sz w:val="20"/>
                <w:szCs w:val="20"/>
                <w:lang w:val="en-US"/>
              </w:rPr>
            </w:pPr>
            <w:r>
              <w:rPr>
                <w:sz w:val="20"/>
                <w:szCs w:val="20"/>
              </w:rPr>
              <w:t>495.3</w:t>
            </w:r>
          </w:p>
        </w:tc>
        <w:tc>
          <w:tcPr>
            <w:tcW w:w="1327" w:type="dxa"/>
            <w:tcBorders>
              <w:top w:val="nil"/>
              <w:left w:val="nil"/>
              <w:bottom w:val="single" w:sz="8" w:space="0" w:color="auto"/>
              <w:right w:val="nil"/>
            </w:tcBorders>
            <w:shd w:val="clear" w:color="auto" w:fill="auto"/>
            <w:vAlign w:val="center"/>
            <w:hideMark/>
          </w:tcPr>
          <w:p w14:paraId="719EB7E6" w14:textId="5782AC69" w:rsidR="00BE5D6C" w:rsidRPr="00F749F0" w:rsidRDefault="00BE5D6C" w:rsidP="00BE5D6C">
            <w:pPr>
              <w:spacing w:line="240" w:lineRule="auto"/>
              <w:ind w:firstLine="0"/>
              <w:jc w:val="center"/>
              <w:rPr>
                <w:rFonts w:cs="Times New Roman"/>
                <w:sz w:val="20"/>
                <w:szCs w:val="20"/>
                <w:lang w:val="en-US"/>
              </w:rPr>
            </w:pPr>
            <w:r>
              <w:rPr>
                <w:sz w:val="20"/>
                <w:szCs w:val="20"/>
              </w:rPr>
              <w:t>523.4</w:t>
            </w:r>
          </w:p>
        </w:tc>
      </w:tr>
      <w:tr w:rsidR="00E22B7B" w:rsidRPr="00F749F0" w14:paraId="2709041A" w14:textId="77777777" w:rsidTr="00BE5D6C">
        <w:trPr>
          <w:trHeight w:val="601"/>
        </w:trPr>
        <w:tc>
          <w:tcPr>
            <w:tcW w:w="3420" w:type="dxa"/>
            <w:tcBorders>
              <w:top w:val="nil"/>
              <w:left w:val="nil"/>
              <w:bottom w:val="single" w:sz="8" w:space="0" w:color="auto"/>
              <w:right w:val="nil"/>
            </w:tcBorders>
            <w:shd w:val="clear" w:color="auto" w:fill="auto"/>
            <w:vAlign w:val="center"/>
            <w:hideMark/>
          </w:tcPr>
          <w:p w14:paraId="6EC89C77" w14:textId="52538387" w:rsidR="00E22B7B" w:rsidRPr="00F749F0" w:rsidRDefault="00BE5D6C" w:rsidP="00E22B7B">
            <w:pPr>
              <w:spacing w:line="240" w:lineRule="auto"/>
              <w:ind w:firstLine="0"/>
              <w:jc w:val="left"/>
              <w:rPr>
                <w:rFonts w:cs="Times New Roman"/>
                <w:lang w:val="en-US"/>
              </w:rPr>
            </w:pPr>
            <w:r w:rsidRPr="005A68E6">
              <w:rPr>
                <w:rFonts w:cs="Calibri Light"/>
              </w:rPr>
              <w:t>Foreign currency Bonds</w:t>
            </w:r>
          </w:p>
        </w:tc>
        <w:tc>
          <w:tcPr>
            <w:tcW w:w="944" w:type="dxa"/>
            <w:tcBorders>
              <w:top w:val="nil"/>
              <w:left w:val="nil"/>
              <w:bottom w:val="single" w:sz="8" w:space="0" w:color="auto"/>
              <w:right w:val="nil"/>
            </w:tcBorders>
            <w:shd w:val="clear" w:color="auto" w:fill="auto"/>
            <w:vAlign w:val="center"/>
            <w:hideMark/>
          </w:tcPr>
          <w:p w14:paraId="2127760C" w14:textId="364A7695" w:rsidR="00E22B7B" w:rsidRPr="00F749F0" w:rsidRDefault="00E22B7B" w:rsidP="00E22B7B">
            <w:pPr>
              <w:spacing w:line="240" w:lineRule="auto"/>
              <w:ind w:firstLine="0"/>
              <w:jc w:val="center"/>
              <w:rPr>
                <w:rFonts w:cs="Times New Roman"/>
                <w:lang w:val="en-US"/>
              </w:rPr>
            </w:pPr>
            <w:r>
              <w:t>27.4</w:t>
            </w:r>
          </w:p>
        </w:tc>
        <w:tc>
          <w:tcPr>
            <w:tcW w:w="1391" w:type="dxa"/>
            <w:tcBorders>
              <w:top w:val="nil"/>
              <w:left w:val="nil"/>
              <w:bottom w:val="single" w:sz="8" w:space="0" w:color="auto"/>
              <w:right w:val="double" w:sz="6" w:space="0" w:color="auto"/>
            </w:tcBorders>
            <w:shd w:val="clear" w:color="auto" w:fill="auto"/>
            <w:vAlign w:val="center"/>
            <w:hideMark/>
          </w:tcPr>
          <w:p w14:paraId="01E864BC" w14:textId="4F53A7C5" w:rsidR="00E22B7B" w:rsidRPr="00F749F0" w:rsidRDefault="00E22B7B" w:rsidP="00E22B7B">
            <w:pPr>
              <w:spacing w:line="240" w:lineRule="auto"/>
              <w:ind w:firstLine="0"/>
              <w:jc w:val="center"/>
              <w:rPr>
                <w:rFonts w:cs="Times New Roman"/>
                <w:lang w:val="en-US"/>
              </w:rPr>
            </w:pPr>
            <w:r>
              <w:t>164.7</w:t>
            </w:r>
          </w:p>
        </w:tc>
        <w:tc>
          <w:tcPr>
            <w:tcW w:w="975" w:type="dxa"/>
            <w:tcBorders>
              <w:top w:val="nil"/>
              <w:left w:val="nil"/>
              <w:bottom w:val="single" w:sz="8" w:space="0" w:color="auto"/>
              <w:right w:val="nil"/>
            </w:tcBorders>
            <w:shd w:val="clear" w:color="auto" w:fill="auto"/>
            <w:vAlign w:val="center"/>
            <w:hideMark/>
          </w:tcPr>
          <w:p w14:paraId="4B6D2084" w14:textId="69B630E1" w:rsidR="00E22B7B" w:rsidRPr="00F749F0" w:rsidRDefault="00E22B7B" w:rsidP="00E22B7B">
            <w:pPr>
              <w:spacing w:line="240" w:lineRule="auto"/>
              <w:ind w:firstLine="0"/>
              <w:jc w:val="center"/>
              <w:rPr>
                <w:rFonts w:cs="Times New Roman"/>
                <w:lang w:val="en-US"/>
              </w:rPr>
            </w:pPr>
            <w:r>
              <w:t>155.8</w:t>
            </w:r>
          </w:p>
        </w:tc>
        <w:tc>
          <w:tcPr>
            <w:tcW w:w="984" w:type="dxa"/>
            <w:tcBorders>
              <w:top w:val="nil"/>
              <w:left w:val="nil"/>
              <w:bottom w:val="single" w:sz="8" w:space="0" w:color="auto"/>
              <w:right w:val="nil"/>
            </w:tcBorders>
            <w:shd w:val="clear" w:color="auto" w:fill="auto"/>
            <w:vAlign w:val="center"/>
            <w:hideMark/>
          </w:tcPr>
          <w:p w14:paraId="348545D7" w14:textId="39623628" w:rsidR="00E22B7B" w:rsidRPr="00F749F0" w:rsidRDefault="00E22B7B" w:rsidP="00E22B7B">
            <w:pPr>
              <w:spacing w:line="240" w:lineRule="auto"/>
              <w:ind w:firstLine="0"/>
              <w:jc w:val="center"/>
              <w:rPr>
                <w:rFonts w:cs="Times New Roman"/>
                <w:lang w:val="en-US"/>
              </w:rPr>
            </w:pPr>
            <w:r>
              <w:t>41.4</w:t>
            </w:r>
          </w:p>
        </w:tc>
        <w:tc>
          <w:tcPr>
            <w:tcW w:w="975" w:type="dxa"/>
            <w:tcBorders>
              <w:top w:val="nil"/>
              <w:left w:val="nil"/>
              <w:bottom w:val="single" w:sz="8" w:space="0" w:color="auto"/>
              <w:right w:val="nil"/>
            </w:tcBorders>
            <w:shd w:val="clear" w:color="auto" w:fill="auto"/>
            <w:vAlign w:val="center"/>
            <w:hideMark/>
          </w:tcPr>
          <w:p w14:paraId="77D52A6F" w14:textId="18179F83" w:rsidR="00E22B7B" w:rsidRPr="00F749F0" w:rsidRDefault="00E22B7B" w:rsidP="00E22B7B">
            <w:pPr>
              <w:spacing w:line="240" w:lineRule="auto"/>
              <w:ind w:firstLine="0"/>
              <w:jc w:val="center"/>
              <w:rPr>
                <w:rFonts w:cs="Times New Roman"/>
                <w:lang w:val="en-US"/>
              </w:rPr>
            </w:pPr>
            <w:r>
              <w:t>41.4</w:t>
            </w:r>
          </w:p>
        </w:tc>
        <w:tc>
          <w:tcPr>
            <w:tcW w:w="1327" w:type="dxa"/>
            <w:tcBorders>
              <w:top w:val="nil"/>
              <w:left w:val="nil"/>
              <w:bottom w:val="single" w:sz="8" w:space="0" w:color="auto"/>
              <w:right w:val="nil"/>
            </w:tcBorders>
            <w:shd w:val="clear" w:color="auto" w:fill="auto"/>
            <w:vAlign w:val="center"/>
            <w:hideMark/>
          </w:tcPr>
          <w:p w14:paraId="47C9E2A7" w14:textId="41017754" w:rsidR="00E22B7B" w:rsidRPr="00F749F0" w:rsidRDefault="00E22B7B" w:rsidP="00E22B7B">
            <w:pPr>
              <w:spacing w:line="240" w:lineRule="auto"/>
              <w:ind w:firstLine="0"/>
              <w:jc w:val="center"/>
              <w:rPr>
                <w:rFonts w:cs="Times New Roman"/>
                <w:lang w:val="en-US"/>
              </w:rPr>
            </w:pPr>
            <w:r>
              <w:t>41.4</w:t>
            </w:r>
          </w:p>
        </w:tc>
      </w:tr>
      <w:tr w:rsidR="00BE5D6C" w:rsidRPr="00F749F0" w14:paraId="11B2E64F" w14:textId="77777777" w:rsidTr="00D74C37">
        <w:trPr>
          <w:trHeight w:val="345"/>
        </w:trPr>
        <w:tc>
          <w:tcPr>
            <w:tcW w:w="3420" w:type="dxa"/>
            <w:tcBorders>
              <w:top w:val="nil"/>
              <w:left w:val="nil"/>
              <w:bottom w:val="single" w:sz="8" w:space="0" w:color="auto"/>
              <w:right w:val="nil"/>
            </w:tcBorders>
            <w:shd w:val="clear" w:color="auto" w:fill="auto"/>
            <w:hideMark/>
          </w:tcPr>
          <w:p w14:paraId="1FEF0E59" w14:textId="35D91DFD" w:rsidR="00BE5D6C" w:rsidRPr="00F749F0" w:rsidRDefault="00BE5D6C" w:rsidP="00BE5D6C">
            <w:pPr>
              <w:spacing w:line="240" w:lineRule="auto"/>
              <w:ind w:firstLineChars="300" w:firstLine="660"/>
              <w:jc w:val="left"/>
              <w:rPr>
                <w:rFonts w:cs="Times New Roman"/>
                <w:lang w:val="en-US"/>
              </w:rPr>
            </w:pPr>
            <w:r w:rsidRPr="005A68E6">
              <w:rPr>
                <w:rFonts w:cs="Calibri Light"/>
              </w:rPr>
              <w:t>Interest Payment</w:t>
            </w:r>
          </w:p>
        </w:tc>
        <w:tc>
          <w:tcPr>
            <w:tcW w:w="944" w:type="dxa"/>
            <w:tcBorders>
              <w:top w:val="nil"/>
              <w:left w:val="nil"/>
              <w:bottom w:val="single" w:sz="8" w:space="0" w:color="auto"/>
              <w:right w:val="nil"/>
            </w:tcBorders>
            <w:shd w:val="clear" w:color="auto" w:fill="auto"/>
            <w:vAlign w:val="center"/>
            <w:hideMark/>
          </w:tcPr>
          <w:p w14:paraId="310628F3" w14:textId="1FE2EBCA" w:rsidR="00BE5D6C" w:rsidRPr="00F749F0" w:rsidRDefault="00BE5D6C" w:rsidP="00BE5D6C">
            <w:pPr>
              <w:spacing w:line="240" w:lineRule="auto"/>
              <w:ind w:firstLine="0"/>
              <w:jc w:val="center"/>
              <w:rPr>
                <w:rFonts w:cs="Times New Roman"/>
                <w:sz w:val="20"/>
                <w:szCs w:val="20"/>
                <w:lang w:val="en-US"/>
              </w:rPr>
            </w:pPr>
            <w:r>
              <w:rPr>
                <w:sz w:val="20"/>
                <w:szCs w:val="20"/>
              </w:rPr>
              <w:t>27.4</w:t>
            </w:r>
          </w:p>
        </w:tc>
        <w:tc>
          <w:tcPr>
            <w:tcW w:w="1391" w:type="dxa"/>
            <w:tcBorders>
              <w:top w:val="nil"/>
              <w:left w:val="nil"/>
              <w:bottom w:val="single" w:sz="8" w:space="0" w:color="auto"/>
              <w:right w:val="double" w:sz="6" w:space="0" w:color="auto"/>
            </w:tcBorders>
            <w:shd w:val="clear" w:color="auto" w:fill="auto"/>
            <w:vAlign w:val="center"/>
            <w:hideMark/>
          </w:tcPr>
          <w:p w14:paraId="545DCA18" w14:textId="401566AA" w:rsidR="00BE5D6C" w:rsidRPr="00F749F0" w:rsidRDefault="00BE5D6C" w:rsidP="00BE5D6C">
            <w:pPr>
              <w:spacing w:line="240" w:lineRule="auto"/>
              <w:ind w:firstLine="0"/>
              <w:jc w:val="center"/>
              <w:rPr>
                <w:rFonts w:cs="Times New Roman"/>
                <w:sz w:val="20"/>
                <w:szCs w:val="20"/>
                <w:lang w:val="en-US"/>
              </w:rPr>
            </w:pPr>
            <w:r>
              <w:rPr>
                <w:sz w:val="20"/>
                <w:szCs w:val="20"/>
              </w:rPr>
              <w:t>32.4</w:t>
            </w:r>
          </w:p>
        </w:tc>
        <w:tc>
          <w:tcPr>
            <w:tcW w:w="975" w:type="dxa"/>
            <w:tcBorders>
              <w:top w:val="nil"/>
              <w:left w:val="nil"/>
              <w:bottom w:val="single" w:sz="8" w:space="0" w:color="auto"/>
              <w:right w:val="nil"/>
            </w:tcBorders>
            <w:shd w:val="clear" w:color="auto" w:fill="auto"/>
            <w:vAlign w:val="center"/>
            <w:hideMark/>
          </w:tcPr>
          <w:p w14:paraId="2D1ED010" w14:textId="5DCDCFA7" w:rsidR="00BE5D6C" w:rsidRPr="00F749F0" w:rsidRDefault="00BE5D6C" w:rsidP="00BE5D6C">
            <w:pPr>
              <w:spacing w:line="240" w:lineRule="auto"/>
              <w:ind w:firstLine="0"/>
              <w:jc w:val="center"/>
              <w:rPr>
                <w:rFonts w:cs="Times New Roman"/>
                <w:sz w:val="20"/>
                <w:szCs w:val="20"/>
                <w:lang w:val="en-US"/>
              </w:rPr>
            </w:pPr>
            <w:r>
              <w:rPr>
                <w:sz w:val="20"/>
                <w:szCs w:val="20"/>
              </w:rPr>
              <w:t>32.4</w:t>
            </w:r>
          </w:p>
        </w:tc>
        <w:tc>
          <w:tcPr>
            <w:tcW w:w="984" w:type="dxa"/>
            <w:tcBorders>
              <w:top w:val="nil"/>
              <w:left w:val="nil"/>
              <w:bottom w:val="single" w:sz="8" w:space="0" w:color="auto"/>
              <w:right w:val="nil"/>
            </w:tcBorders>
            <w:shd w:val="clear" w:color="auto" w:fill="auto"/>
            <w:vAlign w:val="center"/>
            <w:hideMark/>
          </w:tcPr>
          <w:p w14:paraId="1220CB62" w14:textId="2122AD2D" w:rsidR="00BE5D6C" w:rsidRPr="00F749F0" w:rsidRDefault="00BE5D6C" w:rsidP="00BE5D6C">
            <w:pPr>
              <w:spacing w:line="240" w:lineRule="auto"/>
              <w:ind w:firstLine="0"/>
              <w:jc w:val="center"/>
              <w:rPr>
                <w:rFonts w:cs="Times New Roman"/>
                <w:sz w:val="20"/>
                <w:szCs w:val="20"/>
                <w:lang w:val="en-US"/>
              </w:rPr>
            </w:pPr>
            <w:r>
              <w:rPr>
                <w:sz w:val="20"/>
                <w:szCs w:val="20"/>
              </w:rPr>
              <w:t>41.4</w:t>
            </w:r>
          </w:p>
        </w:tc>
        <w:tc>
          <w:tcPr>
            <w:tcW w:w="975" w:type="dxa"/>
            <w:tcBorders>
              <w:top w:val="nil"/>
              <w:left w:val="nil"/>
              <w:bottom w:val="single" w:sz="8" w:space="0" w:color="auto"/>
              <w:right w:val="nil"/>
            </w:tcBorders>
            <w:shd w:val="clear" w:color="auto" w:fill="auto"/>
            <w:vAlign w:val="center"/>
            <w:hideMark/>
          </w:tcPr>
          <w:p w14:paraId="0F2732B7" w14:textId="074577B0" w:rsidR="00BE5D6C" w:rsidRPr="00F749F0" w:rsidRDefault="00BE5D6C" w:rsidP="00BE5D6C">
            <w:pPr>
              <w:spacing w:line="240" w:lineRule="auto"/>
              <w:ind w:firstLine="0"/>
              <w:jc w:val="center"/>
              <w:rPr>
                <w:rFonts w:cs="Times New Roman"/>
                <w:sz w:val="20"/>
                <w:szCs w:val="20"/>
                <w:lang w:val="en-US"/>
              </w:rPr>
            </w:pPr>
            <w:r>
              <w:rPr>
                <w:sz w:val="20"/>
                <w:szCs w:val="20"/>
              </w:rPr>
              <w:t>41.4</w:t>
            </w:r>
          </w:p>
        </w:tc>
        <w:tc>
          <w:tcPr>
            <w:tcW w:w="1327" w:type="dxa"/>
            <w:tcBorders>
              <w:top w:val="nil"/>
              <w:left w:val="nil"/>
              <w:bottom w:val="single" w:sz="8" w:space="0" w:color="auto"/>
              <w:right w:val="nil"/>
            </w:tcBorders>
            <w:shd w:val="clear" w:color="auto" w:fill="auto"/>
            <w:vAlign w:val="center"/>
            <w:hideMark/>
          </w:tcPr>
          <w:p w14:paraId="6DD14E3A" w14:textId="0BB7137F" w:rsidR="00BE5D6C" w:rsidRPr="00F749F0" w:rsidRDefault="00BE5D6C" w:rsidP="00BE5D6C">
            <w:pPr>
              <w:spacing w:line="240" w:lineRule="auto"/>
              <w:ind w:firstLine="0"/>
              <w:jc w:val="center"/>
              <w:rPr>
                <w:rFonts w:cs="Times New Roman"/>
                <w:sz w:val="20"/>
                <w:szCs w:val="20"/>
                <w:lang w:val="en-US"/>
              </w:rPr>
            </w:pPr>
            <w:r>
              <w:rPr>
                <w:sz w:val="20"/>
                <w:szCs w:val="20"/>
              </w:rPr>
              <w:t>41.4</w:t>
            </w:r>
          </w:p>
        </w:tc>
      </w:tr>
      <w:tr w:rsidR="00BE5D6C" w:rsidRPr="00F749F0" w14:paraId="0A801D54" w14:textId="77777777" w:rsidTr="00D74C37">
        <w:trPr>
          <w:trHeight w:val="345"/>
        </w:trPr>
        <w:tc>
          <w:tcPr>
            <w:tcW w:w="3420" w:type="dxa"/>
            <w:tcBorders>
              <w:top w:val="nil"/>
              <w:left w:val="nil"/>
              <w:bottom w:val="double" w:sz="6" w:space="0" w:color="auto"/>
              <w:right w:val="nil"/>
            </w:tcBorders>
            <w:shd w:val="clear" w:color="auto" w:fill="auto"/>
            <w:hideMark/>
          </w:tcPr>
          <w:p w14:paraId="173A1315" w14:textId="3905EF0D" w:rsidR="00BE5D6C" w:rsidRPr="00F749F0" w:rsidRDefault="00BE5D6C" w:rsidP="00BE5D6C">
            <w:pPr>
              <w:spacing w:line="240" w:lineRule="auto"/>
              <w:ind w:firstLineChars="300" w:firstLine="660"/>
              <w:jc w:val="left"/>
              <w:rPr>
                <w:rFonts w:cs="Times New Roman"/>
                <w:lang w:val="en-US"/>
              </w:rPr>
            </w:pPr>
            <w:r w:rsidRPr="005A68E6">
              <w:rPr>
                <w:rFonts w:cs="Calibri Light"/>
              </w:rPr>
              <w:t>Redemption</w:t>
            </w:r>
          </w:p>
        </w:tc>
        <w:tc>
          <w:tcPr>
            <w:tcW w:w="944" w:type="dxa"/>
            <w:tcBorders>
              <w:top w:val="nil"/>
              <w:left w:val="nil"/>
              <w:bottom w:val="double" w:sz="6" w:space="0" w:color="auto"/>
              <w:right w:val="nil"/>
            </w:tcBorders>
            <w:shd w:val="clear" w:color="auto" w:fill="auto"/>
            <w:vAlign w:val="center"/>
            <w:hideMark/>
          </w:tcPr>
          <w:p w14:paraId="29FAD0D1" w14:textId="329A0513" w:rsidR="00BE5D6C" w:rsidRPr="00F749F0" w:rsidRDefault="00BE5D6C" w:rsidP="00BE5D6C">
            <w:pPr>
              <w:spacing w:line="240" w:lineRule="auto"/>
              <w:ind w:firstLine="0"/>
              <w:jc w:val="center"/>
              <w:rPr>
                <w:rFonts w:cs="Times New Roman"/>
                <w:sz w:val="20"/>
                <w:szCs w:val="20"/>
                <w:lang w:val="en-US"/>
              </w:rPr>
            </w:pPr>
            <w:r>
              <w:rPr>
                <w:sz w:val="20"/>
                <w:szCs w:val="20"/>
              </w:rPr>
              <w:t>-</w:t>
            </w:r>
          </w:p>
        </w:tc>
        <w:tc>
          <w:tcPr>
            <w:tcW w:w="1391" w:type="dxa"/>
            <w:tcBorders>
              <w:top w:val="nil"/>
              <w:left w:val="nil"/>
              <w:bottom w:val="double" w:sz="6" w:space="0" w:color="auto"/>
              <w:right w:val="double" w:sz="6" w:space="0" w:color="auto"/>
            </w:tcBorders>
            <w:shd w:val="clear" w:color="auto" w:fill="auto"/>
            <w:vAlign w:val="center"/>
            <w:hideMark/>
          </w:tcPr>
          <w:p w14:paraId="1629A0A5" w14:textId="6B8C93DF" w:rsidR="00BE5D6C" w:rsidRPr="00F749F0" w:rsidRDefault="00BE5D6C" w:rsidP="00BE5D6C">
            <w:pPr>
              <w:spacing w:line="240" w:lineRule="auto"/>
              <w:ind w:firstLine="0"/>
              <w:jc w:val="center"/>
              <w:rPr>
                <w:rFonts w:cs="Times New Roman"/>
                <w:sz w:val="20"/>
                <w:szCs w:val="20"/>
                <w:lang w:val="en-US"/>
              </w:rPr>
            </w:pPr>
            <w:r>
              <w:rPr>
                <w:sz w:val="20"/>
                <w:szCs w:val="20"/>
              </w:rPr>
              <w:t>132.3</w:t>
            </w:r>
          </w:p>
        </w:tc>
        <w:tc>
          <w:tcPr>
            <w:tcW w:w="975" w:type="dxa"/>
            <w:tcBorders>
              <w:top w:val="nil"/>
              <w:left w:val="nil"/>
              <w:bottom w:val="double" w:sz="6" w:space="0" w:color="auto"/>
              <w:right w:val="nil"/>
            </w:tcBorders>
            <w:shd w:val="clear" w:color="auto" w:fill="auto"/>
            <w:vAlign w:val="center"/>
            <w:hideMark/>
          </w:tcPr>
          <w:p w14:paraId="56048EB1" w14:textId="43D1AFB6" w:rsidR="00BE5D6C" w:rsidRPr="00F749F0" w:rsidRDefault="00BE5D6C" w:rsidP="00BE5D6C">
            <w:pPr>
              <w:spacing w:line="240" w:lineRule="auto"/>
              <w:ind w:firstLine="0"/>
              <w:jc w:val="center"/>
              <w:rPr>
                <w:rFonts w:cs="Times New Roman"/>
                <w:sz w:val="20"/>
                <w:szCs w:val="20"/>
                <w:lang w:val="en-US"/>
              </w:rPr>
            </w:pPr>
            <w:r>
              <w:rPr>
                <w:sz w:val="20"/>
                <w:szCs w:val="20"/>
              </w:rPr>
              <w:t>123.4</w:t>
            </w:r>
          </w:p>
        </w:tc>
        <w:tc>
          <w:tcPr>
            <w:tcW w:w="984" w:type="dxa"/>
            <w:tcBorders>
              <w:top w:val="nil"/>
              <w:left w:val="nil"/>
              <w:bottom w:val="double" w:sz="6" w:space="0" w:color="auto"/>
              <w:right w:val="nil"/>
            </w:tcBorders>
            <w:shd w:val="clear" w:color="auto" w:fill="auto"/>
            <w:vAlign w:val="center"/>
            <w:hideMark/>
          </w:tcPr>
          <w:p w14:paraId="07E2F159" w14:textId="0EAF7619" w:rsidR="00BE5D6C" w:rsidRPr="00F749F0" w:rsidRDefault="00BE5D6C" w:rsidP="00BE5D6C">
            <w:pPr>
              <w:spacing w:line="240" w:lineRule="auto"/>
              <w:ind w:firstLine="0"/>
              <w:jc w:val="center"/>
              <w:rPr>
                <w:rFonts w:cs="Times New Roman"/>
                <w:sz w:val="20"/>
                <w:szCs w:val="20"/>
                <w:lang w:val="en-US"/>
              </w:rPr>
            </w:pPr>
            <w:r>
              <w:rPr>
                <w:sz w:val="20"/>
                <w:szCs w:val="20"/>
              </w:rPr>
              <w:t>-</w:t>
            </w:r>
          </w:p>
        </w:tc>
        <w:tc>
          <w:tcPr>
            <w:tcW w:w="975" w:type="dxa"/>
            <w:tcBorders>
              <w:top w:val="nil"/>
              <w:left w:val="nil"/>
              <w:bottom w:val="double" w:sz="6" w:space="0" w:color="auto"/>
              <w:right w:val="nil"/>
            </w:tcBorders>
            <w:shd w:val="clear" w:color="auto" w:fill="auto"/>
            <w:vAlign w:val="center"/>
            <w:hideMark/>
          </w:tcPr>
          <w:p w14:paraId="28519D07" w14:textId="7E565F31" w:rsidR="00BE5D6C" w:rsidRPr="00F749F0" w:rsidRDefault="00BE5D6C" w:rsidP="00BE5D6C">
            <w:pPr>
              <w:spacing w:line="240" w:lineRule="auto"/>
              <w:ind w:firstLine="0"/>
              <w:jc w:val="center"/>
              <w:rPr>
                <w:rFonts w:cs="Times New Roman"/>
                <w:sz w:val="20"/>
                <w:szCs w:val="20"/>
                <w:lang w:val="en-US"/>
              </w:rPr>
            </w:pPr>
            <w:r>
              <w:rPr>
                <w:sz w:val="20"/>
                <w:szCs w:val="20"/>
              </w:rPr>
              <w:t>-</w:t>
            </w:r>
          </w:p>
        </w:tc>
        <w:tc>
          <w:tcPr>
            <w:tcW w:w="1327" w:type="dxa"/>
            <w:tcBorders>
              <w:top w:val="nil"/>
              <w:left w:val="nil"/>
              <w:bottom w:val="double" w:sz="6" w:space="0" w:color="auto"/>
              <w:right w:val="nil"/>
            </w:tcBorders>
            <w:shd w:val="clear" w:color="auto" w:fill="auto"/>
            <w:vAlign w:val="center"/>
            <w:hideMark/>
          </w:tcPr>
          <w:p w14:paraId="5E01EA23" w14:textId="4F743017" w:rsidR="00BE5D6C" w:rsidRPr="00F749F0" w:rsidRDefault="00BE5D6C" w:rsidP="00BE5D6C">
            <w:pPr>
              <w:spacing w:line="240" w:lineRule="auto"/>
              <w:ind w:firstLine="0"/>
              <w:jc w:val="center"/>
              <w:rPr>
                <w:rFonts w:cs="Times New Roman"/>
                <w:sz w:val="20"/>
                <w:szCs w:val="20"/>
                <w:lang w:val="en-US"/>
              </w:rPr>
            </w:pPr>
            <w:r>
              <w:rPr>
                <w:sz w:val="20"/>
                <w:szCs w:val="20"/>
              </w:rPr>
              <w:t>-</w:t>
            </w:r>
          </w:p>
        </w:tc>
      </w:tr>
    </w:tbl>
    <w:p w14:paraId="62AC9EFA" w14:textId="13FBBBE5" w:rsidR="006F4A30" w:rsidRPr="00025F30" w:rsidRDefault="00BE5D6C" w:rsidP="00025F30">
      <w:pPr>
        <w:tabs>
          <w:tab w:val="left" w:pos="2011"/>
        </w:tabs>
        <w:rPr>
          <w:sz w:val="16"/>
          <w:lang w:val="en-US"/>
        </w:rPr>
      </w:pPr>
      <w:r w:rsidRPr="005A68E6">
        <w:rPr>
          <w:sz w:val="16"/>
          <w:lang w:val="en-US"/>
        </w:rPr>
        <w:t>Source: RA MoF calculations and forecasts</w:t>
      </w:r>
    </w:p>
    <w:p w14:paraId="36A57003" w14:textId="3BFE1C20" w:rsidR="003C72E8" w:rsidRPr="0070296A" w:rsidRDefault="003C72E8" w:rsidP="00911A36">
      <w:r>
        <w:t xml:space="preserve">The RA Government manages refinancing risks </w:t>
      </w:r>
      <w:r w:rsidR="009C29F9">
        <w:t>through the use of</w:t>
      </w:r>
      <w:r w:rsidR="009C29F9">
        <w:rPr>
          <w:lang w:val="en-US"/>
        </w:rPr>
        <w:t xml:space="preserve"> </w:t>
      </w:r>
      <w:r>
        <w:t xml:space="preserve">debt and cash management instruments </w:t>
      </w:r>
      <w:r w:rsidRPr="005A68E6">
        <w:t xml:space="preserve">(buybacks, </w:t>
      </w:r>
      <w:r>
        <w:rPr>
          <w:lang w:val="en-US"/>
        </w:rPr>
        <w:t xml:space="preserve">switches, </w:t>
      </w:r>
      <w:r>
        <w:t>deposits with the Central Bank of Armenia</w:t>
      </w:r>
      <w:r w:rsidRPr="005A68E6">
        <w:t>, etc.)</w:t>
      </w:r>
      <w:r>
        <w:t>.</w:t>
      </w:r>
    </w:p>
    <w:p w14:paraId="6A335D34" w14:textId="77777777" w:rsidR="007F3C54" w:rsidRPr="00473661" w:rsidRDefault="007F3C54" w:rsidP="007F3C54">
      <w:pPr>
        <w:pStyle w:val="af8"/>
      </w:pPr>
      <w:r w:rsidRPr="00473661">
        <w:t xml:space="preserve">Interest rate risk </w:t>
      </w:r>
    </w:p>
    <w:p w14:paraId="5941EA7A" w14:textId="02294FF5" w:rsidR="00F7298C" w:rsidRPr="00B1068B" w:rsidRDefault="00F7298C" w:rsidP="00F7298C">
      <w:r w:rsidRPr="00F7298C">
        <w:t xml:space="preserve">Interest rate risks require significant attention, </w:t>
      </w:r>
      <w:r>
        <w:t xml:space="preserve">as the share of </w:t>
      </w:r>
      <w:r w:rsidRPr="005A68E6">
        <w:rPr>
          <w:lang w:val="en-US"/>
        </w:rPr>
        <w:t>market-based</w:t>
      </w:r>
      <w:r w:rsidRPr="005A68E6">
        <w:t xml:space="preserve"> borrowings </w:t>
      </w:r>
      <w:r>
        <w:t xml:space="preserve">continues to increase. The objective of interest rate risk management is to ensure a </w:t>
      </w:r>
      <w:r>
        <w:rPr>
          <w:lang w:val="en-US"/>
        </w:rPr>
        <w:t xml:space="preserve">government </w:t>
      </w:r>
      <w:r>
        <w:t>debt structure that minimizes the impact of interest rate fluctuations in financial markets on the projected level of interest payments. The interest rate risk indicators of the RA Government debt portfolio remain manageable over the forecast period.</w:t>
      </w:r>
    </w:p>
    <w:p w14:paraId="25692FFE" w14:textId="1F70D2C8" w:rsidR="00BA13A2" w:rsidRPr="0070296A" w:rsidRDefault="00A14F23" w:rsidP="00A72D84">
      <w:pPr>
        <w:spacing w:after="240"/>
      </w:pPr>
      <w:r>
        <w:t xml:space="preserve">The share of fixed interest rate debt is projected to reach 85.7% by the end of 2028. Maintaining this share within the benchmark range </w:t>
      </w:r>
      <w:r w:rsidR="000979D0" w:rsidRPr="000979D0">
        <w:t xml:space="preserve">will be facilitated by both </w:t>
      </w:r>
      <w:r w:rsidR="000979D0">
        <w:t xml:space="preserve">the </w:t>
      </w:r>
      <w:r w:rsidR="000979D0">
        <w:rPr>
          <w:lang w:val="en-US"/>
        </w:rPr>
        <w:t>placement</w:t>
      </w:r>
      <w:r w:rsidR="000979D0">
        <w:t xml:space="preserve"> of</w:t>
      </w:r>
      <w:r w:rsidR="000979D0" w:rsidRPr="000979D0">
        <w:t xml:space="preserve"> the fixed-interest state treasury bonds placed by the RA Government during the forecast period, as well as the attraction of fixed-interest external loans in parallel with a possible decrease in interest rates in external financial markets.</w:t>
      </w:r>
      <w:r>
        <w:t xml:space="preserve">  </w:t>
      </w:r>
      <w:r w:rsidR="000979D0">
        <w:rPr>
          <w:lang w:val="en-US"/>
        </w:rPr>
        <w:lastRenderedPageBreak/>
        <w:t>F</w:t>
      </w:r>
      <w:r w:rsidRPr="005A68E6">
        <w:rPr>
          <w:lang w:val="en-US"/>
        </w:rPr>
        <w:t>or</w:t>
      </w:r>
      <w:r w:rsidRPr="005A68E6">
        <w:t xml:space="preserve"> </w:t>
      </w:r>
      <w:r>
        <w:rPr>
          <w:lang w:val="en-US"/>
        </w:rPr>
        <w:t>the purpose of managing</w:t>
      </w:r>
      <w:r w:rsidRPr="005A68E6">
        <w:t xml:space="preserve"> interest rate risk</w:t>
      </w:r>
      <w:r>
        <w:t xml:space="preserve">, </w:t>
      </w:r>
      <w:r w:rsidR="000979D0">
        <w:t>if necessary,</w:t>
      </w:r>
      <w:r w:rsidR="000979D0">
        <w:rPr>
          <w:lang w:val="en-US"/>
        </w:rPr>
        <w:t xml:space="preserve"> </w:t>
      </w:r>
      <w:r>
        <w:t xml:space="preserve">the interest rates on floating-rate external loans </w:t>
      </w:r>
      <w:r>
        <w:rPr>
          <w:lang w:val="en-US"/>
        </w:rPr>
        <w:t>may</w:t>
      </w:r>
      <w:r>
        <w:t xml:space="preserve"> be converted to fixed rates</w:t>
      </w:r>
      <w:r>
        <w:rPr>
          <w:lang w:val="en-US"/>
        </w:rPr>
        <w:t xml:space="preserve"> </w:t>
      </w:r>
      <w:r>
        <w:t xml:space="preserve">in </w:t>
      </w:r>
      <w:r>
        <w:rPr>
          <w:lang w:val="en-US"/>
        </w:rPr>
        <w:t>accordance</w:t>
      </w:r>
      <w:r>
        <w:t xml:space="preserve"> with the procedures </w:t>
      </w:r>
      <w:r>
        <w:rPr>
          <w:lang w:val="en-US"/>
        </w:rPr>
        <w:t>established</w:t>
      </w:r>
      <w:r>
        <w:t xml:space="preserve"> by external creditors.</w:t>
      </w:r>
    </w:p>
    <w:p w14:paraId="349B7A05" w14:textId="28B9DA01" w:rsidR="000B3C32" w:rsidRDefault="00D74C37" w:rsidP="003A741D">
      <w:pPr>
        <w:pStyle w:val="af6"/>
        <w:numPr>
          <w:ilvl w:val="0"/>
          <w:numId w:val="18"/>
        </w:numPr>
        <w:spacing w:before="0" w:after="0"/>
        <w:ind w:left="1276" w:hanging="1276"/>
      </w:pPr>
      <w:r>
        <w:t>Share of fixed and floating</w:t>
      </w:r>
      <w:r w:rsidR="003A741D" w:rsidRPr="003A741D">
        <w:t xml:space="preserve"> interest</w:t>
      </w:r>
      <w:r w:rsidR="003A741D">
        <w:t xml:space="preserve"> rate loans in the structure of RA Government d</w:t>
      </w:r>
      <w:r>
        <w:t>ebt, 2024–2028</w:t>
      </w:r>
      <w:r w:rsidR="003A741D" w:rsidRPr="003A741D">
        <w:t xml:space="preserve"> (%)</w:t>
      </w:r>
    </w:p>
    <w:tbl>
      <w:tblPr>
        <w:tblW w:w="5000" w:type="pct"/>
        <w:tblLook w:val="04A0" w:firstRow="1" w:lastRow="0" w:firstColumn="1" w:lastColumn="0" w:noHBand="0" w:noVBand="1"/>
      </w:tblPr>
      <w:tblGrid>
        <w:gridCol w:w="4143"/>
        <w:gridCol w:w="1175"/>
        <w:gridCol w:w="1177"/>
        <w:gridCol w:w="1177"/>
        <w:gridCol w:w="1177"/>
        <w:gridCol w:w="1177"/>
      </w:tblGrid>
      <w:tr w:rsidR="003A741D" w:rsidRPr="000B3C32" w14:paraId="382CFF1C" w14:textId="77777777" w:rsidTr="00751510">
        <w:trPr>
          <w:trHeight w:val="302"/>
        </w:trPr>
        <w:tc>
          <w:tcPr>
            <w:tcW w:w="2066" w:type="pct"/>
            <w:vMerge w:val="restart"/>
            <w:tcBorders>
              <w:top w:val="double" w:sz="6" w:space="0" w:color="auto"/>
              <w:left w:val="nil"/>
              <w:bottom w:val="double" w:sz="6" w:space="0" w:color="000000"/>
              <w:right w:val="nil"/>
            </w:tcBorders>
            <w:shd w:val="clear" w:color="000000" w:fill="5B9BD5"/>
            <w:vAlign w:val="center"/>
            <w:hideMark/>
          </w:tcPr>
          <w:p w14:paraId="673B28DE" w14:textId="3343600C" w:rsidR="003A741D" w:rsidRPr="003A741D" w:rsidRDefault="003A741D" w:rsidP="003A741D">
            <w:pPr>
              <w:spacing w:line="240" w:lineRule="auto"/>
              <w:ind w:left="525" w:firstLine="0"/>
              <w:jc w:val="center"/>
              <w:rPr>
                <w:rFonts w:cs="Times New Roman"/>
              </w:rPr>
            </w:pPr>
          </w:p>
        </w:tc>
        <w:tc>
          <w:tcPr>
            <w:tcW w:w="586" w:type="pct"/>
            <w:vMerge w:val="restart"/>
            <w:tcBorders>
              <w:top w:val="double" w:sz="6" w:space="0" w:color="auto"/>
              <w:left w:val="nil"/>
              <w:bottom w:val="double" w:sz="6" w:space="0" w:color="000000"/>
              <w:right w:val="nil"/>
            </w:tcBorders>
            <w:shd w:val="clear" w:color="000000" w:fill="5B9BD5"/>
            <w:vAlign w:val="center"/>
            <w:hideMark/>
          </w:tcPr>
          <w:p w14:paraId="639BB6E5" w14:textId="3CCABEA9" w:rsidR="003A741D" w:rsidRPr="000B3C32" w:rsidRDefault="003A741D" w:rsidP="003A741D">
            <w:pPr>
              <w:spacing w:line="240" w:lineRule="auto"/>
              <w:ind w:firstLine="0"/>
              <w:jc w:val="center"/>
              <w:rPr>
                <w:rFonts w:cs="Times New Roman"/>
                <w:lang w:val="en-US"/>
              </w:rPr>
            </w:pPr>
            <w:r w:rsidRPr="000B3C32">
              <w:rPr>
                <w:rFonts w:cs="Times New Roman"/>
                <w:lang w:val="en-US"/>
              </w:rPr>
              <w:t xml:space="preserve">2024 </w:t>
            </w:r>
            <w:r>
              <w:rPr>
                <w:rFonts w:cs="Times New Roman"/>
                <w:lang w:val="en-US"/>
              </w:rPr>
              <w:t>actual</w:t>
            </w:r>
          </w:p>
        </w:tc>
        <w:tc>
          <w:tcPr>
            <w:tcW w:w="587" w:type="pct"/>
            <w:vMerge w:val="restart"/>
            <w:tcBorders>
              <w:top w:val="double" w:sz="6" w:space="0" w:color="auto"/>
              <w:left w:val="double" w:sz="6" w:space="0" w:color="auto"/>
              <w:bottom w:val="double" w:sz="6" w:space="0" w:color="000000"/>
              <w:right w:val="nil"/>
            </w:tcBorders>
            <w:shd w:val="clear" w:color="000000" w:fill="5B9BD5"/>
            <w:vAlign w:val="center"/>
            <w:hideMark/>
          </w:tcPr>
          <w:p w14:paraId="67C45EC2" w14:textId="5B31DA13" w:rsidR="003A741D" w:rsidRPr="000B3C32" w:rsidRDefault="003A741D" w:rsidP="003A741D">
            <w:pPr>
              <w:spacing w:line="240" w:lineRule="auto"/>
              <w:ind w:firstLine="0"/>
              <w:jc w:val="center"/>
              <w:rPr>
                <w:rFonts w:cs="Times New Roman"/>
                <w:lang w:val="en-US"/>
              </w:rPr>
            </w:pPr>
            <w:r w:rsidRPr="00F749F0">
              <w:rPr>
                <w:rFonts w:cs="Times New Roman"/>
                <w:lang w:val="en-US"/>
              </w:rPr>
              <w:t xml:space="preserve">2025 </w:t>
            </w:r>
            <w:r w:rsidRPr="005A68E6">
              <w:rPr>
                <w:lang w:val="en-US"/>
              </w:rPr>
              <w:t>forecast</w:t>
            </w:r>
          </w:p>
        </w:tc>
        <w:tc>
          <w:tcPr>
            <w:tcW w:w="587" w:type="pct"/>
            <w:vMerge w:val="restart"/>
            <w:tcBorders>
              <w:top w:val="double" w:sz="6" w:space="0" w:color="auto"/>
              <w:left w:val="nil"/>
              <w:bottom w:val="double" w:sz="6" w:space="0" w:color="000000"/>
              <w:right w:val="nil"/>
            </w:tcBorders>
            <w:shd w:val="clear" w:color="000000" w:fill="5B9BD5"/>
            <w:vAlign w:val="center"/>
            <w:hideMark/>
          </w:tcPr>
          <w:p w14:paraId="73742412" w14:textId="54CC02C3" w:rsidR="003A741D" w:rsidRPr="000B3C32" w:rsidRDefault="003A741D" w:rsidP="003A741D">
            <w:pPr>
              <w:spacing w:line="240" w:lineRule="auto"/>
              <w:ind w:firstLine="0"/>
              <w:jc w:val="center"/>
              <w:rPr>
                <w:rFonts w:cs="Times New Roman"/>
                <w:lang w:val="en-US"/>
              </w:rPr>
            </w:pPr>
            <w:r w:rsidRPr="00F749F0">
              <w:rPr>
                <w:rFonts w:cs="Times New Roman"/>
                <w:lang w:val="en-US"/>
              </w:rPr>
              <w:t xml:space="preserve">2026 </w:t>
            </w:r>
            <w:r w:rsidRPr="005A68E6">
              <w:rPr>
                <w:lang w:val="en-US"/>
              </w:rPr>
              <w:t>forecast</w:t>
            </w:r>
          </w:p>
        </w:tc>
        <w:tc>
          <w:tcPr>
            <w:tcW w:w="587" w:type="pct"/>
            <w:vMerge w:val="restart"/>
            <w:tcBorders>
              <w:top w:val="double" w:sz="6" w:space="0" w:color="auto"/>
              <w:left w:val="nil"/>
              <w:bottom w:val="double" w:sz="6" w:space="0" w:color="000000"/>
              <w:right w:val="nil"/>
            </w:tcBorders>
            <w:shd w:val="clear" w:color="000000" w:fill="5B9BD5"/>
            <w:vAlign w:val="center"/>
            <w:hideMark/>
          </w:tcPr>
          <w:p w14:paraId="4998C072" w14:textId="6686CF1B" w:rsidR="003A741D" w:rsidRPr="000B3C32" w:rsidRDefault="003A741D" w:rsidP="003A741D">
            <w:pPr>
              <w:spacing w:line="240" w:lineRule="auto"/>
              <w:ind w:firstLine="0"/>
              <w:jc w:val="center"/>
              <w:rPr>
                <w:rFonts w:cs="Times New Roman"/>
                <w:lang w:val="en-US"/>
              </w:rPr>
            </w:pPr>
            <w:r w:rsidRPr="00F749F0">
              <w:rPr>
                <w:rFonts w:cs="Times New Roman"/>
                <w:lang w:val="en-US"/>
              </w:rPr>
              <w:t xml:space="preserve">2027 </w:t>
            </w:r>
            <w:r w:rsidRPr="005A68E6">
              <w:rPr>
                <w:lang w:val="en-US"/>
              </w:rPr>
              <w:t>forecast</w:t>
            </w:r>
          </w:p>
        </w:tc>
        <w:tc>
          <w:tcPr>
            <w:tcW w:w="587" w:type="pct"/>
            <w:vMerge w:val="restart"/>
            <w:tcBorders>
              <w:top w:val="double" w:sz="6" w:space="0" w:color="auto"/>
              <w:left w:val="nil"/>
              <w:bottom w:val="double" w:sz="6" w:space="0" w:color="000000"/>
              <w:right w:val="nil"/>
            </w:tcBorders>
            <w:shd w:val="clear" w:color="000000" w:fill="5B9BD5"/>
            <w:vAlign w:val="center"/>
            <w:hideMark/>
          </w:tcPr>
          <w:p w14:paraId="041BC3A3" w14:textId="6E92B4B1" w:rsidR="003A741D" w:rsidRPr="000B3C32" w:rsidRDefault="003A741D" w:rsidP="003A741D">
            <w:pPr>
              <w:spacing w:line="240" w:lineRule="auto"/>
              <w:ind w:firstLine="0"/>
              <w:jc w:val="center"/>
              <w:rPr>
                <w:rFonts w:cs="Times New Roman"/>
                <w:lang w:val="en-US"/>
              </w:rPr>
            </w:pPr>
            <w:r w:rsidRPr="00F749F0">
              <w:rPr>
                <w:rFonts w:cs="Times New Roman"/>
                <w:lang w:val="en-US"/>
              </w:rPr>
              <w:t xml:space="preserve">2028 </w:t>
            </w:r>
            <w:r w:rsidRPr="005A68E6">
              <w:rPr>
                <w:lang w:val="en-US"/>
              </w:rPr>
              <w:t>forecast</w:t>
            </w:r>
          </w:p>
        </w:tc>
      </w:tr>
      <w:tr w:rsidR="000B3C32" w:rsidRPr="000B3C32" w14:paraId="0E9FFD51" w14:textId="77777777" w:rsidTr="00751510">
        <w:trPr>
          <w:trHeight w:val="615"/>
        </w:trPr>
        <w:tc>
          <w:tcPr>
            <w:tcW w:w="2066" w:type="pct"/>
            <w:vMerge/>
            <w:tcBorders>
              <w:top w:val="double" w:sz="6" w:space="0" w:color="auto"/>
              <w:left w:val="nil"/>
              <w:bottom w:val="double" w:sz="6" w:space="0" w:color="000000"/>
              <w:right w:val="nil"/>
            </w:tcBorders>
            <w:vAlign w:val="center"/>
            <w:hideMark/>
          </w:tcPr>
          <w:p w14:paraId="3143A62C" w14:textId="77777777" w:rsidR="000B3C32" w:rsidRPr="000B3C32" w:rsidRDefault="000B3C32" w:rsidP="00751510">
            <w:pPr>
              <w:spacing w:line="240" w:lineRule="auto"/>
              <w:ind w:firstLine="0"/>
              <w:jc w:val="center"/>
              <w:rPr>
                <w:rFonts w:cs="Times New Roman"/>
                <w:lang w:val="en-US"/>
              </w:rPr>
            </w:pPr>
          </w:p>
        </w:tc>
        <w:tc>
          <w:tcPr>
            <w:tcW w:w="586" w:type="pct"/>
            <w:vMerge/>
            <w:tcBorders>
              <w:top w:val="double" w:sz="6" w:space="0" w:color="auto"/>
              <w:left w:val="nil"/>
              <w:bottom w:val="double" w:sz="6" w:space="0" w:color="000000"/>
              <w:right w:val="nil"/>
            </w:tcBorders>
            <w:vAlign w:val="center"/>
            <w:hideMark/>
          </w:tcPr>
          <w:p w14:paraId="0B4AA707"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double" w:sz="6" w:space="0" w:color="auto"/>
              <w:bottom w:val="double" w:sz="6" w:space="0" w:color="000000"/>
              <w:right w:val="nil"/>
            </w:tcBorders>
            <w:vAlign w:val="center"/>
            <w:hideMark/>
          </w:tcPr>
          <w:p w14:paraId="49F65E21"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nil"/>
              <w:bottom w:val="double" w:sz="6" w:space="0" w:color="000000"/>
              <w:right w:val="nil"/>
            </w:tcBorders>
            <w:vAlign w:val="center"/>
            <w:hideMark/>
          </w:tcPr>
          <w:p w14:paraId="0B8606BC"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nil"/>
              <w:bottom w:val="double" w:sz="6" w:space="0" w:color="000000"/>
              <w:right w:val="nil"/>
            </w:tcBorders>
            <w:vAlign w:val="center"/>
            <w:hideMark/>
          </w:tcPr>
          <w:p w14:paraId="2FBD1F9B" w14:textId="77777777" w:rsidR="000B3C32" w:rsidRPr="000B3C32" w:rsidRDefault="000B3C32" w:rsidP="00751510">
            <w:pPr>
              <w:spacing w:line="240" w:lineRule="auto"/>
              <w:ind w:firstLine="0"/>
              <w:jc w:val="center"/>
              <w:rPr>
                <w:rFonts w:cs="Times New Roman"/>
                <w:lang w:val="en-US"/>
              </w:rPr>
            </w:pPr>
          </w:p>
        </w:tc>
        <w:tc>
          <w:tcPr>
            <w:tcW w:w="587" w:type="pct"/>
            <w:vMerge/>
            <w:tcBorders>
              <w:top w:val="double" w:sz="6" w:space="0" w:color="auto"/>
              <w:left w:val="nil"/>
              <w:bottom w:val="double" w:sz="6" w:space="0" w:color="000000"/>
              <w:right w:val="nil"/>
            </w:tcBorders>
            <w:vAlign w:val="center"/>
            <w:hideMark/>
          </w:tcPr>
          <w:p w14:paraId="057257D3" w14:textId="77777777" w:rsidR="000B3C32" w:rsidRPr="000B3C32" w:rsidRDefault="000B3C32" w:rsidP="00751510">
            <w:pPr>
              <w:spacing w:line="240" w:lineRule="auto"/>
              <w:ind w:firstLine="0"/>
              <w:jc w:val="center"/>
              <w:rPr>
                <w:rFonts w:cs="Times New Roman"/>
                <w:lang w:val="en-US"/>
              </w:rPr>
            </w:pPr>
          </w:p>
        </w:tc>
      </w:tr>
      <w:tr w:rsidR="00886C35" w:rsidRPr="000B3C32" w14:paraId="15F5B795" w14:textId="77777777" w:rsidTr="00751510">
        <w:trPr>
          <w:trHeight w:val="360"/>
        </w:trPr>
        <w:tc>
          <w:tcPr>
            <w:tcW w:w="2066" w:type="pct"/>
            <w:tcBorders>
              <w:top w:val="nil"/>
              <w:left w:val="nil"/>
              <w:bottom w:val="single" w:sz="8" w:space="0" w:color="auto"/>
              <w:right w:val="nil"/>
            </w:tcBorders>
            <w:shd w:val="clear" w:color="auto" w:fill="auto"/>
            <w:vAlign w:val="center"/>
            <w:hideMark/>
          </w:tcPr>
          <w:p w14:paraId="2AC5C0BA" w14:textId="4C2810B6" w:rsidR="00886C35" w:rsidRPr="000B3C32" w:rsidRDefault="00886C35" w:rsidP="00886C35">
            <w:pPr>
              <w:spacing w:line="240" w:lineRule="auto"/>
              <w:ind w:firstLine="0"/>
              <w:rPr>
                <w:rFonts w:cs="Times New Roman"/>
                <w:lang w:val="en-US"/>
              </w:rPr>
            </w:pPr>
            <w:r>
              <w:t xml:space="preserve">RA Government </w:t>
            </w:r>
            <w:r>
              <w:rPr>
                <w:lang w:val="en-US"/>
              </w:rPr>
              <w:t>D</w:t>
            </w:r>
            <w:r w:rsidRPr="005A68E6">
              <w:t>ebt</w:t>
            </w:r>
          </w:p>
        </w:tc>
        <w:tc>
          <w:tcPr>
            <w:tcW w:w="586" w:type="pct"/>
            <w:tcBorders>
              <w:top w:val="nil"/>
              <w:left w:val="nil"/>
              <w:bottom w:val="single" w:sz="8" w:space="0" w:color="auto"/>
              <w:right w:val="double" w:sz="6" w:space="0" w:color="auto"/>
            </w:tcBorders>
            <w:shd w:val="clear" w:color="auto" w:fill="auto"/>
            <w:vAlign w:val="center"/>
            <w:hideMark/>
          </w:tcPr>
          <w:p w14:paraId="7F7F712A"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5725510B"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4DA2E557"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7D452C58"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1C321D4"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r>
      <w:tr w:rsidR="00886C35" w:rsidRPr="000B3C32" w14:paraId="6F5678EB" w14:textId="77777777" w:rsidTr="00751510">
        <w:trPr>
          <w:trHeight w:val="345"/>
        </w:trPr>
        <w:tc>
          <w:tcPr>
            <w:tcW w:w="2066" w:type="pct"/>
            <w:tcBorders>
              <w:top w:val="nil"/>
              <w:left w:val="nil"/>
              <w:bottom w:val="single" w:sz="8" w:space="0" w:color="auto"/>
              <w:right w:val="nil"/>
            </w:tcBorders>
            <w:shd w:val="clear" w:color="auto" w:fill="auto"/>
            <w:vAlign w:val="center"/>
            <w:hideMark/>
          </w:tcPr>
          <w:p w14:paraId="0E908262" w14:textId="3A7E5461" w:rsidR="00886C35" w:rsidRPr="000B3C32" w:rsidRDefault="00886C35" w:rsidP="00886C35">
            <w:pPr>
              <w:spacing w:line="240" w:lineRule="auto"/>
              <w:ind w:firstLine="0"/>
              <w:jc w:val="center"/>
              <w:rPr>
                <w:rFonts w:cs="Times New Roman"/>
                <w:lang w:val="en-US"/>
              </w:rPr>
            </w:pPr>
            <w:r w:rsidRPr="005A68E6">
              <w:rPr>
                <w:lang w:val="en-US"/>
              </w:rPr>
              <w:t>of which:</w:t>
            </w:r>
          </w:p>
        </w:tc>
        <w:tc>
          <w:tcPr>
            <w:tcW w:w="586" w:type="pct"/>
            <w:tcBorders>
              <w:top w:val="nil"/>
              <w:left w:val="nil"/>
              <w:bottom w:val="single" w:sz="8" w:space="0" w:color="auto"/>
              <w:right w:val="double" w:sz="6" w:space="0" w:color="auto"/>
            </w:tcBorders>
            <w:shd w:val="clear" w:color="auto" w:fill="auto"/>
            <w:vAlign w:val="center"/>
            <w:hideMark/>
          </w:tcPr>
          <w:p w14:paraId="58E6A65E" w14:textId="51684737"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238949E7" w14:textId="2880F9C0"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64E4F004" w14:textId="76F9FC62"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3DD8C622" w14:textId="6F54404C"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4035E9C8" w14:textId="0E3397D4" w:rsidR="00886C35" w:rsidRPr="000B3C32" w:rsidRDefault="00886C35" w:rsidP="00886C35">
            <w:pPr>
              <w:spacing w:line="240" w:lineRule="auto"/>
              <w:ind w:firstLine="0"/>
              <w:jc w:val="center"/>
              <w:rPr>
                <w:rFonts w:cs="Times New Roman"/>
                <w:lang w:val="en-US"/>
              </w:rPr>
            </w:pPr>
          </w:p>
        </w:tc>
      </w:tr>
      <w:tr w:rsidR="00886C35" w:rsidRPr="000B3C32" w14:paraId="1BF84446" w14:textId="77777777" w:rsidTr="00886C35">
        <w:trPr>
          <w:trHeight w:val="421"/>
        </w:trPr>
        <w:tc>
          <w:tcPr>
            <w:tcW w:w="2066" w:type="pct"/>
            <w:tcBorders>
              <w:top w:val="nil"/>
              <w:left w:val="nil"/>
              <w:bottom w:val="single" w:sz="8" w:space="0" w:color="auto"/>
              <w:right w:val="nil"/>
            </w:tcBorders>
            <w:shd w:val="clear" w:color="auto" w:fill="auto"/>
            <w:vAlign w:val="center"/>
            <w:hideMark/>
          </w:tcPr>
          <w:p w14:paraId="6369B259" w14:textId="5F117CA8" w:rsidR="00886C35" w:rsidRPr="000B3C32" w:rsidRDefault="00886C35" w:rsidP="00886C35">
            <w:pPr>
              <w:spacing w:line="240" w:lineRule="auto"/>
              <w:ind w:firstLineChars="300" w:firstLine="660"/>
              <w:rPr>
                <w:rFonts w:cs="Times New Roman"/>
                <w:lang w:val="en-US"/>
              </w:rPr>
            </w:pPr>
            <w:r>
              <w:t>Fixed r</w:t>
            </w:r>
            <w:r w:rsidRPr="005A68E6">
              <w:t>ate</w:t>
            </w:r>
          </w:p>
        </w:tc>
        <w:tc>
          <w:tcPr>
            <w:tcW w:w="586" w:type="pct"/>
            <w:tcBorders>
              <w:top w:val="nil"/>
              <w:left w:val="nil"/>
              <w:bottom w:val="single" w:sz="8" w:space="0" w:color="auto"/>
              <w:right w:val="double" w:sz="6" w:space="0" w:color="auto"/>
            </w:tcBorders>
            <w:shd w:val="clear" w:color="auto" w:fill="auto"/>
            <w:vAlign w:val="center"/>
            <w:hideMark/>
          </w:tcPr>
          <w:p w14:paraId="68EBFE96"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84.4</w:t>
            </w:r>
          </w:p>
        </w:tc>
        <w:tc>
          <w:tcPr>
            <w:tcW w:w="587" w:type="pct"/>
            <w:tcBorders>
              <w:top w:val="nil"/>
              <w:left w:val="nil"/>
              <w:bottom w:val="single" w:sz="8" w:space="0" w:color="auto"/>
              <w:right w:val="nil"/>
            </w:tcBorders>
            <w:shd w:val="clear" w:color="auto" w:fill="auto"/>
            <w:vAlign w:val="center"/>
            <w:hideMark/>
          </w:tcPr>
          <w:p w14:paraId="40929CCE"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86.5</w:t>
            </w:r>
          </w:p>
        </w:tc>
        <w:tc>
          <w:tcPr>
            <w:tcW w:w="587" w:type="pct"/>
            <w:tcBorders>
              <w:top w:val="nil"/>
              <w:left w:val="nil"/>
              <w:bottom w:val="single" w:sz="8" w:space="0" w:color="auto"/>
              <w:right w:val="nil"/>
            </w:tcBorders>
            <w:shd w:val="clear" w:color="auto" w:fill="auto"/>
            <w:vAlign w:val="center"/>
            <w:hideMark/>
          </w:tcPr>
          <w:p w14:paraId="53965C48"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86.7</w:t>
            </w:r>
          </w:p>
        </w:tc>
        <w:tc>
          <w:tcPr>
            <w:tcW w:w="587" w:type="pct"/>
            <w:tcBorders>
              <w:top w:val="nil"/>
              <w:left w:val="nil"/>
              <w:bottom w:val="single" w:sz="8" w:space="0" w:color="auto"/>
              <w:right w:val="nil"/>
            </w:tcBorders>
            <w:shd w:val="clear" w:color="auto" w:fill="auto"/>
            <w:vAlign w:val="center"/>
            <w:hideMark/>
          </w:tcPr>
          <w:p w14:paraId="4A5F2101"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86.6</w:t>
            </w:r>
          </w:p>
        </w:tc>
        <w:tc>
          <w:tcPr>
            <w:tcW w:w="587" w:type="pct"/>
            <w:tcBorders>
              <w:top w:val="nil"/>
              <w:left w:val="nil"/>
              <w:bottom w:val="single" w:sz="8" w:space="0" w:color="auto"/>
              <w:right w:val="nil"/>
            </w:tcBorders>
            <w:shd w:val="clear" w:color="auto" w:fill="auto"/>
            <w:vAlign w:val="center"/>
            <w:hideMark/>
          </w:tcPr>
          <w:p w14:paraId="3E81FDF4" w14:textId="77777777" w:rsidR="00886C35" w:rsidRPr="000B3C32" w:rsidRDefault="00886C35" w:rsidP="00886C35">
            <w:pPr>
              <w:spacing w:line="240" w:lineRule="auto"/>
              <w:ind w:firstLine="0"/>
              <w:jc w:val="center"/>
              <w:rPr>
                <w:rFonts w:cs="Times New Roman"/>
                <w:lang w:val="en-US"/>
              </w:rPr>
            </w:pPr>
            <w:r w:rsidRPr="000B3C32">
              <w:rPr>
                <w:rFonts w:cs="Times New Roman"/>
              </w:rPr>
              <w:t>85.7</w:t>
            </w:r>
          </w:p>
        </w:tc>
      </w:tr>
      <w:tr w:rsidR="00886C35" w:rsidRPr="000B3C32" w14:paraId="3223DC1B" w14:textId="77777777" w:rsidTr="00886C35">
        <w:trPr>
          <w:trHeight w:val="421"/>
        </w:trPr>
        <w:tc>
          <w:tcPr>
            <w:tcW w:w="2066" w:type="pct"/>
            <w:tcBorders>
              <w:top w:val="nil"/>
              <w:left w:val="nil"/>
              <w:bottom w:val="single" w:sz="8" w:space="0" w:color="auto"/>
              <w:right w:val="nil"/>
            </w:tcBorders>
            <w:shd w:val="clear" w:color="auto" w:fill="auto"/>
            <w:vAlign w:val="center"/>
            <w:hideMark/>
          </w:tcPr>
          <w:p w14:paraId="1E5FE19C" w14:textId="2F1D1BB1" w:rsidR="00886C35" w:rsidRPr="000B3C32" w:rsidRDefault="00886C35" w:rsidP="00886C35">
            <w:pPr>
              <w:spacing w:line="240" w:lineRule="auto"/>
              <w:ind w:firstLineChars="300" w:firstLine="660"/>
              <w:rPr>
                <w:rFonts w:cs="Times New Roman"/>
                <w:lang w:val="en-US"/>
              </w:rPr>
            </w:pPr>
            <w:r>
              <w:t>Floating r</w:t>
            </w:r>
            <w:r w:rsidRPr="005A68E6">
              <w:t>ate</w:t>
            </w:r>
          </w:p>
        </w:tc>
        <w:tc>
          <w:tcPr>
            <w:tcW w:w="586" w:type="pct"/>
            <w:tcBorders>
              <w:top w:val="nil"/>
              <w:left w:val="nil"/>
              <w:bottom w:val="single" w:sz="8" w:space="0" w:color="auto"/>
              <w:right w:val="double" w:sz="6" w:space="0" w:color="auto"/>
            </w:tcBorders>
            <w:shd w:val="clear" w:color="auto" w:fill="auto"/>
            <w:vAlign w:val="center"/>
            <w:hideMark/>
          </w:tcPr>
          <w:p w14:paraId="5F5EEFA4"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15.6</w:t>
            </w:r>
          </w:p>
        </w:tc>
        <w:tc>
          <w:tcPr>
            <w:tcW w:w="587" w:type="pct"/>
            <w:tcBorders>
              <w:top w:val="nil"/>
              <w:left w:val="nil"/>
              <w:bottom w:val="single" w:sz="8" w:space="0" w:color="auto"/>
              <w:right w:val="nil"/>
            </w:tcBorders>
            <w:shd w:val="clear" w:color="auto" w:fill="auto"/>
            <w:vAlign w:val="center"/>
            <w:hideMark/>
          </w:tcPr>
          <w:p w14:paraId="581C5BD7" w14:textId="77777777" w:rsidR="00886C35" w:rsidRPr="000B3C32" w:rsidRDefault="00886C35" w:rsidP="00886C35">
            <w:pPr>
              <w:spacing w:line="240" w:lineRule="auto"/>
              <w:ind w:firstLine="0"/>
              <w:jc w:val="center"/>
              <w:rPr>
                <w:rFonts w:cs="Times New Roman"/>
                <w:lang w:val="en-US"/>
              </w:rPr>
            </w:pPr>
            <w:r w:rsidRPr="000B3C32">
              <w:rPr>
                <w:rFonts w:cs="Times New Roman"/>
              </w:rPr>
              <w:t>13.5</w:t>
            </w:r>
          </w:p>
        </w:tc>
        <w:tc>
          <w:tcPr>
            <w:tcW w:w="587" w:type="pct"/>
            <w:tcBorders>
              <w:top w:val="nil"/>
              <w:left w:val="nil"/>
              <w:bottom w:val="single" w:sz="8" w:space="0" w:color="auto"/>
              <w:right w:val="nil"/>
            </w:tcBorders>
            <w:shd w:val="clear" w:color="auto" w:fill="auto"/>
            <w:vAlign w:val="center"/>
            <w:hideMark/>
          </w:tcPr>
          <w:p w14:paraId="52FC2B35" w14:textId="77777777" w:rsidR="00886C35" w:rsidRPr="000B3C32" w:rsidRDefault="00886C35" w:rsidP="00886C35">
            <w:pPr>
              <w:spacing w:line="240" w:lineRule="auto"/>
              <w:ind w:firstLine="0"/>
              <w:jc w:val="center"/>
              <w:rPr>
                <w:rFonts w:cs="Times New Roman"/>
                <w:lang w:val="en-US"/>
              </w:rPr>
            </w:pPr>
            <w:r w:rsidRPr="000B3C32">
              <w:rPr>
                <w:rFonts w:cs="Times New Roman"/>
              </w:rPr>
              <w:t>13.3</w:t>
            </w:r>
          </w:p>
        </w:tc>
        <w:tc>
          <w:tcPr>
            <w:tcW w:w="587" w:type="pct"/>
            <w:tcBorders>
              <w:top w:val="nil"/>
              <w:left w:val="nil"/>
              <w:bottom w:val="single" w:sz="8" w:space="0" w:color="auto"/>
              <w:right w:val="nil"/>
            </w:tcBorders>
            <w:shd w:val="clear" w:color="auto" w:fill="auto"/>
            <w:vAlign w:val="center"/>
            <w:hideMark/>
          </w:tcPr>
          <w:p w14:paraId="2F1283DF" w14:textId="77777777" w:rsidR="00886C35" w:rsidRPr="000B3C32" w:rsidRDefault="00886C35" w:rsidP="00886C35">
            <w:pPr>
              <w:spacing w:line="240" w:lineRule="auto"/>
              <w:ind w:firstLine="0"/>
              <w:jc w:val="center"/>
              <w:rPr>
                <w:rFonts w:cs="Times New Roman"/>
                <w:lang w:val="en-US"/>
              </w:rPr>
            </w:pPr>
            <w:r w:rsidRPr="000B3C32">
              <w:rPr>
                <w:rFonts w:cs="Times New Roman"/>
              </w:rPr>
              <w:t>13.4</w:t>
            </w:r>
          </w:p>
        </w:tc>
        <w:tc>
          <w:tcPr>
            <w:tcW w:w="587" w:type="pct"/>
            <w:tcBorders>
              <w:top w:val="nil"/>
              <w:left w:val="nil"/>
              <w:bottom w:val="single" w:sz="8" w:space="0" w:color="auto"/>
              <w:right w:val="nil"/>
            </w:tcBorders>
            <w:shd w:val="clear" w:color="auto" w:fill="auto"/>
            <w:vAlign w:val="center"/>
            <w:hideMark/>
          </w:tcPr>
          <w:p w14:paraId="7459BFE6" w14:textId="77777777" w:rsidR="00886C35" w:rsidRPr="000B3C32" w:rsidRDefault="00886C35" w:rsidP="00886C35">
            <w:pPr>
              <w:spacing w:line="240" w:lineRule="auto"/>
              <w:ind w:firstLine="0"/>
              <w:jc w:val="center"/>
              <w:rPr>
                <w:rFonts w:cs="Times New Roman"/>
                <w:lang w:val="en-US"/>
              </w:rPr>
            </w:pPr>
            <w:r w:rsidRPr="000B3C32">
              <w:rPr>
                <w:rFonts w:cs="Times New Roman"/>
              </w:rPr>
              <w:t>14.3</w:t>
            </w:r>
          </w:p>
        </w:tc>
      </w:tr>
      <w:tr w:rsidR="000B3C32" w:rsidRPr="000B3C32" w14:paraId="3FDE364B" w14:textId="77777777" w:rsidTr="00886C35">
        <w:trPr>
          <w:trHeight w:val="439"/>
        </w:trPr>
        <w:tc>
          <w:tcPr>
            <w:tcW w:w="2066" w:type="pct"/>
            <w:tcBorders>
              <w:top w:val="nil"/>
              <w:left w:val="nil"/>
              <w:bottom w:val="single" w:sz="8" w:space="0" w:color="auto"/>
              <w:right w:val="nil"/>
            </w:tcBorders>
            <w:shd w:val="clear" w:color="auto" w:fill="auto"/>
            <w:vAlign w:val="center"/>
            <w:hideMark/>
          </w:tcPr>
          <w:p w14:paraId="24BFD3E6" w14:textId="5F99D52E" w:rsidR="000B3C32" w:rsidRPr="000B3C32" w:rsidRDefault="00886C35" w:rsidP="00886C35">
            <w:pPr>
              <w:spacing w:line="240" w:lineRule="auto"/>
              <w:ind w:firstLine="0"/>
              <w:rPr>
                <w:rFonts w:cs="Times New Roman"/>
                <w:lang w:val="en-US"/>
              </w:rPr>
            </w:pPr>
            <w:r w:rsidRPr="005A68E6">
              <w:t xml:space="preserve">RA Government </w:t>
            </w:r>
            <w:r w:rsidRPr="005A68E6">
              <w:rPr>
                <w:color w:val="000000"/>
              </w:rPr>
              <w:t>foreign currency</w:t>
            </w:r>
            <w:r w:rsidRPr="005A68E6">
              <w:rPr>
                <w:color w:val="000000"/>
                <w:lang w:val="en-US"/>
              </w:rPr>
              <w:t xml:space="preserve"> </w:t>
            </w:r>
            <w:r>
              <w:t>d</w:t>
            </w:r>
            <w:r w:rsidRPr="005A68E6">
              <w:t>ebt</w:t>
            </w:r>
          </w:p>
        </w:tc>
        <w:tc>
          <w:tcPr>
            <w:tcW w:w="586" w:type="pct"/>
            <w:tcBorders>
              <w:top w:val="nil"/>
              <w:left w:val="nil"/>
              <w:bottom w:val="single" w:sz="8" w:space="0" w:color="auto"/>
              <w:right w:val="double" w:sz="6" w:space="0" w:color="auto"/>
            </w:tcBorders>
            <w:shd w:val="clear" w:color="auto" w:fill="auto"/>
            <w:vAlign w:val="center"/>
            <w:hideMark/>
          </w:tcPr>
          <w:p w14:paraId="6E30DB18"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3521EEE"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0796A00"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CE45E2A"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4FFD34C4"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r>
      <w:tr w:rsidR="00886C35" w:rsidRPr="000B3C32" w14:paraId="3A41978B" w14:textId="77777777" w:rsidTr="00751510">
        <w:trPr>
          <w:trHeight w:val="345"/>
        </w:trPr>
        <w:tc>
          <w:tcPr>
            <w:tcW w:w="2066" w:type="pct"/>
            <w:tcBorders>
              <w:top w:val="nil"/>
              <w:left w:val="nil"/>
              <w:bottom w:val="single" w:sz="8" w:space="0" w:color="auto"/>
              <w:right w:val="nil"/>
            </w:tcBorders>
            <w:shd w:val="clear" w:color="auto" w:fill="auto"/>
            <w:vAlign w:val="center"/>
            <w:hideMark/>
          </w:tcPr>
          <w:p w14:paraId="4AD5B516" w14:textId="6B9BE670" w:rsidR="00886C35" w:rsidRPr="000B3C32" w:rsidRDefault="00886C35" w:rsidP="00886C35">
            <w:pPr>
              <w:spacing w:line="240" w:lineRule="auto"/>
              <w:ind w:firstLine="0"/>
              <w:jc w:val="center"/>
              <w:rPr>
                <w:rFonts w:cs="Times New Roman"/>
                <w:lang w:val="en-US"/>
              </w:rPr>
            </w:pPr>
            <w:r w:rsidRPr="005A68E6">
              <w:rPr>
                <w:lang w:val="en-US"/>
              </w:rPr>
              <w:t>of which:</w:t>
            </w:r>
          </w:p>
        </w:tc>
        <w:tc>
          <w:tcPr>
            <w:tcW w:w="586" w:type="pct"/>
            <w:tcBorders>
              <w:top w:val="nil"/>
              <w:left w:val="nil"/>
              <w:bottom w:val="single" w:sz="8" w:space="0" w:color="auto"/>
              <w:right w:val="double" w:sz="6" w:space="0" w:color="auto"/>
            </w:tcBorders>
            <w:shd w:val="clear" w:color="auto" w:fill="auto"/>
            <w:vAlign w:val="center"/>
            <w:hideMark/>
          </w:tcPr>
          <w:p w14:paraId="0390DEAB" w14:textId="6C544900"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67BAF925" w14:textId="78816C8C"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0AF4F509" w14:textId="182E3843"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7268FFA8" w14:textId="4031307E"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4124C25F" w14:textId="3A1E168F" w:rsidR="00886C35" w:rsidRPr="000B3C32" w:rsidRDefault="00886C35" w:rsidP="00886C35">
            <w:pPr>
              <w:spacing w:line="240" w:lineRule="auto"/>
              <w:ind w:firstLine="0"/>
              <w:jc w:val="center"/>
              <w:rPr>
                <w:rFonts w:cs="Times New Roman"/>
                <w:lang w:val="en-US"/>
              </w:rPr>
            </w:pPr>
          </w:p>
        </w:tc>
      </w:tr>
      <w:tr w:rsidR="00886C35" w:rsidRPr="000B3C32" w14:paraId="1259926F" w14:textId="77777777" w:rsidTr="00886C35">
        <w:trPr>
          <w:trHeight w:val="421"/>
        </w:trPr>
        <w:tc>
          <w:tcPr>
            <w:tcW w:w="2066" w:type="pct"/>
            <w:tcBorders>
              <w:top w:val="nil"/>
              <w:left w:val="nil"/>
              <w:bottom w:val="single" w:sz="8" w:space="0" w:color="auto"/>
              <w:right w:val="nil"/>
            </w:tcBorders>
            <w:shd w:val="clear" w:color="auto" w:fill="auto"/>
            <w:vAlign w:val="center"/>
            <w:hideMark/>
          </w:tcPr>
          <w:p w14:paraId="015F91F5" w14:textId="0D3D24BD" w:rsidR="00886C35" w:rsidRPr="000B3C32" w:rsidRDefault="00886C35" w:rsidP="00886C35">
            <w:pPr>
              <w:spacing w:line="240" w:lineRule="auto"/>
              <w:ind w:firstLineChars="300" w:firstLine="660"/>
              <w:rPr>
                <w:rFonts w:cs="Times New Roman"/>
                <w:lang w:val="en-US"/>
              </w:rPr>
            </w:pPr>
            <w:r>
              <w:t>Fixed r</w:t>
            </w:r>
            <w:r w:rsidRPr="005A68E6">
              <w:t>ate</w:t>
            </w:r>
          </w:p>
        </w:tc>
        <w:tc>
          <w:tcPr>
            <w:tcW w:w="586" w:type="pct"/>
            <w:tcBorders>
              <w:top w:val="nil"/>
              <w:left w:val="nil"/>
              <w:bottom w:val="single" w:sz="8" w:space="0" w:color="auto"/>
              <w:right w:val="double" w:sz="6" w:space="0" w:color="auto"/>
            </w:tcBorders>
            <w:shd w:val="clear" w:color="auto" w:fill="auto"/>
            <w:vAlign w:val="center"/>
            <w:hideMark/>
          </w:tcPr>
          <w:p w14:paraId="4A6F0B0B"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68.4</w:t>
            </w:r>
          </w:p>
        </w:tc>
        <w:tc>
          <w:tcPr>
            <w:tcW w:w="587" w:type="pct"/>
            <w:tcBorders>
              <w:top w:val="nil"/>
              <w:left w:val="nil"/>
              <w:bottom w:val="single" w:sz="8" w:space="0" w:color="auto"/>
              <w:right w:val="nil"/>
            </w:tcBorders>
            <w:shd w:val="clear" w:color="auto" w:fill="auto"/>
            <w:vAlign w:val="center"/>
            <w:hideMark/>
          </w:tcPr>
          <w:p w14:paraId="210770D4"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73.3</w:t>
            </w:r>
          </w:p>
        </w:tc>
        <w:tc>
          <w:tcPr>
            <w:tcW w:w="587" w:type="pct"/>
            <w:tcBorders>
              <w:top w:val="nil"/>
              <w:left w:val="nil"/>
              <w:bottom w:val="single" w:sz="8" w:space="0" w:color="auto"/>
              <w:right w:val="nil"/>
            </w:tcBorders>
            <w:shd w:val="clear" w:color="auto" w:fill="auto"/>
            <w:vAlign w:val="center"/>
            <w:hideMark/>
          </w:tcPr>
          <w:p w14:paraId="35802D10" w14:textId="77777777" w:rsidR="00886C35" w:rsidRPr="000B3C32" w:rsidRDefault="00886C35" w:rsidP="00886C35">
            <w:pPr>
              <w:spacing w:line="240" w:lineRule="auto"/>
              <w:ind w:firstLine="0"/>
              <w:jc w:val="center"/>
              <w:rPr>
                <w:rFonts w:cs="Times New Roman"/>
                <w:lang w:val="en-US"/>
              </w:rPr>
            </w:pPr>
            <w:r w:rsidRPr="000B3C32">
              <w:rPr>
                <w:rFonts w:cs="Times New Roman"/>
              </w:rPr>
              <w:t>73.7</w:t>
            </w:r>
          </w:p>
        </w:tc>
        <w:tc>
          <w:tcPr>
            <w:tcW w:w="587" w:type="pct"/>
            <w:tcBorders>
              <w:top w:val="nil"/>
              <w:left w:val="nil"/>
              <w:bottom w:val="single" w:sz="8" w:space="0" w:color="auto"/>
              <w:right w:val="nil"/>
            </w:tcBorders>
            <w:shd w:val="clear" w:color="auto" w:fill="auto"/>
            <w:vAlign w:val="center"/>
            <w:hideMark/>
          </w:tcPr>
          <w:p w14:paraId="114D938F" w14:textId="77777777" w:rsidR="00886C35" w:rsidRPr="000B3C32" w:rsidRDefault="00886C35" w:rsidP="00886C35">
            <w:pPr>
              <w:spacing w:line="240" w:lineRule="auto"/>
              <w:ind w:firstLine="0"/>
              <w:jc w:val="center"/>
              <w:rPr>
                <w:rFonts w:cs="Times New Roman"/>
                <w:lang w:val="en-US"/>
              </w:rPr>
            </w:pPr>
            <w:r w:rsidRPr="000B3C32">
              <w:rPr>
                <w:rFonts w:cs="Times New Roman"/>
              </w:rPr>
              <w:t>73.4</w:t>
            </w:r>
          </w:p>
        </w:tc>
        <w:tc>
          <w:tcPr>
            <w:tcW w:w="587" w:type="pct"/>
            <w:tcBorders>
              <w:top w:val="nil"/>
              <w:left w:val="nil"/>
              <w:bottom w:val="single" w:sz="8" w:space="0" w:color="auto"/>
              <w:right w:val="nil"/>
            </w:tcBorders>
            <w:shd w:val="clear" w:color="auto" w:fill="auto"/>
            <w:vAlign w:val="center"/>
            <w:hideMark/>
          </w:tcPr>
          <w:p w14:paraId="68229922" w14:textId="77777777" w:rsidR="00886C35" w:rsidRPr="000B3C32" w:rsidRDefault="00886C35" w:rsidP="00886C35">
            <w:pPr>
              <w:spacing w:line="240" w:lineRule="auto"/>
              <w:ind w:firstLine="0"/>
              <w:jc w:val="center"/>
              <w:rPr>
                <w:rFonts w:cs="Times New Roman"/>
                <w:lang w:val="en-US"/>
              </w:rPr>
            </w:pPr>
            <w:r w:rsidRPr="000B3C32">
              <w:rPr>
                <w:rFonts w:cs="Times New Roman"/>
              </w:rPr>
              <w:t>72.2</w:t>
            </w:r>
          </w:p>
        </w:tc>
      </w:tr>
      <w:tr w:rsidR="00886C35" w:rsidRPr="000B3C32" w14:paraId="68AFB5E4" w14:textId="77777777" w:rsidTr="00886C35">
        <w:trPr>
          <w:trHeight w:val="421"/>
        </w:trPr>
        <w:tc>
          <w:tcPr>
            <w:tcW w:w="2066" w:type="pct"/>
            <w:tcBorders>
              <w:top w:val="nil"/>
              <w:left w:val="nil"/>
              <w:bottom w:val="single" w:sz="8" w:space="0" w:color="auto"/>
              <w:right w:val="nil"/>
            </w:tcBorders>
            <w:shd w:val="clear" w:color="auto" w:fill="auto"/>
            <w:vAlign w:val="center"/>
            <w:hideMark/>
          </w:tcPr>
          <w:p w14:paraId="11536114" w14:textId="758955D7" w:rsidR="00886C35" w:rsidRPr="000B3C32" w:rsidRDefault="00886C35" w:rsidP="00886C35">
            <w:pPr>
              <w:spacing w:line="240" w:lineRule="auto"/>
              <w:ind w:firstLineChars="300" w:firstLine="660"/>
              <w:rPr>
                <w:rFonts w:cs="Times New Roman"/>
                <w:lang w:val="en-US"/>
              </w:rPr>
            </w:pPr>
            <w:r>
              <w:t>Floating r</w:t>
            </w:r>
            <w:r w:rsidRPr="005A68E6">
              <w:t>ate</w:t>
            </w:r>
          </w:p>
        </w:tc>
        <w:tc>
          <w:tcPr>
            <w:tcW w:w="586" w:type="pct"/>
            <w:tcBorders>
              <w:top w:val="nil"/>
              <w:left w:val="nil"/>
              <w:bottom w:val="single" w:sz="8" w:space="0" w:color="auto"/>
              <w:right w:val="double" w:sz="6" w:space="0" w:color="auto"/>
            </w:tcBorders>
            <w:shd w:val="clear" w:color="auto" w:fill="auto"/>
            <w:vAlign w:val="center"/>
            <w:hideMark/>
          </w:tcPr>
          <w:p w14:paraId="46BFEAF2" w14:textId="77777777" w:rsidR="00886C35" w:rsidRPr="000B3C32" w:rsidRDefault="00886C35" w:rsidP="00886C35">
            <w:pPr>
              <w:spacing w:line="240" w:lineRule="auto"/>
              <w:ind w:firstLine="0"/>
              <w:jc w:val="center"/>
              <w:rPr>
                <w:rFonts w:cs="Times New Roman"/>
                <w:lang w:val="en-US"/>
              </w:rPr>
            </w:pPr>
            <w:r w:rsidRPr="000B3C32">
              <w:rPr>
                <w:rFonts w:cs="Times New Roman"/>
                <w:lang w:val="en-US"/>
              </w:rPr>
              <w:t>31.6</w:t>
            </w:r>
          </w:p>
        </w:tc>
        <w:tc>
          <w:tcPr>
            <w:tcW w:w="587" w:type="pct"/>
            <w:tcBorders>
              <w:top w:val="nil"/>
              <w:left w:val="nil"/>
              <w:bottom w:val="single" w:sz="8" w:space="0" w:color="auto"/>
              <w:right w:val="nil"/>
            </w:tcBorders>
            <w:shd w:val="clear" w:color="auto" w:fill="auto"/>
            <w:vAlign w:val="center"/>
            <w:hideMark/>
          </w:tcPr>
          <w:p w14:paraId="4BA525F9" w14:textId="77777777" w:rsidR="00886C35" w:rsidRPr="000B3C32" w:rsidRDefault="00886C35" w:rsidP="00886C35">
            <w:pPr>
              <w:spacing w:line="240" w:lineRule="auto"/>
              <w:ind w:firstLine="0"/>
              <w:jc w:val="center"/>
              <w:rPr>
                <w:rFonts w:cs="Times New Roman"/>
                <w:lang w:val="en-US"/>
              </w:rPr>
            </w:pPr>
            <w:r w:rsidRPr="000B3C32">
              <w:rPr>
                <w:rFonts w:cs="Times New Roman"/>
              </w:rPr>
              <w:t>26.7</w:t>
            </w:r>
          </w:p>
        </w:tc>
        <w:tc>
          <w:tcPr>
            <w:tcW w:w="587" w:type="pct"/>
            <w:tcBorders>
              <w:top w:val="nil"/>
              <w:left w:val="nil"/>
              <w:bottom w:val="single" w:sz="8" w:space="0" w:color="auto"/>
              <w:right w:val="nil"/>
            </w:tcBorders>
            <w:shd w:val="clear" w:color="auto" w:fill="auto"/>
            <w:vAlign w:val="center"/>
            <w:hideMark/>
          </w:tcPr>
          <w:p w14:paraId="19AE960E" w14:textId="77777777" w:rsidR="00886C35" w:rsidRPr="000B3C32" w:rsidRDefault="00886C35" w:rsidP="00886C35">
            <w:pPr>
              <w:spacing w:line="240" w:lineRule="auto"/>
              <w:ind w:firstLine="0"/>
              <w:jc w:val="center"/>
              <w:rPr>
                <w:rFonts w:cs="Times New Roman"/>
                <w:lang w:val="en-US"/>
              </w:rPr>
            </w:pPr>
            <w:r w:rsidRPr="000B3C32">
              <w:rPr>
                <w:rFonts w:cs="Times New Roman"/>
              </w:rPr>
              <w:t>26.3</w:t>
            </w:r>
          </w:p>
        </w:tc>
        <w:tc>
          <w:tcPr>
            <w:tcW w:w="587" w:type="pct"/>
            <w:tcBorders>
              <w:top w:val="nil"/>
              <w:left w:val="nil"/>
              <w:bottom w:val="single" w:sz="8" w:space="0" w:color="auto"/>
              <w:right w:val="nil"/>
            </w:tcBorders>
            <w:shd w:val="clear" w:color="auto" w:fill="auto"/>
            <w:vAlign w:val="center"/>
            <w:hideMark/>
          </w:tcPr>
          <w:p w14:paraId="59BF4D55" w14:textId="77777777" w:rsidR="00886C35" w:rsidRPr="000B3C32" w:rsidRDefault="00886C35" w:rsidP="00886C35">
            <w:pPr>
              <w:spacing w:line="240" w:lineRule="auto"/>
              <w:ind w:firstLine="0"/>
              <w:jc w:val="center"/>
              <w:rPr>
                <w:rFonts w:cs="Times New Roman"/>
                <w:lang w:val="en-US"/>
              </w:rPr>
            </w:pPr>
            <w:r w:rsidRPr="000B3C32">
              <w:rPr>
                <w:rFonts w:cs="Times New Roman"/>
              </w:rPr>
              <w:t>26.6</w:t>
            </w:r>
          </w:p>
        </w:tc>
        <w:tc>
          <w:tcPr>
            <w:tcW w:w="587" w:type="pct"/>
            <w:tcBorders>
              <w:top w:val="nil"/>
              <w:left w:val="nil"/>
              <w:bottom w:val="single" w:sz="8" w:space="0" w:color="auto"/>
              <w:right w:val="nil"/>
            </w:tcBorders>
            <w:shd w:val="clear" w:color="auto" w:fill="auto"/>
            <w:vAlign w:val="center"/>
            <w:hideMark/>
          </w:tcPr>
          <w:p w14:paraId="1B06A334" w14:textId="77777777" w:rsidR="00886C35" w:rsidRPr="000B3C32" w:rsidRDefault="00886C35" w:rsidP="00886C35">
            <w:pPr>
              <w:spacing w:line="240" w:lineRule="auto"/>
              <w:ind w:firstLine="0"/>
              <w:jc w:val="center"/>
              <w:rPr>
                <w:rFonts w:cs="Times New Roman"/>
                <w:lang w:val="en-US"/>
              </w:rPr>
            </w:pPr>
            <w:r w:rsidRPr="000B3C32">
              <w:rPr>
                <w:rFonts w:cs="Times New Roman"/>
              </w:rPr>
              <w:t>27.8</w:t>
            </w:r>
          </w:p>
        </w:tc>
      </w:tr>
      <w:tr w:rsidR="000B3C32" w:rsidRPr="000B3C32" w14:paraId="770C1ADA" w14:textId="77777777" w:rsidTr="00886C35">
        <w:trPr>
          <w:trHeight w:val="439"/>
        </w:trPr>
        <w:tc>
          <w:tcPr>
            <w:tcW w:w="2066" w:type="pct"/>
            <w:tcBorders>
              <w:top w:val="nil"/>
              <w:left w:val="nil"/>
              <w:bottom w:val="single" w:sz="8" w:space="0" w:color="auto"/>
              <w:right w:val="nil"/>
            </w:tcBorders>
            <w:shd w:val="clear" w:color="auto" w:fill="auto"/>
            <w:vAlign w:val="center"/>
            <w:hideMark/>
          </w:tcPr>
          <w:p w14:paraId="37E1C7EA" w14:textId="48192EAF" w:rsidR="000B3C32" w:rsidRPr="000B3C32" w:rsidRDefault="00886C35" w:rsidP="00886C35">
            <w:pPr>
              <w:spacing w:line="240" w:lineRule="auto"/>
              <w:ind w:firstLine="0"/>
              <w:rPr>
                <w:rFonts w:cs="Times New Roman"/>
                <w:lang w:val="en-US"/>
              </w:rPr>
            </w:pPr>
            <w:r w:rsidRPr="005A68E6">
              <w:t xml:space="preserve">RA Government </w:t>
            </w:r>
            <w:r w:rsidRPr="005A68E6">
              <w:rPr>
                <w:lang w:val="en-US"/>
              </w:rPr>
              <w:t>local currency</w:t>
            </w:r>
            <w:r>
              <w:t xml:space="preserve"> d</w:t>
            </w:r>
            <w:r w:rsidRPr="005A68E6">
              <w:t>ebt</w:t>
            </w:r>
          </w:p>
        </w:tc>
        <w:tc>
          <w:tcPr>
            <w:tcW w:w="586" w:type="pct"/>
            <w:tcBorders>
              <w:top w:val="nil"/>
              <w:left w:val="nil"/>
              <w:bottom w:val="single" w:sz="8" w:space="0" w:color="auto"/>
              <w:right w:val="double" w:sz="6" w:space="0" w:color="auto"/>
            </w:tcBorders>
            <w:shd w:val="clear" w:color="auto" w:fill="auto"/>
            <w:vAlign w:val="center"/>
            <w:hideMark/>
          </w:tcPr>
          <w:p w14:paraId="6BBF3EE9"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2DD67DC"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2E6161A"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6FEA993E"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1605C966" w14:textId="77777777" w:rsidR="000B3C32" w:rsidRPr="000B3C32" w:rsidRDefault="000B3C32" w:rsidP="00751510">
            <w:pPr>
              <w:spacing w:line="240" w:lineRule="auto"/>
              <w:ind w:firstLine="0"/>
              <w:jc w:val="center"/>
              <w:rPr>
                <w:rFonts w:cs="Times New Roman"/>
                <w:lang w:val="en-US"/>
              </w:rPr>
            </w:pPr>
            <w:r w:rsidRPr="000B3C32">
              <w:rPr>
                <w:rFonts w:cs="Times New Roman"/>
              </w:rPr>
              <w:t>100</w:t>
            </w:r>
          </w:p>
        </w:tc>
      </w:tr>
      <w:tr w:rsidR="00886C35" w:rsidRPr="000B3C32" w14:paraId="79179591" w14:textId="77777777" w:rsidTr="00751510">
        <w:trPr>
          <w:trHeight w:val="345"/>
        </w:trPr>
        <w:tc>
          <w:tcPr>
            <w:tcW w:w="2066" w:type="pct"/>
            <w:tcBorders>
              <w:top w:val="nil"/>
              <w:left w:val="nil"/>
              <w:bottom w:val="single" w:sz="8" w:space="0" w:color="auto"/>
              <w:right w:val="nil"/>
            </w:tcBorders>
            <w:shd w:val="clear" w:color="auto" w:fill="auto"/>
            <w:vAlign w:val="center"/>
            <w:hideMark/>
          </w:tcPr>
          <w:p w14:paraId="266F245E" w14:textId="12F68FD7" w:rsidR="00886C35" w:rsidRPr="000B3C32" w:rsidRDefault="00886C35" w:rsidP="00886C35">
            <w:pPr>
              <w:spacing w:line="240" w:lineRule="auto"/>
              <w:ind w:firstLine="0"/>
              <w:jc w:val="center"/>
              <w:rPr>
                <w:rFonts w:cs="Times New Roman"/>
                <w:lang w:val="en-US"/>
              </w:rPr>
            </w:pPr>
            <w:r w:rsidRPr="005A68E6">
              <w:rPr>
                <w:lang w:val="en-US"/>
              </w:rPr>
              <w:t xml:space="preserve">        of which:</w:t>
            </w:r>
          </w:p>
        </w:tc>
        <w:tc>
          <w:tcPr>
            <w:tcW w:w="586" w:type="pct"/>
            <w:tcBorders>
              <w:top w:val="nil"/>
              <w:left w:val="nil"/>
              <w:bottom w:val="single" w:sz="8" w:space="0" w:color="auto"/>
              <w:right w:val="double" w:sz="6" w:space="0" w:color="auto"/>
            </w:tcBorders>
            <w:shd w:val="clear" w:color="auto" w:fill="auto"/>
            <w:vAlign w:val="center"/>
            <w:hideMark/>
          </w:tcPr>
          <w:p w14:paraId="10D2F7B4" w14:textId="2F543C0D"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087567CC" w14:textId="4D9078DE"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1B1BA174" w14:textId="3A79B4B1"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0E0D964B" w14:textId="6A15AE2F" w:rsidR="00886C35" w:rsidRPr="000B3C32" w:rsidRDefault="00886C35" w:rsidP="00886C35">
            <w:pPr>
              <w:spacing w:line="240" w:lineRule="auto"/>
              <w:ind w:firstLine="0"/>
              <w:jc w:val="center"/>
              <w:rPr>
                <w:rFonts w:cs="Times New Roman"/>
                <w:lang w:val="en-US"/>
              </w:rPr>
            </w:pPr>
          </w:p>
        </w:tc>
        <w:tc>
          <w:tcPr>
            <w:tcW w:w="587" w:type="pct"/>
            <w:tcBorders>
              <w:top w:val="nil"/>
              <w:left w:val="nil"/>
              <w:bottom w:val="single" w:sz="8" w:space="0" w:color="auto"/>
              <w:right w:val="nil"/>
            </w:tcBorders>
            <w:shd w:val="clear" w:color="auto" w:fill="auto"/>
            <w:vAlign w:val="center"/>
            <w:hideMark/>
          </w:tcPr>
          <w:p w14:paraId="3A4B62BC" w14:textId="5CC830A4" w:rsidR="00886C35" w:rsidRPr="000B3C32" w:rsidRDefault="00886C35" w:rsidP="00886C35">
            <w:pPr>
              <w:spacing w:line="240" w:lineRule="auto"/>
              <w:ind w:firstLine="0"/>
              <w:jc w:val="center"/>
              <w:rPr>
                <w:rFonts w:cs="Times New Roman"/>
                <w:lang w:val="en-US"/>
              </w:rPr>
            </w:pPr>
          </w:p>
        </w:tc>
      </w:tr>
      <w:tr w:rsidR="00886C35" w:rsidRPr="000B3C32" w14:paraId="1ED58BEB" w14:textId="77777777" w:rsidTr="00886C35">
        <w:trPr>
          <w:trHeight w:val="349"/>
        </w:trPr>
        <w:tc>
          <w:tcPr>
            <w:tcW w:w="2066" w:type="pct"/>
            <w:tcBorders>
              <w:top w:val="nil"/>
              <w:left w:val="nil"/>
              <w:bottom w:val="single" w:sz="8" w:space="0" w:color="auto"/>
              <w:right w:val="nil"/>
            </w:tcBorders>
            <w:shd w:val="clear" w:color="auto" w:fill="auto"/>
            <w:vAlign w:val="center"/>
            <w:hideMark/>
          </w:tcPr>
          <w:p w14:paraId="18D1E2A0" w14:textId="458A9D3E" w:rsidR="00886C35" w:rsidRPr="000B3C32" w:rsidRDefault="00886C35" w:rsidP="00886C35">
            <w:pPr>
              <w:spacing w:line="240" w:lineRule="auto"/>
              <w:ind w:firstLineChars="300" w:firstLine="660"/>
              <w:rPr>
                <w:rFonts w:cs="Times New Roman"/>
                <w:lang w:val="en-US"/>
              </w:rPr>
            </w:pPr>
            <w:r>
              <w:t>Fixed r</w:t>
            </w:r>
            <w:r w:rsidRPr="005A68E6">
              <w:t>ate</w:t>
            </w:r>
          </w:p>
        </w:tc>
        <w:tc>
          <w:tcPr>
            <w:tcW w:w="586" w:type="pct"/>
            <w:tcBorders>
              <w:top w:val="nil"/>
              <w:left w:val="nil"/>
              <w:bottom w:val="single" w:sz="8" w:space="0" w:color="auto"/>
              <w:right w:val="double" w:sz="6" w:space="0" w:color="auto"/>
            </w:tcBorders>
            <w:shd w:val="clear" w:color="auto" w:fill="auto"/>
            <w:vAlign w:val="center"/>
            <w:hideMark/>
          </w:tcPr>
          <w:p w14:paraId="46EFCCD8"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78926790"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39BEB23"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2F985FE1"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c>
          <w:tcPr>
            <w:tcW w:w="587" w:type="pct"/>
            <w:tcBorders>
              <w:top w:val="nil"/>
              <w:left w:val="nil"/>
              <w:bottom w:val="single" w:sz="8" w:space="0" w:color="auto"/>
              <w:right w:val="nil"/>
            </w:tcBorders>
            <w:shd w:val="clear" w:color="auto" w:fill="auto"/>
            <w:vAlign w:val="center"/>
            <w:hideMark/>
          </w:tcPr>
          <w:p w14:paraId="03A2FD21" w14:textId="77777777" w:rsidR="00886C35" w:rsidRPr="000B3C32" w:rsidRDefault="00886C35" w:rsidP="00886C35">
            <w:pPr>
              <w:spacing w:line="240" w:lineRule="auto"/>
              <w:ind w:firstLine="0"/>
              <w:jc w:val="center"/>
              <w:rPr>
                <w:rFonts w:cs="Times New Roman"/>
                <w:lang w:val="en-US"/>
              </w:rPr>
            </w:pPr>
            <w:r w:rsidRPr="000B3C32">
              <w:rPr>
                <w:rFonts w:cs="Times New Roman"/>
              </w:rPr>
              <w:t>100</w:t>
            </w:r>
          </w:p>
        </w:tc>
      </w:tr>
      <w:tr w:rsidR="00886C35" w:rsidRPr="000B3C32" w14:paraId="0C3BEADB" w14:textId="77777777" w:rsidTr="00886C35">
        <w:trPr>
          <w:trHeight w:val="421"/>
        </w:trPr>
        <w:tc>
          <w:tcPr>
            <w:tcW w:w="2066" w:type="pct"/>
            <w:tcBorders>
              <w:top w:val="nil"/>
              <w:left w:val="nil"/>
              <w:bottom w:val="double" w:sz="6" w:space="0" w:color="auto"/>
              <w:right w:val="nil"/>
            </w:tcBorders>
            <w:shd w:val="clear" w:color="auto" w:fill="auto"/>
            <w:vAlign w:val="center"/>
            <w:hideMark/>
          </w:tcPr>
          <w:p w14:paraId="0165814E" w14:textId="500DC581" w:rsidR="00886C35" w:rsidRPr="000B3C32" w:rsidRDefault="00886C35" w:rsidP="00886C35">
            <w:pPr>
              <w:spacing w:line="240" w:lineRule="auto"/>
              <w:ind w:firstLineChars="300" w:firstLine="660"/>
              <w:rPr>
                <w:rFonts w:cs="Times New Roman"/>
                <w:lang w:val="en-US"/>
              </w:rPr>
            </w:pPr>
            <w:r>
              <w:t>Floating r</w:t>
            </w:r>
            <w:r w:rsidRPr="005A68E6">
              <w:t>ate</w:t>
            </w:r>
          </w:p>
        </w:tc>
        <w:tc>
          <w:tcPr>
            <w:tcW w:w="586" w:type="pct"/>
            <w:tcBorders>
              <w:top w:val="nil"/>
              <w:left w:val="nil"/>
              <w:bottom w:val="double" w:sz="6" w:space="0" w:color="auto"/>
              <w:right w:val="double" w:sz="6" w:space="0" w:color="auto"/>
            </w:tcBorders>
            <w:shd w:val="clear" w:color="auto" w:fill="auto"/>
            <w:vAlign w:val="center"/>
            <w:hideMark/>
          </w:tcPr>
          <w:p w14:paraId="2E1E3307" w14:textId="77777777" w:rsidR="00886C35" w:rsidRPr="000B3C32" w:rsidRDefault="00886C35" w:rsidP="00886C35">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57985508" w14:textId="77777777" w:rsidR="00886C35" w:rsidRPr="000B3C32" w:rsidRDefault="00886C35" w:rsidP="00886C35">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0A02EFCF" w14:textId="77777777" w:rsidR="00886C35" w:rsidRPr="000B3C32" w:rsidRDefault="00886C35" w:rsidP="00886C35">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2DB6968A" w14:textId="77777777" w:rsidR="00886C35" w:rsidRPr="000B3C32" w:rsidRDefault="00886C35" w:rsidP="00886C35">
            <w:pPr>
              <w:spacing w:line="240" w:lineRule="auto"/>
              <w:ind w:firstLine="0"/>
              <w:jc w:val="center"/>
              <w:rPr>
                <w:rFonts w:cs="Times New Roman"/>
                <w:lang w:val="en-US"/>
              </w:rPr>
            </w:pPr>
            <w:r w:rsidRPr="000B3C32">
              <w:rPr>
                <w:rFonts w:cs="Times New Roman"/>
              </w:rPr>
              <w:t>0</w:t>
            </w:r>
          </w:p>
        </w:tc>
        <w:tc>
          <w:tcPr>
            <w:tcW w:w="587" w:type="pct"/>
            <w:tcBorders>
              <w:top w:val="nil"/>
              <w:left w:val="nil"/>
              <w:bottom w:val="double" w:sz="6" w:space="0" w:color="auto"/>
              <w:right w:val="nil"/>
            </w:tcBorders>
            <w:shd w:val="clear" w:color="auto" w:fill="auto"/>
            <w:vAlign w:val="center"/>
            <w:hideMark/>
          </w:tcPr>
          <w:p w14:paraId="50BA0AC4" w14:textId="77777777" w:rsidR="00886C35" w:rsidRPr="000B3C32" w:rsidRDefault="00886C35" w:rsidP="00886C35">
            <w:pPr>
              <w:spacing w:line="240" w:lineRule="auto"/>
              <w:ind w:firstLine="0"/>
              <w:jc w:val="center"/>
              <w:rPr>
                <w:rFonts w:cs="Times New Roman"/>
                <w:lang w:val="en-US"/>
              </w:rPr>
            </w:pPr>
            <w:r w:rsidRPr="000B3C32">
              <w:rPr>
                <w:rFonts w:cs="Times New Roman"/>
              </w:rPr>
              <w:t>0</w:t>
            </w:r>
          </w:p>
        </w:tc>
      </w:tr>
    </w:tbl>
    <w:p w14:paraId="19817418" w14:textId="77777777" w:rsidR="00886C35" w:rsidRPr="005A68E6" w:rsidRDefault="00886C35" w:rsidP="00886C35">
      <w:pPr>
        <w:rPr>
          <w:sz w:val="16"/>
          <w:lang w:val="en-US"/>
        </w:rPr>
      </w:pPr>
      <w:r w:rsidRPr="005A68E6">
        <w:rPr>
          <w:sz w:val="16"/>
          <w:lang w:val="en-US"/>
        </w:rPr>
        <w:t>Source: RA MoF calculations and forecasts</w:t>
      </w:r>
    </w:p>
    <w:p w14:paraId="6573B68B" w14:textId="18EA2FF0" w:rsidR="005416C6" w:rsidRPr="005416C6" w:rsidRDefault="005416C6" w:rsidP="005416C6">
      <w:r>
        <w:t xml:space="preserve">The average time to refixing of the RA Government debt is projected to reach 5.9 years by the end of the period, while the share </w:t>
      </w:r>
      <w:r w:rsidRPr="005416C6">
        <w:t xml:space="preserve">of </w:t>
      </w:r>
      <w:r>
        <w:rPr>
          <w:lang w:val="en-US"/>
        </w:rPr>
        <w:t xml:space="preserve">the </w:t>
      </w:r>
      <w:r>
        <w:t>RA Government debt refixing in one y</w:t>
      </w:r>
      <w:r w:rsidRPr="005416C6">
        <w:t xml:space="preserve">ear </w:t>
      </w:r>
      <w:r>
        <w:t>will amount to 26.2%.</w:t>
      </w:r>
    </w:p>
    <w:p w14:paraId="3808CF57" w14:textId="3368B63D" w:rsidR="002264FD" w:rsidRDefault="00E26D86" w:rsidP="00AD0801">
      <w:pPr>
        <w:pStyle w:val="af6"/>
        <w:numPr>
          <w:ilvl w:val="0"/>
          <w:numId w:val="18"/>
        </w:numPr>
        <w:ind w:left="1276" w:hanging="1276"/>
      </w:pPr>
      <w:r w:rsidRPr="00E26D86">
        <w:t xml:space="preserve">Interest rate risk indicators of the RA Government debt, </w:t>
      </w:r>
      <w:r>
        <w:t>2024-202</w:t>
      </w:r>
      <w:r w:rsidRPr="00E26D86">
        <w:t xml:space="preserve">8 </w:t>
      </w:r>
      <w:r w:rsidR="00025E2D" w:rsidRPr="0070296A">
        <w:t xml:space="preserve"> </w:t>
      </w:r>
    </w:p>
    <w:tbl>
      <w:tblPr>
        <w:tblW w:w="9270" w:type="dxa"/>
        <w:tblLook w:val="04A0" w:firstRow="1" w:lastRow="0" w:firstColumn="1" w:lastColumn="0" w:noHBand="0" w:noVBand="1"/>
      </w:tblPr>
      <w:tblGrid>
        <w:gridCol w:w="4244"/>
        <w:gridCol w:w="936"/>
        <w:gridCol w:w="975"/>
        <w:gridCol w:w="975"/>
        <w:gridCol w:w="975"/>
        <w:gridCol w:w="1165"/>
      </w:tblGrid>
      <w:tr w:rsidR="00E26D86" w:rsidRPr="004C39AC" w14:paraId="3A560DEB" w14:textId="77777777" w:rsidTr="00286DDA">
        <w:trPr>
          <w:trHeight w:val="345"/>
        </w:trPr>
        <w:tc>
          <w:tcPr>
            <w:tcW w:w="4244" w:type="dxa"/>
            <w:vMerge w:val="restart"/>
            <w:tcBorders>
              <w:top w:val="double" w:sz="6" w:space="0" w:color="auto"/>
              <w:left w:val="nil"/>
              <w:bottom w:val="double" w:sz="6" w:space="0" w:color="000000"/>
              <w:right w:val="nil"/>
            </w:tcBorders>
            <w:shd w:val="clear" w:color="000000" w:fill="5B9BD5"/>
            <w:vAlign w:val="center"/>
            <w:hideMark/>
          </w:tcPr>
          <w:p w14:paraId="0D6CD582" w14:textId="77777777" w:rsidR="00E26D86" w:rsidRPr="00607426" w:rsidRDefault="00E26D86" w:rsidP="00E26D86">
            <w:pPr>
              <w:spacing w:line="240" w:lineRule="auto"/>
              <w:ind w:firstLine="0"/>
              <w:jc w:val="center"/>
              <w:rPr>
                <w:rFonts w:cs="Times New Roman"/>
              </w:rPr>
            </w:pPr>
            <w:r w:rsidRPr="00607426">
              <w:rPr>
                <w:rFonts w:ascii="Calibri" w:hAnsi="Calibri" w:cs="Calibri"/>
              </w:rPr>
              <w:t> </w:t>
            </w:r>
          </w:p>
        </w:tc>
        <w:tc>
          <w:tcPr>
            <w:tcW w:w="936" w:type="dxa"/>
            <w:vMerge w:val="restart"/>
            <w:tcBorders>
              <w:top w:val="double" w:sz="6" w:space="0" w:color="auto"/>
              <w:left w:val="nil"/>
              <w:bottom w:val="double" w:sz="6" w:space="0" w:color="000000"/>
              <w:right w:val="nil"/>
            </w:tcBorders>
            <w:shd w:val="clear" w:color="000000" w:fill="5B9BD5"/>
            <w:vAlign w:val="center"/>
            <w:hideMark/>
          </w:tcPr>
          <w:p w14:paraId="2347A44F" w14:textId="31A2BF11" w:rsidR="00E26D86" w:rsidRPr="004C39AC" w:rsidRDefault="00E26D86" w:rsidP="00E26D86">
            <w:pPr>
              <w:spacing w:line="240" w:lineRule="auto"/>
              <w:ind w:firstLine="0"/>
              <w:jc w:val="center"/>
              <w:rPr>
                <w:rFonts w:cs="Times New Roman"/>
                <w:lang w:val="en-US"/>
              </w:rPr>
            </w:pPr>
            <w:r w:rsidRPr="004C39AC">
              <w:rPr>
                <w:rFonts w:cs="Times New Roman"/>
                <w:lang w:val="en-US"/>
              </w:rPr>
              <w:t xml:space="preserve">2024 </w:t>
            </w:r>
            <w:r>
              <w:rPr>
                <w:rFonts w:cs="Times New Roman"/>
                <w:lang w:val="en-US"/>
              </w:rPr>
              <w:t>actual</w:t>
            </w:r>
          </w:p>
        </w:tc>
        <w:tc>
          <w:tcPr>
            <w:tcW w:w="975" w:type="dxa"/>
            <w:vMerge w:val="restart"/>
            <w:tcBorders>
              <w:top w:val="double" w:sz="6" w:space="0" w:color="auto"/>
              <w:left w:val="nil"/>
              <w:bottom w:val="double" w:sz="6" w:space="0" w:color="000000"/>
              <w:right w:val="nil"/>
            </w:tcBorders>
            <w:shd w:val="clear" w:color="000000" w:fill="5B9BD5"/>
            <w:vAlign w:val="center"/>
            <w:hideMark/>
          </w:tcPr>
          <w:p w14:paraId="0E773A80" w14:textId="649CD7EA" w:rsidR="00E26D86" w:rsidRPr="004C39AC" w:rsidRDefault="00E26D86" w:rsidP="00E26D86">
            <w:pPr>
              <w:spacing w:line="240" w:lineRule="auto"/>
              <w:ind w:firstLine="0"/>
              <w:jc w:val="center"/>
              <w:rPr>
                <w:rFonts w:cs="Times New Roman"/>
                <w:lang w:val="en-US"/>
              </w:rPr>
            </w:pPr>
            <w:r w:rsidRPr="00F749F0">
              <w:rPr>
                <w:rFonts w:cs="Times New Roman"/>
                <w:lang w:val="en-US"/>
              </w:rPr>
              <w:t xml:space="preserve">2025 </w:t>
            </w:r>
            <w:r w:rsidRPr="005A68E6">
              <w:rPr>
                <w:lang w:val="en-US"/>
              </w:rPr>
              <w:t>forecast</w:t>
            </w:r>
          </w:p>
        </w:tc>
        <w:tc>
          <w:tcPr>
            <w:tcW w:w="975" w:type="dxa"/>
            <w:vMerge w:val="restart"/>
            <w:tcBorders>
              <w:top w:val="double" w:sz="6" w:space="0" w:color="auto"/>
              <w:left w:val="nil"/>
              <w:bottom w:val="double" w:sz="6" w:space="0" w:color="000000"/>
              <w:right w:val="nil"/>
            </w:tcBorders>
            <w:shd w:val="clear" w:color="000000" w:fill="5B9BD5"/>
            <w:vAlign w:val="center"/>
            <w:hideMark/>
          </w:tcPr>
          <w:p w14:paraId="0F0C0523" w14:textId="4D506F10" w:rsidR="00E26D86" w:rsidRPr="004C39AC" w:rsidRDefault="00E26D86" w:rsidP="00E26D86">
            <w:pPr>
              <w:spacing w:line="240" w:lineRule="auto"/>
              <w:ind w:firstLine="0"/>
              <w:jc w:val="center"/>
              <w:rPr>
                <w:rFonts w:cs="Times New Roman"/>
                <w:lang w:val="en-US"/>
              </w:rPr>
            </w:pPr>
            <w:r w:rsidRPr="00F749F0">
              <w:rPr>
                <w:rFonts w:cs="Times New Roman"/>
                <w:lang w:val="en-US"/>
              </w:rPr>
              <w:t xml:space="preserve">2026 </w:t>
            </w:r>
            <w:r w:rsidRPr="005A68E6">
              <w:rPr>
                <w:lang w:val="en-US"/>
              </w:rPr>
              <w:t>forecast</w:t>
            </w:r>
          </w:p>
        </w:tc>
        <w:tc>
          <w:tcPr>
            <w:tcW w:w="975" w:type="dxa"/>
            <w:vMerge w:val="restart"/>
            <w:tcBorders>
              <w:top w:val="double" w:sz="6" w:space="0" w:color="auto"/>
              <w:left w:val="nil"/>
              <w:bottom w:val="double" w:sz="6" w:space="0" w:color="000000"/>
              <w:right w:val="nil"/>
            </w:tcBorders>
            <w:shd w:val="clear" w:color="000000" w:fill="5B9BD5"/>
            <w:vAlign w:val="center"/>
            <w:hideMark/>
          </w:tcPr>
          <w:p w14:paraId="5B2DD1E0" w14:textId="1857F709" w:rsidR="00E26D86" w:rsidRPr="004C39AC" w:rsidRDefault="00E26D86" w:rsidP="00E26D86">
            <w:pPr>
              <w:spacing w:line="240" w:lineRule="auto"/>
              <w:ind w:firstLine="0"/>
              <w:jc w:val="center"/>
              <w:rPr>
                <w:rFonts w:cs="Times New Roman"/>
                <w:lang w:val="en-US"/>
              </w:rPr>
            </w:pPr>
            <w:r w:rsidRPr="00F749F0">
              <w:rPr>
                <w:rFonts w:cs="Times New Roman"/>
                <w:lang w:val="en-US"/>
              </w:rPr>
              <w:t xml:space="preserve">2027 </w:t>
            </w:r>
            <w:r w:rsidRPr="005A68E6">
              <w:rPr>
                <w:lang w:val="en-US"/>
              </w:rPr>
              <w:t>forecast</w:t>
            </w:r>
          </w:p>
        </w:tc>
        <w:tc>
          <w:tcPr>
            <w:tcW w:w="1165" w:type="dxa"/>
            <w:vMerge w:val="restart"/>
            <w:tcBorders>
              <w:top w:val="double" w:sz="6" w:space="0" w:color="auto"/>
              <w:left w:val="nil"/>
              <w:bottom w:val="double" w:sz="6" w:space="0" w:color="000000"/>
              <w:right w:val="nil"/>
            </w:tcBorders>
            <w:shd w:val="clear" w:color="000000" w:fill="5B9BD5"/>
            <w:vAlign w:val="center"/>
            <w:hideMark/>
          </w:tcPr>
          <w:p w14:paraId="07D96721" w14:textId="5D7A706B" w:rsidR="00E26D86" w:rsidRPr="004C39AC" w:rsidRDefault="00E26D86" w:rsidP="00E26D86">
            <w:pPr>
              <w:spacing w:line="240" w:lineRule="auto"/>
              <w:ind w:firstLine="0"/>
              <w:jc w:val="center"/>
              <w:rPr>
                <w:rFonts w:cs="Times New Roman"/>
                <w:lang w:val="en-US"/>
              </w:rPr>
            </w:pPr>
            <w:r w:rsidRPr="00F749F0">
              <w:rPr>
                <w:rFonts w:cs="Times New Roman"/>
                <w:lang w:val="en-US"/>
              </w:rPr>
              <w:t xml:space="preserve">2028 </w:t>
            </w:r>
            <w:r w:rsidRPr="005A68E6">
              <w:rPr>
                <w:lang w:val="en-US"/>
              </w:rPr>
              <w:t>forecast</w:t>
            </w:r>
          </w:p>
        </w:tc>
      </w:tr>
      <w:tr w:rsidR="004C39AC" w:rsidRPr="004C39AC" w14:paraId="72C8928A" w14:textId="77777777" w:rsidTr="00286DDA">
        <w:trPr>
          <w:trHeight w:val="302"/>
        </w:trPr>
        <w:tc>
          <w:tcPr>
            <w:tcW w:w="4244" w:type="dxa"/>
            <w:vMerge/>
            <w:tcBorders>
              <w:top w:val="double" w:sz="6" w:space="0" w:color="auto"/>
              <w:left w:val="nil"/>
              <w:bottom w:val="double" w:sz="6" w:space="0" w:color="000000"/>
              <w:right w:val="nil"/>
            </w:tcBorders>
            <w:vAlign w:val="center"/>
            <w:hideMark/>
          </w:tcPr>
          <w:p w14:paraId="1260BB4D" w14:textId="77777777" w:rsidR="004C39AC" w:rsidRPr="004C39AC" w:rsidRDefault="004C39AC" w:rsidP="004C39AC">
            <w:pPr>
              <w:spacing w:line="240" w:lineRule="auto"/>
              <w:ind w:firstLine="0"/>
              <w:jc w:val="left"/>
              <w:rPr>
                <w:rFonts w:cs="Times New Roman"/>
                <w:lang w:val="en-US"/>
              </w:rPr>
            </w:pPr>
          </w:p>
        </w:tc>
        <w:tc>
          <w:tcPr>
            <w:tcW w:w="936" w:type="dxa"/>
            <w:vMerge/>
            <w:tcBorders>
              <w:top w:val="double" w:sz="6" w:space="0" w:color="auto"/>
              <w:left w:val="nil"/>
              <w:bottom w:val="double" w:sz="6" w:space="0" w:color="000000"/>
              <w:right w:val="nil"/>
            </w:tcBorders>
            <w:vAlign w:val="center"/>
            <w:hideMark/>
          </w:tcPr>
          <w:p w14:paraId="23FE4507" w14:textId="77777777" w:rsidR="004C39AC" w:rsidRPr="004C39AC" w:rsidRDefault="004C39AC" w:rsidP="004C39AC">
            <w:pPr>
              <w:spacing w:line="240" w:lineRule="auto"/>
              <w:ind w:firstLine="0"/>
              <w:jc w:val="left"/>
              <w:rPr>
                <w:rFonts w:cs="Times New Roman"/>
                <w:lang w:val="en-US"/>
              </w:rPr>
            </w:pPr>
          </w:p>
        </w:tc>
        <w:tc>
          <w:tcPr>
            <w:tcW w:w="975" w:type="dxa"/>
            <w:vMerge/>
            <w:tcBorders>
              <w:top w:val="double" w:sz="6" w:space="0" w:color="auto"/>
              <w:left w:val="nil"/>
              <w:bottom w:val="double" w:sz="6" w:space="0" w:color="000000"/>
              <w:right w:val="nil"/>
            </w:tcBorders>
            <w:vAlign w:val="center"/>
            <w:hideMark/>
          </w:tcPr>
          <w:p w14:paraId="6CAADF07" w14:textId="77777777" w:rsidR="004C39AC" w:rsidRPr="004C39AC" w:rsidRDefault="004C39AC" w:rsidP="004C39AC">
            <w:pPr>
              <w:spacing w:line="240" w:lineRule="auto"/>
              <w:ind w:firstLine="0"/>
              <w:jc w:val="left"/>
              <w:rPr>
                <w:rFonts w:cs="Times New Roman"/>
                <w:lang w:val="en-US"/>
              </w:rPr>
            </w:pPr>
          </w:p>
        </w:tc>
        <w:tc>
          <w:tcPr>
            <w:tcW w:w="975" w:type="dxa"/>
            <w:vMerge/>
            <w:tcBorders>
              <w:top w:val="double" w:sz="6" w:space="0" w:color="auto"/>
              <w:left w:val="nil"/>
              <w:bottom w:val="double" w:sz="6" w:space="0" w:color="000000"/>
              <w:right w:val="nil"/>
            </w:tcBorders>
            <w:vAlign w:val="center"/>
            <w:hideMark/>
          </w:tcPr>
          <w:p w14:paraId="723B064D" w14:textId="77777777" w:rsidR="004C39AC" w:rsidRPr="004C39AC" w:rsidRDefault="004C39AC" w:rsidP="004C39AC">
            <w:pPr>
              <w:spacing w:line="240" w:lineRule="auto"/>
              <w:ind w:firstLine="0"/>
              <w:jc w:val="left"/>
              <w:rPr>
                <w:rFonts w:cs="Times New Roman"/>
                <w:lang w:val="en-US"/>
              </w:rPr>
            </w:pPr>
          </w:p>
        </w:tc>
        <w:tc>
          <w:tcPr>
            <w:tcW w:w="975" w:type="dxa"/>
            <w:vMerge/>
            <w:tcBorders>
              <w:top w:val="double" w:sz="6" w:space="0" w:color="auto"/>
              <w:left w:val="nil"/>
              <w:bottom w:val="double" w:sz="6" w:space="0" w:color="000000"/>
              <w:right w:val="nil"/>
            </w:tcBorders>
            <w:vAlign w:val="center"/>
            <w:hideMark/>
          </w:tcPr>
          <w:p w14:paraId="5D6DB46D" w14:textId="77777777" w:rsidR="004C39AC" w:rsidRPr="004C39AC" w:rsidRDefault="004C39AC" w:rsidP="004C39AC">
            <w:pPr>
              <w:spacing w:line="240" w:lineRule="auto"/>
              <w:ind w:firstLine="0"/>
              <w:jc w:val="left"/>
              <w:rPr>
                <w:rFonts w:cs="Times New Roman"/>
                <w:lang w:val="en-US"/>
              </w:rPr>
            </w:pPr>
          </w:p>
        </w:tc>
        <w:tc>
          <w:tcPr>
            <w:tcW w:w="1165" w:type="dxa"/>
            <w:vMerge/>
            <w:tcBorders>
              <w:top w:val="double" w:sz="6" w:space="0" w:color="auto"/>
              <w:left w:val="nil"/>
              <w:bottom w:val="double" w:sz="6" w:space="0" w:color="000000"/>
              <w:right w:val="nil"/>
            </w:tcBorders>
            <w:vAlign w:val="center"/>
            <w:hideMark/>
          </w:tcPr>
          <w:p w14:paraId="54AFAE8F" w14:textId="77777777" w:rsidR="004C39AC" w:rsidRPr="004C39AC" w:rsidRDefault="004C39AC" w:rsidP="004C39AC">
            <w:pPr>
              <w:spacing w:line="240" w:lineRule="auto"/>
              <w:ind w:firstLine="0"/>
              <w:jc w:val="left"/>
              <w:rPr>
                <w:rFonts w:cs="Times New Roman"/>
                <w:lang w:val="en-US"/>
              </w:rPr>
            </w:pPr>
          </w:p>
        </w:tc>
      </w:tr>
      <w:tr w:rsidR="004C39AC" w:rsidRPr="004C39AC" w14:paraId="50D69D79" w14:textId="77777777" w:rsidTr="00286DDA">
        <w:trPr>
          <w:trHeight w:val="690"/>
        </w:trPr>
        <w:tc>
          <w:tcPr>
            <w:tcW w:w="4244" w:type="dxa"/>
            <w:tcBorders>
              <w:top w:val="nil"/>
              <w:left w:val="nil"/>
              <w:bottom w:val="single" w:sz="8" w:space="0" w:color="auto"/>
              <w:right w:val="nil"/>
            </w:tcBorders>
            <w:shd w:val="clear" w:color="auto" w:fill="auto"/>
            <w:vAlign w:val="center"/>
            <w:hideMark/>
          </w:tcPr>
          <w:p w14:paraId="13AABC3C" w14:textId="49A71715" w:rsidR="004C39AC" w:rsidRPr="00607426" w:rsidRDefault="004B3DEE" w:rsidP="004B3DEE">
            <w:pPr>
              <w:spacing w:line="240" w:lineRule="auto"/>
              <w:ind w:firstLine="0"/>
              <w:jc w:val="left"/>
              <w:rPr>
                <w:rFonts w:cs="Times New Roman"/>
                <w:b/>
                <w:bCs/>
              </w:rPr>
            </w:pPr>
            <w:r w:rsidRPr="005A68E6">
              <w:rPr>
                <w:b/>
              </w:rPr>
              <w:t xml:space="preserve">Average Time to Refixing </w:t>
            </w:r>
            <w:r>
              <w:rPr>
                <w:b/>
                <w:lang w:val="en-US"/>
              </w:rPr>
              <w:t>of</w:t>
            </w:r>
            <w:r w:rsidRPr="005A68E6">
              <w:rPr>
                <w:b/>
              </w:rPr>
              <w:t xml:space="preserve"> RA Government Debt, (years)</w:t>
            </w:r>
          </w:p>
        </w:tc>
        <w:tc>
          <w:tcPr>
            <w:tcW w:w="936" w:type="dxa"/>
            <w:tcBorders>
              <w:top w:val="nil"/>
              <w:left w:val="nil"/>
              <w:bottom w:val="single" w:sz="8" w:space="0" w:color="auto"/>
              <w:right w:val="nil"/>
            </w:tcBorders>
            <w:shd w:val="clear" w:color="auto" w:fill="auto"/>
            <w:vAlign w:val="center"/>
            <w:hideMark/>
          </w:tcPr>
          <w:p w14:paraId="18040644"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5.6</w:t>
            </w:r>
          </w:p>
        </w:tc>
        <w:tc>
          <w:tcPr>
            <w:tcW w:w="975" w:type="dxa"/>
            <w:tcBorders>
              <w:top w:val="nil"/>
              <w:left w:val="nil"/>
              <w:bottom w:val="single" w:sz="8" w:space="0" w:color="auto"/>
              <w:right w:val="nil"/>
            </w:tcBorders>
            <w:shd w:val="clear" w:color="auto" w:fill="auto"/>
            <w:vAlign w:val="center"/>
            <w:hideMark/>
          </w:tcPr>
          <w:p w14:paraId="6D712894"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6.0 </w:t>
            </w:r>
          </w:p>
        </w:tc>
        <w:tc>
          <w:tcPr>
            <w:tcW w:w="975" w:type="dxa"/>
            <w:tcBorders>
              <w:top w:val="nil"/>
              <w:left w:val="nil"/>
              <w:bottom w:val="single" w:sz="8" w:space="0" w:color="auto"/>
              <w:right w:val="nil"/>
            </w:tcBorders>
            <w:shd w:val="clear" w:color="auto" w:fill="auto"/>
            <w:vAlign w:val="center"/>
            <w:hideMark/>
          </w:tcPr>
          <w:p w14:paraId="292EB9B7"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6.1 </w:t>
            </w:r>
          </w:p>
        </w:tc>
        <w:tc>
          <w:tcPr>
            <w:tcW w:w="975" w:type="dxa"/>
            <w:tcBorders>
              <w:top w:val="nil"/>
              <w:left w:val="nil"/>
              <w:bottom w:val="single" w:sz="8" w:space="0" w:color="auto"/>
              <w:right w:val="nil"/>
            </w:tcBorders>
            <w:shd w:val="clear" w:color="auto" w:fill="auto"/>
            <w:vAlign w:val="center"/>
            <w:hideMark/>
          </w:tcPr>
          <w:p w14:paraId="00977661"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6.1 </w:t>
            </w:r>
          </w:p>
        </w:tc>
        <w:tc>
          <w:tcPr>
            <w:tcW w:w="1165" w:type="dxa"/>
            <w:tcBorders>
              <w:top w:val="nil"/>
              <w:left w:val="nil"/>
              <w:bottom w:val="single" w:sz="8" w:space="0" w:color="auto"/>
              <w:right w:val="nil"/>
            </w:tcBorders>
            <w:shd w:val="clear" w:color="auto" w:fill="auto"/>
            <w:vAlign w:val="center"/>
            <w:hideMark/>
          </w:tcPr>
          <w:p w14:paraId="4DA512FF" w14:textId="77777777" w:rsidR="004C39AC" w:rsidRPr="004C39AC" w:rsidRDefault="004C39AC" w:rsidP="004C39AC">
            <w:pPr>
              <w:spacing w:line="240" w:lineRule="auto"/>
              <w:ind w:firstLine="0"/>
              <w:jc w:val="center"/>
              <w:rPr>
                <w:rFonts w:cs="Times New Roman"/>
                <w:b/>
                <w:bCs/>
                <w:lang w:val="en-US"/>
              </w:rPr>
            </w:pPr>
            <w:r w:rsidRPr="004C39AC">
              <w:rPr>
                <w:rFonts w:cs="Times New Roman"/>
                <w:b/>
                <w:bCs/>
                <w:lang w:val="en-US"/>
              </w:rPr>
              <w:t xml:space="preserve">    5.9 </w:t>
            </w:r>
          </w:p>
        </w:tc>
      </w:tr>
      <w:tr w:rsidR="004B3DEE" w:rsidRPr="004C39AC" w14:paraId="46133BD7" w14:textId="77777777" w:rsidTr="00286DDA">
        <w:trPr>
          <w:trHeight w:val="1005"/>
        </w:trPr>
        <w:tc>
          <w:tcPr>
            <w:tcW w:w="4244" w:type="dxa"/>
            <w:tcBorders>
              <w:top w:val="nil"/>
              <w:left w:val="nil"/>
              <w:bottom w:val="single" w:sz="8" w:space="0" w:color="auto"/>
              <w:right w:val="nil"/>
            </w:tcBorders>
            <w:shd w:val="clear" w:color="auto" w:fill="auto"/>
            <w:vAlign w:val="center"/>
            <w:hideMark/>
          </w:tcPr>
          <w:p w14:paraId="54641248" w14:textId="5B955668" w:rsidR="004B3DEE" w:rsidRPr="00607426" w:rsidRDefault="004B3DEE" w:rsidP="004B3DEE">
            <w:pPr>
              <w:spacing w:line="240" w:lineRule="auto"/>
              <w:ind w:firstLine="0"/>
              <w:jc w:val="left"/>
              <w:rPr>
                <w:rFonts w:cs="Times New Roman"/>
              </w:rPr>
            </w:pPr>
            <w:r w:rsidRPr="005A68E6">
              <w:t xml:space="preserve">Average Time to Refixing </w:t>
            </w:r>
            <w:r>
              <w:rPr>
                <w:lang w:val="en-US"/>
              </w:rPr>
              <w:t>of</w:t>
            </w:r>
            <w:r w:rsidRPr="005A68E6">
              <w:t xml:space="preserve"> RA Government </w:t>
            </w:r>
            <w:r w:rsidRPr="005A68E6">
              <w:rPr>
                <w:color w:val="000000"/>
              </w:rPr>
              <w:t xml:space="preserve"> </w:t>
            </w:r>
            <w:r w:rsidRPr="005A68E6">
              <w:rPr>
                <w:color w:val="000000"/>
                <w:lang w:val="en-US"/>
              </w:rPr>
              <w:t>F</w:t>
            </w:r>
            <w:r w:rsidRPr="005A68E6">
              <w:rPr>
                <w:color w:val="000000"/>
              </w:rPr>
              <w:t xml:space="preserve">oreign </w:t>
            </w:r>
            <w:r w:rsidRPr="005A68E6">
              <w:rPr>
                <w:color w:val="000000"/>
                <w:lang w:val="en-US"/>
              </w:rPr>
              <w:t>C</w:t>
            </w:r>
            <w:r w:rsidRPr="005A68E6">
              <w:rPr>
                <w:color w:val="000000"/>
              </w:rPr>
              <w:t>urrency</w:t>
            </w:r>
            <w:r w:rsidRPr="005A68E6">
              <w:rPr>
                <w:color w:val="000000"/>
                <w:lang w:val="en-US"/>
              </w:rPr>
              <w:t xml:space="preserve"> </w:t>
            </w:r>
            <w:r w:rsidRPr="005A68E6">
              <w:t xml:space="preserve"> Debt, (years)</w:t>
            </w:r>
          </w:p>
        </w:tc>
        <w:tc>
          <w:tcPr>
            <w:tcW w:w="936" w:type="dxa"/>
            <w:tcBorders>
              <w:top w:val="nil"/>
              <w:left w:val="nil"/>
              <w:bottom w:val="single" w:sz="8" w:space="0" w:color="auto"/>
              <w:right w:val="nil"/>
            </w:tcBorders>
            <w:shd w:val="clear" w:color="auto" w:fill="auto"/>
            <w:vAlign w:val="center"/>
            <w:hideMark/>
          </w:tcPr>
          <w:p w14:paraId="1E1E4081"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4.0</w:t>
            </w:r>
          </w:p>
        </w:tc>
        <w:tc>
          <w:tcPr>
            <w:tcW w:w="975" w:type="dxa"/>
            <w:tcBorders>
              <w:top w:val="nil"/>
              <w:left w:val="nil"/>
              <w:bottom w:val="single" w:sz="8" w:space="0" w:color="auto"/>
              <w:right w:val="nil"/>
            </w:tcBorders>
            <w:shd w:val="clear" w:color="auto" w:fill="auto"/>
            <w:vAlign w:val="center"/>
            <w:hideMark/>
          </w:tcPr>
          <w:p w14:paraId="099D615E"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5.4 </w:t>
            </w:r>
          </w:p>
        </w:tc>
        <w:tc>
          <w:tcPr>
            <w:tcW w:w="975" w:type="dxa"/>
            <w:tcBorders>
              <w:top w:val="nil"/>
              <w:left w:val="nil"/>
              <w:bottom w:val="single" w:sz="8" w:space="0" w:color="auto"/>
              <w:right w:val="nil"/>
            </w:tcBorders>
            <w:shd w:val="clear" w:color="auto" w:fill="auto"/>
            <w:vAlign w:val="center"/>
            <w:hideMark/>
          </w:tcPr>
          <w:p w14:paraId="75AD1814"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5.5 </w:t>
            </w:r>
          </w:p>
        </w:tc>
        <w:tc>
          <w:tcPr>
            <w:tcW w:w="975" w:type="dxa"/>
            <w:tcBorders>
              <w:top w:val="nil"/>
              <w:left w:val="nil"/>
              <w:bottom w:val="single" w:sz="8" w:space="0" w:color="auto"/>
              <w:right w:val="nil"/>
            </w:tcBorders>
            <w:shd w:val="clear" w:color="auto" w:fill="auto"/>
            <w:vAlign w:val="center"/>
            <w:hideMark/>
          </w:tcPr>
          <w:p w14:paraId="0C81BBAB"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5.2 </w:t>
            </w:r>
          </w:p>
        </w:tc>
        <w:tc>
          <w:tcPr>
            <w:tcW w:w="1165" w:type="dxa"/>
            <w:tcBorders>
              <w:top w:val="nil"/>
              <w:left w:val="nil"/>
              <w:bottom w:val="single" w:sz="8" w:space="0" w:color="auto"/>
              <w:right w:val="nil"/>
            </w:tcBorders>
            <w:shd w:val="clear" w:color="auto" w:fill="auto"/>
            <w:vAlign w:val="center"/>
            <w:hideMark/>
          </w:tcPr>
          <w:p w14:paraId="68094119"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4.9 </w:t>
            </w:r>
          </w:p>
        </w:tc>
      </w:tr>
      <w:tr w:rsidR="004B3DEE" w:rsidRPr="004C39AC" w14:paraId="7300AA8F" w14:textId="77777777" w:rsidTr="00286DDA">
        <w:trPr>
          <w:trHeight w:val="1005"/>
        </w:trPr>
        <w:tc>
          <w:tcPr>
            <w:tcW w:w="4244" w:type="dxa"/>
            <w:tcBorders>
              <w:top w:val="nil"/>
              <w:left w:val="nil"/>
              <w:bottom w:val="single" w:sz="12" w:space="0" w:color="auto"/>
              <w:right w:val="nil"/>
            </w:tcBorders>
            <w:shd w:val="clear" w:color="auto" w:fill="auto"/>
            <w:vAlign w:val="center"/>
            <w:hideMark/>
          </w:tcPr>
          <w:p w14:paraId="6AEB8630" w14:textId="6E5C39C6" w:rsidR="004B3DEE" w:rsidRPr="00607426" w:rsidRDefault="004B3DEE" w:rsidP="004B3DEE">
            <w:pPr>
              <w:spacing w:line="240" w:lineRule="auto"/>
              <w:ind w:firstLine="0"/>
              <w:jc w:val="left"/>
              <w:rPr>
                <w:rFonts w:cs="Times New Roman"/>
              </w:rPr>
            </w:pPr>
            <w:r w:rsidRPr="005A68E6">
              <w:t xml:space="preserve">Average Time to Refixing </w:t>
            </w:r>
            <w:r>
              <w:rPr>
                <w:lang w:val="en-US"/>
              </w:rPr>
              <w:t>of</w:t>
            </w:r>
            <w:r w:rsidRPr="005A68E6">
              <w:t xml:space="preserve"> RA Government </w:t>
            </w:r>
            <w:r w:rsidRPr="005A68E6">
              <w:rPr>
                <w:lang w:val="en-US"/>
              </w:rPr>
              <w:t>Local</w:t>
            </w:r>
            <w:r w:rsidRPr="005A68E6">
              <w:rPr>
                <w:color w:val="000000"/>
              </w:rPr>
              <w:t xml:space="preserve"> Currency</w:t>
            </w:r>
            <w:r w:rsidRPr="005A68E6">
              <w:t xml:space="preserve">  Debt, (years</w:t>
            </w:r>
            <w:r w:rsidRPr="005A68E6">
              <w:rPr>
                <w:lang w:val="en-US"/>
              </w:rPr>
              <w:t>)</w:t>
            </w:r>
          </w:p>
        </w:tc>
        <w:tc>
          <w:tcPr>
            <w:tcW w:w="936" w:type="dxa"/>
            <w:tcBorders>
              <w:top w:val="nil"/>
              <w:left w:val="nil"/>
              <w:bottom w:val="single" w:sz="12" w:space="0" w:color="auto"/>
              <w:right w:val="nil"/>
            </w:tcBorders>
            <w:shd w:val="clear" w:color="auto" w:fill="auto"/>
            <w:vAlign w:val="center"/>
            <w:hideMark/>
          </w:tcPr>
          <w:p w14:paraId="6887CC88"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7.2</w:t>
            </w:r>
          </w:p>
        </w:tc>
        <w:tc>
          <w:tcPr>
            <w:tcW w:w="975" w:type="dxa"/>
            <w:tcBorders>
              <w:top w:val="nil"/>
              <w:left w:val="nil"/>
              <w:bottom w:val="single" w:sz="12" w:space="0" w:color="auto"/>
              <w:right w:val="nil"/>
            </w:tcBorders>
            <w:shd w:val="clear" w:color="auto" w:fill="auto"/>
            <w:vAlign w:val="center"/>
            <w:hideMark/>
          </w:tcPr>
          <w:p w14:paraId="3CBE693B"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6.7 </w:t>
            </w:r>
          </w:p>
        </w:tc>
        <w:tc>
          <w:tcPr>
            <w:tcW w:w="975" w:type="dxa"/>
            <w:tcBorders>
              <w:top w:val="nil"/>
              <w:left w:val="nil"/>
              <w:bottom w:val="single" w:sz="12" w:space="0" w:color="auto"/>
              <w:right w:val="nil"/>
            </w:tcBorders>
            <w:shd w:val="clear" w:color="auto" w:fill="auto"/>
            <w:vAlign w:val="center"/>
            <w:hideMark/>
          </w:tcPr>
          <w:p w14:paraId="6FD7BE85"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6.8 </w:t>
            </w:r>
          </w:p>
        </w:tc>
        <w:tc>
          <w:tcPr>
            <w:tcW w:w="975" w:type="dxa"/>
            <w:tcBorders>
              <w:top w:val="nil"/>
              <w:left w:val="nil"/>
              <w:bottom w:val="single" w:sz="12" w:space="0" w:color="auto"/>
              <w:right w:val="nil"/>
            </w:tcBorders>
            <w:shd w:val="clear" w:color="auto" w:fill="auto"/>
            <w:vAlign w:val="center"/>
            <w:hideMark/>
          </w:tcPr>
          <w:p w14:paraId="42B4D619"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7.0 </w:t>
            </w:r>
          </w:p>
        </w:tc>
        <w:tc>
          <w:tcPr>
            <w:tcW w:w="1165" w:type="dxa"/>
            <w:tcBorders>
              <w:top w:val="nil"/>
              <w:left w:val="nil"/>
              <w:bottom w:val="single" w:sz="12" w:space="0" w:color="auto"/>
              <w:right w:val="nil"/>
            </w:tcBorders>
            <w:shd w:val="clear" w:color="auto" w:fill="auto"/>
            <w:vAlign w:val="center"/>
            <w:hideMark/>
          </w:tcPr>
          <w:p w14:paraId="2E865892"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6.9 </w:t>
            </w:r>
          </w:p>
        </w:tc>
      </w:tr>
      <w:tr w:rsidR="004B3DEE" w:rsidRPr="004C39AC" w14:paraId="3CED68AD" w14:textId="77777777" w:rsidTr="00286DDA">
        <w:trPr>
          <w:trHeight w:val="690"/>
        </w:trPr>
        <w:tc>
          <w:tcPr>
            <w:tcW w:w="4244" w:type="dxa"/>
            <w:tcBorders>
              <w:top w:val="nil"/>
              <w:left w:val="nil"/>
              <w:bottom w:val="single" w:sz="8" w:space="0" w:color="auto"/>
              <w:right w:val="nil"/>
            </w:tcBorders>
            <w:shd w:val="clear" w:color="auto" w:fill="auto"/>
            <w:vAlign w:val="center"/>
            <w:hideMark/>
          </w:tcPr>
          <w:p w14:paraId="7B9C21C3" w14:textId="4C7B76F2" w:rsidR="004B3DEE" w:rsidRPr="00607426" w:rsidRDefault="004B3DEE" w:rsidP="004B3DEE">
            <w:pPr>
              <w:spacing w:line="240" w:lineRule="auto"/>
              <w:ind w:firstLine="0"/>
              <w:jc w:val="left"/>
              <w:rPr>
                <w:rFonts w:cs="Times New Roman"/>
                <w:b/>
                <w:bCs/>
              </w:rPr>
            </w:pPr>
            <w:r w:rsidRPr="005A68E6">
              <w:rPr>
                <w:b/>
              </w:rPr>
              <w:t>Share of RA Government Debt Refixing in One Year (%)</w:t>
            </w:r>
          </w:p>
        </w:tc>
        <w:tc>
          <w:tcPr>
            <w:tcW w:w="936" w:type="dxa"/>
            <w:tcBorders>
              <w:top w:val="nil"/>
              <w:left w:val="nil"/>
              <w:bottom w:val="single" w:sz="8" w:space="0" w:color="auto"/>
              <w:right w:val="nil"/>
            </w:tcBorders>
            <w:shd w:val="clear" w:color="auto" w:fill="auto"/>
            <w:vAlign w:val="center"/>
            <w:hideMark/>
          </w:tcPr>
          <w:p w14:paraId="2FC832BF" w14:textId="77777777" w:rsidR="004B3DEE" w:rsidRPr="004C39AC" w:rsidRDefault="004B3DEE" w:rsidP="004B3DEE">
            <w:pPr>
              <w:spacing w:line="240" w:lineRule="auto"/>
              <w:ind w:firstLine="0"/>
              <w:jc w:val="center"/>
              <w:rPr>
                <w:rFonts w:cs="Times New Roman"/>
                <w:b/>
                <w:bCs/>
                <w:lang w:val="en-US"/>
              </w:rPr>
            </w:pPr>
            <w:r w:rsidRPr="004C39AC">
              <w:rPr>
                <w:rFonts w:cs="Times New Roman"/>
                <w:b/>
                <w:bCs/>
                <w:lang w:val="en-US"/>
              </w:rPr>
              <w:t>26.3</w:t>
            </w:r>
          </w:p>
        </w:tc>
        <w:tc>
          <w:tcPr>
            <w:tcW w:w="975" w:type="dxa"/>
            <w:tcBorders>
              <w:top w:val="nil"/>
              <w:left w:val="nil"/>
              <w:bottom w:val="single" w:sz="8" w:space="0" w:color="auto"/>
              <w:right w:val="nil"/>
            </w:tcBorders>
            <w:shd w:val="clear" w:color="auto" w:fill="auto"/>
            <w:vAlign w:val="center"/>
            <w:hideMark/>
          </w:tcPr>
          <w:p w14:paraId="2E4F9B6F" w14:textId="77777777" w:rsidR="004B3DEE" w:rsidRPr="004C39AC" w:rsidRDefault="004B3DEE" w:rsidP="004B3DEE">
            <w:pPr>
              <w:spacing w:line="240" w:lineRule="auto"/>
              <w:ind w:firstLine="0"/>
              <w:jc w:val="center"/>
              <w:rPr>
                <w:rFonts w:cs="Times New Roman"/>
                <w:b/>
                <w:bCs/>
                <w:lang w:val="en-US"/>
              </w:rPr>
            </w:pPr>
            <w:r w:rsidRPr="004C39AC">
              <w:rPr>
                <w:rFonts w:cs="Times New Roman"/>
                <w:b/>
                <w:bCs/>
                <w:lang w:val="en-US"/>
              </w:rPr>
              <w:t xml:space="preserve">  22.5 </w:t>
            </w:r>
          </w:p>
        </w:tc>
        <w:tc>
          <w:tcPr>
            <w:tcW w:w="975" w:type="dxa"/>
            <w:tcBorders>
              <w:top w:val="nil"/>
              <w:left w:val="nil"/>
              <w:bottom w:val="single" w:sz="8" w:space="0" w:color="auto"/>
              <w:right w:val="nil"/>
            </w:tcBorders>
            <w:shd w:val="clear" w:color="auto" w:fill="auto"/>
            <w:vAlign w:val="center"/>
            <w:hideMark/>
          </w:tcPr>
          <w:p w14:paraId="3F0AC731" w14:textId="77777777" w:rsidR="004B3DEE" w:rsidRPr="004C39AC" w:rsidRDefault="004B3DEE" w:rsidP="004B3DEE">
            <w:pPr>
              <w:spacing w:line="240" w:lineRule="auto"/>
              <w:ind w:firstLine="0"/>
              <w:jc w:val="center"/>
              <w:rPr>
                <w:rFonts w:cs="Times New Roman"/>
                <w:b/>
                <w:bCs/>
                <w:lang w:val="en-US"/>
              </w:rPr>
            </w:pPr>
            <w:r w:rsidRPr="004C39AC">
              <w:rPr>
                <w:rFonts w:cs="Times New Roman"/>
                <w:b/>
                <w:bCs/>
                <w:lang w:val="en-US"/>
              </w:rPr>
              <w:t xml:space="preserve">   21.9 </w:t>
            </w:r>
          </w:p>
        </w:tc>
        <w:tc>
          <w:tcPr>
            <w:tcW w:w="975" w:type="dxa"/>
            <w:tcBorders>
              <w:top w:val="nil"/>
              <w:left w:val="nil"/>
              <w:bottom w:val="single" w:sz="8" w:space="0" w:color="auto"/>
              <w:right w:val="nil"/>
            </w:tcBorders>
            <w:shd w:val="clear" w:color="auto" w:fill="auto"/>
            <w:vAlign w:val="center"/>
            <w:hideMark/>
          </w:tcPr>
          <w:p w14:paraId="1B8882C9" w14:textId="77777777" w:rsidR="004B3DEE" w:rsidRPr="004C39AC" w:rsidRDefault="004B3DEE" w:rsidP="004B3DEE">
            <w:pPr>
              <w:spacing w:line="240" w:lineRule="auto"/>
              <w:ind w:firstLine="0"/>
              <w:jc w:val="center"/>
              <w:rPr>
                <w:rFonts w:cs="Times New Roman"/>
                <w:b/>
                <w:bCs/>
                <w:lang w:val="en-US"/>
              </w:rPr>
            </w:pPr>
            <w:r w:rsidRPr="004C39AC">
              <w:rPr>
                <w:rFonts w:cs="Times New Roman"/>
                <w:b/>
                <w:bCs/>
                <w:lang w:val="en-US"/>
              </w:rPr>
              <w:t xml:space="preserve">   21.7 </w:t>
            </w:r>
          </w:p>
        </w:tc>
        <w:tc>
          <w:tcPr>
            <w:tcW w:w="1165" w:type="dxa"/>
            <w:tcBorders>
              <w:top w:val="nil"/>
              <w:left w:val="nil"/>
              <w:bottom w:val="single" w:sz="8" w:space="0" w:color="auto"/>
              <w:right w:val="nil"/>
            </w:tcBorders>
            <w:shd w:val="clear" w:color="auto" w:fill="auto"/>
            <w:vAlign w:val="center"/>
            <w:hideMark/>
          </w:tcPr>
          <w:p w14:paraId="5F0E26A5" w14:textId="77777777" w:rsidR="004B3DEE" w:rsidRPr="004C39AC" w:rsidRDefault="004B3DEE" w:rsidP="004B3DEE">
            <w:pPr>
              <w:spacing w:line="240" w:lineRule="auto"/>
              <w:ind w:firstLine="0"/>
              <w:jc w:val="center"/>
              <w:rPr>
                <w:rFonts w:cs="Times New Roman"/>
                <w:b/>
                <w:bCs/>
                <w:lang w:val="en-US"/>
              </w:rPr>
            </w:pPr>
            <w:r w:rsidRPr="004C39AC">
              <w:rPr>
                <w:rFonts w:cs="Times New Roman"/>
                <w:b/>
                <w:bCs/>
                <w:lang w:val="en-US"/>
              </w:rPr>
              <w:t xml:space="preserve">  26.2 </w:t>
            </w:r>
          </w:p>
        </w:tc>
      </w:tr>
      <w:tr w:rsidR="004B3DEE" w:rsidRPr="004C39AC" w14:paraId="0A253750" w14:textId="77777777" w:rsidTr="00286DDA">
        <w:trPr>
          <w:trHeight w:val="1042"/>
        </w:trPr>
        <w:tc>
          <w:tcPr>
            <w:tcW w:w="4244" w:type="dxa"/>
            <w:tcBorders>
              <w:top w:val="nil"/>
              <w:left w:val="nil"/>
              <w:bottom w:val="single" w:sz="8" w:space="0" w:color="auto"/>
              <w:right w:val="nil"/>
            </w:tcBorders>
            <w:shd w:val="clear" w:color="auto" w:fill="auto"/>
            <w:vAlign w:val="center"/>
            <w:hideMark/>
          </w:tcPr>
          <w:p w14:paraId="7AD57B6D" w14:textId="13E587F6" w:rsidR="004B3DEE" w:rsidRPr="00607426" w:rsidRDefault="004B3DEE" w:rsidP="004B3DEE">
            <w:pPr>
              <w:spacing w:line="240" w:lineRule="auto"/>
              <w:ind w:firstLine="0"/>
              <w:jc w:val="left"/>
              <w:rPr>
                <w:rFonts w:cs="Times New Roman"/>
              </w:rPr>
            </w:pPr>
            <w:r w:rsidRPr="005A68E6">
              <w:lastRenderedPageBreak/>
              <w:t xml:space="preserve">Share </w:t>
            </w:r>
            <w:r w:rsidRPr="00C43248">
              <w:rPr>
                <w:color w:val="000000"/>
              </w:rPr>
              <w:t>of</w:t>
            </w:r>
            <w:r w:rsidRPr="005A68E6">
              <w:t xml:space="preserve"> RA Government </w:t>
            </w:r>
            <w:r w:rsidRPr="005A68E6">
              <w:rPr>
                <w:color w:val="000000"/>
              </w:rPr>
              <w:t>foreign currency</w:t>
            </w:r>
            <w:r w:rsidRPr="005A68E6">
              <w:rPr>
                <w:color w:val="000000"/>
                <w:lang w:val="en-US"/>
              </w:rPr>
              <w:t xml:space="preserve"> </w:t>
            </w:r>
            <w:r w:rsidRPr="005A68E6">
              <w:t>Debt Refixing in One Year</w:t>
            </w:r>
            <w:r>
              <w:rPr>
                <w:lang w:val="en-US"/>
              </w:rPr>
              <w:t xml:space="preserve"> in</w:t>
            </w:r>
            <w:r w:rsidRPr="005A68E6">
              <w:rPr>
                <w:color w:val="000000"/>
              </w:rPr>
              <w:t xml:space="preserve"> </w:t>
            </w:r>
            <w:r w:rsidRPr="005A68E6">
              <w:rPr>
                <w:color w:val="000000"/>
                <w:lang w:val="en-US"/>
              </w:rPr>
              <w:t>F</w:t>
            </w:r>
            <w:r w:rsidRPr="005A68E6">
              <w:rPr>
                <w:color w:val="000000"/>
              </w:rPr>
              <w:t xml:space="preserve">oreign </w:t>
            </w:r>
            <w:r w:rsidRPr="005A68E6">
              <w:rPr>
                <w:color w:val="000000"/>
                <w:lang w:val="en-US"/>
              </w:rPr>
              <w:t>C</w:t>
            </w:r>
            <w:r w:rsidRPr="005A68E6">
              <w:rPr>
                <w:color w:val="000000"/>
              </w:rPr>
              <w:t>urrency</w:t>
            </w:r>
            <w:r w:rsidRPr="005A68E6">
              <w:rPr>
                <w:color w:val="000000"/>
                <w:lang w:val="en-US"/>
              </w:rPr>
              <w:t xml:space="preserve"> </w:t>
            </w:r>
            <w:r w:rsidRPr="005A68E6">
              <w:t>Debt  (%)</w:t>
            </w:r>
          </w:p>
        </w:tc>
        <w:tc>
          <w:tcPr>
            <w:tcW w:w="936" w:type="dxa"/>
            <w:tcBorders>
              <w:top w:val="nil"/>
              <w:left w:val="nil"/>
              <w:bottom w:val="single" w:sz="8" w:space="0" w:color="auto"/>
              <w:right w:val="nil"/>
            </w:tcBorders>
            <w:shd w:val="clear" w:color="auto" w:fill="auto"/>
            <w:vAlign w:val="center"/>
            <w:hideMark/>
          </w:tcPr>
          <w:p w14:paraId="6AED08D8" w14:textId="2A6B9DF6" w:rsidR="004B3DEE" w:rsidRPr="00866B6B" w:rsidRDefault="004B3DEE" w:rsidP="004B3DEE">
            <w:pPr>
              <w:spacing w:line="240" w:lineRule="auto"/>
              <w:ind w:firstLine="0"/>
              <w:jc w:val="center"/>
              <w:rPr>
                <w:rFonts w:cs="Times New Roman"/>
              </w:rPr>
            </w:pPr>
            <w:r w:rsidRPr="00866B6B">
              <w:rPr>
                <w:rFonts w:cs="Times New Roman"/>
                <w:lang w:val="en-US"/>
              </w:rPr>
              <w:t>38.</w:t>
            </w:r>
            <w:r w:rsidRPr="00866B6B">
              <w:rPr>
                <w:rFonts w:cs="Times New Roman"/>
              </w:rPr>
              <w:t>4</w:t>
            </w:r>
          </w:p>
        </w:tc>
        <w:tc>
          <w:tcPr>
            <w:tcW w:w="975" w:type="dxa"/>
            <w:tcBorders>
              <w:top w:val="nil"/>
              <w:left w:val="nil"/>
              <w:bottom w:val="single" w:sz="8" w:space="0" w:color="auto"/>
              <w:right w:val="nil"/>
            </w:tcBorders>
            <w:shd w:val="clear" w:color="auto" w:fill="auto"/>
            <w:vAlign w:val="center"/>
            <w:hideMark/>
          </w:tcPr>
          <w:p w14:paraId="2279373D"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31.2 </w:t>
            </w:r>
          </w:p>
        </w:tc>
        <w:tc>
          <w:tcPr>
            <w:tcW w:w="975" w:type="dxa"/>
            <w:tcBorders>
              <w:top w:val="nil"/>
              <w:left w:val="nil"/>
              <w:bottom w:val="single" w:sz="8" w:space="0" w:color="auto"/>
              <w:right w:val="nil"/>
            </w:tcBorders>
            <w:shd w:val="clear" w:color="auto" w:fill="auto"/>
            <w:vAlign w:val="center"/>
            <w:hideMark/>
          </w:tcPr>
          <w:p w14:paraId="1F48E0E0"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29.6 </w:t>
            </w:r>
          </w:p>
        </w:tc>
        <w:tc>
          <w:tcPr>
            <w:tcW w:w="975" w:type="dxa"/>
            <w:tcBorders>
              <w:top w:val="nil"/>
              <w:left w:val="nil"/>
              <w:bottom w:val="single" w:sz="8" w:space="0" w:color="auto"/>
              <w:right w:val="nil"/>
            </w:tcBorders>
            <w:shd w:val="clear" w:color="auto" w:fill="auto"/>
            <w:vAlign w:val="center"/>
            <w:hideMark/>
          </w:tcPr>
          <w:p w14:paraId="49E7B051"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29.7 </w:t>
            </w:r>
          </w:p>
        </w:tc>
        <w:tc>
          <w:tcPr>
            <w:tcW w:w="1165" w:type="dxa"/>
            <w:tcBorders>
              <w:top w:val="nil"/>
              <w:left w:val="nil"/>
              <w:bottom w:val="single" w:sz="8" w:space="0" w:color="auto"/>
              <w:right w:val="nil"/>
            </w:tcBorders>
            <w:shd w:val="clear" w:color="auto" w:fill="auto"/>
            <w:vAlign w:val="center"/>
            <w:hideMark/>
          </w:tcPr>
          <w:p w14:paraId="5863DD14"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35.9 </w:t>
            </w:r>
          </w:p>
        </w:tc>
      </w:tr>
      <w:tr w:rsidR="004B3DEE" w:rsidRPr="004C39AC" w14:paraId="7F5677DB" w14:textId="77777777" w:rsidTr="00286DDA">
        <w:trPr>
          <w:trHeight w:val="1005"/>
        </w:trPr>
        <w:tc>
          <w:tcPr>
            <w:tcW w:w="4244" w:type="dxa"/>
            <w:tcBorders>
              <w:top w:val="nil"/>
              <w:left w:val="nil"/>
              <w:bottom w:val="double" w:sz="6" w:space="0" w:color="auto"/>
              <w:right w:val="nil"/>
            </w:tcBorders>
            <w:shd w:val="clear" w:color="auto" w:fill="auto"/>
            <w:vAlign w:val="center"/>
            <w:hideMark/>
          </w:tcPr>
          <w:p w14:paraId="50C7B2E1" w14:textId="2387A99E" w:rsidR="004B3DEE" w:rsidRPr="00607426" w:rsidRDefault="004B3DEE" w:rsidP="004B3DEE">
            <w:pPr>
              <w:spacing w:line="240" w:lineRule="auto"/>
              <w:ind w:firstLine="0"/>
              <w:jc w:val="left"/>
              <w:rPr>
                <w:rFonts w:cs="Times New Roman"/>
              </w:rPr>
            </w:pPr>
            <w:r w:rsidRPr="005A68E6">
              <w:t xml:space="preserve">Share of RA Government </w:t>
            </w:r>
            <w:r w:rsidRPr="005A68E6">
              <w:rPr>
                <w:lang w:val="en-US"/>
              </w:rPr>
              <w:t>Local</w:t>
            </w:r>
            <w:r w:rsidRPr="005A68E6">
              <w:rPr>
                <w:color w:val="000000"/>
              </w:rPr>
              <w:t xml:space="preserve"> Currency</w:t>
            </w:r>
            <w:r w:rsidRPr="005A68E6">
              <w:t xml:space="preserve"> Debt Refixing in One Year </w:t>
            </w:r>
            <w:r>
              <w:rPr>
                <w:lang w:val="en-US"/>
              </w:rPr>
              <w:t xml:space="preserve">in </w:t>
            </w:r>
            <w:r w:rsidRPr="005A68E6">
              <w:rPr>
                <w:lang w:val="en-US"/>
              </w:rPr>
              <w:t>Local</w:t>
            </w:r>
            <w:r w:rsidRPr="005A68E6">
              <w:rPr>
                <w:color w:val="000000"/>
              </w:rPr>
              <w:t xml:space="preserve"> Currency</w:t>
            </w:r>
            <w:r w:rsidRPr="005A68E6">
              <w:t xml:space="preserve"> Debt (%)</w:t>
            </w:r>
          </w:p>
        </w:tc>
        <w:tc>
          <w:tcPr>
            <w:tcW w:w="936" w:type="dxa"/>
            <w:tcBorders>
              <w:top w:val="nil"/>
              <w:left w:val="nil"/>
              <w:bottom w:val="double" w:sz="6" w:space="0" w:color="auto"/>
              <w:right w:val="nil"/>
            </w:tcBorders>
            <w:shd w:val="clear" w:color="auto" w:fill="auto"/>
            <w:vAlign w:val="center"/>
            <w:hideMark/>
          </w:tcPr>
          <w:p w14:paraId="18265222"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14.4</w:t>
            </w:r>
          </w:p>
        </w:tc>
        <w:tc>
          <w:tcPr>
            <w:tcW w:w="975" w:type="dxa"/>
            <w:tcBorders>
              <w:top w:val="nil"/>
              <w:left w:val="nil"/>
              <w:bottom w:val="double" w:sz="6" w:space="0" w:color="auto"/>
              <w:right w:val="nil"/>
            </w:tcBorders>
            <w:shd w:val="clear" w:color="auto" w:fill="auto"/>
            <w:vAlign w:val="center"/>
            <w:hideMark/>
          </w:tcPr>
          <w:p w14:paraId="1129A783"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13.6 </w:t>
            </w:r>
          </w:p>
        </w:tc>
        <w:tc>
          <w:tcPr>
            <w:tcW w:w="975" w:type="dxa"/>
            <w:tcBorders>
              <w:top w:val="nil"/>
              <w:left w:val="nil"/>
              <w:bottom w:val="double" w:sz="6" w:space="0" w:color="auto"/>
              <w:right w:val="nil"/>
            </w:tcBorders>
            <w:shd w:val="clear" w:color="auto" w:fill="auto"/>
            <w:vAlign w:val="center"/>
            <w:hideMark/>
          </w:tcPr>
          <w:p w14:paraId="060C192C"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14.1 </w:t>
            </w:r>
          </w:p>
        </w:tc>
        <w:tc>
          <w:tcPr>
            <w:tcW w:w="975" w:type="dxa"/>
            <w:tcBorders>
              <w:top w:val="nil"/>
              <w:left w:val="nil"/>
              <w:bottom w:val="double" w:sz="6" w:space="0" w:color="auto"/>
              <w:right w:val="nil"/>
            </w:tcBorders>
            <w:shd w:val="clear" w:color="auto" w:fill="auto"/>
            <w:vAlign w:val="center"/>
            <w:hideMark/>
          </w:tcPr>
          <w:p w14:paraId="192E5287"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13.6 </w:t>
            </w:r>
          </w:p>
        </w:tc>
        <w:tc>
          <w:tcPr>
            <w:tcW w:w="1165" w:type="dxa"/>
            <w:tcBorders>
              <w:top w:val="nil"/>
              <w:left w:val="nil"/>
              <w:bottom w:val="double" w:sz="6" w:space="0" w:color="auto"/>
              <w:right w:val="nil"/>
            </w:tcBorders>
            <w:shd w:val="clear" w:color="auto" w:fill="auto"/>
            <w:vAlign w:val="center"/>
            <w:hideMark/>
          </w:tcPr>
          <w:p w14:paraId="2120B899" w14:textId="77777777" w:rsidR="004B3DEE" w:rsidRPr="004C39AC" w:rsidRDefault="004B3DEE" w:rsidP="004B3DEE">
            <w:pPr>
              <w:spacing w:line="240" w:lineRule="auto"/>
              <w:ind w:firstLine="0"/>
              <w:jc w:val="center"/>
              <w:rPr>
                <w:rFonts w:cs="Times New Roman"/>
                <w:lang w:val="en-US"/>
              </w:rPr>
            </w:pPr>
            <w:r w:rsidRPr="004C39AC">
              <w:rPr>
                <w:rFonts w:cs="Times New Roman"/>
                <w:lang w:val="en-US"/>
              </w:rPr>
              <w:t xml:space="preserve">  15.9 </w:t>
            </w:r>
          </w:p>
        </w:tc>
      </w:tr>
    </w:tbl>
    <w:p w14:paraId="1552FE14" w14:textId="60E213FF" w:rsidR="002264FD" w:rsidRDefault="00D55A08" w:rsidP="00D55A08">
      <w:pPr>
        <w:rPr>
          <w:sz w:val="16"/>
          <w:lang w:val="en-US"/>
        </w:rPr>
      </w:pPr>
      <w:r w:rsidRPr="005A68E6">
        <w:rPr>
          <w:sz w:val="16"/>
          <w:lang w:val="en-US"/>
        </w:rPr>
        <w:t>Source: RA MoF calculations and forecasts</w:t>
      </w:r>
    </w:p>
    <w:p w14:paraId="5C25FC7F" w14:textId="77777777" w:rsidR="006029CE" w:rsidRPr="00D55A08" w:rsidRDefault="006029CE" w:rsidP="00D55A08">
      <w:pPr>
        <w:rPr>
          <w:sz w:val="16"/>
          <w:lang w:val="en-US"/>
        </w:rPr>
      </w:pPr>
    </w:p>
    <w:p w14:paraId="2BE9FD9D" w14:textId="57C3F09E" w:rsidR="00F9378D" w:rsidRPr="000C0A81" w:rsidRDefault="000C0A81" w:rsidP="000C0A81">
      <w:pPr>
        <w:pStyle w:val="Heading2"/>
      </w:pPr>
      <w:bookmarkStart w:id="13" w:name="_Toc137412825"/>
      <w:bookmarkStart w:id="14" w:name="_Toc137413246"/>
      <w:bookmarkStart w:id="15" w:name="_Toc137413919"/>
      <w:bookmarkStart w:id="16" w:name="_Toc137414061"/>
      <w:bookmarkStart w:id="17" w:name="_Toc137513463"/>
      <w:bookmarkStart w:id="18" w:name="_Toc137412826"/>
      <w:bookmarkStart w:id="19" w:name="_Toc137413247"/>
      <w:bookmarkStart w:id="20" w:name="_Toc137413920"/>
      <w:bookmarkStart w:id="21" w:name="_Toc137414062"/>
      <w:bookmarkStart w:id="22" w:name="_Toc137513464"/>
      <w:bookmarkStart w:id="23" w:name="_Toc205988177"/>
      <w:bookmarkEnd w:id="13"/>
      <w:bookmarkEnd w:id="14"/>
      <w:bookmarkEnd w:id="15"/>
      <w:bookmarkEnd w:id="16"/>
      <w:bookmarkEnd w:id="17"/>
      <w:bookmarkEnd w:id="18"/>
      <w:bookmarkEnd w:id="19"/>
      <w:bookmarkEnd w:id="20"/>
      <w:bookmarkEnd w:id="21"/>
      <w:bookmarkEnd w:id="22"/>
      <w:r w:rsidRPr="000C0A81">
        <w:t>Benchmark indicators</w:t>
      </w:r>
      <w:bookmarkEnd w:id="23"/>
    </w:p>
    <w:p w14:paraId="35990367" w14:textId="1E559188" w:rsidR="00FE7D11" w:rsidRDefault="00FE7D11" w:rsidP="00FE7D11">
      <w:r>
        <w:t xml:space="preserve">For effective management of the RA Government debt portfolio, it is essential to identify and assess the risks inherent to the portfolio. Accordingly, the RA Government debt management strategy </w:t>
      </w:r>
      <w:r w:rsidRPr="005A68E6">
        <w:rPr>
          <w:lang w:val="en-US"/>
        </w:rPr>
        <w:t xml:space="preserve">defines </w:t>
      </w:r>
      <w:r>
        <w:t xml:space="preserve">benchmark risk indicators aimed at </w:t>
      </w:r>
      <w:r>
        <w:rPr>
          <w:lang w:val="en-US"/>
        </w:rPr>
        <w:t>keeping</w:t>
      </w:r>
      <w:r>
        <w:t xml:space="preserve"> exchange rate, interest rate, and refinancing risks within manageable limits through certain restrictions. These benchmark indicators are established taking into account the specific characteristics and constraints of the RA Government debt management environment.</w:t>
      </w:r>
    </w:p>
    <w:p w14:paraId="58D002F2" w14:textId="655140AF" w:rsidR="00F9378D" w:rsidRPr="00B76333" w:rsidRDefault="003C08CF" w:rsidP="00AD0801">
      <w:pPr>
        <w:pStyle w:val="af6"/>
        <w:numPr>
          <w:ilvl w:val="0"/>
          <w:numId w:val="18"/>
        </w:numPr>
        <w:ind w:left="1276" w:hanging="1276"/>
      </w:pPr>
      <w:r w:rsidRPr="00473661">
        <w:t>Benchmark indicators of the RA Go</w:t>
      </w:r>
      <w:r>
        <w:t>vernment debt portfolio for 2025-2028</w:t>
      </w:r>
      <w:r w:rsidRPr="00473661">
        <w:t xml:space="preserve"> (</w:t>
      </w:r>
      <w:r>
        <w:rPr>
          <w:lang w:val="en-US"/>
        </w:rPr>
        <w:t>as of the end of the year</w:t>
      </w:r>
      <w:r w:rsidRPr="0047366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1"/>
        <w:gridCol w:w="2780"/>
      </w:tblGrid>
      <w:tr w:rsidR="00F9378D" w:rsidRPr="00B76333" w14:paraId="08BDC1D3" w14:textId="77777777" w:rsidTr="002C2C65">
        <w:trPr>
          <w:tblHeader/>
          <w:jc w:val="center"/>
        </w:trPr>
        <w:tc>
          <w:tcPr>
            <w:tcW w:w="7241" w:type="dxa"/>
            <w:tcBorders>
              <w:top w:val="thinThickThinSmallGap" w:sz="24" w:space="0" w:color="auto"/>
              <w:left w:val="nil"/>
              <w:bottom w:val="thinThickSmallGap" w:sz="24" w:space="0" w:color="auto"/>
              <w:right w:val="nil"/>
            </w:tcBorders>
            <w:shd w:val="clear" w:color="auto" w:fill="5B9BD5"/>
          </w:tcPr>
          <w:p w14:paraId="3F0DE47E" w14:textId="77777777" w:rsidR="00F9378D" w:rsidRPr="00B76333" w:rsidRDefault="00F9378D" w:rsidP="002C2C65"/>
        </w:tc>
        <w:tc>
          <w:tcPr>
            <w:tcW w:w="2780" w:type="dxa"/>
            <w:tcBorders>
              <w:top w:val="thinThickThinSmallGap" w:sz="24" w:space="0" w:color="auto"/>
              <w:left w:val="nil"/>
              <w:bottom w:val="thinThickSmallGap" w:sz="24" w:space="0" w:color="auto"/>
              <w:right w:val="nil"/>
            </w:tcBorders>
            <w:shd w:val="clear" w:color="auto" w:fill="5B9BD5"/>
            <w:vAlign w:val="center"/>
          </w:tcPr>
          <w:p w14:paraId="130382CE" w14:textId="07E907D8" w:rsidR="00F9378D" w:rsidRPr="00B76333" w:rsidRDefault="003C08CF" w:rsidP="002C2C65">
            <w:pPr>
              <w:spacing w:line="240" w:lineRule="auto"/>
              <w:ind w:hanging="69"/>
              <w:jc w:val="center"/>
            </w:pPr>
            <w:r>
              <w:rPr>
                <w:lang w:val="en-US"/>
              </w:rPr>
              <w:t>Benchmark</w:t>
            </w:r>
          </w:p>
        </w:tc>
      </w:tr>
      <w:tr w:rsidR="003C08CF" w:rsidRPr="00B76333" w14:paraId="21B4DCDA" w14:textId="77777777" w:rsidTr="00621169">
        <w:trPr>
          <w:trHeight w:val="405"/>
          <w:jc w:val="center"/>
        </w:trPr>
        <w:tc>
          <w:tcPr>
            <w:tcW w:w="7241" w:type="dxa"/>
            <w:tcBorders>
              <w:top w:val="thinThickSmallGap" w:sz="24" w:space="0" w:color="auto"/>
              <w:left w:val="nil"/>
              <w:right w:val="nil"/>
            </w:tcBorders>
          </w:tcPr>
          <w:p w14:paraId="72C17CD6" w14:textId="1657C7EA" w:rsidR="003C08CF" w:rsidRPr="00B76333" w:rsidRDefault="003C08CF" w:rsidP="003C08CF">
            <w:pPr>
              <w:spacing w:line="240" w:lineRule="auto"/>
              <w:ind w:firstLine="647"/>
              <w:jc w:val="left"/>
              <w:rPr>
                <w:b/>
              </w:rPr>
            </w:pPr>
            <w:r w:rsidRPr="005A68E6">
              <w:rPr>
                <w:b/>
                <w:lang w:val="en-US"/>
              </w:rPr>
              <w:t>Refinancing risk</w:t>
            </w:r>
          </w:p>
        </w:tc>
        <w:tc>
          <w:tcPr>
            <w:tcW w:w="2780" w:type="dxa"/>
            <w:tcBorders>
              <w:top w:val="thinThickSmallGap" w:sz="24" w:space="0" w:color="auto"/>
              <w:left w:val="nil"/>
              <w:right w:val="nil"/>
            </w:tcBorders>
            <w:vAlign w:val="center"/>
          </w:tcPr>
          <w:p w14:paraId="03DF1EFF" w14:textId="77777777" w:rsidR="003C08CF" w:rsidRPr="00B76333" w:rsidRDefault="003C08CF" w:rsidP="003C08CF">
            <w:pPr>
              <w:spacing w:line="240" w:lineRule="auto"/>
              <w:ind w:firstLine="0"/>
              <w:jc w:val="center"/>
              <w:rPr>
                <w:b/>
              </w:rPr>
            </w:pPr>
          </w:p>
        </w:tc>
      </w:tr>
      <w:tr w:rsidR="003C08CF" w:rsidRPr="002F6D8D" w14:paraId="55E036A3" w14:textId="77777777" w:rsidTr="00621169">
        <w:trPr>
          <w:jc w:val="center"/>
        </w:trPr>
        <w:tc>
          <w:tcPr>
            <w:tcW w:w="7241" w:type="dxa"/>
            <w:tcBorders>
              <w:left w:val="nil"/>
              <w:right w:val="nil"/>
            </w:tcBorders>
          </w:tcPr>
          <w:p w14:paraId="32896439" w14:textId="63DDDFED" w:rsidR="003C08CF" w:rsidRPr="00B76333" w:rsidRDefault="003C08CF" w:rsidP="003C08CF">
            <w:pPr>
              <w:spacing w:line="240" w:lineRule="auto"/>
              <w:ind w:firstLine="0"/>
              <w:jc w:val="left"/>
            </w:pPr>
            <w:r w:rsidRPr="005A68E6">
              <w:rPr>
                <w:lang w:val="en-US"/>
              </w:rPr>
              <w:t>Average time to maturity</w:t>
            </w:r>
            <w:r w:rsidRPr="005A68E6">
              <w:t xml:space="preserve"> </w:t>
            </w:r>
          </w:p>
        </w:tc>
        <w:tc>
          <w:tcPr>
            <w:tcW w:w="2780" w:type="dxa"/>
            <w:tcBorders>
              <w:left w:val="nil"/>
              <w:right w:val="nil"/>
            </w:tcBorders>
            <w:vAlign w:val="center"/>
          </w:tcPr>
          <w:p w14:paraId="5BD6AE0E" w14:textId="497A6FCA" w:rsidR="003C08CF" w:rsidRPr="00A51355" w:rsidRDefault="003C08CF" w:rsidP="00A51355">
            <w:pPr>
              <w:spacing w:line="240" w:lineRule="auto"/>
              <w:ind w:firstLine="0"/>
              <w:jc w:val="center"/>
              <w:rPr>
                <w:lang w:val="en-US"/>
              </w:rPr>
            </w:pPr>
            <w:r w:rsidRPr="00B76333">
              <w:rPr>
                <w:lang w:val="en-US"/>
              </w:rPr>
              <w:t>7</w:t>
            </w:r>
            <w:r w:rsidRPr="00B76333">
              <w:t>– 1</w:t>
            </w:r>
            <w:r w:rsidRPr="00B76333">
              <w:rPr>
                <w:lang w:val="en-US"/>
              </w:rPr>
              <w:t>0</w:t>
            </w:r>
            <w:r w:rsidRPr="00B76333">
              <w:t xml:space="preserve"> </w:t>
            </w:r>
            <w:r w:rsidR="00A51355">
              <w:rPr>
                <w:lang w:val="en-US"/>
              </w:rPr>
              <w:t>years</w:t>
            </w:r>
          </w:p>
        </w:tc>
      </w:tr>
      <w:tr w:rsidR="003C08CF" w:rsidRPr="0070296A" w14:paraId="566B8556" w14:textId="77777777" w:rsidTr="00A51355">
        <w:trPr>
          <w:trHeight w:val="494"/>
          <w:jc w:val="center"/>
        </w:trPr>
        <w:tc>
          <w:tcPr>
            <w:tcW w:w="7241" w:type="dxa"/>
            <w:tcBorders>
              <w:left w:val="nil"/>
              <w:right w:val="nil"/>
            </w:tcBorders>
            <w:vAlign w:val="center"/>
          </w:tcPr>
          <w:p w14:paraId="159CE61B" w14:textId="423C5F4A" w:rsidR="003C08CF" w:rsidRPr="00B76333" w:rsidRDefault="003C08CF" w:rsidP="003C08CF">
            <w:pPr>
              <w:spacing w:line="240" w:lineRule="auto"/>
              <w:ind w:firstLine="0"/>
              <w:jc w:val="left"/>
            </w:pPr>
            <w:r w:rsidRPr="005A68E6">
              <w:t xml:space="preserve">Share of </w:t>
            </w:r>
            <w:r w:rsidRPr="005A68E6">
              <w:rPr>
                <w:lang w:val="en-US"/>
              </w:rPr>
              <w:t>debt</w:t>
            </w:r>
            <w:r w:rsidRPr="005A68E6">
              <w:t xml:space="preserve"> maturing </w:t>
            </w:r>
            <w:r w:rsidRPr="005A68E6">
              <w:rPr>
                <w:lang w:val="en-US"/>
              </w:rPr>
              <w:t>in</w:t>
            </w:r>
            <w:r w:rsidRPr="005A68E6">
              <w:t xml:space="preserve"> </w:t>
            </w:r>
            <w:r w:rsidRPr="005A68E6">
              <w:rPr>
                <w:lang w:val="en-US"/>
              </w:rPr>
              <w:t xml:space="preserve">the </w:t>
            </w:r>
            <w:r>
              <w:rPr>
                <w:lang w:val="en-US"/>
              </w:rPr>
              <w:t>coming</w:t>
            </w:r>
            <w:r w:rsidRPr="005A68E6">
              <w:rPr>
                <w:lang w:val="en-US"/>
              </w:rPr>
              <w:t xml:space="preserve"> 3 </w:t>
            </w:r>
            <w:r w:rsidRPr="005A68E6">
              <w:t>year</w:t>
            </w:r>
            <w:r w:rsidRPr="005A68E6">
              <w:rPr>
                <w:lang w:val="en-US"/>
              </w:rPr>
              <w:t>s</w:t>
            </w:r>
            <w:r w:rsidRPr="005A68E6">
              <w:t xml:space="preserve"> in total debt</w:t>
            </w:r>
          </w:p>
        </w:tc>
        <w:tc>
          <w:tcPr>
            <w:tcW w:w="2780" w:type="dxa"/>
            <w:tcBorders>
              <w:left w:val="nil"/>
              <w:right w:val="nil"/>
            </w:tcBorders>
            <w:vAlign w:val="center"/>
          </w:tcPr>
          <w:p w14:paraId="3F3459F3" w14:textId="72EE7C2F" w:rsidR="003C08CF" w:rsidRPr="00B76333" w:rsidRDefault="00A51355" w:rsidP="003C08CF">
            <w:pPr>
              <w:spacing w:line="240" w:lineRule="auto"/>
              <w:ind w:firstLine="0"/>
              <w:jc w:val="center"/>
              <w:rPr>
                <w:lang w:val="en-US"/>
              </w:rPr>
            </w:pPr>
            <w:r>
              <w:rPr>
                <w:lang w:val="en-US"/>
              </w:rPr>
              <w:t>max</w:t>
            </w:r>
            <w:r w:rsidR="003C08CF" w:rsidRPr="00B76333">
              <w:t xml:space="preserve"> 35%</w:t>
            </w:r>
          </w:p>
        </w:tc>
      </w:tr>
      <w:tr w:rsidR="00F9378D" w:rsidRPr="00B76333" w14:paraId="4AEDF3BB" w14:textId="77777777" w:rsidTr="002C2C65">
        <w:trPr>
          <w:jc w:val="center"/>
        </w:trPr>
        <w:tc>
          <w:tcPr>
            <w:tcW w:w="7241" w:type="dxa"/>
            <w:tcBorders>
              <w:left w:val="nil"/>
              <w:right w:val="nil"/>
            </w:tcBorders>
            <w:vAlign w:val="center"/>
          </w:tcPr>
          <w:p w14:paraId="75E707B6" w14:textId="751AC96E" w:rsidR="00F9378D" w:rsidRPr="00B76333" w:rsidRDefault="003C08CF" w:rsidP="002C2C65">
            <w:pPr>
              <w:spacing w:line="240" w:lineRule="auto"/>
              <w:ind w:firstLine="0"/>
              <w:jc w:val="left"/>
            </w:pPr>
            <w:r w:rsidRPr="005A68E6">
              <w:t xml:space="preserve">Share of Government treasury bonds maturing </w:t>
            </w:r>
            <w:r w:rsidRPr="005A68E6">
              <w:rPr>
                <w:lang w:val="en-US"/>
              </w:rPr>
              <w:t>in</w:t>
            </w:r>
            <w:r w:rsidRPr="005A68E6">
              <w:t xml:space="preserve"> </w:t>
            </w:r>
            <w:r w:rsidRPr="005A68E6">
              <w:rPr>
                <w:lang w:val="en-US"/>
              </w:rPr>
              <w:t>1</w:t>
            </w:r>
            <w:r w:rsidRPr="005A68E6">
              <w:t xml:space="preserve"> year in the outstanding Government treasury bonds</w:t>
            </w:r>
          </w:p>
        </w:tc>
        <w:tc>
          <w:tcPr>
            <w:tcW w:w="2780" w:type="dxa"/>
            <w:tcBorders>
              <w:left w:val="nil"/>
              <w:right w:val="nil"/>
            </w:tcBorders>
            <w:vAlign w:val="center"/>
          </w:tcPr>
          <w:p w14:paraId="3B1FB84B" w14:textId="422BB658" w:rsidR="00F9378D" w:rsidRPr="00B76333" w:rsidRDefault="00A51355" w:rsidP="002C2C65">
            <w:pPr>
              <w:spacing w:line="240" w:lineRule="auto"/>
              <w:ind w:firstLine="0"/>
              <w:jc w:val="center"/>
            </w:pPr>
            <w:r>
              <w:rPr>
                <w:lang w:val="en-US"/>
              </w:rPr>
              <w:t>max</w:t>
            </w:r>
            <w:r w:rsidR="00F9378D" w:rsidRPr="00B76333">
              <w:t xml:space="preserve"> 20%</w:t>
            </w:r>
          </w:p>
        </w:tc>
      </w:tr>
      <w:tr w:rsidR="00A51355" w:rsidRPr="00B76333" w14:paraId="1339839B" w14:textId="77777777" w:rsidTr="00621169">
        <w:trPr>
          <w:trHeight w:val="417"/>
          <w:jc w:val="center"/>
        </w:trPr>
        <w:tc>
          <w:tcPr>
            <w:tcW w:w="7241" w:type="dxa"/>
            <w:tcBorders>
              <w:left w:val="nil"/>
              <w:right w:val="nil"/>
            </w:tcBorders>
          </w:tcPr>
          <w:p w14:paraId="25AC28A6" w14:textId="7679BCDF" w:rsidR="00A51355" w:rsidRPr="00B76333" w:rsidRDefault="00A51355" w:rsidP="00A51355">
            <w:pPr>
              <w:spacing w:line="240" w:lineRule="auto"/>
              <w:ind w:firstLine="647"/>
              <w:jc w:val="left"/>
              <w:rPr>
                <w:b/>
              </w:rPr>
            </w:pPr>
            <w:r w:rsidRPr="005A68E6">
              <w:rPr>
                <w:b/>
                <w:lang w:val="en-US"/>
              </w:rPr>
              <w:t>Interest rate risk</w:t>
            </w:r>
          </w:p>
        </w:tc>
        <w:tc>
          <w:tcPr>
            <w:tcW w:w="2780" w:type="dxa"/>
            <w:tcBorders>
              <w:left w:val="nil"/>
              <w:right w:val="nil"/>
            </w:tcBorders>
            <w:vAlign w:val="center"/>
          </w:tcPr>
          <w:p w14:paraId="58A0285E" w14:textId="77777777" w:rsidR="00A51355" w:rsidRPr="00B76333" w:rsidRDefault="00A51355" w:rsidP="00A51355">
            <w:pPr>
              <w:spacing w:line="240" w:lineRule="auto"/>
              <w:ind w:firstLine="0"/>
              <w:jc w:val="center"/>
              <w:rPr>
                <w:b/>
              </w:rPr>
            </w:pPr>
          </w:p>
        </w:tc>
      </w:tr>
      <w:tr w:rsidR="00A51355" w:rsidRPr="00B76333" w14:paraId="5CC5CAF8" w14:textId="77777777" w:rsidTr="00621169">
        <w:trPr>
          <w:jc w:val="center"/>
        </w:trPr>
        <w:tc>
          <w:tcPr>
            <w:tcW w:w="7241" w:type="dxa"/>
            <w:tcBorders>
              <w:left w:val="nil"/>
              <w:right w:val="nil"/>
            </w:tcBorders>
          </w:tcPr>
          <w:p w14:paraId="207A828A" w14:textId="06576033" w:rsidR="00A51355" w:rsidRPr="00B76333" w:rsidRDefault="00A51355" w:rsidP="00A51355">
            <w:pPr>
              <w:spacing w:line="240" w:lineRule="auto"/>
              <w:ind w:firstLine="0"/>
              <w:jc w:val="left"/>
            </w:pPr>
            <w:r w:rsidRPr="005A68E6">
              <w:t>Share of fixed rate debt in total debt</w:t>
            </w:r>
          </w:p>
        </w:tc>
        <w:tc>
          <w:tcPr>
            <w:tcW w:w="2780" w:type="dxa"/>
            <w:tcBorders>
              <w:left w:val="nil"/>
              <w:right w:val="nil"/>
            </w:tcBorders>
            <w:vAlign w:val="center"/>
          </w:tcPr>
          <w:p w14:paraId="16EEA893" w14:textId="4DBAB19C" w:rsidR="00A51355" w:rsidRPr="00B76333" w:rsidRDefault="00A51355" w:rsidP="00A51355">
            <w:pPr>
              <w:spacing w:line="240" w:lineRule="auto"/>
              <w:ind w:firstLine="0"/>
              <w:jc w:val="center"/>
            </w:pPr>
            <w:r>
              <w:rPr>
                <w:lang w:val="en-US"/>
              </w:rPr>
              <w:t>min</w:t>
            </w:r>
            <w:r w:rsidRPr="00B76333">
              <w:t xml:space="preserve"> 80%</w:t>
            </w:r>
          </w:p>
        </w:tc>
      </w:tr>
      <w:tr w:rsidR="00A51355" w:rsidRPr="00B76333" w14:paraId="35EEA7E5" w14:textId="77777777" w:rsidTr="00621169">
        <w:trPr>
          <w:trHeight w:val="414"/>
          <w:jc w:val="center"/>
        </w:trPr>
        <w:tc>
          <w:tcPr>
            <w:tcW w:w="7241" w:type="dxa"/>
            <w:tcBorders>
              <w:left w:val="nil"/>
              <w:right w:val="nil"/>
            </w:tcBorders>
          </w:tcPr>
          <w:p w14:paraId="2B087572" w14:textId="12FE2FE9" w:rsidR="00A51355" w:rsidRPr="00B76333" w:rsidRDefault="00A51355" w:rsidP="00A51355">
            <w:pPr>
              <w:spacing w:line="240" w:lineRule="auto"/>
              <w:ind w:firstLine="647"/>
              <w:jc w:val="left"/>
              <w:rPr>
                <w:b/>
              </w:rPr>
            </w:pPr>
            <w:r w:rsidRPr="005A68E6">
              <w:rPr>
                <w:b/>
                <w:lang w:val="en-US"/>
              </w:rPr>
              <w:t>Exchange rate risk</w:t>
            </w:r>
          </w:p>
        </w:tc>
        <w:tc>
          <w:tcPr>
            <w:tcW w:w="2780" w:type="dxa"/>
            <w:tcBorders>
              <w:left w:val="nil"/>
              <w:right w:val="nil"/>
            </w:tcBorders>
            <w:vAlign w:val="center"/>
          </w:tcPr>
          <w:p w14:paraId="7E8E58B9" w14:textId="77777777" w:rsidR="00A51355" w:rsidRPr="00B76333" w:rsidRDefault="00A51355" w:rsidP="00A51355">
            <w:pPr>
              <w:spacing w:line="240" w:lineRule="auto"/>
              <w:ind w:firstLine="0"/>
              <w:jc w:val="center"/>
              <w:rPr>
                <w:b/>
              </w:rPr>
            </w:pPr>
          </w:p>
        </w:tc>
      </w:tr>
      <w:tr w:rsidR="00A51355" w:rsidRPr="00B76333" w14:paraId="611FF0E6" w14:textId="77777777" w:rsidTr="00621169">
        <w:trPr>
          <w:jc w:val="center"/>
        </w:trPr>
        <w:tc>
          <w:tcPr>
            <w:tcW w:w="7241" w:type="dxa"/>
            <w:tcBorders>
              <w:left w:val="nil"/>
              <w:right w:val="nil"/>
            </w:tcBorders>
          </w:tcPr>
          <w:p w14:paraId="1FABCB3E" w14:textId="2F686BD3" w:rsidR="00A51355" w:rsidRPr="00B76333" w:rsidRDefault="00A51355" w:rsidP="00A51355">
            <w:pPr>
              <w:spacing w:line="240" w:lineRule="auto"/>
              <w:ind w:firstLine="0"/>
              <w:jc w:val="left"/>
            </w:pPr>
            <w:r w:rsidRPr="005A68E6">
              <w:t>Share of domestic debt in total debt</w:t>
            </w:r>
          </w:p>
        </w:tc>
        <w:tc>
          <w:tcPr>
            <w:tcW w:w="2780" w:type="dxa"/>
            <w:tcBorders>
              <w:left w:val="nil"/>
              <w:right w:val="nil"/>
            </w:tcBorders>
            <w:vAlign w:val="center"/>
          </w:tcPr>
          <w:p w14:paraId="1CA0D534" w14:textId="40F54803" w:rsidR="00A51355" w:rsidRPr="00B76333" w:rsidRDefault="00A51355" w:rsidP="00A51355">
            <w:pPr>
              <w:spacing w:line="240" w:lineRule="auto"/>
              <w:ind w:firstLine="0"/>
              <w:jc w:val="center"/>
            </w:pPr>
            <w:r>
              <w:rPr>
                <w:lang w:val="en-US"/>
              </w:rPr>
              <w:t>min</w:t>
            </w:r>
            <w:r w:rsidRPr="00B76333">
              <w:t xml:space="preserve"> 40%</w:t>
            </w:r>
          </w:p>
        </w:tc>
      </w:tr>
      <w:tr w:rsidR="00A51355" w:rsidRPr="00B76333" w14:paraId="288957E3" w14:textId="77777777" w:rsidTr="00621169">
        <w:trPr>
          <w:jc w:val="center"/>
        </w:trPr>
        <w:tc>
          <w:tcPr>
            <w:tcW w:w="7241" w:type="dxa"/>
            <w:tcBorders>
              <w:left w:val="nil"/>
              <w:bottom w:val="thickThinSmallGap" w:sz="24" w:space="0" w:color="auto"/>
              <w:right w:val="nil"/>
            </w:tcBorders>
          </w:tcPr>
          <w:p w14:paraId="21698C8F" w14:textId="651055BA" w:rsidR="00A51355" w:rsidRPr="00B76333" w:rsidRDefault="00A51355" w:rsidP="00A51355">
            <w:pPr>
              <w:spacing w:line="240" w:lineRule="auto"/>
              <w:ind w:firstLine="0"/>
              <w:jc w:val="left"/>
              <w:rPr>
                <w:strike/>
              </w:rPr>
            </w:pPr>
            <w:r w:rsidRPr="005A68E6">
              <w:t>Share of A</w:t>
            </w:r>
            <w:r>
              <w:t>MD-</w:t>
            </w:r>
            <w:r w:rsidRPr="005A68E6">
              <w:t>denominated debt in total debt</w:t>
            </w:r>
          </w:p>
        </w:tc>
        <w:tc>
          <w:tcPr>
            <w:tcW w:w="2780" w:type="dxa"/>
            <w:tcBorders>
              <w:left w:val="nil"/>
              <w:bottom w:val="thickThinSmallGap" w:sz="24" w:space="0" w:color="auto"/>
              <w:right w:val="nil"/>
            </w:tcBorders>
            <w:vAlign w:val="center"/>
          </w:tcPr>
          <w:p w14:paraId="69421E17" w14:textId="1F33705C" w:rsidR="00A51355" w:rsidRPr="00B76333" w:rsidRDefault="00A51355" w:rsidP="00A51355">
            <w:pPr>
              <w:spacing w:line="240" w:lineRule="auto"/>
              <w:ind w:firstLine="0"/>
              <w:jc w:val="center"/>
              <w:rPr>
                <w:strike/>
              </w:rPr>
            </w:pPr>
            <w:r>
              <w:rPr>
                <w:lang w:val="en-US"/>
              </w:rPr>
              <w:t>min</w:t>
            </w:r>
            <w:r w:rsidRPr="00B76333">
              <w:t xml:space="preserve"> 40%</w:t>
            </w:r>
          </w:p>
        </w:tc>
      </w:tr>
    </w:tbl>
    <w:p w14:paraId="37FD58C9" w14:textId="6CB77A3B" w:rsidR="00F9378D" w:rsidRDefault="00F9378D" w:rsidP="00A51355">
      <w:pPr>
        <w:rPr>
          <w:sz w:val="18"/>
        </w:rPr>
      </w:pPr>
      <w:r w:rsidRPr="00E06CCC">
        <w:rPr>
          <w:color w:val="FF0000"/>
        </w:rPr>
        <w:t xml:space="preserve"> </w:t>
      </w:r>
      <w:r w:rsidR="00A51355" w:rsidRPr="005A68E6">
        <w:rPr>
          <w:sz w:val="16"/>
          <w:lang w:val="en-US"/>
        </w:rPr>
        <w:t>Source: RA MoF calculations</w:t>
      </w:r>
    </w:p>
    <w:p w14:paraId="0D43EF23" w14:textId="77777777" w:rsidR="002264FD" w:rsidRPr="00C358F1" w:rsidRDefault="002264FD" w:rsidP="00F9378D">
      <w:pPr>
        <w:rPr>
          <w:color w:val="FF0000"/>
        </w:rPr>
      </w:pPr>
    </w:p>
    <w:p w14:paraId="5C194948" w14:textId="2C6F73A4" w:rsidR="00DF7A99" w:rsidRPr="00C358F1" w:rsidRDefault="00DF7A99" w:rsidP="00C358F1">
      <w:r>
        <w:rPr>
          <w:lang w:val="en-US"/>
        </w:rPr>
        <w:t>T</w:t>
      </w:r>
      <w:r>
        <w:t xml:space="preserve">he benchmark indicators of the debt portfolio </w:t>
      </w:r>
      <w:r>
        <w:rPr>
          <w:lang w:val="en-US"/>
        </w:rPr>
        <w:t xml:space="preserve">remain unchanged </w:t>
      </w:r>
      <w:r>
        <w:t>compared to the RA Government Debt Management Strategy for 2025–2027. This reflects the stability</w:t>
      </w:r>
      <w:r>
        <w:rPr>
          <w:lang w:val="en-US"/>
        </w:rPr>
        <w:t xml:space="preserve"> </w:t>
      </w:r>
      <w:r>
        <w:t xml:space="preserve">of the RA Government debt management policy approaches and quantitative targets </w:t>
      </w:r>
      <w:r w:rsidR="00C358F1">
        <w:t>over the medium term.</w:t>
      </w:r>
    </w:p>
    <w:p w14:paraId="5AC1294E" w14:textId="77777777" w:rsidR="00A15C2F" w:rsidRDefault="00A15C2F" w:rsidP="00925B13"/>
    <w:p w14:paraId="43B83B88" w14:textId="26540E40" w:rsidR="00A15C2F" w:rsidRPr="00E06CCC" w:rsidRDefault="00856342" w:rsidP="00A15C2F">
      <w:pPr>
        <w:pStyle w:val="Heading2"/>
      </w:pPr>
      <w:bookmarkStart w:id="24" w:name="_Toc205988178"/>
      <w:r>
        <w:lastRenderedPageBreak/>
        <w:t>Sensitivity analyses</w:t>
      </w:r>
      <w:bookmarkEnd w:id="24"/>
      <w:r>
        <w:t xml:space="preserve"> </w:t>
      </w:r>
    </w:p>
    <w:p w14:paraId="3281A4D0" w14:textId="2E08EDF7" w:rsidR="00E21D78" w:rsidRDefault="00E21D78" w:rsidP="008F61F3">
      <w:r>
        <w:t xml:space="preserve">The analysis of costs and risks presented thus far has been based on projected macroeconomic and fiscal indicators and represents the baseline scenario of the RA Government debt management strategy. </w:t>
      </w:r>
      <w:r w:rsidRPr="00E21D78">
        <w:rPr>
          <w:lang w:val="en-US"/>
        </w:rPr>
        <w:t>The</w:t>
      </w:r>
      <w:r>
        <w:t xml:space="preserve"> following section presents the extent of deviation in cost and risk indicators resulting from the application of various shocks to market variables, compared to the baseline scenario—i.e., the outcomes under the selected strategy.</w:t>
      </w:r>
    </w:p>
    <w:p w14:paraId="48F4DF33" w14:textId="160CEA99" w:rsidR="008F61F3" w:rsidRDefault="008F61F3" w:rsidP="00A15C2F">
      <w:r>
        <w:t xml:space="preserve">If the </w:t>
      </w:r>
      <w:r>
        <w:rPr>
          <w:lang w:val="en-US"/>
        </w:rPr>
        <w:t>AMD</w:t>
      </w:r>
      <w:r>
        <w:t xml:space="preserve"> depreciates by 23%</w:t>
      </w:r>
      <w:r>
        <w:rPr>
          <w:lang w:val="en-US"/>
        </w:rPr>
        <w:t xml:space="preserve"> (</w:t>
      </w:r>
      <w:r>
        <w:t>the largest depreciation historically recorded</w:t>
      </w:r>
      <w:r>
        <w:rPr>
          <w:lang w:val="en-US"/>
        </w:rPr>
        <w:t>)</w:t>
      </w:r>
      <w:r>
        <w:t xml:space="preserve"> against the US</w:t>
      </w:r>
      <w:r>
        <w:rPr>
          <w:lang w:val="en-US"/>
        </w:rPr>
        <w:t>D</w:t>
      </w:r>
      <w:r w:rsidRPr="008F61F3">
        <w:t xml:space="preserve"> </w:t>
      </w:r>
      <w:r>
        <w:t xml:space="preserve">by the end of the first year of the forecast period, the RA Government debt-to-GDP ratio is projected to approach the 60% threshold by the end of 2027, reaching 59.9%, and </w:t>
      </w:r>
      <w:r>
        <w:rPr>
          <w:lang w:val="en-US"/>
        </w:rPr>
        <w:t>to</w:t>
      </w:r>
      <w:r>
        <w:t xml:space="preserve"> exceed it by the end of 2028, reaching 60.5%.</w:t>
      </w:r>
    </w:p>
    <w:p w14:paraId="5134E5F8" w14:textId="18B247D8" w:rsidR="00B0640B" w:rsidRPr="00B0640B" w:rsidRDefault="00B0640B" w:rsidP="00A15C2F">
      <w:pPr>
        <w:rPr>
          <w:lang w:val="en-US"/>
        </w:rPr>
      </w:pPr>
      <w:r>
        <w:t>If the AMD depreciates by 30% against the USD by the end of the first year of the forecast period—which reflects the depreciation rate typically applied in the World Bank debt management strategy quantitative tool—the RA Government debt burden is projected to exceed the maximum threshold by 2026.</w:t>
      </w:r>
    </w:p>
    <w:p w14:paraId="455460D3" w14:textId="487F2C93" w:rsidR="00A15C2F" w:rsidRPr="00A72D84" w:rsidRDefault="009A39E4" w:rsidP="00A72D84">
      <w:pPr>
        <w:pStyle w:val="ListParagraph"/>
        <w:numPr>
          <w:ilvl w:val="0"/>
          <w:numId w:val="20"/>
        </w:numPr>
        <w:spacing w:after="0"/>
        <w:rPr>
          <w:rFonts w:ascii="GHEA Grapalat" w:eastAsia="Times New Roman" w:hAnsi="GHEA Grapalat" w:cs="Times Unicode"/>
          <w:bCs/>
          <w:i/>
          <w:iCs/>
        </w:rPr>
      </w:pPr>
      <w:r w:rsidRPr="00A72D84">
        <w:rPr>
          <w:rFonts w:ascii="GHEA Grapalat" w:eastAsia="Times New Roman" w:hAnsi="GHEA Grapalat" w:cs="Times Unicode"/>
          <w:bCs/>
          <w:i/>
          <w:iCs/>
        </w:rPr>
        <w:t xml:space="preserve"> </w:t>
      </w:r>
      <w:r w:rsidR="00DC32B3" w:rsidRPr="00A72D84">
        <w:rPr>
          <w:rFonts w:ascii="GHEA Grapalat" w:eastAsia="Times New Roman" w:hAnsi="GHEA Grapalat" w:cs="Times Unicode"/>
          <w:bCs/>
          <w:i/>
          <w:iCs/>
        </w:rPr>
        <w:t>RA Government debt/GDP ratio for 2024-2028</w:t>
      </w:r>
    </w:p>
    <w:p w14:paraId="63132700" w14:textId="0D4B3583" w:rsidR="00DC32B3" w:rsidRPr="0070296A" w:rsidRDefault="00DC32B3" w:rsidP="00A72D84">
      <w:pPr>
        <w:pStyle w:val="af7"/>
        <w:spacing w:before="0"/>
        <w:jc w:val="center"/>
      </w:pPr>
      <w:r>
        <w:rPr>
          <w:noProof/>
          <w:lang w:val="en-US"/>
        </w:rPr>
        <w:drawing>
          <wp:inline distT="0" distB="0" distL="0" distR="0" wp14:anchorId="19509C23" wp14:editId="221A90DD">
            <wp:extent cx="5981700" cy="2647950"/>
            <wp:effectExtent l="0" t="0" r="0" b="0"/>
            <wp:docPr id="9" name="Chart 9">
              <a:extLst xmlns:a="http://schemas.openxmlformats.org/drawingml/2006/main">
                <a:ext uri="{FF2B5EF4-FFF2-40B4-BE49-F238E27FC236}">
                  <a16:creationId xmlns:a16="http://schemas.microsoft.com/office/drawing/2014/main" id="{00000000-0008-0000-1000-00004640F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7A76D" w14:textId="77FE3396" w:rsidR="00A15C2F" w:rsidRPr="00DC32B3" w:rsidRDefault="009A39E4" w:rsidP="00DC32B3">
      <w:pPr>
        <w:rPr>
          <w:sz w:val="16"/>
          <w:lang w:val="en-US"/>
        </w:rPr>
      </w:pPr>
      <w:r w:rsidRPr="009A39E4">
        <w:rPr>
          <w:sz w:val="18"/>
          <w:szCs w:val="18"/>
        </w:rPr>
        <w:t xml:space="preserve">    </w:t>
      </w:r>
      <w:r w:rsidR="00DC32B3" w:rsidRPr="005A68E6">
        <w:rPr>
          <w:sz w:val="16"/>
          <w:lang w:val="en-US"/>
        </w:rPr>
        <w:t>Source: RA MoF calculations and forecasts</w:t>
      </w:r>
    </w:p>
    <w:p w14:paraId="3E4ED44B" w14:textId="22D1A2F5" w:rsidR="00A15C2F" w:rsidRPr="00B40706" w:rsidRDefault="00B40706" w:rsidP="00A15C2F">
      <w:pPr>
        <w:pStyle w:val="af8"/>
        <w:rPr>
          <w:lang w:val="en-US"/>
        </w:rPr>
      </w:pPr>
      <w:r>
        <w:rPr>
          <w:lang w:val="en-US"/>
        </w:rPr>
        <w:t>Interest rate shock</w:t>
      </w:r>
    </w:p>
    <w:p w14:paraId="604D79E9" w14:textId="73F6B9FE" w:rsidR="00B40706" w:rsidRPr="0070296A" w:rsidRDefault="00B40706" w:rsidP="00A15C2F">
      <w:r>
        <w:t xml:space="preserve">If floating interest rates—SOFR and 6-month EURIBOR—increase by one percentage point, the </w:t>
      </w:r>
      <w:r w:rsidRPr="00B40706">
        <w:t xml:space="preserve">interest </w:t>
      </w:r>
      <w:r>
        <w:rPr>
          <w:lang w:val="en-US"/>
        </w:rPr>
        <w:t>payments</w:t>
      </w:r>
      <w:r>
        <w:t xml:space="preserve"> on</w:t>
      </w:r>
      <w:r w:rsidRPr="00B40706">
        <w:t xml:space="preserve"> the RA Government foreign currency debt </w:t>
      </w:r>
      <w:r>
        <w:t xml:space="preserve">are projected to </w:t>
      </w:r>
      <w:r>
        <w:rPr>
          <w:lang w:val="en-US"/>
        </w:rPr>
        <w:t>increase</w:t>
      </w:r>
      <w:r>
        <w:t xml:space="preserve"> by an average of AMD 9.8 billion </w:t>
      </w:r>
      <w:r w:rsidR="003539ED">
        <w:t xml:space="preserve">annually </w:t>
      </w:r>
      <w:r>
        <w:t>over 2026–2028.</w:t>
      </w:r>
    </w:p>
    <w:p w14:paraId="5004D3C7" w14:textId="23FC5C67" w:rsidR="00A15C2F" w:rsidRPr="0070296A" w:rsidRDefault="00DC32B3" w:rsidP="00AD0801">
      <w:pPr>
        <w:pStyle w:val="af6"/>
        <w:numPr>
          <w:ilvl w:val="0"/>
          <w:numId w:val="18"/>
        </w:numPr>
        <w:ind w:left="1276" w:hanging="1276"/>
      </w:pPr>
      <w:r w:rsidRPr="00DC32B3">
        <w:lastRenderedPageBreak/>
        <w:t>I</w:t>
      </w:r>
      <w:r w:rsidRPr="00C120DB">
        <w:t xml:space="preserve">mpact of </w:t>
      </w:r>
      <w:r w:rsidRPr="00AE1708">
        <w:t xml:space="preserve">one percentage point change in floating interest rates on interest payments </w:t>
      </w:r>
      <w:r w:rsidRPr="00DC32B3">
        <w:t>of</w:t>
      </w:r>
      <w:r w:rsidRPr="00AE1708">
        <w:t xml:space="preserve"> the RA Government foreign currency debt</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7"/>
        <w:gridCol w:w="1421"/>
        <w:gridCol w:w="1358"/>
        <w:gridCol w:w="1212"/>
      </w:tblGrid>
      <w:tr w:rsidR="00A15C2F" w:rsidRPr="0070296A" w14:paraId="6F6C1C44" w14:textId="77777777" w:rsidTr="00A15C2F">
        <w:trPr>
          <w:trHeight w:val="294"/>
          <w:tblHeader/>
          <w:jc w:val="center"/>
        </w:trPr>
        <w:tc>
          <w:tcPr>
            <w:tcW w:w="5227" w:type="dxa"/>
            <w:tcBorders>
              <w:top w:val="thinThickSmallGap" w:sz="24" w:space="0" w:color="auto"/>
              <w:left w:val="nil"/>
              <w:bottom w:val="thinThickSmallGap" w:sz="24" w:space="0" w:color="auto"/>
              <w:right w:val="nil"/>
            </w:tcBorders>
            <w:shd w:val="clear" w:color="auto" w:fill="5B9BD5"/>
            <w:noWrap/>
            <w:vAlign w:val="center"/>
          </w:tcPr>
          <w:p w14:paraId="643D4F3C" w14:textId="77777777" w:rsidR="00A15C2F" w:rsidRPr="0070296A" w:rsidRDefault="00A15C2F" w:rsidP="00A15C2F">
            <w:pPr>
              <w:spacing w:line="240" w:lineRule="auto"/>
              <w:ind w:firstLine="0"/>
              <w:jc w:val="center"/>
            </w:pPr>
          </w:p>
        </w:tc>
        <w:tc>
          <w:tcPr>
            <w:tcW w:w="1421" w:type="dxa"/>
            <w:tcBorders>
              <w:top w:val="thinThickSmallGap" w:sz="24" w:space="0" w:color="auto"/>
              <w:left w:val="nil"/>
              <w:bottom w:val="thinThickSmallGap" w:sz="24" w:space="0" w:color="auto"/>
              <w:right w:val="nil"/>
            </w:tcBorders>
            <w:shd w:val="clear" w:color="auto" w:fill="5B9BD5"/>
            <w:noWrap/>
            <w:vAlign w:val="center"/>
          </w:tcPr>
          <w:p w14:paraId="1F1597C0" w14:textId="0537942F" w:rsidR="00A15C2F" w:rsidRPr="0070296A" w:rsidRDefault="00A15C2F" w:rsidP="00F125BF">
            <w:pPr>
              <w:spacing w:line="240" w:lineRule="auto"/>
              <w:ind w:firstLine="0"/>
              <w:jc w:val="center"/>
            </w:pPr>
            <w:r w:rsidRPr="0070296A">
              <w:t>202</w:t>
            </w:r>
            <w:r w:rsidR="00F125BF">
              <w:t>6</w:t>
            </w:r>
          </w:p>
        </w:tc>
        <w:tc>
          <w:tcPr>
            <w:tcW w:w="1358" w:type="dxa"/>
            <w:tcBorders>
              <w:top w:val="thinThickSmallGap" w:sz="24" w:space="0" w:color="auto"/>
              <w:left w:val="nil"/>
              <w:bottom w:val="thinThickSmallGap" w:sz="24" w:space="0" w:color="auto"/>
              <w:right w:val="nil"/>
            </w:tcBorders>
            <w:shd w:val="clear" w:color="auto" w:fill="5B9BD5"/>
            <w:noWrap/>
            <w:vAlign w:val="center"/>
          </w:tcPr>
          <w:p w14:paraId="1A6B6A42" w14:textId="30FCACF6" w:rsidR="00A15C2F" w:rsidRPr="004517F3" w:rsidRDefault="00A15C2F" w:rsidP="00F125BF">
            <w:pPr>
              <w:spacing w:line="240" w:lineRule="auto"/>
              <w:ind w:firstLine="0"/>
              <w:jc w:val="center"/>
              <w:rPr>
                <w:lang w:val="en-US"/>
              </w:rPr>
            </w:pPr>
            <w:r w:rsidRPr="0070296A">
              <w:t>202</w:t>
            </w:r>
            <w:r w:rsidR="00F125BF">
              <w:t>7</w:t>
            </w:r>
          </w:p>
        </w:tc>
        <w:tc>
          <w:tcPr>
            <w:tcW w:w="1212" w:type="dxa"/>
            <w:tcBorders>
              <w:top w:val="thinThickSmallGap" w:sz="24" w:space="0" w:color="auto"/>
              <w:left w:val="nil"/>
              <w:bottom w:val="thinThickSmallGap" w:sz="24" w:space="0" w:color="auto"/>
              <w:right w:val="nil"/>
            </w:tcBorders>
            <w:shd w:val="clear" w:color="auto" w:fill="5B9BD5"/>
            <w:noWrap/>
            <w:vAlign w:val="center"/>
          </w:tcPr>
          <w:p w14:paraId="25D820B9" w14:textId="23E4E1BB" w:rsidR="00A15C2F" w:rsidRPr="004517F3" w:rsidRDefault="00A15C2F" w:rsidP="00F125BF">
            <w:pPr>
              <w:spacing w:line="240" w:lineRule="auto"/>
              <w:ind w:firstLine="0"/>
              <w:jc w:val="center"/>
              <w:rPr>
                <w:lang w:val="en-US"/>
              </w:rPr>
            </w:pPr>
            <w:r w:rsidRPr="0070296A">
              <w:t>202</w:t>
            </w:r>
            <w:r w:rsidR="00F125BF">
              <w:t>8</w:t>
            </w:r>
          </w:p>
        </w:tc>
      </w:tr>
      <w:tr w:rsidR="00FA4280" w:rsidRPr="0070296A" w14:paraId="455533F6" w14:textId="77777777" w:rsidTr="00FA4280">
        <w:trPr>
          <w:trHeight w:val="653"/>
          <w:jc w:val="center"/>
        </w:trPr>
        <w:tc>
          <w:tcPr>
            <w:tcW w:w="5227" w:type="dxa"/>
            <w:tcBorders>
              <w:left w:val="nil"/>
              <w:bottom w:val="single" w:sz="4" w:space="0" w:color="auto"/>
              <w:right w:val="nil"/>
            </w:tcBorders>
            <w:shd w:val="clear" w:color="auto" w:fill="auto"/>
            <w:noWrap/>
            <w:vAlign w:val="center"/>
          </w:tcPr>
          <w:p w14:paraId="21854C59" w14:textId="3740B976" w:rsidR="00FA4280" w:rsidRPr="0070296A" w:rsidRDefault="00DC32B3" w:rsidP="00FA4280">
            <w:pPr>
              <w:spacing w:line="240" w:lineRule="auto"/>
              <w:ind w:firstLine="0"/>
              <w:jc w:val="left"/>
            </w:pPr>
            <w:r w:rsidRPr="005A68E6">
              <w:t xml:space="preserve">Change in interest payment for RA Government </w:t>
            </w:r>
            <w:r w:rsidRPr="005A68E6">
              <w:rPr>
                <w:color w:val="000000"/>
              </w:rPr>
              <w:t>foreign currency</w:t>
            </w:r>
            <w:r w:rsidRPr="005A68E6">
              <w:t xml:space="preserve"> debt</w:t>
            </w:r>
            <w:r w:rsidRPr="005A68E6">
              <w:rPr>
                <w:lang w:val="en-US"/>
              </w:rPr>
              <w:t xml:space="preserve"> </w:t>
            </w:r>
            <w:r w:rsidRPr="005A68E6">
              <w:t>(</w:t>
            </w:r>
            <w:r w:rsidRPr="005A68E6">
              <w:rPr>
                <w:lang w:val="en-US"/>
              </w:rPr>
              <w:t>AMD billion)</w:t>
            </w:r>
          </w:p>
        </w:tc>
        <w:tc>
          <w:tcPr>
            <w:tcW w:w="1421" w:type="dxa"/>
            <w:tcBorders>
              <w:left w:val="nil"/>
              <w:bottom w:val="single" w:sz="4" w:space="0" w:color="auto"/>
              <w:right w:val="nil"/>
            </w:tcBorders>
            <w:shd w:val="clear" w:color="auto" w:fill="auto"/>
            <w:noWrap/>
            <w:vAlign w:val="center"/>
          </w:tcPr>
          <w:p w14:paraId="11CEBEB0" w14:textId="1C413CE1" w:rsidR="00FA4280" w:rsidRPr="00FA4280" w:rsidRDefault="00FA4280" w:rsidP="00FA4280">
            <w:pPr>
              <w:spacing w:line="240" w:lineRule="auto"/>
              <w:ind w:firstLine="0"/>
              <w:jc w:val="center"/>
              <w:rPr>
                <w:color w:val="000000" w:themeColor="text1"/>
              </w:rPr>
            </w:pPr>
            <w:r w:rsidRPr="00FA4280">
              <w:rPr>
                <w:color w:val="000000" w:themeColor="text1"/>
              </w:rPr>
              <w:t>8.7</w:t>
            </w:r>
          </w:p>
        </w:tc>
        <w:tc>
          <w:tcPr>
            <w:tcW w:w="1358" w:type="dxa"/>
            <w:tcBorders>
              <w:left w:val="nil"/>
              <w:bottom w:val="single" w:sz="4" w:space="0" w:color="auto"/>
              <w:right w:val="nil"/>
            </w:tcBorders>
            <w:shd w:val="clear" w:color="auto" w:fill="auto"/>
            <w:noWrap/>
            <w:vAlign w:val="center"/>
          </w:tcPr>
          <w:p w14:paraId="43761CEF" w14:textId="7FDE7688" w:rsidR="00FA4280" w:rsidRPr="00B50D80" w:rsidRDefault="00FA4280" w:rsidP="00FA4280">
            <w:pPr>
              <w:spacing w:line="240" w:lineRule="auto"/>
              <w:ind w:firstLine="0"/>
              <w:jc w:val="center"/>
              <w:rPr>
                <w:color w:val="000000" w:themeColor="text1"/>
              </w:rPr>
            </w:pPr>
            <w:r w:rsidRPr="00FA4280">
              <w:rPr>
                <w:color w:val="000000" w:themeColor="text1"/>
              </w:rPr>
              <w:t>9.8</w:t>
            </w:r>
          </w:p>
        </w:tc>
        <w:tc>
          <w:tcPr>
            <w:tcW w:w="1212" w:type="dxa"/>
            <w:tcBorders>
              <w:left w:val="nil"/>
              <w:bottom w:val="single" w:sz="4" w:space="0" w:color="auto"/>
              <w:right w:val="nil"/>
            </w:tcBorders>
            <w:shd w:val="clear" w:color="auto" w:fill="auto"/>
            <w:noWrap/>
            <w:vAlign w:val="center"/>
          </w:tcPr>
          <w:p w14:paraId="2540E31A" w14:textId="15B58964" w:rsidR="00FA4280" w:rsidRPr="00B50D80" w:rsidRDefault="00FA4280" w:rsidP="00FA4280">
            <w:pPr>
              <w:spacing w:line="240" w:lineRule="auto"/>
              <w:ind w:firstLine="0"/>
              <w:jc w:val="center"/>
              <w:rPr>
                <w:color w:val="000000" w:themeColor="text1"/>
              </w:rPr>
            </w:pPr>
            <w:r w:rsidRPr="00FA4280">
              <w:rPr>
                <w:color w:val="000000" w:themeColor="text1"/>
              </w:rPr>
              <w:t>10.9</w:t>
            </w:r>
          </w:p>
        </w:tc>
      </w:tr>
      <w:tr w:rsidR="00DC32B3" w:rsidRPr="0070296A" w14:paraId="27E58C45" w14:textId="77777777" w:rsidTr="00A15C2F">
        <w:trPr>
          <w:trHeight w:val="294"/>
          <w:jc w:val="center"/>
        </w:trPr>
        <w:tc>
          <w:tcPr>
            <w:tcW w:w="5227" w:type="dxa"/>
            <w:tcBorders>
              <w:left w:val="nil"/>
              <w:bottom w:val="single" w:sz="4" w:space="0" w:color="auto"/>
              <w:right w:val="nil"/>
            </w:tcBorders>
            <w:shd w:val="clear" w:color="auto" w:fill="auto"/>
            <w:noWrap/>
            <w:vAlign w:val="center"/>
          </w:tcPr>
          <w:p w14:paraId="70B74433" w14:textId="01CA41C0" w:rsidR="00DC32B3" w:rsidRPr="0070296A" w:rsidRDefault="00DC32B3" w:rsidP="00DC32B3">
            <w:pPr>
              <w:spacing w:line="240" w:lineRule="auto"/>
              <w:ind w:left="393" w:firstLine="708"/>
              <w:jc w:val="left"/>
            </w:pPr>
            <w:r w:rsidRPr="005A68E6">
              <w:rPr>
                <w:lang w:val="en-US"/>
              </w:rPr>
              <w:t>Including:</w:t>
            </w:r>
          </w:p>
        </w:tc>
        <w:tc>
          <w:tcPr>
            <w:tcW w:w="1421" w:type="dxa"/>
            <w:tcBorders>
              <w:left w:val="nil"/>
              <w:bottom w:val="single" w:sz="4" w:space="0" w:color="auto"/>
              <w:right w:val="nil"/>
            </w:tcBorders>
            <w:shd w:val="clear" w:color="auto" w:fill="auto"/>
            <w:noWrap/>
            <w:vAlign w:val="center"/>
          </w:tcPr>
          <w:p w14:paraId="41C03E94" w14:textId="77777777" w:rsidR="00DC32B3" w:rsidRPr="00B50D80" w:rsidRDefault="00DC32B3" w:rsidP="00DC32B3">
            <w:pPr>
              <w:spacing w:line="240" w:lineRule="auto"/>
              <w:ind w:firstLine="0"/>
              <w:jc w:val="center"/>
              <w:rPr>
                <w:color w:val="000000" w:themeColor="text1"/>
              </w:rPr>
            </w:pPr>
          </w:p>
        </w:tc>
        <w:tc>
          <w:tcPr>
            <w:tcW w:w="1358" w:type="dxa"/>
            <w:tcBorders>
              <w:left w:val="nil"/>
              <w:bottom w:val="single" w:sz="4" w:space="0" w:color="auto"/>
              <w:right w:val="nil"/>
            </w:tcBorders>
            <w:shd w:val="clear" w:color="auto" w:fill="auto"/>
            <w:noWrap/>
            <w:vAlign w:val="center"/>
          </w:tcPr>
          <w:p w14:paraId="072D9CE5" w14:textId="77777777" w:rsidR="00DC32B3" w:rsidRPr="00B50D80" w:rsidRDefault="00DC32B3" w:rsidP="00DC32B3">
            <w:pPr>
              <w:spacing w:line="240" w:lineRule="auto"/>
              <w:ind w:firstLine="0"/>
              <w:jc w:val="center"/>
              <w:rPr>
                <w:color w:val="000000" w:themeColor="text1"/>
              </w:rPr>
            </w:pPr>
          </w:p>
        </w:tc>
        <w:tc>
          <w:tcPr>
            <w:tcW w:w="1212" w:type="dxa"/>
            <w:tcBorders>
              <w:left w:val="nil"/>
              <w:bottom w:val="single" w:sz="4" w:space="0" w:color="auto"/>
              <w:right w:val="nil"/>
            </w:tcBorders>
            <w:shd w:val="clear" w:color="auto" w:fill="auto"/>
            <w:noWrap/>
            <w:vAlign w:val="center"/>
          </w:tcPr>
          <w:p w14:paraId="7BE8AA98" w14:textId="77777777" w:rsidR="00DC32B3" w:rsidRPr="00B50D80" w:rsidRDefault="00DC32B3" w:rsidP="00DC32B3">
            <w:pPr>
              <w:spacing w:line="240" w:lineRule="auto"/>
              <w:ind w:firstLine="0"/>
              <w:jc w:val="center"/>
              <w:rPr>
                <w:color w:val="000000" w:themeColor="text1"/>
              </w:rPr>
            </w:pPr>
          </w:p>
        </w:tc>
      </w:tr>
      <w:tr w:rsidR="00DC32B3" w:rsidRPr="0070296A" w14:paraId="76FE43CD" w14:textId="77777777" w:rsidTr="00A15C2F">
        <w:trPr>
          <w:trHeight w:val="294"/>
          <w:jc w:val="center"/>
        </w:trPr>
        <w:tc>
          <w:tcPr>
            <w:tcW w:w="5227" w:type="dxa"/>
            <w:tcBorders>
              <w:left w:val="nil"/>
              <w:right w:val="nil"/>
            </w:tcBorders>
            <w:shd w:val="clear" w:color="auto" w:fill="auto"/>
            <w:noWrap/>
            <w:vAlign w:val="center"/>
          </w:tcPr>
          <w:p w14:paraId="2C430111" w14:textId="58039678" w:rsidR="00DC32B3" w:rsidRPr="0070296A" w:rsidRDefault="00DC32B3" w:rsidP="00DC32B3">
            <w:pPr>
              <w:spacing w:line="240" w:lineRule="auto"/>
              <w:ind w:left="393" w:firstLine="0"/>
              <w:jc w:val="left"/>
            </w:pPr>
            <w:r w:rsidRPr="005A68E6">
              <w:rPr>
                <w:lang w:val="en-US"/>
              </w:rPr>
              <w:t>SOFR</w:t>
            </w:r>
            <w:r w:rsidRPr="005A68E6">
              <w:t xml:space="preserve"> (</w:t>
            </w:r>
            <w:r w:rsidRPr="005A68E6">
              <w:rPr>
                <w:lang w:val="en-US"/>
              </w:rPr>
              <w:t>AMD billion)</w:t>
            </w:r>
          </w:p>
        </w:tc>
        <w:tc>
          <w:tcPr>
            <w:tcW w:w="1421" w:type="dxa"/>
            <w:tcBorders>
              <w:left w:val="nil"/>
              <w:right w:val="nil"/>
            </w:tcBorders>
            <w:shd w:val="clear" w:color="auto" w:fill="auto"/>
            <w:noWrap/>
            <w:vAlign w:val="center"/>
          </w:tcPr>
          <w:p w14:paraId="218CC664" w14:textId="77777777" w:rsidR="00DC32B3" w:rsidRPr="00B50D80" w:rsidRDefault="00DC32B3" w:rsidP="00DC32B3">
            <w:pPr>
              <w:spacing w:line="240" w:lineRule="auto"/>
              <w:ind w:firstLine="0"/>
              <w:jc w:val="center"/>
              <w:rPr>
                <w:rFonts w:cs="Times New Roman"/>
                <w:color w:val="000000" w:themeColor="text1"/>
                <w:lang w:val="en-US"/>
              </w:rPr>
            </w:pPr>
            <w:r w:rsidRPr="00B50D80">
              <w:rPr>
                <w:color w:val="000000" w:themeColor="text1"/>
              </w:rPr>
              <w:t>4.9</w:t>
            </w:r>
          </w:p>
        </w:tc>
        <w:tc>
          <w:tcPr>
            <w:tcW w:w="1358" w:type="dxa"/>
            <w:tcBorders>
              <w:left w:val="nil"/>
              <w:right w:val="nil"/>
            </w:tcBorders>
            <w:shd w:val="clear" w:color="auto" w:fill="auto"/>
            <w:noWrap/>
            <w:vAlign w:val="center"/>
          </w:tcPr>
          <w:p w14:paraId="30A39C4E" w14:textId="526E7620" w:rsidR="00DC32B3" w:rsidRPr="00B50D80" w:rsidRDefault="00DC32B3" w:rsidP="00DC32B3">
            <w:pPr>
              <w:spacing w:line="240" w:lineRule="auto"/>
              <w:ind w:firstLine="0"/>
              <w:jc w:val="center"/>
              <w:rPr>
                <w:color w:val="000000" w:themeColor="text1"/>
              </w:rPr>
            </w:pPr>
            <w:r w:rsidRPr="00B50D80">
              <w:rPr>
                <w:color w:val="000000" w:themeColor="text1"/>
              </w:rPr>
              <w:t>5.0</w:t>
            </w:r>
          </w:p>
        </w:tc>
        <w:tc>
          <w:tcPr>
            <w:tcW w:w="1212" w:type="dxa"/>
            <w:tcBorders>
              <w:left w:val="nil"/>
              <w:right w:val="nil"/>
            </w:tcBorders>
            <w:shd w:val="clear" w:color="auto" w:fill="auto"/>
            <w:noWrap/>
            <w:vAlign w:val="center"/>
          </w:tcPr>
          <w:p w14:paraId="0FB03C19" w14:textId="72B69033" w:rsidR="00DC32B3" w:rsidRPr="00B50D80" w:rsidRDefault="00DC32B3" w:rsidP="00DC32B3">
            <w:pPr>
              <w:spacing w:line="240" w:lineRule="auto"/>
              <w:ind w:firstLine="0"/>
              <w:jc w:val="center"/>
              <w:rPr>
                <w:color w:val="000000" w:themeColor="text1"/>
              </w:rPr>
            </w:pPr>
            <w:r w:rsidRPr="00B50D80">
              <w:rPr>
                <w:color w:val="000000" w:themeColor="text1"/>
              </w:rPr>
              <w:t>4.8</w:t>
            </w:r>
          </w:p>
        </w:tc>
      </w:tr>
      <w:tr w:rsidR="00DC32B3" w:rsidRPr="0070296A" w14:paraId="5CD52EEA" w14:textId="77777777" w:rsidTr="00A15C2F">
        <w:trPr>
          <w:trHeight w:val="294"/>
          <w:jc w:val="center"/>
        </w:trPr>
        <w:tc>
          <w:tcPr>
            <w:tcW w:w="5227" w:type="dxa"/>
            <w:tcBorders>
              <w:top w:val="single" w:sz="4" w:space="0" w:color="auto"/>
              <w:left w:val="nil"/>
              <w:bottom w:val="single" w:sz="4" w:space="0" w:color="auto"/>
              <w:right w:val="nil"/>
            </w:tcBorders>
            <w:shd w:val="clear" w:color="auto" w:fill="auto"/>
            <w:noWrap/>
            <w:vAlign w:val="center"/>
          </w:tcPr>
          <w:p w14:paraId="137BFC92" w14:textId="3723D0F7" w:rsidR="00DC32B3" w:rsidRPr="0070296A" w:rsidRDefault="00DC32B3" w:rsidP="00DC32B3">
            <w:pPr>
              <w:spacing w:line="240" w:lineRule="auto"/>
              <w:ind w:left="393" w:firstLine="0"/>
              <w:jc w:val="left"/>
            </w:pPr>
            <w:r w:rsidRPr="005A68E6">
              <w:t>6-</w:t>
            </w:r>
            <w:r w:rsidRPr="005A68E6">
              <w:rPr>
                <w:lang w:val="en-US"/>
              </w:rPr>
              <w:t>month</w:t>
            </w:r>
            <w:r w:rsidRPr="005A68E6">
              <w:t xml:space="preserve"> Euribor (</w:t>
            </w:r>
            <w:r w:rsidRPr="005A68E6">
              <w:rPr>
                <w:lang w:val="en-US"/>
              </w:rPr>
              <w:t>AMD billion</w:t>
            </w:r>
            <w:r w:rsidRPr="005A68E6">
              <w:t>)</w:t>
            </w:r>
          </w:p>
        </w:tc>
        <w:tc>
          <w:tcPr>
            <w:tcW w:w="1421" w:type="dxa"/>
            <w:tcBorders>
              <w:top w:val="single" w:sz="4" w:space="0" w:color="auto"/>
              <w:left w:val="nil"/>
              <w:bottom w:val="single" w:sz="4" w:space="0" w:color="auto"/>
              <w:right w:val="nil"/>
            </w:tcBorders>
            <w:shd w:val="clear" w:color="auto" w:fill="auto"/>
            <w:noWrap/>
            <w:vAlign w:val="center"/>
          </w:tcPr>
          <w:p w14:paraId="16953280" w14:textId="77777777" w:rsidR="00DC32B3" w:rsidRPr="00B50D80" w:rsidRDefault="00DC32B3" w:rsidP="00DC32B3">
            <w:pPr>
              <w:spacing w:line="240" w:lineRule="auto"/>
              <w:ind w:firstLine="0"/>
              <w:jc w:val="center"/>
              <w:rPr>
                <w:rFonts w:cs="Times New Roman"/>
                <w:color w:val="000000" w:themeColor="text1"/>
                <w:lang w:val="en-US"/>
              </w:rPr>
            </w:pPr>
            <w:r w:rsidRPr="00B50D80">
              <w:rPr>
                <w:color w:val="000000" w:themeColor="text1"/>
              </w:rPr>
              <w:t>3.8</w:t>
            </w:r>
          </w:p>
        </w:tc>
        <w:tc>
          <w:tcPr>
            <w:tcW w:w="1358" w:type="dxa"/>
            <w:tcBorders>
              <w:top w:val="single" w:sz="4" w:space="0" w:color="auto"/>
              <w:left w:val="nil"/>
              <w:bottom w:val="single" w:sz="4" w:space="0" w:color="auto"/>
              <w:right w:val="nil"/>
            </w:tcBorders>
            <w:shd w:val="clear" w:color="auto" w:fill="auto"/>
            <w:noWrap/>
            <w:vAlign w:val="center"/>
          </w:tcPr>
          <w:p w14:paraId="74BF1A95" w14:textId="60C6E7EA" w:rsidR="00DC32B3" w:rsidRPr="00B50D80" w:rsidRDefault="00DC32B3" w:rsidP="00DC32B3">
            <w:pPr>
              <w:spacing w:line="240" w:lineRule="auto"/>
              <w:ind w:firstLine="0"/>
              <w:jc w:val="center"/>
              <w:rPr>
                <w:color w:val="000000" w:themeColor="text1"/>
              </w:rPr>
            </w:pPr>
            <w:r w:rsidRPr="00B50D80">
              <w:rPr>
                <w:color w:val="000000" w:themeColor="text1"/>
              </w:rPr>
              <w:t>4.9</w:t>
            </w:r>
          </w:p>
        </w:tc>
        <w:tc>
          <w:tcPr>
            <w:tcW w:w="1212" w:type="dxa"/>
            <w:tcBorders>
              <w:top w:val="single" w:sz="4" w:space="0" w:color="auto"/>
              <w:left w:val="nil"/>
              <w:bottom w:val="single" w:sz="4" w:space="0" w:color="auto"/>
              <w:right w:val="nil"/>
            </w:tcBorders>
            <w:shd w:val="clear" w:color="auto" w:fill="auto"/>
            <w:noWrap/>
            <w:vAlign w:val="center"/>
          </w:tcPr>
          <w:p w14:paraId="626BCE46" w14:textId="49BBF1B8" w:rsidR="00DC32B3" w:rsidRPr="00B50D80" w:rsidRDefault="00DC32B3" w:rsidP="00DC32B3">
            <w:pPr>
              <w:spacing w:line="240" w:lineRule="auto"/>
              <w:ind w:firstLine="0"/>
              <w:jc w:val="center"/>
              <w:rPr>
                <w:color w:val="000000" w:themeColor="text1"/>
              </w:rPr>
            </w:pPr>
            <w:r w:rsidRPr="00B50D80">
              <w:rPr>
                <w:color w:val="000000" w:themeColor="text1"/>
              </w:rPr>
              <w:t>6.1</w:t>
            </w:r>
          </w:p>
        </w:tc>
      </w:tr>
      <w:tr w:rsidR="00A15C2F" w:rsidRPr="0070296A" w14:paraId="4CEBB3B7" w14:textId="77777777" w:rsidTr="00A15C2F">
        <w:trPr>
          <w:trHeight w:val="612"/>
          <w:jc w:val="center"/>
        </w:trPr>
        <w:tc>
          <w:tcPr>
            <w:tcW w:w="5227" w:type="dxa"/>
            <w:tcBorders>
              <w:top w:val="single" w:sz="4" w:space="0" w:color="auto"/>
              <w:left w:val="nil"/>
              <w:bottom w:val="single" w:sz="4" w:space="0" w:color="auto"/>
              <w:right w:val="nil"/>
            </w:tcBorders>
            <w:shd w:val="clear" w:color="auto" w:fill="auto"/>
            <w:noWrap/>
            <w:vAlign w:val="center"/>
          </w:tcPr>
          <w:p w14:paraId="7975BEE4" w14:textId="174F04A8" w:rsidR="00A15C2F" w:rsidRPr="0070296A" w:rsidRDefault="00BD511A" w:rsidP="00A15C2F">
            <w:pPr>
              <w:spacing w:line="240" w:lineRule="auto"/>
              <w:ind w:firstLine="0"/>
              <w:jc w:val="left"/>
            </w:pPr>
            <w:r w:rsidRPr="005A68E6">
              <w:t>Change in interest payment for RA Governme</w:t>
            </w:r>
            <w:r w:rsidRPr="005A68E6">
              <w:rPr>
                <w:lang w:val="en-US"/>
              </w:rPr>
              <w:t xml:space="preserve">nt </w:t>
            </w:r>
            <w:r w:rsidRPr="005A68E6">
              <w:rPr>
                <w:color w:val="000000"/>
              </w:rPr>
              <w:t>foreign currency</w:t>
            </w:r>
            <w:r w:rsidRPr="005A68E6">
              <w:rPr>
                <w:lang w:val="en-US"/>
              </w:rPr>
              <w:t xml:space="preserve"> debt </w:t>
            </w:r>
            <w:r w:rsidRPr="005A68E6">
              <w:t>(%)</w:t>
            </w:r>
          </w:p>
        </w:tc>
        <w:tc>
          <w:tcPr>
            <w:tcW w:w="1421" w:type="dxa"/>
            <w:tcBorders>
              <w:top w:val="single" w:sz="4" w:space="0" w:color="auto"/>
              <w:left w:val="nil"/>
              <w:bottom w:val="single" w:sz="4" w:space="0" w:color="auto"/>
              <w:right w:val="nil"/>
            </w:tcBorders>
            <w:shd w:val="clear" w:color="auto" w:fill="auto"/>
            <w:noWrap/>
            <w:vAlign w:val="center"/>
          </w:tcPr>
          <w:p w14:paraId="352922A5" w14:textId="77777777" w:rsidR="00A15C2F" w:rsidRPr="00B50D80" w:rsidRDefault="00A15C2F" w:rsidP="00936979">
            <w:pPr>
              <w:spacing w:line="240" w:lineRule="auto"/>
              <w:ind w:firstLine="0"/>
              <w:jc w:val="center"/>
              <w:rPr>
                <w:rFonts w:cs="Times New Roman"/>
                <w:color w:val="000000" w:themeColor="text1"/>
                <w:lang w:val="en-US"/>
              </w:rPr>
            </w:pPr>
            <w:r w:rsidRPr="00B50D80">
              <w:rPr>
                <w:color w:val="000000" w:themeColor="text1"/>
              </w:rPr>
              <w:t>8.3</w:t>
            </w:r>
          </w:p>
        </w:tc>
        <w:tc>
          <w:tcPr>
            <w:tcW w:w="1358" w:type="dxa"/>
            <w:tcBorders>
              <w:top w:val="single" w:sz="4" w:space="0" w:color="auto"/>
              <w:left w:val="nil"/>
              <w:bottom w:val="single" w:sz="4" w:space="0" w:color="auto"/>
              <w:right w:val="nil"/>
            </w:tcBorders>
            <w:shd w:val="clear" w:color="auto" w:fill="auto"/>
            <w:noWrap/>
            <w:vAlign w:val="center"/>
          </w:tcPr>
          <w:p w14:paraId="0622EA7D" w14:textId="4A350765" w:rsidR="00A15C2F" w:rsidRPr="00B50D80" w:rsidRDefault="00A15C2F" w:rsidP="00936979">
            <w:pPr>
              <w:spacing w:line="240" w:lineRule="auto"/>
              <w:ind w:firstLine="0"/>
              <w:jc w:val="center"/>
              <w:rPr>
                <w:color w:val="000000" w:themeColor="text1"/>
              </w:rPr>
            </w:pPr>
            <w:r w:rsidRPr="00B50D80">
              <w:rPr>
                <w:color w:val="000000" w:themeColor="text1"/>
              </w:rPr>
              <w:t>7.8</w:t>
            </w:r>
          </w:p>
        </w:tc>
        <w:tc>
          <w:tcPr>
            <w:tcW w:w="1212" w:type="dxa"/>
            <w:tcBorders>
              <w:top w:val="single" w:sz="4" w:space="0" w:color="auto"/>
              <w:left w:val="nil"/>
              <w:bottom w:val="single" w:sz="4" w:space="0" w:color="auto"/>
              <w:right w:val="nil"/>
            </w:tcBorders>
            <w:shd w:val="clear" w:color="auto" w:fill="auto"/>
            <w:noWrap/>
            <w:vAlign w:val="center"/>
          </w:tcPr>
          <w:p w14:paraId="048A6906" w14:textId="6F698894" w:rsidR="00A15C2F" w:rsidRPr="00B50D80" w:rsidRDefault="00A15C2F" w:rsidP="009F5096">
            <w:pPr>
              <w:spacing w:line="240" w:lineRule="auto"/>
              <w:ind w:firstLine="0"/>
              <w:jc w:val="center"/>
              <w:rPr>
                <w:color w:val="000000" w:themeColor="text1"/>
              </w:rPr>
            </w:pPr>
            <w:r w:rsidRPr="00B50D80">
              <w:rPr>
                <w:color w:val="000000" w:themeColor="text1"/>
              </w:rPr>
              <w:t>7.7</w:t>
            </w:r>
          </w:p>
        </w:tc>
      </w:tr>
      <w:tr w:rsidR="00A15C2F" w:rsidRPr="0070296A" w14:paraId="277CAE33" w14:textId="77777777" w:rsidTr="00A15C2F">
        <w:trPr>
          <w:trHeight w:val="1028"/>
          <w:jc w:val="center"/>
        </w:trPr>
        <w:tc>
          <w:tcPr>
            <w:tcW w:w="5227" w:type="dxa"/>
            <w:tcBorders>
              <w:top w:val="single" w:sz="4" w:space="0" w:color="auto"/>
              <w:left w:val="nil"/>
              <w:bottom w:val="thinThickSmallGap" w:sz="24" w:space="0" w:color="auto"/>
              <w:right w:val="nil"/>
            </w:tcBorders>
            <w:shd w:val="clear" w:color="auto" w:fill="auto"/>
            <w:noWrap/>
            <w:vAlign w:val="center"/>
          </w:tcPr>
          <w:p w14:paraId="095A5797" w14:textId="26DBDDB5" w:rsidR="00A15C2F" w:rsidRPr="0070296A" w:rsidRDefault="00DC32B3" w:rsidP="00A15C2F">
            <w:pPr>
              <w:spacing w:line="240" w:lineRule="auto"/>
              <w:ind w:firstLine="0"/>
              <w:jc w:val="left"/>
            </w:pPr>
            <w:r>
              <w:t xml:space="preserve">Share of </w:t>
            </w:r>
            <w:r>
              <w:rPr>
                <w:lang w:val="en-US"/>
              </w:rPr>
              <w:t xml:space="preserve">the </w:t>
            </w:r>
            <w:r>
              <w:t>change in RA Government foreign currency debt interest payments in state budget own revenues (excluding grants) (%)</w:t>
            </w:r>
          </w:p>
        </w:tc>
        <w:tc>
          <w:tcPr>
            <w:tcW w:w="1421" w:type="dxa"/>
            <w:tcBorders>
              <w:top w:val="single" w:sz="4" w:space="0" w:color="auto"/>
              <w:left w:val="nil"/>
              <w:bottom w:val="thinThickSmallGap" w:sz="24" w:space="0" w:color="auto"/>
              <w:right w:val="nil"/>
            </w:tcBorders>
            <w:shd w:val="clear" w:color="auto" w:fill="auto"/>
            <w:noWrap/>
            <w:vAlign w:val="center"/>
          </w:tcPr>
          <w:p w14:paraId="69DEE2BE" w14:textId="3EA97C45" w:rsidR="00A15C2F" w:rsidRPr="00B50D80" w:rsidRDefault="00A15C2F" w:rsidP="00936979">
            <w:pPr>
              <w:spacing w:line="240" w:lineRule="auto"/>
              <w:ind w:firstLine="0"/>
              <w:jc w:val="center"/>
              <w:rPr>
                <w:rFonts w:cs="Times New Roman"/>
                <w:color w:val="000000" w:themeColor="text1"/>
                <w:lang w:val="en-US"/>
              </w:rPr>
            </w:pPr>
            <w:r w:rsidRPr="00B50D80">
              <w:rPr>
                <w:color w:val="000000" w:themeColor="text1"/>
              </w:rPr>
              <w:t>0.3</w:t>
            </w:r>
          </w:p>
        </w:tc>
        <w:tc>
          <w:tcPr>
            <w:tcW w:w="1358" w:type="dxa"/>
            <w:tcBorders>
              <w:top w:val="single" w:sz="4" w:space="0" w:color="auto"/>
              <w:left w:val="nil"/>
              <w:bottom w:val="thinThickSmallGap" w:sz="24" w:space="0" w:color="auto"/>
              <w:right w:val="nil"/>
            </w:tcBorders>
            <w:shd w:val="clear" w:color="auto" w:fill="auto"/>
            <w:noWrap/>
            <w:vAlign w:val="center"/>
          </w:tcPr>
          <w:p w14:paraId="26AD7748" w14:textId="07112921" w:rsidR="00A15C2F" w:rsidRPr="00B50D80" w:rsidRDefault="00A15C2F" w:rsidP="00936979">
            <w:pPr>
              <w:spacing w:line="240" w:lineRule="auto"/>
              <w:ind w:firstLine="0"/>
              <w:jc w:val="center"/>
              <w:rPr>
                <w:color w:val="000000" w:themeColor="text1"/>
              </w:rPr>
            </w:pPr>
            <w:r w:rsidRPr="00B50D80">
              <w:rPr>
                <w:color w:val="000000" w:themeColor="text1"/>
              </w:rPr>
              <w:t>0.3</w:t>
            </w:r>
          </w:p>
        </w:tc>
        <w:tc>
          <w:tcPr>
            <w:tcW w:w="1212" w:type="dxa"/>
            <w:tcBorders>
              <w:top w:val="single" w:sz="4" w:space="0" w:color="auto"/>
              <w:left w:val="nil"/>
              <w:bottom w:val="thinThickSmallGap" w:sz="24" w:space="0" w:color="auto"/>
              <w:right w:val="nil"/>
            </w:tcBorders>
            <w:shd w:val="clear" w:color="auto" w:fill="auto"/>
            <w:noWrap/>
            <w:vAlign w:val="center"/>
          </w:tcPr>
          <w:p w14:paraId="67C5B9FB" w14:textId="38638419" w:rsidR="00A15C2F" w:rsidRPr="00B50D80" w:rsidRDefault="00A15C2F" w:rsidP="009F5096">
            <w:pPr>
              <w:spacing w:line="240" w:lineRule="auto"/>
              <w:ind w:firstLine="0"/>
              <w:jc w:val="center"/>
              <w:rPr>
                <w:color w:val="000000" w:themeColor="text1"/>
              </w:rPr>
            </w:pPr>
            <w:r w:rsidRPr="00B50D80">
              <w:rPr>
                <w:color w:val="000000" w:themeColor="text1"/>
              </w:rPr>
              <w:t>0.3</w:t>
            </w:r>
          </w:p>
        </w:tc>
      </w:tr>
    </w:tbl>
    <w:p w14:paraId="562C0A6A" w14:textId="6ADDF0A1" w:rsidR="00A15C2F" w:rsidRPr="00A72D84" w:rsidRDefault="00DC32B3" w:rsidP="00A72D84">
      <w:pPr>
        <w:spacing w:before="120" w:after="240"/>
        <w:rPr>
          <w:sz w:val="18"/>
        </w:rPr>
      </w:pPr>
      <w:r w:rsidRPr="005A68E6">
        <w:rPr>
          <w:sz w:val="16"/>
          <w:lang w:val="en-US"/>
        </w:rPr>
        <w:t>Source: RA MoF calculations</w:t>
      </w:r>
    </w:p>
    <w:p w14:paraId="5B31E9A7" w14:textId="78FB39EC" w:rsidR="007B10BF" w:rsidRPr="0070296A" w:rsidRDefault="003539ED" w:rsidP="003539ED">
      <w:r>
        <w:rPr>
          <w:lang w:val="en-US"/>
        </w:rPr>
        <w:t>A</w:t>
      </w:r>
      <w:r w:rsidR="007B10BF">
        <w:t xml:space="preserve">t the beginning of the medium-term period, a one percentage point increase in the yield </w:t>
      </w:r>
      <w:r>
        <w:t xml:space="preserve">curve </w:t>
      </w:r>
      <w:r>
        <w:rPr>
          <w:lang w:val="en-US"/>
        </w:rPr>
        <w:t>i</w:t>
      </w:r>
      <w:r>
        <w:t>n the domestic debt market is projected to increase</w:t>
      </w:r>
      <w:r>
        <w:rPr>
          <w:lang w:val="en-US"/>
        </w:rPr>
        <w:t xml:space="preserve"> debt </w:t>
      </w:r>
      <w:r w:rsidR="007B10BF">
        <w:t>interest payments by an average of AMD 6.6 billion annually over 2026–2028.</w:t>
      </w:r>
    </w:p>
    <w:p w14:paraId="5A514F0A" w14:textId="77438DA1" w:rsidR="00A15C2F" w:rsidRPr="0070296A" w:rsidRDefault="00D55A27" w:rsidP="00D55A27">
      <w:pPr>
        <w:pStyle w:val="af6"/>
        <w:numPr>
          <w:ilvl w:val="0"/>
          <w:numId w:val="18"/>
        </w:numPr>
        <w:ind w:left="1276" w:hanging="1276"/>
      </w:pPr>
      <w:r w:rsidRPr="00D55A27">
        <w:t>I</w:t>
      </w:r>
      <w:r w:rsidRPr="007F3A11">
        <w:t>mpact of one percentage point chang</w:t>
      </w:r>
      <w:r>
        <w:t xml:space="preserve">e in </w:t>
      </w:r>
      <w:r w:rsidRPr="007F3A11">
        <w:t xml:space="preserve">local currency debt interest rate at the beginning of the medium-term on interest payments for the RA Government </w:t>
      </w:r>
      <w:r w:rsidR="0072580E" w:rsidRPr="0072580E">
        <w:t>domestic</w:t>
      </w:r>
      <w:r w:rsidRPr="007F3A11">
        <w:t xml:space="preserve"> debt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7"/>
        <w:gridCol w:w="1170"/>
        <w:gridCol w:w="1040"/>
        <w:gridCol w:w="1107"/>
      </w:tblGrid>
      <w:tr w:rsidR="00A15C2F" w:rsidRPr="0070296A" w14:paraId="2AC4F02B" w14:textId="77777777" w:rsidTr="00A15C2F">
        <w:trPr>
          <w:trHeight w:val="612"/>
          <w:tblHeader/>
          <w:jc w:val="center"/>
        </w:trPr>
        <w:tc>
          <w:tcPr>
            <w:tcW w:w="5627" w:type="dxa"/>
            <w:tcBorders>
              <w:top w:val="thinThickThinSmallGap" w:sz="24" w:space="0" w:color="auto"/>
              <w:left w:val="nil"/>
              <w:bottom w:val="thinThickSmallGap" w:sz="24" w:space="0" w:color="auto"/>
              <w:right w:val="nil"/>
            </w:tcBorders>
            <w:shd w:val="clear" w:color="auto" w:fill="5B9BD5"/>
            <w:vAlign w:val="center"/>
          </w:tcPr>
          <w:p w14:paraId="7C5206C6" w14:textId="77777777" w:rsidR="00A15C2F" w:rsidRPr="0070296A" w:rsidRDefault="00A15C2F" w:rsidP="00A15C2F">
            <w:pPr>
              <w:spacing w:line="240" w:lineRule="auto"/>
              <w:ind w:firstLine="131"/>
              <w:jc w:val="center"/>
            </w:pPr>
          </w:p>
        </w:tc>
        <w:tc>
          <w:tcPr>
            <w:tcW w:w="1170" w:type="dxa"/>
            <w:tcBorders>
              <w:top w:val="thinThickThinSmallGap" w:sz="24" w:space="0" w:color="auto"/>
              <w:left w:val="double" w:sz="4" w:space="0" w:color="auto"/>
              <w:bottom w:val="thinThickSmallGap" w:sz="24" w:space="0" w:color="auto"/>
              <w:right w:val="nil"/>
            </w:tcBorders>
            <w:shd w:val="clear" w:color="auto" w:fill="5B9BD5"/>
            <w:vAlign w:val="center"/>
          </w:tcPr>
          <w:p w14:paraId="71DAD974" w14:textId="77777777" w:rsidR="00A15C2F" w:rsidRPr="00E82B59" w:rsidRDefault="00A15C2F" w:rsidP="00A15C2F">
            <w:pPr>
              <w:spacing w:line="240" w:lineRule="auto"/>
              <w:ind w:firstLine="131"/>
              <w:rPr>
                <w:lang w:val="en-US"/>
              </w:rPr>
            </w:pPr>
            <w:r w:rsidRPr="0070296A">
              <w:t>202</w:t>
            </w:r>
            <w:r>
              <w:rPr>
                <w:lang w:val="en-US"/>
              </w:rPr>
              <w:t>6</w:t>
            </w:r>
          </w:p>
        </w:tc>
        <w:tc>
          <w:tcPr>
            <w:tcW w:w="1040" w:type="dxa"/>
            <w:tcBorders>
              <w:top w:val="thinThickThinSmallGap" w:sz="24" w:space="0" w:color="auto"/>
              <w:left w:val="nil"/>
              <w:bottom w:val="thinThickSmallGap" w:sz="24" w:space="0" w:color="auto"/>
              <w:right w:val="nil"/>
            </w:tcBorders>
            <w:shd w:val="clear" w:color="auto" w:fill="5B9BD5"/>
            <w:vAlign w:val="center"/>
          </w:tcPr>
          <w:p w14:paraId="73D53D56" w14:textId="77777777" w:rsidR="00A15C2F" w:rsidRPr="00E82B59" w:rsidRDefault="00A15C2F" w:rsidP="00A15C2F">
            <w:pPr>
              <w:spacing w:line="240" w:lineRule="auto"/>
              <w:ind w:firstLine="131"/>
              <w:jc w:val="center"/>
              <w:rPr>
                <w:lang w:val="en-US"/>
              </w:rPr>
            </w:pPr>
            <w:r w:rsidRPr="0070296A">
              <w:t>202</w:t>
            </w:r>
            <w:r>
              <w:rPr>
                <w:lang w:val="en-US"/>
              </w:rPr>
              <w:t>7</w:t>
            </w:r>
          </w:p>
        </w:tc>
        <w:tc>
          <w:tcPr>
            <w:tcW w:w="1107" w:type="dxa"/>
            <w:tcBorders>
              <w:top w:val="thinThickThinSmallGap" w:sz="24" w:space="0" w:color="auto"/>
              <w:left w:val="nil"/>
              <w:bottom w:val="thinThickSmallGap" w:sz="24" w:space="0" w:color="auto"/>
              <w:right w:val="nil"/>
            </w:tcBorders>
            <w:shd w:val="clear" w:color="auto" w:fill="5B9BD5"/>
            <w:vAlign w:val="center"/>
          </w:tcPr>
          <w:p w14:paraId="569EF25E" w14:textId="77777777" w:rsidR="00A15C2F" w:rsidRPr="00E82B59" w:rsidRDefault="00A15C2F" w:rsidP="00A15C2F">
            <w:pPr>
              <w:spacing w:line="240" w:lineRule="auto"/>
              <w:ind w:firstLine="131"/>
              <w:jc w:val="center"/>
              <w:rPr>
                <w:lang w:val="en-US"/>
              </w:rPr>
            </w:pPr>
            <w:r w:rsidRPr="0070296A">
              <w:t>202</w:t>
            </w:r>
            <w:r>
              <w:rPr>
                <w:lang w:val="en-US"/>
              </w:rPr>
              <w:t>8</w:t>
            </w:r>
          </w:p>
        </w:tc>
      </w:tr>
      <w:tr w:rsidR="00A15C2F" w:rsidRPr="0070296A" w14:paraId="22E2EC89" w14:textId="77777777" w:rsidTr="00A15C2F">
        <w:trPr>
          <w:trHeight w:val="607"/>
          <w:jc w:val="center"/>
        </w:trPr>
        <w:tc>
          <w:tcPr>
            <w:tcW w:w="5627" w:type="dxa"/>
            <w:tcBorders>
              <w:left w:val="nil"/>
              <w:bottom w:val="single" w:sz="4" w:space="0" w:color="auto"/>
              <w:right w:val="nil"/>
            </w:tcBorders>
            <w:vAlign w:val="center"/>
          </w:tcPr>
          <w:p w14:paraId="603E6A4D" w14:textId="28DA6BF0" w:rsidR="00A15C2F" w:rsidRPr="0070296A" w:rsidRDefault="0072580E" w:rsidP="0072580E">
            <w:pPr>
              <w:spacing w:line="240" w:lineRule="auto"/>
              <w:ind w:firstLine="0"/>
              <w:jc w:val="left"/>
            </w:pPr>
            <w:r w:rsidRPr="005A68E6">
              <w:rPr>
                <w:lang w:val="en-US"/>
              </w:rPr>
              <w:t>Change in interest payment for RA Government local currency debt</w:t>
            </w:r>
            <w:r w:rsidRPr="005A68E6">
              <w:t xml:space="preserve"> (</w:t>
            </w:r>
            <w:r w:rsidRPr="005A68E6">
              <w:rPr>
                <w:lang w:val="en-US"/>
              </w:rPr>
              <w:t>AMD billion</w:t>
            </w:r>
            <w:r w:rsidRPr="005A68E6">
              <w:t>)</w:t>
            </w:r>
          </w:p>
        </w:tc>
        <w:tc>
          <w:tcPr>
            <w:tcW w:w="1170" w:type="dxa"/>
            <w:tcBorders>
              <w:top w:val="thinThickSmallGap" w:sz="24" w:space="0" w:color="auto"/>
              <w:left w:val="nil"/>
              <w:bottom w:val="single" w:sz="4" w:space="0" w:color="auto"/>
              <w:right w:val="nil"/>
            </w:tcBorders>
            <w:shd w:val="clear" w:color="auto" w:fill="auto"/>
            <w:vAlign w:val="center"/>
          </w:tcPr>
          <w:p w14:paraId="5580ED27" w14:textId="77777777" w:rsidR="00A15C2F" w:rsidRPr="00FD6707" w:rsidRDefault="00A15C2F" w:rsidP="00A15C2F">
            <w:pPr>
              <w:spacing w:line="240" w:lineRule="auto"/>
              <w:ind w:firstLine="0"/>
              <w:jc w:val="center"/>
              <w:rPr>
                <w:color w:val="000000" w:themeColor="text1"/>
              </w:rPr>
            </w:pPr>
            <w:r w:rsidRPr="00E82B59">
              <w:rPr>
                <w:color w:val="000000" w:themeColor="text1"/>
              </w:rPr>
              <w:t>0.9</w:t>
            </w:r>
          </w:p>
        </w:tc>
        <w:tc>
          <w:tcPr>
            <w:tcW w:w="1040" w:type="dxa"/>
            <w:tcBorders>
              <w:top w:val="thinThickSmallGap" w:sz="24" w:space="0" w:color="auto"/>
              <w:left w:val="nil"/>
              <w:bottom w:val="single" w:sz="4" w:space="0" w:color="auto"/>
              <w:right w:val="nil"/>
            </w:tcBorders>
            <w:shd w:val="clear" w:color="auto" w:fill="auto"/>
            <w:vAlign w:val="center"/>
          </w:tcPr>
          <w:p w14:paraId="4E16E18F" w14:textId="77777777" w:rsidR="00A15C2F" w:rsidRPr="00E82B59" w:rsidRDefault="00A15C2F" w:rsidP="00E3521D">
            <w:pPr>
              <w:spacing w:line="240" w:lineRule="auto"/>
              <w:ind w:firstLine="0"/>
              <w:jc w:val="center"/>
              <w:rPr>
                <w:color w:val="000000" w:themeColor="text1"/>
              </w:rPr>
            </w:pPr>
            <w:r w:rsidRPr="00E82B59">
              <w:rPr>
                <w:color w:val="000000" w:themeColor="text1"/>
              </w:rPr>
              <w:t>6.8</w:t>
            </w:r>
          </w:p>
        </w:tc>
        <w:tc>
          <w:tcPr>
            <w:tcW w:w="1107" w:type="dxa"/>
            <w:tcBorders>
              <w:top w:val="thinThickSmallGap" w:sz="24" w:space="0" w:color="auto"/>
              <w:left w:val="nil"/>
              <w:bottom w:val="single" w:sz="4" w:space="0" w:color="auto"/>
              <w:right w:val="nil"/>
            </w:tcBorders>
            <w:shd w:val="clear" w:color="auto" w:fill="auto"/>
            <w:vAlign w:val="center"/>
          </w:tcPr>
          <w:p w14:paraId="5ED81678" w14:textId="77777777" w:rsidR="00A15C2F" w:rsidRPr="00E82B59" w:rsidRDefault="00A15C2F" w:rsidP="00E3521D">
            <w:pPr>
              <w:spacing w:line="240" w:lineRule="auto"/>
              <w:ind w:firstLine="0"/>
              <w:jc w:val="center"/>
              <w:rPr>
                <w:color w:val="000000" w:themeColor="text1"/>
              </w:rPr>
            </w:pPr>
            <w:r w:rsidRPr="00E82B59">
              <w:rPr>
                <w:color w:val="000000" w:themeColor="text1"/>
              </w:rPr>
              <w:t>12.2</w:t>
            </w:r>
          </w:p>
        </w:tc>
      </w:tr>
      <w:tr w:rsidR="00A15C2F" w:rsidRPr="0070296A" w14:paraId="5EE2C46D" w14:textId="77777777" w:rsidTr="00A15C2F">
        <w:trPr>
          <w:trHeight w:val="696"/>
          <w:jc w:val="center"/>
        </w:trPr>
        <w:tc>
          <w:tcPr>
            <w:tcW w:w="5627" w:type="dxa"/>
            <w:tcBorders>
              <w:left w:val="nil"/>
              <w:bottom w:val="single" w:sz="4" w:space="0" w:color="auto"/>
              <w:right w:val="nil"/>
            </w:tcBorders>
            <w:vAlign w:val="center"/>
          </w:tcPr>
          <w:p w14:paraId="76990FAB" w14:textId="51A6DD4A" w:rsidR="00A15C2F" w:rsidRPr="0070296A" w:rsidRDefault="0072580E" w:rsidP="0072580E">
            <w:pPr>
              <w:spacing w:line="240" w:lineRule="auto"/>
              <w:ind w:firstLine="0"/>
              <w:jc w:val="left"/>
            </w:pPr>
            <w:r w:rsidRPr="005A68E6">
              <w:t>Change in interest payment for RA Govern</w:t>
            </w:r>
            <w:r w:rsidRPr="005A68E6">
              <w:rPr>
                <w:lang w:val="en-US"/>
              </w:rPr>
              <w:t xml:space="preserve">ment local currency debt </w:t>
            </w:r>
            <w:r w:rsidRPr="005A68E6">
              <w:t>(%)</w:t>
            </w:r>
          </w:p>
        </w:tc>
        <w:tc>
          <w:tcPr>
            <w:tcW w:w="1170" w:type="dxa"/>
            <w:tcBorders>
              <w:top w:val="single" w:sz="4" w:space="0" w:color="auto"/>
              <w:left w:val="nil"/>
              <w:bottom w:val="single" w:sz="4" w:space="0" w:color="auto"/>
              <w:right w:val="nil"/>
            </w:tcBorders>
            <w:shd w:val="clear" w:color="auto" w:fill="auto"/>
            <w:vAlign w:val="center"/>
          </w:tcPr>
          <w:p w14:paraId="68FB1365" w14:textId="77777777" w:rsidR="00A15C2F" w:rsidRPr="00E82B59" w:rsidRDefault="00A15C2F" w:rsidP="00FD6707">
            <w:pPr>
              <w:spacing w:line="240" w:lineRule="auto"/>
              <w:ind w:firstLine="0"/>
              <w:jc w:val="center"/>
              <w:rPr>
                <w:color w:val="000000" w:themeColor="text1"/>
              </w:rPr>
            </w:pPr>
            <w:r w:rsidRPr="00E82B59">
              <w:rPr>
                <w:color w:val="000000" w:themeColor="text1"/>
              </w:rPr>
              <w:t>0.3</w:t>
            </w:r>
          </w:p>
        </w:tc>
        <w:tc>
          <w:tcPr>
            <w:tcW w:w="1040" w:type="dxa"/>
            <w:tcBorders>
              <w:top w:val="single" w:sz="4" w:space="0" w:color="auto"/>
              <w:left w:val="nil"/>
              <w:bottom w:val="single" w:sz="4" w:space="0" w:color="auto"/>
              <w:right w:val="nil"/>
            </w:tcBorders>
            <w:shd w:val="clear" w:color="auto" w:fill="auto"/>
            <w:vAlign w:val="center"/>
          </w:tcPr>
          <w:p w14:paraId="032408B3" w14:textId="77777777" w:rsidR="00A15C2F" w:rsidRPr="00E82B59" w:rsidRDefault="00A15C2F" w:rsidP="00E3521D">
            <w:pPr>
              <w:spacing w:line="240" w:lineRule="auto"/>
              <w:ind w:firstLine="0"/>
              <w:jc w:val="center"/>
              <w:rPr>
                <w:color w:val="000000" w:themeColor="text1"/>
              </w:rPr>
            </w:pPr>
            <w:r w:rsidRPr="00E82B59">
              <w:rPr>
                <w:color w:val="000000" w:themeColor="text1"/>
              </w:rPr>
              <w:t>2.2</w:t>
            </w:r>
          </w:p>
        </w:tc>
        <w:tc>
          <w:tcPr>
            <w:tcW w:w="1107" w:type="dxa"/>
            <w:tcBorders>
              <w:top w:val="single" w:sz="4" w:space="0" w:color="auto"/>
              <w:left w:val="nil"/>
              <w:bottom w:val="single" w:sz="4" w:space="0" w:color="auto"/>
              <w:right w:val="nil"/>
            </w:tcBorders>
            <w:shd w:val="clear" w:color="auto" w:fill="auto"/>
            <w:vAlign w:val="center"/>
          </w:tcPr>
          <w:p w14:paraId="186E69EF" w14:textId="77777777" w:rsidR="00A15C2F" w:rsidRPr="00E82B59" w:rsidRDefault="00A15C2F" w:rsidP="00E3521D">
            <w:pPr>
              <w:spacing w:line="240" w:lineRule="auto"/>
              <w:ind w:firstLine="0"/>
              <w:jc w:val="center"/>
              <w:rPr>
                <w:color w:val="000000" w:themeColor="text1"/>
              </w:rPr>
            </w:pPr>
            <w:r w:rsidRPr="00E82B59">
              <w:rPr>
                <w:color w:val="000000" w:themeColor="text1"/>
              </w:rPr>
              <w:t>3.6</w:t>
            </w:r>
          </w:p>
        </w:tc>
      </w:tr>
      <w:tr w:rsidR="00A15C2F" w:rsidRPr="0070296A" w14:paraId="1C5CFF94" w14:textId="77777777" w:rsidTr="00A15C2F">
        <w:trPr>
          <w:trHeight w:val="944"/>
          <w:jc w:val="center"/>
        </w:trPr>
        <w:tc>
          <w:tcPr>
            <w:tcW w:w="5627" w:type="dxa"/>
            <w:tcBorders>
              <w:top w:val="single" w:sz="4" w:space="0" w:color="auto"/>
              <w:left w:val="nil"/>
              <w:bottom w:val="thickThinSmallGap" w:sz="24" w:space="0" w:color="auto"/>
              <w:right w:val="nil"/>
            </w:tcBorders>
            <w:vAlign w:val="center"/>
          </w:tcPr>
          <w:p w14:paraId="3C9668D5" w14:textId="3325359F" w:rsidR="00A15C2F" w:rsidRPr="0070296A" w:rsidRDefault="0072580E" w:rsidP="0072580E">
            <w:pPr>
              <w:spacing w:line="240" w:lineRule="auto"/>
              <w:ind w:firstLine="0"/>
              <w:jc w:val="left"/>
            </w:pPr>
            <w:r w:rsidRPr="005A68E6">
              <w:t>Share of</w:t>
            </w:r>
            <w:r w:rsidRPr="005A68E6">
              <w:rPr>
                <w:lang w:val="en-US"/>
              </w:rPr>
              <w:t xml:space="preserve"> </w:t>
            </w:r>
            <w:r w:rsidRPr="005A68E6">
              <w:t xml:space="preserve">the change in interest payment </w:t>
            </w:r>
            <w:r>
              <w:rPr>
                <w:lang w:val="en-US"/>
              </w:rPr>
              <w:t>on</w:t>
            </w:r>
            <w:r w:rsidRPr="005A68E6">
              <w:t xml:space="preserve"> RA Government </w:t>
            </w:r>
            <w:r w:rsidRPr="005A68E6">
              <w:rPr>
                <w:lang w:val="en-US"/>
              </w:rPr>
              <w:t>local currency</w:t>
            </w:r>
            <w:r w:rsidRPr="005A68E6">
              <w:t xml:space="preserve"> debt in State </w:t>
            </w:r>
            <w:r w:rsidRPr="005A68E6">
              <w:rPr>
                <w:lang w:val="en-US"/>
              </w:rPr>
              <w:t>b</w:t>
            </w:r>
            <w:r w:rsidRPr="005A68E6">
              <w:t>udget own revenues (</w:t>
            </w:r>
            <w:r>
              <w:rPr>
                <w:lang w:val="en-US"/>
              </w:rPr>
              <w:t>excluding</w:t>
            </w:r>
            <w:r w:rsidRPr="005A68E6">
              <w:t xml:space="preserve"> grants)</w:t>
            </w:r>
            <w:r w:rsidRPr="005A68E6">
              <w:rPr>
                <w:lang w:val="en-US"/>
              </w:rPr>
              <w:t xml:space="preserve"> </w:t>
            </w:r>
            <w:r w:rsidRPr="005A68E6">
              <w:t>(%)</w:t>
            </w:r>
          </w:p>
        </w:tc>
        <w:tc>
          <w:tcPr>
            <w:tcW w:w="1170" w:type="dxa"/>
            <w:tcBorders>
              <w:top w:val="single" w:sz="4" w:space="0" w:color="auto"/>
              <w:left w:val="nil"/>
              <w:bottom w:val="thickThinSmallGap" w:sz="24" w:space="0" w:color="auto"/>
              <w:right w:val="nil"/>
            </w:tcBorders>
            <w:shd w:val="clear" w:color="auto" w:fill="auto"/>
            <w:vAlign w:val="center"/>
          </w:tcPr>
          <w:p w14:paraId="7140880C" w14:textId="77777777" w:rsidR="00A15C2F" w:rsidRPr="00E82B59" w:rsidRDefault="00A15C2F" w:rsidP="00FD6707">
            <w:pPr>
              <w:spacing w:line="240" w:lineRule="auto"/>
              <w:ind w:firstLine="0"/>
              <w:jc w:val="center"/>
              <w:rPr>
                <w:color w:val="000000" w:themeColor="text1"/>
              </w:rPr>
            </w:pPr>
            <w:r w:rsidRPr="00E82B59">
              <w:rPr>
                <w:color w:val="000000" w:themeColor="text1"/>
              </w:rPr>
              <w:t>0.03</w:t>
            </w:r>
          </w:p>
        </w:tc>
        <w:tc>
          <w:tcPr>
            <w:tcW w:w="1040" w:type="dxa"/>
            <w:tcBorders>
              <w:top w:val="single" w:sz="4" w:space="0" w:color="auto"/>
              <w:left w:val="nil"/>
              <w:bottom w:val="thickThinSmallGap" w:sz="24" w:space="0" w:color="auto"/>
              <w:right w:val="nil"/>
            </w:tcBorders>
            <w:shd w:val="clear" w:color="auto" w:fill="auto"/>
            <w:vAlign w:val="center"/>
          </w:tcPr>
          <w:p w14:paraId="53B017F0" w14:textId="77777777" w:rsidR="00A15C2F" w:rsidRPr="00E82B59" w:rsidRDefault="00A15C2F" w:rsidP="00E3521D">
            <w:pPr>
              <w:spacing w:line="240" w:lineRule="auto"/>
              <w:ind w:firstLine="0"/>
              <w:jc w:val="center"/>
              <w:rPr>
                <w:color w:val="000000" w:themeColor="text1"/>
              </w:rPr>
            </w:pPr>
            <w:r w:rsidRPr="00E82B59">
              <w:rPr>
                <w:color w:val="000000" w:themeColor="text1"/>
              </w:rPr>
              <w:t>0.2</w:t>
            </w:r>
          </w:p>
        </w:tc>
        <w:tc>
          <w:tcPr>
            <w:tcW w:w="1107" w:type="dxa"/>
            <w:tcBorders>
              <w:top w:val="single" w:sz="4" w:space="0" w:color="auto"/>
              <w:left w:val="nil"/>
              <w:bottom w:val="thickThinSmallGap" w:sz="24" w:space="0" w:color="auto"/>
              <w:right w:val="nil"/>
            </w:tcBorders>
            <w:shd w:val="clear" w:color="auto" w:fill="auto"/>
            <w:vAlign w:val="center"/>
          </w:tcPr>
          <w:p w14:paraId="25933B77" w14:textId="77777777" w:rsidR="00A15C2F" w:rsidRPr="00E82B59" w:rsidRDefault="00A15C2F" w:rsidP="00E3521D">
            <w:pPr>
              <w:spacing w:line="240" w:lineRule="auto"/>
              <w:ind w:firstLine="0"/>
              <w:jc w:val="center"/>
              <w:rPr>
                <w:color w:val="000000" w:themeColor="text1"/>
              </w:rPr>
            </w:pPr>
            <w:r w:rsidRPr="00E82B59">
              <w:rPr>
                <w:color w:val="000000" w:themeColor="text1"/>
              </w:rPr>
              <w:t>0.3</w:t>
            </w:r>
          </w:p>
        </w:tc>
      </w:tr>
    </w:tbl>
    <w:p w14:paraId="51A01982" w14:textId="0251B31D" w:rsidR="00A15C2F" w:rsidRDefault="0072580E" w:rsidP="00A72D84">
      <w:pPr>
        <w:spacing w:after="240"/>
        <w:rPr>
          <w:color w:val="FF0000"/>
        </w:rPr>
      </w:pPr>
      <w:r w:rsidRPr="005A68E6">
        <w:rPr>
          <w:sz w:val="16"/>
          <w:lang w:val="en-US"/>
        </w:rPr>
        <w:t>Source: RA MoF calculations and forecasts</w:t>
      </w:r>
    </w:p>
    <w:p w14:paraId="4648E378" w14:textId="7DBFBC1F" w:rsidR="003539ED" w:rsidRPr="003539ED" w:rsidRDefault="003539ED" w:rsidP="003539ED">
      <w:r>
        <w:t xml:space="preserve">The conducted sensitivity analyses indicate that the impact of exchange rate shocks on the RA Government debt portfolio remains significantly greater than </w:t>
      </w:r>
      <w:r>
        <w:rPr>
          <w:lang w:val="en-US"/>
        </w:rPr>
        <w:t>the impact</w:t>
      </w:r>
      <w:r>
        <w:t xml:space="preserve"> of interest rate shocks. Nevertheless, interest rate shocks are also an important factor that has been taken into account in developing the debt management strategy.</w:t>
      </w:r>
    </w:p>
    <w:p w14:paraId="4D614E0B" w14:textId="77777777" w:rsidR="00603575" w:rsidRPr="00B1068B" w:rsidRDefault="00603575" w:rsidP="00A1274B"/>
    <w:p w14:paraId="28FBD5D6" w14:textId="6EB52220" w:rsidR="00025E2D" w:rsidRPr="00E06CCC" w:rsidRDefault="003539ED" w:rsidP="00581010">
      <w:pPr>
        <w:pStyle w:val="Heading2"/>
      </w:pPr>
      <w:bookmarkStart w:id="25" w:name="_Toc205988179"/>
      <w:r>
        <w:lastRenderedPageBreak/>
        <w:t>Conclusions</w:t>
      </w:r>
      <w:bookmarkEnd w:id="25"/>
    </w:p>
    <w:p w14:paraId="29186FE6" w14:textId="4475739A" w:rsidR="000F719E" w:rsidRPr="00A72D84" w:rsidRDefault="006025DE" w:rsidP="00A72D84">
      <w:r w:rsidRPr="00D429DA">
        <w:t xml:space="preserve">The analysis of the RA Government debt portfolio cost and risk indicates that, while the portfolio is primarily exposed to exchange rate risk, refinancing and interest rate risks are also significant. </w:t>
      </w:r>
      <w:r w:rsidRPr="006025DE">
        <w:t>In light of</w:t>
      </w:r>
      <w:r>
        <w:rPr>
          <w:lang w:val="en-US"/>
        </w:rPr>
        <w:t xml:space="preserve"> </w:t>
      </w:r>
      <w:r w:rsidRPr="006025DE">
        <w:t>growing financing needs and a recent upward trend in interest rates in both external and domestic markets, the structure of deficit financing has been designed to limit the potential increase in debt interest payments, while maintaining exchange rate, refinancing, and interest rate risk indicators within manageable levels over the medium term.</w:t>
      </w:r>
    </w:p>
    <w:p w14:paraId="0D5825CA" w14:textId="68651DC4" w:rsidR="00C61AF8" w:rsidRPr="00C61AF8" w:rsidRDefault="00C61AF8" w:rsidP="00C61AF8">
      <w:r w:rsidRPr="00D429DA">
        <w:t>The RA Government prioritizes the continued development of the domestic government bond market.</w:t>
      </w:r>
      <w:r>
        <w:t xml:space="preserve"> </w:t>
      </w:r>
      <w:r w:rsidRPr="00D429DA">
        <w:t>H</w:t>
      </w:r>
      <w:r w:rsidRPr="00C61AF8">
        <w:t>owever, the volume of bond issuances must be such that the market activity and liquidity of government securities are not undermined. Therefore, among other factors, the planning of net issuance volumes has also taken into account the demand of key investors and their response to market developments.</w:t>
      </w:r>
    </w:p>
    <w:p w14:paraId="415B4B7D" w14:textId="01D806F2" w:rsidR="00D429DA" w:rsidRDefault="00D429DA" w:rsidP="00D33024">
      <w:r w:rsidRPr="00D429DA">
        <w:t>Over the medium term, efforts will focus on facilitating greater access for non-residents to the government bond market and ensuring at least a 40% share of local currency debt in the structure of the RA Government debt.</w:t>
      </w:r>
      <w:r>
        <w:t xml:space="preserve"> Additionally, the introduction of an electronic system for conducting government bond switch auctions is planned, which will serve as an additional </w:t>
      </w:r>
      <w:r>
        <w:rPr>
          <w:lang w:val="en-US"/>
        </w:rPr>
        <w:t>driver</w:t>
      </w:r>
      <w:r>
        <w:t xml:space="preserve"> </w:t>
      </w:r>
      <w:r>
        <w:rPr>
          <w:lang w:val="en-US"/>
        </w:rPr>
        <w:t>of</w:t>
      </w:r>
      <w:r>
        <w:t xml:space="preserve"> enhancing the liquidity of government securities.</w:t>
      </w:r>
    </w:p>
    <w:p w14:paraId="0D627D13" w14:textId="16F3A600" w:rsidR="003E23E1" w:rsidRDefault="003E23E1" w:rsidP="003E23E1">
      <w:r>
        <w:t xml:space="preserve">It is important to note that measures undertaken </w:t>
      </w:r>
      <w:r>
        <w:rPr>
          <w:lang w:val="en-US"/>
        </w:rPr>
        <w:t xml:space="preserve">solely in the filed of </w:t>
      </w:r>
      <w:r>
        <w:t xml:space="preserve">the RA Government debt management are insufficient to significantly develop the domestic debt market. A key prerequisite for the development of the domestic debt market and the expansion of the investor base is the further development of </w:t>
      </w:r>
      <w:r>
        <w:rPr>
          <w:lang w:val="en-US"/>
        </w:rPr>
        <w:t xml:space="preserve">the </w:t>
      </w:r>
      <w:r>
        <w:t xml:space="preserve">non-bank </w:t>
      </w:r>
      <w:r>
        <w:rPr>
          <w:lang w:val="en-US"/>
        </w:rPr>
        <w:t>sector</w:t>
      </w:r>
      <w:r>
        <w:t xml:space="preserve"> of the financial market.</w:t>
      </w:r>
    </w:p>
    <w:p w14:paraId="6A56CA24" w14:textId="0486977D" w:rsidR="00146AF1" w:rsidRPr="00A72D84" w:rsidRDefault="009A3E68" w:rsidP="00A72D84">
      <w:r>
        <w:t xml:space="preserve">When determining the external sources for financing the RA State Budget deficit, in addition to analyzing the aggregated indicators of cost and risk characteristic of the RA Government debt portfolio and the need for diversification of financing sources, the dynamics of foreign currency inflows and outflows </w:t>
      </w:r>
      <w:r>
        <w:rPr>
          <w:lang w:val="en-US"/>
        </w:rPr>
        <w:t>within</w:t>
      </w:r>
      <w:r>
        <w:t xml:space="preserve"> the RA State Budget cash flows have also been taken into account.</w:t>
      </w:r>
    </w:p>
    <w:p w14:paraId="3021CAFA" w14:textId="44E3CAC8" w:rsidR="009A3E68" w:rsidRPr="009A3E68" w:rsidRDefault="009A3E68" w:rsidP="009A3E68">
      <w:r>
        <w:t xml:space="preserve">Cooperation with external creditors will be expanded, and financing instruments will be diversified. Within the framework of this cooperation, program loans will be directed towards the development of key infrastructure, while the use of results-based instruments will gradually </w:t>
      </w:r>
      <w:r>
        <w:rPr>
          <w:lang w:val="en-US"/>
        </w:rPr>
        <w:t>expand across</w:t>
      </w:r>
      <w:r>
        <w:t xml:space="preserve"> other loans. These instruments will stimulate economic growth and, consequently, generate revenues that will ensure debt sustainability and maintain debt burden indicators at manageable levels.</w:t>
      </w:r>
    </w:p>
    <w:p w14:paraId="372F8CEF" w14:textId="19A23B6B" w:rsidR="002437DE" w:rsidRPr="009A3E68" w:rsidRDefault="009A3E68" w:rsidP="002437DE">
      <w:pPr>
        <w:rPr>
          <w:lang w:val="en-US"/>
        </w:rPr>
      </w:pPr>
      <w:r>
        <w:t xml:space="preserve">Over the medium term, the RA Government will continue its efforts to smooth the debt redemption profile and reduce refinancing risk by </w:t>
      </w:r>
      <w:r w:rsidR="002437DE">
        <w:rPr>
          <w:lang w:val="en-US"/>
        </w:rPr>
        <w:t>applying</w:t>
      </w:r>
      <w:r>
        <w:t xml:space="preserve"> liquidity management </w:t>
      </w:r>
      <w:r w:rsidR="002437DE">
        <w:rPr>
          <w:lang w:val="en-US"/>
        </w:rPr>
        <w:t>instruments</w:t>
      </w:r>
      <w:r>
        <w:t xml:space="preserve"> su</w:t>
      </w:r>
      <w:r w:rsidR="002437DE">
        <w:t xml:space="preserve">ch as maintaining a </w:t>
      </w:r>
      <w:r w:rsidR="002437DE">
        <w:lastRenderedPageBreak/>
        <w:t>cash buffer</w:t>
      </w:r>
      <w:r w:rsidR="002437DE">
        <w:rPr>
          <w:lang w:val="en-US"/>
        </w:rPr>
        <w:t xml:space="preserve"> and</w:t>
      </w:r>
      <w:r w:rsidR="002437DE">
        <w:t xml:space="preserve"> </w:t>
      </w:r>
      <w:r>
        <w:t xml:space="preserve">conducting buybacks and switches. </w:t>
      </w:r>
      <w:r w:rsidR="002437DE">
        <w:t>Where necessary</w:t>
      </w:r>
      <w:r w:rsidR="002437DE">
        <w:rPr>
          <w:lang w:val="en-US"/>
        </w:rPr>
        <w:t>,</w:t>
      </w:r>
      <w:r w:rsidR="002437DE">
        <w:t xml:space="preserve"> and depending on market conditions, active management of interest rate and exchange rate risks will also be undertaken—both by leveraging existing loan agreements and adjusting their terms, as well as by introducing derivative instruments.</w:t>
      </w:r>
    </w:p>
    <w:p w14:paraId="5AE0EC12" w14:textId="77777777" w:rsidR="008D7BAE" w:rsidRDefault="008D7BAE">
      <w:pPr>
        <w:spacing w:line="240" w:lineRule="auto"/>
        <w:ind w:firstLine="0"/>
        <w:jc w:val="left"/>
        <w:rPr>
          <w:color w:val="FF0000"/>
        </w:rPr>
      </w:pPr>
      <w:r>
        <w:rPr>
          <w:color w:val="FF0000"/>
        </w:rPr>
        <w:br w:type="page"/>
      </w:r>
    </w:p>
    <w:p w14:paraId="759DD103" w14:textId="1997428D" w:rsidR="00342653" w:rsidRPr="008D7BAE" w:rsidRDefault="003218BC" w:rsidP="008D7BAE">
      <w:pPr>
        <w:pStyle w:val="Heading1"/>
        <w:numPr>
          <w:ilvl w:val="0"/>
          <w:numId w:val="0"/>
        </w:numPr>
        <w:ind w:left="357"/>
      </w:pPr>
      <w:bookmarkStart w:id="26" w:name="_Toc205988180"/>
      <w:r w:rsidRPr="00A42407">
        <w:lastRenderedPageBreak/>
        <w:t>Appendix</w:t>
      </w:r>
      <w:bookmarkEnd w:id="26"/>
    </w:p>
    <w:p w14:paraId="209EB4A5" w14:textId="06016831" w:rsidR="003218BC" w:rsidRPr="003218BC" w:rsidRDefault="003218BC" w:rsidP="003218BC">
      <w:r>
        <w:t>Actual Debt Indicators of the RA Government for 2023–2024, programmed indicators under the 2025 State Budget, and Forecast Indicators for 2026–2028</w:t>
      </w:r>
    </w:p>
    <w:p w14:paraId="3635122C" w14:textId="6601E401" w:rsidR="00342653" w:rsidRDefault="003218BC" w:rsidP="003218BC">
      <w:pPr>
        <w:pStyle w:val="af6"/>
        <w:numPr>
          <w:ilvl w:val="0"/>
          <w:numId w:val="18"/>
        </w:numPr>
        <w:spacing w:before="0"/>
        <w:ind w:left="1276" w:hanging="1276"/>
      </w:pPr>
      <w:r w:rsidRPr="003218BC">
        <w:t>Key indicators of the RA Go</w:t>
      </w:r>
      <w:r>
        <w:t>vernment debt for 2023-2028</w:t>
      </w:r>
      <w:r w:rsidRPr="003218BC">
        <w:t xml:space="preserve"> (AMD billion)</w:t>
      </w:r>
    </w:p>
    <w:tbl>
      <w:tblPr>
        <w:tblW w:w="5163" w:type="pct"/>
        <w:tblLook w:val="04A0" w:firstRow="1" w:lastRow="0" w:firstColumn="1" w:lastColumn="0" w:noHBand="0" w:noVBand="1"/>
      </w:tblPr>
      <w:tblGrid>
        <w:gridCol w:w="2969"/>
        <w:gridCol w:w="986"/>
        <w:gridCol w:w="988"/>
        <w:gridCol w:w="1495"/>
        <w:gridCol w:w="975"/>
        <w:gridCol w:w="975"/>
        <w:gridCol w:w="984"/>
        <w:gridCol w:w="981"/>
      </w:tblGrid>
      <w:tr w:rsidR="00C530D7" w:rsidRPr="00C530D7" w14:paraId="3166F377" w14:textId="77777777" w:rsidTr="00452781">
        <w:trPr>
          <w:trHeight w:val="1350"/>
        </w:trPr>
        <w:tc>
          <w:tcPr>
            <w:tcW w:w="1434" w:type="pct"/>
            <w:tcBorders>
              <w:top w:val="double" w:sz="6" w:space="0" w:color="auto"/>
              <w:left w:val="nil"/>
              <w:bottom w:val="double" w:sz="6" w:space="0" w:color="auto"/>
              <w:right w:val="nil"/>
            </w:tcBorders>
            <w:shd w:val="clear" w:color="000000" w:fill="5B9BD5"/>
            <w:vAlign w:val="center"/>
            <w:hideMark/>
          </w:tcPr>
          <w:p w14:paraId="6E3D774C" w14:textId="77777777" w:rsidR="00C530D7" w:rsidRPr="006672FA" w:rsidRDefault="00C530D7" w:rsidP="00C530D7">
            <w:pPr>
              <w:spacing w:line="240" w:lineRule="auto"/>
              <w:ind w:firstLine="0"/>
              <w:jc w:val="center"/>
              <w:rPr>
                <w:rFonts w:cs="Times New Roman"/>
              </w:rPr>
            </w:pPr>
            <w:r w:rsidRPr="006672FA">
              <w:rPr>
                <w:rFonts w:ascii="Calibri" w:hAnsi="Calibri" w:cs="Calibri"/>
              </w:rPr>
              <w:t> </w:t>
            </w:r>
          </w:p>
        </w:tc>
        <w:tc>
          <w:tcPr>
            <w:tcW w:w="476" w:type="pct"/>
            <w:tcBorders>
              <w:top w:val="double" w:sz="6" w:space="0" w:color="auto"/>
              <w:left w:val="nil"/>
              <w:bottom w:val="double" w:sz="6" w:space="0" w:color="auto"/>
              <w:right w:val="nil"/>
            </w:tcBorders>
            <w:shd w:val="clear" w:color="000000" w:fill="5B9BD5"/>
            <w:vAlign w:val="center"/>
            <w:hideMark/>
          </w:tcPr>
          <w:p w14:paraId="471681E4" w14:textId="36D86789" w:rsidR="00C530D7" w:rsidRPr="00C530D7" w:rsidRDefault="00C530D7" w:rsidP="00C530D7">
            <w:pPr>
              <w:spacing w:line="240" w:lineRule="auto"/>
              <w:ind w:firstLine="0"/>
              <w:jc w:val="center"/>
              <w:rPr>
                <w:rFonts w:cs="Times New Roman"/>
                <w:lang w:val="en-US"/>
              </w:rPr>
            </w:pPr>
            <w:r w:rsidRPr="00C530D7">
              <w:rPr>
                <w:rFonts w:cs="Times New Roman"/>
                <w:lang w:val="en-US"/>
              </w:rPr>
              <w:t xml:space="preserve">2023 </w:t>
            </w:r>
            <w:r w:rsidR="004328C2">
              <w:rPr>
                <w:lang w:val="en-US"/>
              </w:rPr>
              <w:t>actual</w:t>
            </w:r>
          </w:p>
        </w:tc>
        <w:tc>
          <w:tcPr>
            <w:tcW w:w="477" w:type="pct"/>
            <w:tcBorders>
              <w:top w:val="double" w:sz="6" w:space="0" w:color="auto"/>
              <w:left w:val="nil"/>
              <w:bottom w:val="double" w:sz="6" w:space="0" w:color="auto"/>
              <w:right w:val="nil"/>
            </w:tcBorders>
            <w:shd w:val="clear" w:color="000000" w:fill="5B9BD5"/>
            <w:vAlign w:val="center"/>
            <w:hideMark/>
          </w:tcPr>
          <w:p w14:paraId="4581D53B" w14:textId="5E44B1A1" w:rsidR="00C530D7" w:rsidRPr="00C530D7" w:rsidRDefault="00C530D7" w:rsidP="00C530D7">
            <w:pPr>
              <w:spacing w:line="240" w:lineRule="auto"/>
              <w:ind w:firstLine="0"/>
              <w:jc w:val="center"/>
              <w:rPr>
                <w:rFonts w:cs="Times New Roman"/>
                <w:lang w:val="en-US"/>
              </w:rPr>
            </w:pPr>
            <w:r w:rsidRPr="00C530D7">
              <w:rPr>
                <w:rFonts w:cs="Times New Roman"/>
                <w:lang w:val="en-US"/>
              </w:rPr>
              <w:t xml:space="preserve">2024 </w:t>
            </w:r>
            <w:r w:rsidR="004328C2">
              <w:rPr>
                <w:lang w:val="en-US"/>
              </w:rPr>
              <w:t>actual</w:t>
            </w:r>
          </w:p>
        </w:tc>
        <w:tc>
          <w:tcPr>
            <w:tcW w:w="722" w:type="pct"/>
            <w:tcBorders>
              <w:top w:val="double" w:sz="6" w:space="0" w:color="auto"/>
              <w:left w:val="nil"/>
              <w:bottom w:val="double" w:sz="6" w:space="0" w:color="auto"/>
              <w:right w:val="double" w:sz="6" w:space="0" w:color="auto"/>
            </w:tcBorders>
            <w:shd w:val="clear" w:color="000000" w:fill="5B9BD5"/>
            <w:vAlign w:val="center"/>
            <w:hideMark/>
          </w:tcPr>
          <w:p w14:paraId="5B7E22B4" w14:textId="77777777" w:rsidR="004328C2" w:rsidRDefault="00C530D7" w:rsidP="004328C2">
            <w:pPr>
              <w:spacing w:line="240" w:lineRule="auto"/>
              <w:ind w:firstLine="0"/>
              <w:jc w:val="center"/>
              <w:rPr>
                <w:rFonts w:cs="Times New Roman"/>
                <w:lang w:val="en-US"/>
              </w:rPr>
            </w:pPr>
            <w:r w:rsidRPr="00C530D7">
              <w:rPr>
                <w:rFonts w:cs="Times New Roman"/>
                <w:lang w:val="en-US"/>
              </w:rPr>
              <w:t>2025</w:t>
            </w:r>
            <w:r w:rsidR="004328C2">
              <w:rPr>
                <w:rFonts w:cs="Times New Roman"/>
                <w:lang w:val="en-US"/>
              </w:rPr>
              <w:t xml:space="preserve"> </w:t>
            </w:r>
            <w:r w:rsidRPr="00C530D7">
              <w:rPr>
                <w:rFonts w:cs="Times New Roman"/>
                <w:lang w:val="en-US"/>
              </w:rPr>
              <w:t xml:space="preserve"> </w:t>
            </w:r>
          </w:p>
          <w:p w14:paraId="20DE0443" w14:textId="0BE7ED0F" w:rsidR="00C530D7" w:rsidRPr="00C530D7" w:rsidRDefault="004328C2" w:rsidP="004328C2">
            <w:pPr>
              <w:spacing w:line="240" w:lineRule="auto"/>
              <w:ind w:firstLine="0"/>
              <w:jc w:val="center"/>
              <w:rPr>
                <w:rFonts w:cs="Times New Roman"/>
                <w:lang w:val="en-US"/>
              </w:rPr>
            </w:pPr>
            <w:r>
              <w:rPr>
                <w:rFonts w:cs="Times New Roman"/>
                <w:lang w:val="en-US"/>
              </w:rPr>
              <w:t>State Budget program</w:t>
            </w:r>
          </w:p>
        </w:tc>
        <w:tc>
          <w:tcPr>
            <w:tcW w:w="471" w:type="pct"/>
            <w:tcBorders>
              <w:top w:val="double" w:sz="6" w:space="0" w:color="auto"/>
              <w:left w:val="nil"/>
              <w:bottom w:val="double" w:sz="6" w:space="0" w:color="auto"/>
              <w:right w:val="nil"/>
            </w:tcBorders>
            <w:shd w:val="clear" w:color="000000" w:fill="5B9BD5"/>
            <w:vAlign w:val="center"/>
            <w:hideMark/>
          </w:tcPr>
          <w:p w14:paraId="0056514A" w14:textId="508B8DFC" w:rsidR="00C530D7" w:rsidRPr="00C530D7" w:rsidRDefault="00C530D7" w:rsidP="00C530D7">
            <w:pPr>
              <w:spacing w:line="240" w:lineRule="auto"/>
              <w:ind w:firstLine="0"/>
              <w:jc w:val="center"/>
              <w:rPr>
                <w:rFonts w:cs="Times New Roman"/>
                <w:lang w:val="en-US"/>
              </w:rPr>
            </w:pPr>
            <w:r w:rsidRPr="00C530D7">
              <w:rPr>
                <w:rFonts w:cs="Times New Roman"/>
                <w:lang w:val="en-US"/>
              </w:rPr>
              <w:t xml:space="preserve">2025 </w:t>
            </w:r>
            <w:r w:rsidR="004328C2" w:rsidRPr="005A68E6">
              <w:rPr>
                <w:lang w:val="en-US"/>
              </w:rPr>
              <w:t>forecast</w:t>
            </w:r>
          </w:p>
        </w:tc>
        <w:tc>
          <w:tcPr>
            <w:tcW w:w="471" w:type="pct"/>
            <w:tcBorders>
              <w:top w:val="double" w:sz="6" w:space="0" w:color="auto"/>
              <w:left w:val="nil"/>
              <w:bottom w:val="double" w:sz="6" w:space="0" w:color="auto"/>
              <w:right w:val="nil"/>
            </w:tcBorders>
            <w:shd w:val="clear" w:color="000000" w:fill="5B9BD5"/>
            <w:vAlign w:val="center"/>
            <w:hideMark/>
          </w:tcPr>
          <w:p w14:paraId="0A793A49" w14:textId="014031CD" w:rsidR="00C530D7" w:rsidRPr="00C530D7" w:rsidRDefault="00C530D7" w:rsidP="00C530D7">
            <w:pPr>
              <w:spacing w:line="240" w:lineRule="auto"/>
              <w:ind w:firstLine="0"/>
              <w:jc w:val="center"/>
              <w:rPr>
                <w:rFonts w:cs="Times New Roman"/>
                <w:lang w:val="en-US"/>
              </w:rPr>
            </w:pPr>
            <w:r w:rsidRPr="00C530D7">
              <w:rPr>
                <w:rFonts w:cs="Times New Roman"/>
                <w:lang w:val="en-US"/>
              </w:rPr>
              <w:t xml:space="preserve">2026 </w:t>
            </w:r>
            <w:r w:rsidR="004328C2" w:rsidRPr="005A68E6">
              <w:rPr>
                <w:lang w:val="en-US"/>
              </w:rPr>
              <w:t>forecast</w:t>
            </w:r>
          </w:p>
        </w:tc>
        <w:tc>
          <w:tcPr>
            <w:tcW w:w="475" w:type="pct"/>
            <w:tcBorders>
              <w:top w:val="double" w:sz="6" w:space="0" w:color="auto"/>
              <w:left w:val="nil"/>
              <w:bottom w:val="double" w:sz="6" w:space="0" w:color="auto"/>
              <w:right w:val="nil"/>
            </w:tcBorders>
            <w:shd w:val="clear" w:color="000000" w:fill="5B9BD5"/>
            <w:vAlign w:val="center"/>
            <w:hideMark/>
          </w:tcPr>
          <w:p w14:paraId="67BDB10D" w14:textId="65530D3C" w:rsidR="00C530D7" w:rsidRPr="00C530D7" w:rsidRDefault="00C530D7" w:rsidP="00C530D7">
            <w:pPr>
              <w:spacing w:line="240" w:lineRule="auto"/>
              <w:ind w:firstLine="0"/>
              <w:jc w:val="center"/>
              <w:rPr>
                <w:rFonts w:cs="Times New Roman"/>
                <w:lang w:val="en-US"/>
              </w:rPr>
            </w:pPr>
            <w:r w:rsidRPr="00C530D7">
              <w:rPr>
                <w:rFonts w:cs="Times New Roman"/>
                <w:lang w:val="en-US"/>
              </w:rPr>
              <w:t xml:space="preserve">2027 </w:t>
            </w:r>
            <w:r w:rsidR="004328C2" w:rsidRPr="005A68E6">
              <w:rPr>
                <w:lang w:val="en-US"/>
              </w:rPr>
              <w:t>forecast</w:t>
            </w:r>
          </w:p>
        </w:tc>
        <w:tc>
          <w:tcPr>
            <w:tcW w:w="474" w:type="pct"/>
            <w:tcBorders>
              <w:top w:val="double" w:sz="6" w:space="0" w:color="auto"/>
              <w:left w:val="nil"/>
              <w:bottom w:val="double" w:sz="6" w:space="0" w:color="auto"/>
              <w:right w:val="nil"/>
            </w:tcBorders>
            <w:shd w:val="clear" w:color="000000" w:fill="5B9BD5"/>
            <w:vAlign w:val="center"/>
            <w:hideMark/>
          </w:tcPr>
          <w:p w14:paraId="733E2038" w14:textId="15250091" w:rsidR="00C530D7" w:rsidRPr="00C530D7" w:rsidRDefault="00C530D7" w:rsidP="00C530D7">
            <w:pPr>
              <w:spacing w:line="240" w:lineRule="auto"/>
              <w:ind w:firstLine="0"/>
              <w:jc w:val="center"/>
              <w:rPr>
                <w:rFonts w:cs="Times New Roman"/>
                <w:lang w:val="en-US"/>
              </w:rPr>
            </w:pPr>
            <w:r w:rsidRPr="00C530D7">
              <w:rPr>
                <w:rFonts w:cs="Times New Roman"/>
                <w:lang w:val="en-US"/>
              </w:rPr>
              <w:t xml:space="preserve">2028 </w:t>
            </w:r>
            <w:r w:rsidR="004328C2" w:rsidRPr="005A68E6">
              <w:rPr>
                <w:lang w:val="en-US"/>
              </w:rPr>
              <w:t>forecast</w:t>
            </w:r>
          </w:p>
        </w:tc>
      </w:tr>
      <w:tr w:rsidR="00FA1B99" w:rsidRPr="00C530D7" w14:paraId="59503088" w14:textId="77777777" w:rsidTr="00452781">
        <w:trPr>
          <w:trHeight w:val="360"/>
        </w:trPr>
        <w:tc>
          <w:tcPr>
            <w:tcW w:w="1434" w:type="pct"/>
            <w:tcBorders>
              <w:top w:val="nil"/>
              <w:left w:val="nil"/>
              <w:bottom w:val="single" w:sz="8" w:space="0" w:color="auto"/>
              <w:right w:val="nil"/>
            </w:tcBorders>
            <w:shd w:val="clear" w:color="auto" w:fill="auto"/>
            <w:vAlign w:val="center"/>
            <w:hideMark/>
          </w:tcPr>
          <w:p w14:paraId="5596DE17" w14:textId="515F2BA0" w:rsidR="00FA1B99" w:rsidRPr="00C530D7" w:rsidRDefault="00FA1B99" w:rsidP="004F5529">
            <w:pPr>
              <w:spacing w:line="240" w:lineRule="auto"/>
              <w:ind w:firstLine="0"/>
              <w:jc w:val="left"/>
              <w:rPr>
                <w:rFonts w:cs="Times New Roman"/>
                <w:lang w:val="en-US"/>
              </w:rPr>
            </w:pPr>
            <w:r w:rsidRPr="005A68E6">
              <w:rPr>
                <w:lang w:val="en-US"/>
              </w:rPr>
              <w:t>Government Debt</w:t>
            </w:r>
          </w:p>
        </w:tc>
        <w:tc>
          <w:tcPr>
            <w:tcW w:w="476" w:type="pct"/>
            <w:tcBorders>
              <w:top w:val="nil"/>
              <w:left w:val="nil"/>
              <w:bottom w:val="single" w:sz="8" w:space="0" w:color="auto"/>
              <w:right w:val="nil"/>
            </w:tcBorders>
            <w:shd w:val="clear" w:color="auto" w:fill="auto"/>
            <w:vAlign w:val="center"/>
            <w:hideMark/>
          </w:tcPr>
          <w:p w14:paraId="17D30B99" w14:textId="77777777" w:rsidR="00FA1B99" w:rsidRPr="00C530D7" w:rsidRDefault="00FA1B99" w:rsidP="00FA1B99">
            <w:pPr>
              <w:spacing w:line="240" w:lineRule="auto"/>
              <w:ind w:firstLine="0"/>
              <w:jc w:val="center"/>
              <w:rPr>
                <w:rFonts w:cs="Times New Roman"/>
                <w:lang w:val="en-US"/>
              </w:rPr>
            </w:pPr>
            <w:r w:rsidRPr="00C530D7">
              <w:rPr>
                <w:rFonts w:cs="Times New Roman"/>
                <w:lang w:val="en-US"/>
              </w:rPr>
              <w:t>4,572.0</w:t>
            </w:r>
          </w:p>
        </w:tc>
        <w:tc>
          <w:tcPr>
            <w:tcW w:w="477" w:type="pct"/>
            <w:tcBorders>
              <w:top w:val="nil"/>
              <w:left w:val="nil"/>
              <w:bottom w:val="single" w:sz="8" w:space="0" w:color="auto"/>
              <w:right w:val="nil"/>
            </w:tcBorders>
            <w:shd w:val="clear" w:color="auto" w:fill="auto"/>
            <w:vAlign w:val="center"/>
            <w:hideMark/>
          </w:tcPr>
          <w:p w14:paraId="1670ADFF" w14:textId="77777777" w:rsidR="00FA1B99" w:rsidRPr="00C530D7" w:rsidRDefault="00FA1B99" w:rsidP="00FA1B99">
            <w:pPr>
              <w:spacing w:line="240" w:lineRule="auto"/>
              <w:ind w:firstLine="0"/>
              <w:jc w:val="center"/>
              <w:rPr>
                <w:rFonts w:cs="Times New Roman"/>
                <w:lang w:val="en-US"/>
              </w:rPr>
            </w:pPr>
            <w:r w:rsidRPr="00C530D7">
              <w:rPr>
                <w:rFonts w:cs="Times New Roman"/>
                <w:lang w:val="en-US"/>
              </w:rPr>
              <w:t>4,892.8</w:t>
            </w:r>
          </w:p>
        </w:tc>
        <w:tc>
          <w:tcPr>
            <w:tcW w:w="722" w:type="pct"/>
            <w:tcBorders>
              <w:top w:val="nil"/>
              <w:left w:val="nil"/>
              <w:bottom w:val="single" w:sz="8" w:space="0" w:color="auto"/>
              <w:right w:val="double" w:sz="6" w:space="0" w:color="auto"/>
            </w:tcBorders>
            <w:shd w:val="clear" w:color="auto" w:fill="auto"/>
            <w:vAlign w:val="center"/>
            <w:hideMark/>
          </w:tcPr>
          <w:p w14:paraId="7BCFD910" w14:textId="77777777" w:rsidR="00FA1B99" w:rsidRPr="00C530D7" w:rsidRDefault="00FA1B99" w:rsidP="00FA1B99">
            <w:pPr>
              <w:spacing w:line="240" w:lineRule="auto"/>
              <w:ind w:firstLine="0"/>
              <w:jc w:val="center"/>
              <w:rPr>
                <w:rFonts w:cs="Times New Roman"/>
                <w:lang w:val="en-US"/>
              </w:rPr>
            </w:pPr>
            <w:r w:rsidRPr="00C530D7">
              <w:rPr>
                <w:rFonts w:cs="Times New Roman"/>
                <w:lang w:val="en-US"/>
              </w:rPr>
              <w:t>5,933.7</w:t>
            </w:r>
          </w:p>
        </w:tc>
        <w:tc>
          <w:tcPr>
            <w:tcW w:w="471" w:type="pct"/>
            <w:tcBorders>
              <w:top w:val="nil"/>
              <w:left w:val="nil"/>
              <w:bottom w:val="single" w:sz="8" w:space="0" w:color="auto"/>
              <w:right w:val="nil"/>
            </w:tcBorders>
            <w:shd w:val="clear" w:color="auto" w:fill="auto"/>
            <w:vAlign w:val="center"/>
            <w:hideMark/>
          </w:tcPr>
          <w:p w14:paraId="6FC73B50" w14:textId="77777777" w:rsidR="00FA1B99" w:rsidRPr="00C530D7" w:rsidRDefault="00FA1B99" w:rsidP="00FA1B99">
            <w:pPr>
              <w:spacing w:line="240" w:lineRule="auto"/>
              <w:ind w:firstLine="0"/>
              <w:jc w:val="center"/>
              <w:rPr>
                <w:rFonts w:cs="Times New Roman"/>
                <w:lang w:val="en-US"/>
              </w:rPr>
            </w:pPr>
            <w:r w:rsidRPr="00C530D7">
              <w:rPr>
                <w:rFonts w:cs="Times New Roman"/>
                <w:lang w:val="en-US"/>
              </w:rPr>
              <w:t>5,771.6</w:t>
            </w:r>
          </w:p>
        </w:tc>
        <w:tc>
          <w:tcPr>
            <w:tcW w:w="471" w:type="pct"/>
            <w:tcBorders>
              <w:top w:val="nil"/>
              <w:left w:val="nil"/>
              <w:bottom w:val="single" w:sz="8" w:space="0" w:color="auto"/>
              <w:right w:val="nil"/>
            </w:tcBorders>
            <w:shd w:val="clear" w:color="auto" w:fill="auto"/>
            <w:vAlign w:val="center"/>
            <w:hideMark/>
          </w:tcPr>
          <w:p w14:paraId="493B59AF" w14:textId="77777777" w:rsidR="00FA1B99" w:rsidRPr="00C530D7" w:rsidRDefault="00FA1B99" w:rsidP="00FA1B99">
            <w:pPr>
              <w:spacing w:line="240" w:lineRule="auto"/>
              <w:ind w:firstLine="0"/>
              <w:jc w:val="center"/>
              <w:rPr>
                <w:rFonts w:cs="Times New Roman"/>
                <w:lang w:val="en-US"/>
              </w:rPr>
            </w:pPr>
            <w:r w:rsidRPr="00C530D7">
              <w:rPr>
                <w:rFonts w:cs="Times New Roman"/>
                <w:lang w:val="en-US"/>
              </w:rPr>
              <w:t>6,490.1</w:t>
            </w:r>
          </w:p>
        </w:tc>
        <w:tc>
          <w:tcPr>
            <w:tcW w:w="475" w:type="pct"/>
            <w:tcBorders>
              <w:top w:val="nil"/>
              <w:left w:val="nil"/>
              <w:bottom w:val="single" w:sz="8" w:space="0" w:color="auto"/>
              <w:right w:val="nil"/>
            </w:tcBorders>
            <w:shd w:val="clear" w:color="auto" w:fill="auto"/>
            <w:vAlign w:val="center"/>
            <w:hideMark/>
          </w:tcPr>
          <w:p w14:paraId="04EC5E87" w14:textId="77777777" w:rsidR="00FA1B99" w:rsidRPr="00C530D7" w:rsidRDefault="00FA1B99" w:rsidP="00FA1B99">
            <w:pPr>
              <w:spacing w:line="240" w:lineRule="auto"/>
              <w:ind w:firstLine="0"/>
              <w:jc w:val="center"/>
              <w:rPr>
                <w:rFonts w:cs="Times New Roman"/>
                <w:lang w:val="en-US"/>
              </w:rPr>
            </w:pPr>
            <w:r w:rsidRPr="00C530D7">
              <w:rPr>
                <w:rFonts w:cs="Times New Roman"/>
                <w:lang w:val="en-US"/>
              </w:rPr>
              <w:t>7,077.4</w:t>
            </w:r>
          </w:p>
        </w:tc>
        <w:tc>
          <w:tcPr>
            <w:tcW w:w="474" w:type="pct"/>
            <w:tcBorders>
              <w:top w:val="nil"/>
              <w:left w:val="nil"/>
              <w:bottom w:val="single" w:sz="8" w:space="0" w:color="auto"/>
              <w:right w:val="nil"/>
            </w:tcBorders>
            <w:shd w:val="clear" w:color="auto" w:fill="auto"/>
            <w:vAlign w:val="center"/>
            <w:hideMark/>
          </w:tcPr>
          <w:p w14:paraId="7AF30D3F" w14:textId="77777777" w:rsidR="00FA1B99" w:rsidRPr="00C530D7" w:rsidRDefault="00FA1B99" w:rsidP="00FA1B99">
            <w:pPr>
              <w:spacing w:line="240" w:lineRule="auto"/>
              <w:ind w:firstLine="0"/>
              <w:jc w:val="center"/>
              <w:rPr>
                <w:rFonts w:cs="Times New Roman"/>
                <w:lang w:val="en-US"/>
              </w:rPr>
            </w:pPr>
            <w:r w:rsidRPr="00C530D7">
              <w:rPr>
                <w:rFonts w:cs="Times New Roman"/>
                <w:lang w:val="en-US"/>
              </w:rPr>
              <w:t>7,739.4</w:t>
            </w:r>
          </w:p>
        </w:tc>
      </w:tr>
      <w:tr w:rsidR="00FA1B99" w:rsidRPr="00C530D7" w14:paraId="09FD70CC" w14:textId="77777777" w:rsidTr="00452781">
        <w:trPr>
          <w:trHeight w:val="345"/>
        </w:trPr>
        <w:tc>
          <w:tcPr>
            <w:tcW w:w="1434" w:type="pct"/>
            <w:tcBorders>
              <w:top w:val="nil"/>
              <w:left w:val="nil"/>
              <w:bottom w:val="single" w:sz="12" w:space="0" w:color="auto"/>
              <w:right w:val="nil"/>
            </w:tcBorders>
            <w:shd w:val="clear" w:color="auto" w:fill="auto"/>
            <w:vAlign w:val="center"/>
            <w:hideMark/>
          </w:tcPr>
          <w:p w14:paraId="7462BAFA" w14:textId="2D3C1E4C" w:rsidR="00FA1B99" w:rsidRPr="00C530D7" w:rsidRDefault="00FA1B99" w:rsidP="004F5529">
            <w:pPr>
              <w:spacing w:line="240" w:lineRule="auto"/>
              <w:ind w:firstLine="0"/>
              <w:jc w:val="left"/>
              <w:rPr>
                <w:rFonts w:cs="Times New Roman"/>
                <w:lang w:val="en-US"/>
              </w:rPr>
            </w:pPr>
            <w:r w:rsidRPr="005A68E6">
              <w:t xml:space="preserve">% </w:t>
            </w:r>
            <w:r w:rsidRPr="005A68E6">
              <w:rPr>
                <w:lang w:val="en-US"/>
              </w:rPr>
              <w:t>of GDP</w:t>
            </w:r>
          </w:p>
        </w:tc>
        <w:tc>
          <w:tcPr>
            <w:tcW w:w="476" w:type="pct"/>
            <w:tcBorders>
              <w:top w:val="nil"/>
              <w:left w:val="nil"/>
              <w:bottom w:val="single" w:sz="12" w:space="0" w:color="auto"/>
              <w:right w:val="nil"/>
            </w:tcBorders>
            <w:shd w:val="clear" w:color="auto" w:fill="auto"/>
            <w:vAlign w:val="center"/>
            <w:hideMark/>
          </w:tcPr>
          <w:p w14:paraId="0AAC0667" w14:textId="5C3769FD" w:rsidR="00FA1B99" w:rsidRPr="00C530D7" w:rsidRDefault="00FA1B99" w:rsidP="00FA1B99">
            <w:pPr>
              <w:spacing w:line="240" w:lineRule="auto"/>
              <w:ind w:firstLine="0"/>
              <w:jc w:val="center"/>
              <w:rPr>
                <w:rFonts w:cs="Times New Roman"/>
                <w:lang w:val="en-US"/>
              </w:rPr>
            </w:pPr>
            <w:r w:rsidRPr="00C530D7">
              <w:rPr>
                <w:rFonts w:cs="Times New Roman"/>
                <w:lang w:val="en-US"/>
              </w:rPr>
              <w:t>48.2</w:t>
            </w:r>
          </w:p>
        </w:tc>
        <w:tc>
          <w:tcPr>
            <w:tcW w:w="477" w:type="pct"/>
            <w:tcBorders>
              <w:top w:val="nil"/>
              <w:left w:val="nil"/>
              <w:bottom w:val="single" w:sz="12" w:space="0" w:color="auto"/>
              <w:right w:val="nil"/>
            </w:tcBorders>
            <w:shd w:val="clear" w:color="auto" w:fill="auto"/>
            <w:vAlign w:val="center"/>
            <w:hideMark/>
          </w:tcPr>
          <w:p w14:paraId="047E6162" w14:textId="2C42630B" w:rsidR="00FA1B99" w:rsidRPr="00C530D7" w:rsidRDefault="00FA1B99" w:rsidP="00FA1B99">
            <w:pPr>
              <w:spacing w:line="240" w:lineRule="auto"/>
              <w:ind w:firstLine="0"/>
              <w:jc w:val="center"/>
              <w:rPr>
                <w:rFonts w:cs="Times New Roman"/>
                <w:lang w:val="en-US"/>
              </w:rPr>
            </w:pPr>
            <w:r w:rsidRPr="00C530D7">
              <w:rPr>
                <w:rFonts w:cs="Times New Roman"/>
                <w:lang w:val="en-US"/>
              </w:rPr>
              <w:t>48.0</w:t>
            </w:r>
          </w:p>
        </w:tc>
        <w:tc>
          <w:tcPr>
            <w:tcW w:w="722" w:type="pct"/>
            <w:tcBorders>
              <w:top w:val="nil"/>
              <w:left w:val="nil"/>
              <w:bottom w:val="single" w:sz="12" w:space="0" w:color="auto"/>
              <w:right w:val="double" w:sz="6" w:space="0" w:color="auto"/>
            </w:tcBorders>
            <w:shd w:val="clear" w:color="auto" w:fill="auto"/>
            <w:vAlign w:val="center"/>
            <w:hideMark/>
          </w:tcPr>
          <w:p w14:paraId="7F6A9668" w14:textId="367C01AC" w:rsidR="00FA1B99" w:rsidRPr="00C530D7" w:rsidRDefault="00FA1B99" w:rsidP="00FA1B99">
            <w:pPr>
              <w:spacing w:line="240" w:lineRule="auto"/>
              <w:ind w:firstLine="0"/>
              <w:jc w:val="center"/>
              <w:rPr>
                <w:rFonts w:cs="Times New Roman"/>
                <w:lang w:val="en-US"/>
              </w:rPr>
            </w:pPr>
            <w:r w:rsidRPr="00C530D7">
              <w:rPr>
                <w:rFonts w:cs="Times New Roman"/>
                <w:lang w:val="en-US"/>
              </w:rPr>
              <w:t>54.3</w:t>
            </w:r>
          </w:p>
        </w:tc>
        <w:tc>
          <w:tcPr>
            <w:tcW w:w="471" w:type="pct"/>
            <w:tcBorders>
              <w:top w:val="nil"/>
              <w:left w:val="nil"/>
              <w:bottom w:val="single" w:sz="12" w:space="0" w:color="auto"/>
              <w:right w:val="nil"/>
            </w:tcBorders>
            <w:shd w:val="clear" w:color="auto" w:fill="auto"/>
            <w:vAlign w:val="center"/>
            <w:hideMark/>
          </w:tcPr>
          <w:p w14:paraId="3719219F" w14:textId="48261D60" w:rsidR="00FA1B99" w:rsidRPr="00C530D7" w:rsidRDefault="00FA1B99" w:rsidP="00FA1B99">
            <w:pPr>
              <w:spacing w:line="240" w:lineRule="auto"/>
              <w:ind w:firstLine="0"/>
              <w:jc w:val="center"/>
              <w:rPr>
                <w:rFonts w:cs="Times New Roman"/>
                <w:lang w:val="en-US"/>
              </w:rPr>
            </w:pPr>
            <w:r w:rsidRPr="00C530D7">
              <w:rPr>
                <w:rFonts w:cs="Times New Roman"/>
                <w:lang w:val="en-US"/>
              </w:rPr>
              <w:t>52.6</w:t>
            </w:r>
          </w:p>
        </w:tc>
        <w:tc>
          <w:tcPr>
            <w:tcW w:w="471" w:type="pct"/>
            <w:tcBorders>
              <w:top w:val="nil"/>
              <w:left w:val="nil"/>
              <w:bottom w:val="single" w:sz="12" w:space="0" w:color="auto"/>
              <w:right w:val="nil"/>
            </w:tcBorders>
            <w:shd w:val="clear" w:color="auto" w:fill="auto"/>
            <w:vAlign w:val="center"/>
            <w:hideMark/>
          </w:tcPr>
          <w:p w14:paraId="5A2BA4C1" w14:textId="6A3C9B4F" w:rsidR="00FA1B99" w:rsidRPr="00C530D7" w:rsidRDefault="00FA1B99" w:rsidP="00FA1B99">
            <w:pPr>
              <w:spacing w:line="240" w:lineRule="auto"/>
              <w:ind w:firstLine="0"/>
              <w:jc w:val="center"/>
              <w:rPr>
                <w:rFonts w:cs="Times New Roman"/>
                <w:lang w:val="en-US"/>
              </w:rPr>
            </w:pPr>
            <w:r w:rsidRPr="00C530D7">
              <w:rPr>
                <w:rFonts w:cs="Times New Roman"/>
                <w:lang w:val="en-US"/>
              </w:rPr>
              <w:t>54.6</w:t>
            </w:r>
          </w:p>
        </w:tc>
        <w:tc>
          <w:tcPr>
            <w:tcW w:w="475" w:type="pct"/>
            <w:tcBorders>
              <w:top w:val="nil"/>
              <w:left w:val="nil"/>
              <w:bottom w:val="single" w:sz="12" w:space="0" w:color="auto"/>
              <w:right w:val="nil"/>
            </w:tcBorders>
            <w:shd w:val="clear" w:color="auto" w:fill="auto"/>
            <w:vAlign w:val="center"/>
            <w:hideMark/>
          </w:tcPr>
          <w:p w14:paraId="575C71B4" w14:textId="6ABC9D1D" w:rsidR="00FA1B99" w:rsidRPr="00C530D7" w:rsidRDefault="00FA1B99" w:rsidP="00FA1B99">
            <w:pPr>
              <w:spacing w:line="240" w:lineRule="auto"/>
              <w:ind w:firstLine="0"/>
              <w:jc w:val="center"/>
              <w:rPr>
                <w:rFonts w:cs="Times New Roman"/>
                <w:lang w:val="en-US"/>
              </w:rPr>
            </w:pPr>
            <w:r w:rsidRPr="00C530D7">
              <w:rPr>
                <w:rFonts w:cs="Times New Roman"/>
                <w:lang w:val="en-US"/>
              </w:rPr>
              <w:t>54.9</w:t>
            </w:r>
          </w:p>
        </w:tc>
        <w:tc>
          <w:tcPr>
            <w:tcW w:w="474" w:type="pct"/>
            <w:tcBorders>
              <w:top w:val="nil"/>
              <w:left w:val="nil"/>
              <w:bottom w:val="single" w:sz="12" w:space="0" w:color="auto"/>
              <w:right w:val="nil"/>
            </w:tcBorders>
            <w:shd w:val="clear" w:color="auto" w:fill="auto"/>
            <w:vAlign w:val="center"/>
            <w:hideMark/>
          </w:tcPr>
          <w:p w14:paraId="1082EE52" w14:textId="3047D238" w:rsidR="00FA1B99" w:rsidRPr="00C530D7" w:rsidRDefault="00FA1B99" w:rsidP="00FA1B99">
            <w:pPr>
              <w:spacing w:line="240" w:lineRule="auto"/>
              <w:ind w:firstLine="0"/>
              <w:jc w:val="center"/>
              <w:rPr>
                <w:rFonts w:cs="Times New Roman"/>
                <w:lang w:val="en-US"/>
              </w:rPr>
            </w:pPr>
            <w:r w:rsidRPr="00C530D7">
              <w:rPr>
                <w:rFonts w:cs="Times New Roman"/>
                <w:lang w:val="en-US"/>
              </w:rPr>
              <w:t>55.4</w:t>
            </w:r>
          </w:p>
        </w:tc>
      </w:tr>
      <w:tr w:rsidR="00FA1B99" w:rsidRPr="00C530D7" w14:paraId="76E6A130" w14:textId="77777777" w:rsidTr="00452781">
        <w:trPr>
          <w:trHeight w:val="360"/>
        </w:trPr>
        <w:tc>
          <w:tcPr>
            <w:tcW w:w="1434" w:type="pct"/>
            <w:tcBorders>
              <w:top w:val="nil"/>
              <w:left w:val="nil"/>
              <w:bottom w:val="single" w:sz="8" w:space="0" w:color="auto"/>
              <w:right w:val="nil"/>
            </w:tcBorders>
            <w:shd w:val="clear" w:color="auto" w:fill="auto"/>
            <w:vAlign w:val="center"/>
            <w:hideMark/>
          </w:tcPr>
          <w:p w14:paraId="5ADCEDA4" w14:textId="3D491FFA" w:rsidR="00FA1B99" w:rsidRPr="00C530D7" w:rsidRDefault="00FA1B99" w:rsidP="00FA1B99">
            <w:pPr>
              <w:spacing w:line="240" w:lineRule="auto"/>
              <w:ind w:firstLine="0"/>
              <w:jc w:val="center"/>
              <w:rPr>
                <w:rFonts w:cs="Times New Roman"/>
                <w:lang w:val="en-US"/>
              </w:rPr>
            </w:pPr>
            <w:r>
              <w:rPr>
                <w:lang w:val="en-US"/>
              </w:rPr>
              <w:t>b</w:t>
            </w:r>
            <w:r w:rsidRPr="005A68E6">
              <w:rPr>
                <w:lang w:val="en-US"/>
              </w:rPr>
              <w:t>y instruments</w:t>
            </w:r>
          </w:p>
        </w:tc>
        <w:tc>
          <w:tcPr>
            <w:tcW w:w="476" w:type="pct"/>
            <w:tcBorders>
              <w:top w:val="nil"/>
              <w:left w:val="nil"/>
              <w:bottom w:val="single" w:sz="8" w:space="0" w:color="auto"/>
              <w:right w:val="nil"/>
            </w:tcBorders>
            <w:shd w:val="clear" w:color="auto" w:fill="auto"/>
            <w:vAlign w:val="center"/>
            <w:hideMark/>
          </w:tcPr>
          <w:p w14:paraId="68959ADF" w14:textId="32F34749" w:rsidR="00FA1B99" w:rsidRPr="00C530D7" w:rsidRDefault="00FA1B99" w:rsidP="00FA1B99">
            <w:pPr>
              <w:spacing w:line="240" w:lineRule="auto"/>
              <w:ind w:firstLine="0"/>
              <w:jc w:val="center"/>
              <w:rPr>
                <w:rFonts w:cs="Times New Roman"/>
                <w:lang w:val="en-US"/>
              </w:rPr>
            </w:pPr>
          </w:p>
        </w:tc>
        <w:tc>
          <w:tcPr>
            <w:tcW w:w="477" w:type="pct"/>
            <w:tcBorders>
              <w:top w:val="nil"/>
              <w:left w:val="nil"/>
              <w:bottom w:val="single" w:sz="8" w:space="0" w:color="auto"/>
              <w:right w:val="nil"/>
            </w:tcBorders>
            <w:shd w:val="clear" w:color="auto" w:fill="auto"/>
            <w:vAlign w:val="center"/>
            <w:hideMark/>
          </w:tcPr>
          <w:p w14:paraId="4E63453D" w14:textId="3A028360" w:rsidR="00FA1B99" w:rsidRPr="00C530D7" w:rsidRDefault="00FA1B99" w:rsidP="00FA1B99">
            <w:pPr>
              <w:spacing w:line="240" w:lineRule="auto"/>
              <w:ind w:firstLine="0"/>
              <w:jc w:val="center"/>
              <w:rPr>
                <w:rFonts w:cs="Times New Roman"/>
                <w:lang w:val="en-US"/>
              </w:rPr>
            </w:pPr>
          </w:p>
        </w:tc>
        <w:tc>
          <w:tcPr>
            <w:tcW w:w="722" w:type="pct"/>
            <w:tcBorders>
              <w:top w:val="nil"/>
              <w:left w:val="nil"/>
              <w:bottom w:val="single" w:sz="8" w:space="0" w:color="auto"/>
              <w:right w:val="double" w:sz="6" w:space="0" w:color="auto"/>
            </w:tcBorders>
            <w:shd w:val="clear" w:color="auto" w:fill="auto"/>
            <w:vAlign w:val="center"/>
            <w:hideMark/>
          </w:tcPr>
          <w:p w14:paraId="51640209" w14:textId="0D76DB23" w:rsidR="00FA1B99" w:rsidRPr="00C530D7" w:rsidRDefault="00FA1B99" w:rsidP="00FA1B99">
            <w:pPr>
              <w:spacing w:line="240" w:lineRule="auto"/>
              <w:ind w:firstLine="0"/>
              <w:jc w:val="center"/>
              <w:rPr>
                <w:rFonts w:cs="Times New Roman"/>
                <w:lang w:val="en-US"/>
              </w:rPr>
            </w:pPr>
          </w:p>
        </w:tc>
        <w:tc>
          <w:tcPr>
            <w:tcW w:w="471" w:type="pct"/>
            <w:tcBorders>
              <w:top w:val="nil"/>
              <w:left w:val="nil"/>
              <w:bottom w:val="single" w:sz="8" w:space="0" w:color="auto"/>
              <w:right w:val="nil"/>
            </w:tcBorders>
            <w:shd w:val="clear" w:color="auto" w:fill="auto"/>
            <w:vAlign w:val="center"/>
            <w:hideMark/>
          </w:tcPr>
          <w:p w14:paraId="04AEFB0D" w14:textId="23C1785A" w:rsidR="00FA1B99" w:rsidRPr="00C530D7" w:rsidRDefault="00FA1B99" w:rsidP="00FA1B99">
            <w:pPr>
              <w:spacing w:line="240" w:lineRule="auto"/>
              <w:ind w:firstLine="0"/>
              <w:jc w:val="center"/>
              <w:rPr>
                <w:rFonts w:cs="Times New Roman"/>
                <w:lang w:val="en-US"/>
              </w:rPr>
            </w:pPr>
          </w:p>
        </w:tc>
        <w:tc>
          <w:tcPr>
            <w:tcW w:w="471" w:type="pct"/>
            <w:tcBorders>
              <w:top w:val="nil"/>
              <w:left w:val="nil"/>
              <w:bottom w:val="single" w:sz="8" w:space="0" w:color="auto"/>
              <w:right w:val="nil"/>
            </w:tcBorders>
            <w:shd w:val="clear" w:color="auto" w:fill="auto"/>
            <w:vAlign w:val="center"/>
            <w:hideMark/>
          </w:tcPr>
          <w:p w14:paraId="47E1C4CA" w14:textId="5032D5BB" w:rsidR="00FA1B99" w:rsidRPr="00C530D7" w:rsidRDefault="00FA1B99" w:rsidP="00FA1B99">
            <w:pPr>
              <w:spacing w:line="240" w:lineRule="auto"/>
              <w:ind w:firstLine="0"/>
              <w:jc w:val="center"/>
              <w:rPr>
                <w:rFonts w:cs="Times New Roman"/>
                <w:lang w:val="en-US"/>
              </w:rPr>
            </w:pPr>
          </w:p>
        </w:tc>
        <w:tc>
          <w:tcPr>
            <w:tcW w:w="475" w:type="pct"/>
            <w:tcBorders>
              <w:top w:val="nil"/>
              <w:left w:val="nil"/>
              <w:bottom w:val="single" w:sz="8" w:space="0" w:color="auto"/>
              <w:right w:val="nil"/>
            </w:tcBorders>
            <w:shd w:val="clear" w:color="auto" w:fill="auto"/>
            <w:vAlign w:val="center"/>
            <w:hideMark/>
          </w:tcPr>
          <w:p w14:paraId="3B475386" w14:textId="493E5A3F" w:rsidR="00FA1B99" w:rsidRPr="00C530D7" w:rsidRDefault="00FA1B99" w:rsidP="00FA1B99">
            <w:pPr>
              <w:spacing w:line="240" w:lineRule="auto"/>
              <w:ind w:firstLine="0"/>
              <w:jc w:val="center"/>
              <w:rPr>
                <w:rFonts w:cs="Times New Roman"/>
                <w:lang w:val="en-US"/>
              </w:rPr>
            </w:pPr>
          </w:p>
        </w:tc>
        <w:tc>
          <w:tcPr>
            <w:tcW w:w="474" w:type="pct"/>
            <w:tcBorders>
              <w:top w:val="nil"/>
              <w:left w:val="nil"/>
              <w:bottom w:val="single" w:sz="8" w:space="0" w:color="auto"/>
              <w:right w:val="nil"/>
            </w:tcBorders>
            <w:shd w:val="clear" w:color="auto" w:fill="auto"/>
            <w:vAlign w:val="center"/>
            <w:hideMark/>
          </w:tcPr>
          <w:p w14:paraId="3A5C02DD" w14:textId="781911A1" w:rsidR="00FA1B99" w:rsidRPr="00C530D7" w:rsidRDefault="00FA1B99" w:rsidP="00FA1B99">
            <w:pPr>
              <w:spacing w:line="240" w:lineRule="auto"/>
              <w:ind w:firstLine="0"/>
              <w:jc w:val="center"/>
              <w:rPr>
                <w:rFonts w:cs="Times New Roman"/>
                <w:lang w:val="en-US"/>
              </w:rPr>
            </w:pPr>
          </w:p>
        </w:tc>
      </w:tr>
      <w:tr w:rsidR="00452781" w:rsidRPr="00C530D7" w14:paraId="6DDBCADB" w14:textId="77777777" w:rsidTr="00452781">
        <w:trPr>
          <w:trHeight w:val="675"/>
        </w:trPr>
        <w:tc>
          <w:tcPr>
            <w:tcW w:w="1434" w:type="pct"/>
            <w:tcBorders>
              <w:top w:val="nil"/>
              <w:left w:val="nil"/>
              <w:bottom w:val="single" w:sz="8" w:space="0" w:color="auto"/>
              <w:right w:val="nil"/>
            </w:tcBorders>
            <w:shd w:val="clear" w:color="auto" w:fill="auto"/>
            <w:vAlign w:val="center"/>
            <w:hideMark/>
          </w:tcPr>
          <w:p w14:paraId="08C2A487" w14:textId="0876FDFC" w:rsidR="00452781" w:rsidRPr="00C530D7" w:rsidRDefault="00452781" w:rsidP="00452781">
            <w:pPr>
              <w:spacing w:line="240" w:lineRule="auto"/>
              <w:ind w:firstLine="0"/>
              <w:jc w:val="left"/>
              <w:rPr>
                <w:rFonts w:cs="Times New Roman"/>
                <w:lang w:val="en-US"/>
              </w:rPr>
            </w:pPr>
            <w:r w:rsidRPr="005A68E6">
              <w:rPr>
                <w:lang w:val="en-US"/>
              </w:rPr>
              <w:t>External Loans and Borrowings</w:t>
            </w:r>
          </w:p>
        </w:tc>
        <w:tc>
          <w:tcPr>
            <w:tcW w:w="476" w:type="pct"/>
            <w:tcBorders>
              <w:top w:val="nil"/>
              <w:left w:val="nil"/>
              <w:bottom w:val="single" w:sz="8" w:space="0" w:color="auto"/>
              <w:right w:val="nil"/>
            </w:tcBorders>
            <w:shd w:val="clear" w:color="auto" w:fill="auto"/>
            <w:vAlign w:val="center"/>
            <w:hideMark/>
          </w:tcPr>
          <w:p w14:paraId="2E2E8CB6" w14:textId="738BB47B" w:rsidR="00452781" w:rsidRPr="00C530D7" w:rsidRDefault="00452781" w:rsidP="00452781">
            <w:pPr>
              <w:spacing w:line="240" w:lineRule="auto"/>
              <w:ind w:firstLine="0"/>
              <w:jc w:val="center"/>
              <w:rPr>
                <w:rFonts w:cs="Times New Roman"/>
                <w:lang w:val="en-US"/>
              </w:rPr>
            </w:pPr>
            <w:r w:rsidRPr="00C530D7">
              <w:rPr>
                <w:rFonts w:cs="Times New Roman"/>
                <w:lang w:val="en-US"/>
              </w:rPr>
              <w:t>1,836.1</w:t>
            </w:r>
          </w:p>
        </w:tc>
        <w:tc>
          <w:tcPr>
            <w:tcW w:w="477" w:type="pct"/>
            <w:tcBorders>
              <w:top w:val="nil"/>
              <w:left w:val="nil"/>
              <w:bottom w:val="single" w:sz="8" w:space="0" w:color="auto"/>
              <w:right w:val="nil"/>
            </w:tcBorders>
            <w:shd w:val="clear" w:color="auto" w:fill="auto"/>
            <w:vAlign w:val="center"/>
            <w:hideMark/>
          </w:tcPr>
          <w:p w14:paraId="4AD8E866" w14:textId="463D7A56" w:rsidR="00452781" w:rsidRPr="00C530D7" w:rsidRDefault="00452781" w:rsidP="00452781">
            <w:pPr>
              <w:spacing w:line="240" w:lineRule="auto"/>
              <w:ind w:firstLine="0"/>
              <w:jc w:val="center"/>
              <w:rPr>
                <w:rFonts w:cs="Times New Roman"/>
                <w:lang w:val="en-US"/>
              </w:rPr>
            </w:pPr>
            <w:r w:rsidRPr="00C530D7">
              <w:rPr>
                <w:rFonts w:cs="Times New Roman"/>
                <w:lang w:val="en-US"/>
              </w:rPr>
              <w:t>1,786.8</w:t>
            </w:r>
          </w:p>
        </w:tc>
        <w:tc>
          <w:tcPr>
            <w:tcW w:w="722" w:type="pct"/>
            <w:tcBorders>
              <w:top w:val="nil"/>
              <w:left w:val="nil"/>
              <w:bottom w:val="single" w:sz="8" w:space="0" w:color="auto"/>
              <w:right w:val="double" w:sz="6" w:space="0" w:color="auto"/>
            </w:tcBorders>
            <w:shd w:val="clear" w:color="auto" w:fill="auto"/>
            <w:vAlign w:val="center"/>
            <w:hideMark/>
          </w:tcPr>
          <w:p w14:paraId="7E58796D" w14:textId="540DD2F7" w:rsidR="00452781" w:rsidRPr="00C530D7" w:rsidRDefault="00452781" w:rsidP="00452781">
            <w:pPr>
              <w:spacing w:line="240" w:lineRule="auto"/>
              <w:ind w:firstLine="0"/>
              <w:jc w:val="center"/>
              <w:rPr>
                <w:rFonts w:cs="Times New Roman"/>
                <w:lang w:val="en-US"/>
              </w:rPr>
            </w:pPr>
            <w:r w:rsidRPr="00C530D7">
              <w:rPr>
                <w:rFonts w:cs="Times New Roman"/>
                <w:lang w:val="en-US"/>
              </w:rPr>
              <w:t>2,415.1</w:t>
            </w:r>
          </w:p>
        </w:tc>
        <w:tc>
          <w:tcPr>
            <w:tcW w:w="471" w:type="pct"/>
            <w:tcBorders>
              <w:top w:val="nil"/>
              <w:left w:val="nil"/>
              <w:bottom w:val="single" w:sz="8" w:space="0" w:color="auto"/>
              <w:right w:val="nil"/>
            </w:tcBorders>
            <w:shd w:val="clear" w:color="auto" w:fill="auto"/>
            <w:vAlign w:val="center"/>
            <w:hideMark/>
          </w:tcPr>
          <w:p w14:paraId="23374BC7" w14:textId="4502F16D" w:rsidR="00452781" w:rsidRPr="00C530D7" w:rsidRDefault="00452781" w:rsidP="00452781">
            <w:pPr>
              <w:spacing w:line="240" w:lineRule="auto"/>
              <w:ind w:firstLine="0"/>
              <w:jc w:val="center"/>
              <w:rPr>
                <w:rFonts w:cs="Times New Roman"/>
                <w:lang w:val="en-US"/>
              </w:rPr>
            </w:pPr>
            <w:r w:rsidRPr="00C530D7">
              <w:rPr>
                <w:rFonts w:cs="Times New Roman"/>
                <w:lang w:val="en-US"/>
              </w:rPr>
              <w:t>2,112.7</w:t>
            </w:r>
          </w:p>
        </w:tc>
        <w:tc>
          <w:tcPr>
            <w:tcW w:w="471" w:type="pct"/>
            <w:tcBorders>
              <w:top w:val="nil"/>
              <w:left w:val="nil"/>
              <w:bottom w:val="single" w:sz="8" w:space="0" w:color="auto"/>
              <w:right w:val="nil"/>
            </w:tcBorders>
            <w:shd w:val="clear" w:color="auto" w:fill="auto"/>
            <w:vAlign w:val="center"/>
            <w:hideMark/>
          </w:tcPr>
          <w:p w14:paraId="1B62CA77" w14:textId="72AED4B6" w:rsidR="00452781" w:rsidRPr="00C530D7" w:rsidRDefault="00452781" w:rsidP="00452781">
            <w:pPr>
              <w:spacing w:line="240" w:lineRule="auto"/>
              <w:ind w:firstLine="0"/>
              <w:jc w:val="center"/>
              <w:rPr>
                <w:rFonts w:cs="Times New Roman"/>
                <w:lang w:val="en-US"/>
              </w:rPr>
            </w:pPr>
            <w:r w:rsidRPr="00C530D7">
              <w:rPr>
                <w:rFonts w:cs="Times New Roman"/>
                <w:lang w:val="en-US"/>
              </w:rPr>
              <w:t>2,457.8</w:t>
            </w:r>
          </w:p>
        </w:tc>
        <w:tc>
          <w:tcPr>
            <w:tcW w:w="475" w:type="pct"/>
            <w:tcBorders>
              <w:top w:val="nil"/>
              <w:left w:val="nil"/>
              <w:bottom w:val="single" w:sz="8" w:space="0" w:color="auto"/>
              <w:right w:val="nil"/>
            </w:tcBorders>
            <w:shd w:val="clear" w:color="auto" w:fill="auto"/>
            <w:vAlign w:val="center"/>
            <w:hideMark/>
          </w:tcPr>
          <w:p w14:paraId="37FE0169" w14:textId="3C65A36E" w:rsidR="00452781" w:rsidRPr="00C530D7" w:rsidRDefault="00452781" w:rsidP="00452781">
            <w:pPr>
              <w:spacing w:line="240" w:lineRule="auto"/>
              <w:ind w:firstLine="0"/>
              <w:jc w:val="center"/>
              <w:rPr>
                <w:rFonts w:cs="Times New Roman"/>
                <w:lang w:val="en-US"/>
              </w:rPr>
            </w:pPr>
            <w:r w:rsidRPr="00C530D7">
              <w:rPr>
                <w:rFonts w:cs="Times New Roman"/>
                <w:lang w:val="en-US"/>
              </w:rPr>
              <w:t>2,762.7</w:t>
            </w:r>
          </w:p>
        </w:tc>
        <w:tc>
          <w:tcPr>
            <w:tcW w:w="474" w:type="pct"/>
            <w:tcBorders>
              <w:top w:val="nil"/>
              <w:left w:val="nil"/>
              <w:bottom w:val="single" w:sz="8" w:space="0" w:color="auto"/>
              <w:right w:val="nil"/>
            </w:tcBorders>
            <w:shd w:val="clear" w:color="auto" w:fill="auto"/>
            <w:vAlign w:val="center"/>
            <w:hideMark/>
          </w:tcPr>
          <w:p w14:paraId="2688EC3E" w14:textId="62A679DB" w:rsidR="00452781" w:rsidRPr="00C530D7" w:rsidRDefault="00452781" w:rsidP="00452781">
            <w:pPr>
              <w:spacing w:line="240" w:lineRule="auto"/>
              <w:ind w:firstLine="0"/>
              <w:jc w:val="center"/>
              <w:rPr>
                <w:rFonts w:cs="Times New Roman"/>
                <w:lang w:val="en-US"/>
              </w:rPr>
            </w:pPr>
            <w:r w:rsidRPr="00C530D7">
              <w:rPr>
                <w:rFonts w:cs="Times New Roman"/>
                <w:lang w:val="en-US"/>
              </w:rPr>
              <w:t>3,160.2</w:t>
            </w:r>
          </w:p>
        </w:tc>
      </w:tr>
      <w:tr w:rsidR="00452781" w:rsidRPr="00C530D7" w14:paraId="0C374207" w14:textId="77777777" w:rsidTr="00452781">
        <w:trPr>
          <w:trHeight w:val="412"/>
        </w:trPr>
        <w:tc>
          <w:tcPr>
            <w:tcW w:w="1434" w:type="pct"/>
            <w:tcBorders>
              <w:top w:val="nil"/>
              <w:left w:val="nil"/>
              <w:bottom w:val="single" w:sz="8" w:space="0" w:color="auto"/>
              <w:right w:val="nil"/>
            </w:tcBorders>
            <w:shd w:val="clear" w:color="auto" w:fill="auto"/>
            <w:vAlign w:val="center"/>
            <w:hideMark/>
          </w:tcPr>
          <w:p w14:paraId="24022693" w14:textId="3C596B4F" w:rsidR="00452781" w:rsidRPr="00C530D7" w:rsidRDefault="00452781" w:rsidP="00452781">
            <w:pPr>
              <w:spacing w:line="240" w:lineRule="auto"/>
              <w:ind w:firstLine="0"/>
              <w:jc w:val="left"/>
              <w:rPr>
                <w:rFonts w:cs="Times New Roman"/>
                <w:lang w:val="en-US"/>
              </w:rPr>
            </w:pPr>
            <w:r w:rsidRPr="005A68E6">
              <w:rPr>
                <w:lang w:val="en-US"/>
              </w:rPr>
              <w:t>Government Treasury Bonds</w:t>
            </w:r>
          </w:p>
        </w:tc>
        <w:tc>
          <w:tcPr>
            <w:tcW w:w="476" w:type="pct"/>
            <w:tcBorders>
              <w:top w:val="nil"/>
              <w:left w:val="nil"/>
              <w:bottom w:val="single" w:sz="8" w:space="0" w:color="auto"/>
              <w:right w:val="nil"/>
            </w:tcBorders>
            <w:shd w:val="clear" w:color="auto" w:fill="auto"/>
            <w:vAlign w:val="center"/>
            <w:hideMark/>
          </w:tcPr>
          <w:p w14:paraId="018EA85A" w14:textId="699FE6DD" w:rsidR="00452781" w:rsidRPr="00C530D7" w:rsidRDefault="00452781" w:rsidP="00452781">
            <w:pPr>
              <w:spacing w:line="240" w:lineRule="auto"/>
              <w:ind w:firstLine="0"/>
              <w:jc w:val="center"/>
              <w:rPr>
                <w:rFonts w:cs="Times New Roman"/>
                <w:lang w:val="en-US"/>
              </w:rPr>
            </w:pPr>
            <w:r w:rsidRPr="00C530D7">
              <w:rPr>
                <w:rFonts w:cs="Times New Roman"/>
                <w:lang w:val="en-US"/>
              </w:rPr>
              <w:t>2,092.9</w:t>
            </w:r>
          </w:p>
        </w:tc>
        <w:tc>
          <w:tcPr>
            <w:tcW w:w="477" w:type="pct"/>
            <w:tcBorders>
              <w:top w:val="nil"/>
              <w:left w:val="nil"/>
              <w:bottom w:val="single" w:sz="8" w:space="0" w:color="auto"/>
              <w:right w:val="nil"/>
            </w:tcBorders>
            <w:shd w:val="clear" w:color="auto" w:fill="auto"/>
            <w:vAlign w:val="center"/>
            <w:hideMark/>
          </w:tcPr>
          <w:p w14:paraId="58DD3B18" w14:textId="682CAEE6" w:rsidR="00452781" w:rsidRPr="00C530D7" w:rsidRDefault="00452781" w:rsidP="00452781">
            <w:pPr>
              <w:spacing w:line="240" w:lineRule="auto"/>
              <w:ind w:firstLine="0"/>
              <w:jc w:val="center"/>
              <w:rPr>
                <w:rFonts w:cs="Times New Roman"/>
                <w:lang w:val="en-US"/>
              </w:rPr>
            </w:pPr>
            <w:r w:rsidRPr="00C530D7">
              <w:rPr>
                <w:rFonts w:cs="Times New Roman"/>
                <w:lang w:val="en-US"/>
              </w:rPr>
              <w:t>2,474.0</w:t>
            </w:r>
          </w:p>
        </w:tc>
        <w:tc>
          <w:tcPr>
            <w:tcW w:w="722" w:type="pct"/>
            <w:tcBorders>
              <w:top w:val="nil"/>
              <w:left w:val="nil"/>
              <w:bottom w:val="single" w:sz="8" w:space="0" w:color="auto"/>
              <w:right w:val="double" w:sz="6" w:space="0" w:color="auto"/>
            </w:tcBorders>
            <w:shd w:val="clear" w:color="auto" w:fill="auto"/>
            <w:vAlign w:val="center"/>
            <w:hideMark/>
          </w:tcPr>
          <w:p w14:paraId="3A30DC9D" w14:textId="1F9728EB" w:rsidR="00452781" w:rsidRPr="00C530D7" w:rsidRDefault="00452781" w:rsidP="00452781">
            <w:pPr>
              <w:spacing w:line="240" w:lineRule="auto"/>
              <w:ind w:firstLine="0"/>
              <w:jc w:val="center"/>
              <w:rPr>
                <w:rFonts w:cs="Times New Roman"/>
                <w:lang w:val="en-US"/>
              </w:rPr>
            </w:pPr>
            <w:r w:rsidRPr="00C530D7">
              <w:rPr>
                <w:rFonts w:cs="Times New Roman"/>
                <w:lang w:val="en-US"/>
              </w:rPr>
              <w:t>2,771.2</w:t>
            </w:r>
          </w:p>
        </w:tc>
        <w:tc>
          <w:tcPr>
            <w:tcW w:w="471" w:type="pct"/>
            <w:tcBorders>
              <w:top w:val="nil"/>
              <w:left w:val="nil"/>
              <w:bottom w:val="single" w:sz="8" w:space="0" w:color="auto"/>
              <w:right w:val="nil"/>
            </w:tcBorders>
            <w:shd w:val="clear" w:color="auto" w:fill="auto"/>
            <w:vAlign w:val="center"/>
            <w:hideMark/>
          </w:tcPr>
          <w:p w14:paraId="7F8C509E" w14:textId="5AEBADF0" w:rsidR="00452781" w:rsidRPr="00C530D7" w:rsidRDefault="00452781" w:rsidP="00452781">
            <w:pPr>
              <w:spacing w:line="240" w:lineRule="auto"/>
              <w:ind w:firstLine="0"/>
              <w:jc w:val="center"/>
              <w:rPr>
                <w:rFonts w:cs="Times New Roman"/>
                <w:lang w:val="en-US"/>
              </w:rPr>
            </w:pPr>
            <w:r w:rsidRPr="00C530D7">
              <w:rPr>
                <w:rFonts w:cs="Times New Roman"/>
                <w:lang w:val="en-US"/>
              </w:rPr>
              <w:t>2,771.2</w:t>
            </w:r>
          </w:p>
        </w:tc>
        <w:tc>
          <w:tcPr>
            <w:tcW w:w="471" w:type="pct"/>
            <w:tcBorders>
              <w:top w:val="nil"/>
              <w:left w:val="nil"/>
              <w:bottom w:val="single" w:sz="8" w:space="0" w:color="auto"/>
              <w:right w:val="nil"/>
            </w:tcBorders>
            <w:shd w:val="clear" w:color="auto" w:fill="auto"/>
            <w:vAlign w:val="center"/>
            <w:hideMark/>
          </w:tcPr>
          <w:p w14:paraId="44FDB895" w14:textId="2F7F811F" w:rsidR="00452781" w:rsidRPr="00C530D7" w:rsidRDefault="00452781" w:rsidP="00452781">
            <w:pPr>
              <w:spacing w:line="240" w:lineRule="auto"/>
              <w:ind w:firstLine="0"/>
              <w:jc w:val="center"/>
              <w:rPr>
                <w:rFonts w:cs="Times New Roman"/>
                <w:lang w:val="en-US"/>
              </w:rPr>
            </w:pPr>
            <w:r w:rsidRPr="00C530D7">
              <w:rPr>
                <w:rFonts w:cs="Times New Roman"/>
                <w:lang w:val="en-US"/>
              </w:rPr>
              <w:t>3,115.2</w:t>
            </w:r>
          </w:p>
        </w:tc>
        <w:tc>
          <w:tcPr>
            <w:tcW w:w="475" w:type="pct"/>
            <w:tcBorders>
              <w:top w:val="nil"/>
              <w:left w:val="nil"/>
              <w:bottom w:val="single" w:sz="8" w:space="0" w:color="auto"/>
              <w:right w:val="nil"/>
            </w:tcBorders>
            <w:shd w:val="clear" w:color="auto" w:fill="auto"/>
            <w:vAlign w:val="center"/>
            <w:hideMark/>
          </w:tcPr>
          <w:p w14:paraId="549EF748" w14:textId="3420D452" w:rsidR="00452781" w:rsidRPr="00C530D7" w:rsidRDefault="00452781" w:rsidP="00452781">
            <w:pPr>
              <w:spacing w:line="240" w:lineRule="auto"/>
              <w:ind w:firstLine="0"/>
              <w:jc w:val="center"/>
              <w:rPr>
                <w:rFonts w:cs="Times New Roman"/>
                <w:lang w:val="en-US"/>
              </w:rPr>
            </w:pPr>
            <w:r w:rsidRPr="00C530D7">
              <w:rPr>
                <w:rFonts w:cs="Times New Roman"/>
                <w:lang w:val="en-US"/>
              </w:rPr>
              <w:t>3,404.3</w:t>
            </w:r>
          </w:p>
        </w:tc>
        <w:tc>
          <w:tcPr>
            <w:tcW w:w="474" w:type="pct"/>
            <w:tcBorders>
              <w:top w:val="nil"/>
              <w:left w:val="nil"/>
              <w:bottom w:val="single" w:sz="8" w:space="0" w:color="auto"/>
              <w:right w:val="nil"/>
            </w:tcBorders>
            <w:shd w:val="clear" w:color="auto" w:fill="auto"/>
            <w:vAlign w:val="center"/>
            <w:hideMark/>
          </w:tcPr>
          <w:p w14:paraId="7181661C" w14:textId="0098AD25" w:rsidR="00452781" w:rsidRPr="00C530D7" w:rsidRDefault="00452781" w:rsidP="00452781">
            <w:pPr>
              <w:spacing w:line="240" w:lineRule="auto"/>
              <w:ind w:firstLine="0"/>
              <w:jc w:val="center"/>
              <w:rPr>
                <w:rFonts w:cs="Times New Roman"/>
                <w:lang w:val="en-US"/>
              </w:rPr>
            </w:pPr>
            <w:r w:rsidRPr="00C530D7">
              <w:rPr>
                <w:rFonts w:cs="Times New Roman"/>
                <w:lang w:val="en-US"/>
              </w:rPr>
              <w:t>3,664.2</w:t>
            </w:r>
          </w:p>
        </w:tc>
      </w:tr>
      <w:tr w:rsidR="00452781" w:rsidRPr="00C530D7" w14:paraId="0CB23BD0" w14:textId="77777777" w:rsidTr="00452781">
        <w:trPr>
          <w:trHeight w:val="421"/>
        </w:trPr>
        <w:tc>
          <w:tcPr>
            <w:tcW w:w="1434" w:type="pct"/>
            <w:tcBorders>
              <w:top w:val="nil"/>
              <w:left w:val="nil"/>
              <w:bottom w:val="single" w:sz="8" w:space="0" w:color="auto"/>
              <w:right w:val="nil"/>
            </w:tcBorders>
            <w:shd w:val="clear" w:color="auto" w:fill="auto"/>
            <w:vAlign w:val="center"/>
            <w:hideMark/>
          </w:tcPr>
          <w:p w14:paraId="3EECB1C7" w14:textId="57214D64" w:rsidR="00452781" w:rsidRPr="00C530D7" w:rsidRDefault="00452781" w:rsidP="00452781">
            <w:pPr>
              <w:spacing w:line="240" w:lineRule="auto"/>
              <w:ind w:firstLine="0"/>
              <w:jc w:val="left"/>
              <w:rPr>
                <w:rFonts w:cs="Times New Roman"/>
                <w:lang w:val="en-US"/>
              </w:rPr>
            </w:pPr>
            <w:r>
              <w:rPr>
                <w:lang w:val="en-US"/>
              </w:rPr>
              <w:t>Foreign C</w:t>
            </w:r>
            <w:r w:rsidRPr="005A68E6">
              <w:rPr>
                <w:lang w:val="en-US"/>
              </w:rPr>
              <w:t>urrency Bonds</w:t>
            </w:r>
          </w:p>
        </w:tc>
        <w:tc>
          <w:tcPr>
            <w:tcW w:w="476" w:type="pct"/>
            <w:tcBorders>
              <w:top w:val="nil"/>
              <w:left w:val="nil"/>
              <w:bottom w:val="single" w:sz="8" w:space="0" w:color="auto"/>
              <w:right w:val="nil"/>
            </w:tcBorders>
            <w:shd w:val="clear" w:color="auto" w:fill="auto"/>
            <w:vAlign w:val="center"/>
            <w:hideMark/>
          </w:tcPr>
          <w:p w14:paraId="196CF1B7" w14:textId="67B48E84" w:rsidR="00452781" w:rsidRPr="00C530D7" w:rsidRDefault="00452781" w:rsidP="00452781">
            <w:pPr>
              <w:spacing w:line="240" w:lineRule="auto"/>
              <w:ind w:firstLine="0"/>
              <w:jc w:val="center"/>
              <w:rPr>
                <w:rFonts w:cs="Times New Roman"/>
                <w:lang w:val="en-US"/>
              </w:rPr>
            </w:pPr>
            <w:r w:rsidRPr="00C530D7">
              <w:rPr>
                <w:rFonts w:cs="Times New Roman"/>
                <w:lang w:val="en-US"/>
              </w:rPr>
              <w:t>632.8</w:t>
            </w:r>
          </w:p>
        </w:tc>
        <w:tc>
          <w:tcPr>
            <w:tcW w:w="477" w:type="pct"/>
            <w:tcBorders>
              <w:top w:val="nil"/>
              <w:left w:val="nil"/>
              <w:bottom w:val="single" w:sz="8" w:space="0" w:color="auto"/>
              <w:right w:val="nil"/>
            </w:tcBorders>
            <w:shd w:val="clear" w:color="auto" w:fill="auto"/>
            <w:vAlign w:val="center"/>
            <w:hideMark/>
          </w:tcPr>
          <w:p w14:paraId="0381CBD5" w14:textId="7F3976B8" w:rsidR="00452781" w:rsidRPr="00C530D7" w:rsidRDefault="00452781" w:rsidP="00452781">
            <w:pPr>
              <w:spacing w:line="240" w:lineRule="auto"/>
              <w:ind w:firstLine="0"/>
              <w:jc w:val="center"/>
              <w:rPr>
                <w:rFonts w:cs="Times New Roman"/>
                <w:lang w:val="en-US"/>
              </w:rPr>
            </w:pPr>
            <w:r w:rsidRPr="00C530D7">
              <w:rPr>
                <w:rFonts w:cs="Times New Roman"/>
                <w:lang w:val="en-US"/>
              </w:rPr>
              <w:t>619.9</w:t>
            </w:r>
          </w:p>
        </w:tc>
        <w:tc>
          <w:tcPr>
            <w:tcW w:w="722" w:type="pct"/>
            <w:tcBorders>
              <w:top w:val="nil"/>
              <w:left w:val="nil"/>
              <w:bottom w:val="single" w:sz="8" w:space="0" w:color="auto"/>
              <w:right w:val="double" w:sz="6" w:space="0" w:color="auto"/>
            </w:tcBorders>
            <w:shd w:val="clear" w:color="auto" w:fill="auto"/>
            <w:vAlign w:val="center"/>
            <w:hideMark/>
          </w:tcPr>
          <w:p w14:paraId="25754F65" w14:textId="558111A5" w:rsidR="00452781" w:rsidRPr="00C530D7" w:rsidRDefault="00452781" w:rsidP="00452781">
            <w:pPr>
              <w:spacing w:line="240" w:lineRule="auto"/>
              <w:ind w:firstLine="0"/>
              <w:jc w:val="center"/>
              <w:rPr>
                <w:rFonts w:cs="Times New Roman"/>
                <w:lang w:val="en-US"/>
              </w:rPr>
            </w:pPr>
            <w:r w:rsidRPr="00C530D7">
              <w:rPr>
                <w:rFonts w:cs="Times New Roman"/>
                <w:lang w:val="en-US"/>
              </w:rPr>
              <w:t>740.8</w:t>
            </w:r>
          </w:p>
        </w:tc>
        <w:tc>
          <w:tcPr>
            <w:tcW w:w="471" w:type="pct"/>
            <w:tcBorders>
              <w:top w:val="nil"/>
              <w:left w:val="nil"/>
              <w:bottom w:val="single" w:sz="8" w:space="0" w:color="auto"/>
              <w:right w:val="nil"/>
            </w:tcBorders>
            <w:shd w:val="clear" w:color="auto" w:fill="auto"/>
            <w:vAlign w:val="center"/>
            <w:hideMark/>
          </w:tcPr>
          <w:p w14:paraId="2073A531" w14:textId="2791DE4D" w:rsidR="00452781" w:rsidRPr="00C530D7" w:rsidRDefault="00452781" w:rsidP="00452781">
            <w:pPr>
              <w:spacing w:line="240" w:lineRule="auto"/>
              <w:ind w:firstLine="0"/>
              <w:jc w:val="center"/>
              <w:rPr>
                <w:rFonts w:cs="Times New Roman"/>
                <w:lang w:val="en-US"/>
              </w:rPr>
            </w:pPr>
            <w:r w:rsidRPr="00C530D7">
              <w:rPr>
                <w:rFonts w:cs="Times New Roman"/>
                <w:lang w:val="en-US"/>
              </w:rPr>
              <w:t>828.6</w:t>
            </w:r>
          </w:p>
        </w:tc>
        <w:tc>
          <w:tcPr>
            <w:tcW w:w="471" w:type="pct"/>
            <w:tcBorders>
              <w:top w:val="nil"/>
              <w:left w:val="nil"/>
              <w:bottom w:val="single" w:sz="8" w:space="0" w:color="auto"/>
              <w:right w:val="nil"/>
            </w:tcBorders>
            <w:shd w:val="clear" w:color="auto" w:fill="auto"/>
            <w:vAlign w:val="center"/>
            <w:hideMark/>
          </w:tcPr>
          <w:p w14:paraId="0F9517EE" w14:textId="7624625C" w:rsidR="00452781" w:rsidRPr="00C530D7" w:rsidRDefault="00452781" w:rsidP="00452781">
            <w:pPr>
              <w:spacing w:line="240" w:lineRule="auto"/>
              <w:ind w:firstLine="0"/>
              <w:jc w:val="center"/>
              <w:rPr>
                <w:rFonts w:cs="Times New Roman"/>
                <w:lang w:val="en-US"/>
              </w:rPr>
            </w:pPr>
            <w:r w:rsidRPr="00C530D7">
              <w:rPr>
                <w:rFonts w:cs="Times New Roman"/>
                <w:lang w:val="en-US"/>
              </w:rPr>
              <w:t>850.1</w:t>
            </w:r>
          </w:p>
        </w:tc>
        <w:tc>
          <w:tcPr>
            <w:tcW w:w="475" w:type="pct"/>
            <w:tcBorders>
              <w:top w:val="nil"/>
              <w:left w:val="nil"/>
              <w:bottom w:val="single" w:sz="8" w:space="0" w:color="auto"/>
              <w:right w:val="nil"/>
            </w:tcBorders>
            <w:shd w:val="clear" w:color="auto" w:fill="auto"/>
            <w:vAlign w:val="center"/>
            <w:hideMark/>
          </w:tcPr>
          <w:p w14:paraId="65C3B1BE" w14:textId="2B2D9C76" w:rsidR="00452781" w:rsidRPr="00C530D7" w:rsidRDefault="00452781" w:rsidP="00452781">
            <w:pPr>
              <w:spacing w:line="240" w:lineRule="auto"/>
              <w:ind w:firstLine="0"/>
              <w:jc w:val="center"/>
              <w:rPr>
                <w:rFonts w:cs="Times New Roman"/>
                <w:lang w:val="en-US"/>
              </w:rPr>
            </w:pPr>
            <w:r w:rsidRPr="00C530D7">
              <w:rPr>
                <w:rFonts w:cs="Times New Roman"/>
                <w:lang w:val="en-US"/>
              </w:rPr>
              <w:t>862.2</w:t>
            </w:r>
          </w:p>
        </w:tc>
        <w:tc>
          <w:tcPr>
            <w:tcW w:w="474" w:type="pct"/>
            <w:tcBorders>
              <w:top w:val="nil"/>
              <w:left w:val="nil"/>
              <w:bottom w:val="single" w:sz="8" w:space="0" w:color="auto"/>
              <w:right w:val="nil"/>
            </w:tcBorders>
            <w:shd w:val="clear" w:color="auto" w:fill="auto"/>
            <w:vAlign w:val="center"/>
            <w:hideMark/>
          </w:tcPr>
          <w:p w14:paraId="1F86AD47" w14:textId="72D86787" w:rsidR="00452781" w:rsidRPr="00C530D7" w:rsidRDefault="00452781" w:rsidP="00452781">
            <w:pPr>
              <w:spacing w:line="240" w:lineRule="auto"/>
              <w:ind w:firstLine="0"/>
              <w:jc w:val="center"/>
              <w:rPr>
                <w:rFonts w:cs="Times New Roman"/>
                <w:lang w:val="en-US"/>
              </w:rPr>
            </w:pPr>
            <w:r w:rsidRPr="00C530D7">
              <w:rPr>
                <w:rFonts w:cs="Times New Roman"/>
                <w:lang w:val="en-US"/>
              </w:rPr>
              <w:t>884.9</w:t>
            </w:r>
          </w:p>
        </w:tc>
      </w:tr>
      <w:tr w:rsidR="00452781" w:rsidRPr="00C530D7" w14:paraId="63B8DF94" w14:textId="77777777" w:rsidTr="00452781">
        <w:trPr>
          <w:trHeight w:val="345"/>
        </w:trPr>
        <w:tc>
          <w:tcPr>
            <w:tcW w:w="1434" w:type="pct"/>
            <w:tcBorders>
              <w:top w:val="nil"/>
              <w:left w:val="nil"/>
              <w:bottom w:val="single" w:sz="8" w:space="0" w:color="auto"/>
              <w:right w:val="nil"/>
            </w:tcBorders>
            <w:shd w:val="clear" w:color="auto" w:fill="auto"/>
            <w:vAlign w:val="center"/>
            <w:hideMark/>
          </w:tcPr>
          <w:p w14:paraId="2CAD44D3" w14:textId="677E9C7B" w:rsidR="00452781" w:rsidRPr="00C530D7" w:rsidRDefault="00452781" w:rsidP="00452781">
            <w:pPr>
              <w:spacing w:line="240" w:lineRule="auto"/>
              <w:ind w:firstLine="0"/>
              <w:jc w:val="left"/>
              <w:rPr>
                <w:rFonts w:cs="Times New Roman"/>
                <w:lang w:val="en-US"/>
              </w:rPr>
            </w:pPr>
            <w:r w:rsidRPr="005A68E6">
              <w:rPr>
                <w:lang w:val="en-US"/>
              </w:rPr>
              <w:t>External Guarantees</w:t>
            </w:r>
          </w:p>
        </w:tc>
        <w:tc>
          <w:tcPr>
            <w:tcW w:w="476" w:type="pct"/>
            <w:tcBorders>
              <w:top w:val="nil"/>
              <w:left w:val="nil"/>
              <w:bottom w:val="single" w:sz="8" w:space="0" w:color="auto"/>
              <w:right w:val="nil"/>
            </w:tcBorders>
            <w:shd w:val="clear" w:color="auto" w:fill="auto"/>
            <w:vAlign w:val="center"/>
            <w:hideMark/>
          </w:tcPr>
          <w:p w14:paraId="0E361737" w14:textId="2E06CED3" w:rsidR="00452781" w:rsidRPr="00C530D7" w:rsidRDefault="00452781" w:rsidP="00452781">
            <w:pPr>
              <w:spacing w:line="240" w:lineRule="auto"/>
              <w:ind w:firstLine="0"/>
              <w:jc w:val="center"/>
              <w:rPr>
                <w:rFonts w:cs="Times New Roman"/>
                <w:lang w:val="en-US"/>
              </w:rPr>
            </w:pPr>
            <w:r w:rsidRPr="00C530D7">
              <w:rPr>
                <w:rFonts w:cs="Times New Roman"/>
                <w:lang w:val="en-US"/>
              </w:rPr>
              <w:t>3.0</w:t>
            </w:r>
          </w:p>
        </w:tc>
        <w:tc>
          <w:tcPr>
            <w:tcW w:w="477" w:type="pct"/>
            <w:tcBorders>
              <w:top w:val="nil"/>
              <w:left w:val="nil"/>
              <w:bottom w:val="single" w:sz="8" w:space="0" w:color="auto"/>
              <w:right w:val="nil"/>
            </w:tcBorders>
            <w:shd w:val="clear" w:color="auto" w:fill="auto"/>
            <w:vAlign w:val="center"/>
            <w:hideMark/>
          </w:tcPr>
          <w:p w14:paraId="4C25542C" w14:textId="6D9C5F6E" w:rsidR="00452781" w:rsidRPr="00C530D7" w:rsidRDefault="00452781" w:rsidP="00452781">
            <w:pPr>
              <w:spacing w:line="240" w:lineRule="auto"/>
              <w:ind w:firstLine="0"/>
              <w:jc w:val="center"/>
              <w:rPr>
                <w:rFonts w:cs="Times New Roman"/>
                <w:lang w:val="en-US"/>
              </w:rPr>
            </w:pPr>
            <w:r w:rsidRPr="00C530D7">
              <w:rPr>
                <w:rFonts w:cs="Times New Roman"/>
                <w:lang w:val="en-US"/>
              </w:rPr>
              <w:t>2.6</w:t>
            </w:r>
          </w:p>
        </w:tc>
        <w:tc>
          <w:tcPr>
            <w:tcW w:w="722" w:type="pct"/>
            <w:tcBorders>
              <w:top w:val="nil"/>
              <w:left w:val="nil"/>
              <w:bottom w:val="single" w:sz="8" w:space="0" w:color="auto"/>
              <w:right w:val="double" w:sz="6" w:space="0" w:color="auto"/>
            </w:tcBorders>
            <w:shd w:val="clear" w:color="auto" w:fill="auto"/>
            <w:vAlign w:val="center"/>
            <w:hideMark/>
          </w:tcPr>
          <w:p w14:paraId="4F1B08DB" w14:textId="33CAF1AB" w:rsidR="00452781" w:rsidRPr="00C530D7" w:rsidRDefault="00452781" w:rsidP="00452781">
            <w:pPr>
              <w:spacing w:line="240" w:lineRule="auto"/>
              <w:ind w:firstLine="0"/>
              <w:jc w:val="center"/>
              <w:rPr>
                <w:rFonts w:cs="Times New Roman"/>
                <w:lang w:val="en-US"/>
              </w:rPr>
            </w:pPr>
            <w:r w:rsidRPr="00C530D7">
              <w:rPr>
                <w:rFonts w:cs="Times New Roman"/>
                <w:lang w:val="en-US"/>
              </w:rPr>
              <w:t>2.6</w:t>
            </w:r>
          </w:p>
        </w:tc>
        <w:tc>
          <w:tcPr>
            <w:tcW w:w="471" w:type="pct"/>
            <w:tcBorders>
              <w:top w:val="nil"/>
              <w:left w:val="nil"/>
              <w:bottom w:val="single" w:sz="8" w:space="0" w:color="auto"/>
              <w:right w:val="nil"/>
            </w:tcBorders>
            <w:shd w:val="clear" w:color="auto" w:fill="auto"/>
            <w:vAlign w:val="center"/>
            <w:hideMark/>
          </w:tcPr>
          <w:p w14:paraId="5B2F9079" w14:textId="78102372" w:rsidR="00452781" w:rsidRPr="00C530D7" w:rsidRDefault="00452781" w:rsidP="00452781">
            <w:pPr>
              <w:spacing w:line="240" w:lineRule="auto"/>
              <w:ind w:firstLine="0"/>
              <w:jc w:val="center"/>
              <w:rPr>
                <w:rFonts w:cs="Times New Roman"/>
                <w:lang w:val="en-US"/>
              </w:rPr>
            </w:pPr>
            <w:r w:rsidRPr="00C530D7">
              <w:rPr>
                <w:rFonts w:cs="Times New Roman"/>
                <w:lang w:val="en-US"/>
              </w:rPr>
              <w:t>2.6</w:t>
            </w:r>
          </w:p>
        </w:tc>
        <w:tc>
          <w:tcPr>
            <w:tcW w:w="471" w:type="pct"/>
            <w:tcBorders>
              <w:top w:val="nil"/>
              <w:left w:val="nil"/>
              <w:bottom w:val="single" w:sz="8" w:space="0" w:color="auto"/>
              <w:right w:val="nil"/>
            </w:tcBorders>
            <w:shd w:val="clear" w:color="auto" w:fill="auto"/>
            <w:vAlign w:val="center"/>
            <w:hideMark/>
          </w:tcPr>
          <w:p w14:paraId="4AC666C5" w14:textId="3714822F" w:rsidR="00452781" w:rsidRPr="00C530D7" w:rsidRDefault="00452781" w:rsidP="00452781">
            <w:pPr>
              <w:spacing w:line="240" w:lineRule="auto"/>
              <w:ind w:firstLine="0"/>
              <w:jc w:val="center"/>
              <w:rPr>
                <w:rFonts w:cs="Times New Roman"/>
                <w:lang w:val="en-US"/>
              </w:rPr>
            </w:pPr>
            <w:r w:rsidRPr="00C530D7">
              <w:rPr>
                <w:rFonts w:cs="Times New Roman"/>
                <w:lang w:val="en-US"/>
              </w:rPr>
              <w:t>2.4</w:t>
            </w:r>
          </w:p>
        </w:tc>
        <w:tc>
          <w:tcPr>
            <w:tcW w:w="475" w:type="pct"/>
            <w:tcBorders>
              <w:top w:val="nil"/>
              <w:left w:val="nil"/>
              <w:bottom w:val="single" w:sz="8" w:space="0" w:color="auto"/>
              <w:right w:val="nil"/>
            </w:tcBorders>
            <w:shd w:val="clear" w:color="auto" w:fill="auto"/>
            <w:vAlign w:val="center"/>
            <w:hideMark/>
          </w:tcPr>
          <w:p w14:paraId="3861743A" w14:textId="45BD6F89" w:rsidR="00452781" w:rsidRPr="00C530D7" w:rsidRDefault="00452781" w:rsidP="00452781">
            <w:pPr>
              <w:spacing w:line="240" w:lineRule="auto"/>
              <w:ind w:firstLine="0"/>
              <w:jc w:val="center"/>
              <w:rPr>
                <w:rFonts w:cs="Times New Roman"/>
                <w:lang w:val="en-US"/>
              </w:rPr>
            </w:pPr>
            <w:r w:rsidRPr="00C530D7">
              <w:rPr>
                <w:rFonts w:cs="Times New Roman"/>
                <w:lang w:val="en-US"/>
              </w:rPr>
              <w:t>2.2</w:t>
            </w:r>
          </w:p>
        </w:tc>
        <w:tc>
          <w:tcPr>
            <w:tcW w:w="474" w:type="pct"/>
            <w:tcBorders>
              <w:top w:val="nil"/>
              <w:left w:val="nil"/>
              <w:bottom w:val="single" w:sz="8" w:space="0" w:color="auto"/>
              <w:right w:val="nil"/>
            </w:tcBorders>
            <w:shd w:val="clear" w:color="auto" w:fill="auto"/>
            <w:vAlign w:val="center"/>
            <w:hideMark/>
          </w:tcPr>
          <w:p w14:paraId="0DB494B0" w14:textId="56850B6C" w:rsidR="00452781" w:rsidRPr="00C530D7" w:rsidRDefault="00452781" w:rsidP="00452781">
            <w:pPr>
              <w:spacing w:line="240" w:lineRule="auto"/>
              <w:ind w:firstLine="0"/>
              <w:jc w:val="center"/>
              <w:rPr>
                <w:rFonts w:cs="Times New Roman"/>
                <w:lang w:val="en-US"/>
              </w:rPr>
            </w:pPr>
            <w:r w:rsidRPr="00C530D7">
              <w:rPr>
                <w:rFonts w:cs="Times New Roman"/>
                <w:lang w:val="en-US"/>
              </w:rPr>
              <w:t>2.0</w:t>
            </w:r>
          </w:p>
        </w:tc>
      </w:tr>
      <w:tr w:rsidR="00452781" w:rsidRPr="00C530D7" w14:paraId="4EEA8341" w14:textId="77777777" w:rsidTr="00452781">
        <w:trPr>
          <w:trHeight w:val="345"/>
        </w:trPr>
        <w:tc>
          <w:tcPr>
            <w:tcW w:w="1434" w:type="pct"/>
            <w:tcBorders>
              <w:top w:val="single" w:sz="4" w:space="0" w:color="auto"/>
              <w:left w:val="nil"/>
              <w:bottom w:val="single" w:sz="12" w:space="0" w:color="auto"/>
              <w:right w:val="nil"/>
            </w:tcBorders>
            <w:shd w:val="clear" w:color="auto" w:fill="auto"/>
            <w:vAlign w:val="center"/>
            <w:hideMark/>
          </w:tcPr>
          <w:p w14:paraId="46662115" w14:textId="3F0C6D70" w:rsidR="00452781" w:rsidRPr="00C530D7" w:rsidRDefault="00452781" w:rsidP="00452781">
            <w:pPr>
              <w:spacing w:line="240" w:lineRule="auto"/>
              <w:ind w:firstLine="0"/>
              <w:jc w:val="left"/>
              <w:rPr>
                <w:rFonts w:cs="Times New Roman"/>
                <w:lang w:val="en-US"/>
              </w:rPr>
            </w:pPr>
            <w:r w:rsidRPr="005A68E6">
              <w:rPr>
                <w:lang w:val="en-US"/>
              </w:rPr>
              <w:t>Domestic Guarantees</w:t>
            </w:r>
          </w:p>
        </w:tc>
        <w:tc>
          <w:tcPr>
            <w:tcW w:w="476" w:type="pct"/>
            <w:tcBorders>
              <w:top w:val="single" w:sz="4" w:space="0" w:color="auto"/>
              <w:left w:val="nil"/>
              <w:bottom w:val="single" w:sz="12" w:space="0" w:color="auto"/>
              <w:right w:val="nil"/>
            </w:tcBorders>
            <w:shd w:val="clear" w:color="auto" w:fill="auto"/>
            <w:vAlign w:val="center"/>
            <w:hideMark/>
          </w:tcPr>
          <w:p w14:paraId="5710072E" w14:textId="23639199" w:rsidR="00452781" w:rsidRPr="00C530D7" w:rsidRDefault="00452781" w:rsidP="00452781">
            <w:pPr>
              <w:spacing w:line="240" w:lineRule="auto"/>
              <w:ind w:firstLine="0"/>
              <w:jc w:val="center"/>
              <w:rPr>
                <w:rFonts w:cs="Times New Roman"/>
                <w:lang w:val="en-US"/>
              </w:rPr>
            </w:pPr>
            <w:r w:rsidRPr="00C530D7">
              <w:rPr>
                <w:rFonts w:cs="Times New Roman"/>
                <w:lang w:val="en-US"/>
              </w:rPr>
              <w:t>7.2</w:t>
            </w:r>
          </w:p>
        </w:tc>
        <w:tc>
          <w:tcPr>
            <w:tcW w:w="477" w:type="pct"/>
            <w:tcBorders>
              <w:top w:val="single" w:sz="4" w:space="0" w:color="auto"/>
              <w:left w:val="nil"/>
              <w:bottom w:val="single" w:sz="12" w:space="0" w:color="auto"/>
              <w:right w:val="nil"/>
            </w:tcBorders>
            <w:shd w:val="clear" w:color="auto" w:fill="auto"/>
            <w:vAlign w:val="center"/>
            <w:hideMark/>
          </w:tcPr>
          <w:p w14:paraId="1CF066C6" w14:textId="3E8D1FAD" w:rsidR="00452781" w:rsidRPr="00C530D7" w:rsidRDefault="00452781" w:rsidP="00452781">
            <w:pPr>
              <w:spacing w:line="240" w:lineRule="auto"/>
              <w:ind w:firstLine="0"/>
              <w:jc w:val="center"/>
              <w:rPr>
                <w:rFonts w:cs="Times New Roman"/>
                <w:lang w:val="en-US"/>
              </w:rPr>
            </w:pPr>
            <w:r w:rsidRPr="00C530D7">
              <w:rPr>
                <w:rFonts w:cs="Times New Roman"/>
                <w:lang w:val="en-US"/>
              </w:rPr>
              <w:t>9.5</w:t>
            </w:r>
          </w:p>
        </w:tc>
        <w:tc>
          <w:tcPr>
            <w:tcW w:w="722" w:type="pct"/>
            <w:tcBorders>
              <w:top w:val="single" w:sz="4" w:space="0" w:color="auto"/>
              <w:left w:val="nil"/>
              <w:bottom w:val="single" w:sz="12" w:space="0" w:color="auto"/>
              <w:right w:val="double" w:sz="6" w:space="0" w:color="auto"/>
            </w:tcBorders>
            <w:shd w:val="clear" w:color="auto" w:fill="auto"/>
            <w:vAlign w:val="center"/>
            <w:hideMark/>
          </w:tcPr>
          <w:p w14:paraId="4DA38575" w14:textId="289C07BD" w:rsidR="00452781" w:rsidRPr="00C530D7" w:rsidRDefault="00452781" w:rsidP="00452781">
            <w:pPr>
              <w:spacing w:line="240" w:lineRule="auto"/>
              <w:ind w:firstLine="0"/>
              <w:jc w:val="center"/>
              <w:rPr>
                <w:rFonts w:cs="Times New Roman"/>
                <w:lang w:val="en-US"/>
              </w:rPr>
            </w:pPr>
            <w:r w:rsidRPr="00C530D7">
              <w:rPr>
                <w:rFonts w:cs="Times New Roman"/>
                <w:lang w:val="en-US"/>
              </w:rPr>
              <w:t>4.0</w:t>
            </w:r>
          </w:p>
        </w:tc>
        <w:tc>
          <w:tcPr>
            <w:tcW w:w="471" w:type="pct"/>
            <w:tcBorders>
              <w:top w:val="nil"/>
              <w:left w:val="nil"/>
              <w:bottom w:val="single" w:sz="12" w:space="0" w:color="auto"/>
              <w:right w:val="nil"/>
            </w:tcBorders>
            <w:shd w:val="clear" w:color="auto" w:fill="auto"/>
            <w:vAlign w:val="center"/>
            <w:hideMark/>
          </w:tcPr>
          <w:p w14:paraId="1543B6F1" w14:textId="602FF35B" w:rsidR="00452781" w:rsidRPr="00C530D7" w:rsidRDefault="00452781" w:rsidP="00452781">
            <w:pPr>
              <w:spacing w:line="240" w:lineRule="auto"/>
              <w:ind w:firstLine="0"/>
              <w:jc w:val="center"/>
              <w:rPr>
                <w:rFonts w:cs="Times New Roman"/>
                <w:lang w:val="en-US"/>
              </w:rPr>
            </w:pPr>
            <w:r w:rsidRPr="00C530D7">
              <w:rPr>
                <w:rFonts w:cs="Times New Roman"/>
                <w:lang w:val="en-US"/>
              </w:rPr>
              <w:t>56.5</w:t>
            </w:r>
          </w:p>
        </w:tc>
        <w:tc>
          <w:tcPr>
            <w:tcW w:w="471" w:type="pct"/>
            <w:tcBorders>
              <w:top w:val="nil"/>
              <w:left w:val="nil"/>
              <w:bottom w:val="single" w:sz="12" w:space="0" w:color="auto"/>
              <w:right w:val="nil"/>
            </w:tcBorders>
            <w:shd w:val="clear" w:color="auto" w:fill="auto"/>
            <w:vAlign w:val="center"/>
            <w:hideMark/>
          </w:tcPr>
          <w:p w14:paraId="61CE026E" w14:textId="1BB33B2F" w:rsidR="00452781" w:rsidRPr="00C530D7" w:rsidRDefault="00452781" w:rsidP="00452781">
            <w:pPr>
              <w:spacing w:line="240" w:lineRule="auto"/>
              <w:ind w:firstLine="0"/>
              <w:jc w:val="center"/>
              <w:rPr>
                <w:rFonts w:cs="Times New Roman"/>
                <w:lang w:val="en-US"/>
              </w:rPr>
            </w:pPr>
            <w:r w:rsidRPr="00C530D7">
              <w:rPr>
                <w:rFonts w:cs="Times New Roman"/>
                <w:lang w:val="en-US"/>
              </w:rPr>
              <w:t>64.5</w:t>
            </w:r>
          </w:p>
        </w:tc>
        <w:tc>
          <w:tcPr>
            <w:tcW w:w="475" w:type="pct"/>
            <w:tcBorders>
              <w:top w:val="nil"/>
              <w:left w:val="nil"/>
              <w:bottom w:val="single" w:sz="12" w:space="0" w:color="auto"/>
              <w:right w:val="nil"/>
            </w:tcBorders>
            <w:shd w:val="clear" w:color="auto" w:fill="auto"/>
            <w:vAlign w:val="center"/>
            <w:hideMark/>
          </w:tcPr>
          <w:p w14:paraId="37402FB8" w14:textId="7B61F6FF" w:rsidR="00452781" w:rsidRPr="00C530D7" w:rsidRDefault="00452781" w:rsidP="00452781">
            <w:pPr>
              <w:spacing w:line="240" w:lineRule="auto"/>
              <w:ind w:firstLine="0"/>
              <w:jc w:val="center"/>
              <w:rPr>
                <w:rFonts w:cs="Times New Roman"/>
                <w:lang w:val="en-US"/>
              </w:rPr>
            </w:pPr>
            <w:r w:rsidRPr="00C530D7">
              <w:rPr>
                <w:rFonts w:cs="Times New Roman"/>
                <w:lang w:val="en-US"/>
              </w:rPr>
              <w:t>46.0</w:t>
            </w:r>
          </w:p>
        </w:tc>
        <w:tc>
          <w:tcPr>
            <w:tcW w:w="474" w:type="pct"/>
            <w:tcBorders>
              <w:top w:val="nil"/>
              <w:left w:val="nil"/>
              <w:bottom w:val="single" w:sz="12" w:space="0" w:color="auto"/>
              <w:right w:val="nil"/>
            </w:tcBorders>
            <w:shd w:val="clear" w:color="auto" w:fill="auto"/>
            <w:vAlign w:val="center"/>
            <w:hideMark/>
          </w:tcPr>
          <w:p w14:paraId="3473860D" w14:textId="53A16A6F" w:rsidR="00452781" w:rsidRPr="00C530D7" w:rsidRDefault="00452781" w:rsidP="00452781">
            <w:pPr>
              <w:spacing w:line="240" w:lineRule="auto"/>
              <w:ind w:firstLine="0"/>
              <w:jc w:val="center"/>
              <w:rPr>
                <w:rFonts w:cs="Times New Roman"/>
                <w:lang w:val="en-US"/>
              </w:rPr>
            </w:pPr>
            <w:r w:rsidRPr="00C530D7">
              <w:rPr>
                <w:rFonts w:cs="Times New Roman"/>
                <w:lang w:val="en-US"/>
              </w:rPr>
              <w:t>28.1</w:t>
            </w:r>
          </w:p>
        </w:tc>
      </w:tr>
      <w:tr w:rsidR="00452781" w:rsidRPr="00C530D7" w14:paraId="75C2F48A" w14:textId="77777777" w:rsidTr="00452781">
        <w:trPr>
          <w:trHeight w:val="660"/>
        </w:trPr>
        <w:tc>
          <w:tcPr>
            <w:tcW w:w="1434" w:type="pct"/>
            <w:tcBorders>
              <w:top w:val="nil"/>
              <w:left w:val="nil"/>
              <w:bottom w:val="single" w:sz="8" w:space="0" w:color="auto"/>
              <w:right w:val="nil"/>
            </w:tcBorders>
            <w:shd w:val="clear" w:color="auto" w:fill="auto"/>
            <w:vAlign w:val="center"/>
            <w:hideMark/>
          </w:tcPr>
          <w:p w14:paraId="15BA28FC" w14:textId="2B4D2254" w:rsidR="00452781" w:rsidRPr="00C530D7" w:rsidRDefault="00452781" w:rsidP="00452781">
            <w:pPr>
              <w:spacing w:line="240" w:lineRule="auto"/>
              <w:ind w:firstLine="0"/>
              <w:jc w:val="left"/>
              <w:rPr>
                <w:rFonts w:cs="Times New Roman"/>
                <w:lang w:val="en-US"/>
              </w:rPr>
            </w:pPr>
            <w:r w:rsidRPr="005A68E6">
              <w:t>Interest Payment for Government Debt</w:t>
            </w:r>
          </w:p>
        </w:tc>
        <w:tc>
          <w:tcPr>
            <w:tcW w:w="476" w:type="pct"/>
            <w:tcBorders>
              <w:top w:val="nil"/>
              <w:left w:val="nil"/>
              <w:bottom w:val="single" w:sz="8" w:space="0" w:color="auto"/>
              <w:right w:val="nil"/>
            </w:tcBorders>
            <w:shd w:val="clear" w:color="auto" w:fill="auto"/>
            <w:vAlign w:val="center"/>
            <w:hideMark/>
          </w:tcPr>
          <w:p w14:paraId="21C31341" w14:textId="42CA44ED" w:rsidR="00452781" w:rsidRPr="00C530D7" w:rsidRDefault="00452781" w:rsidP="00452781">
            <w:pPr>
              <w:spacing w:line="240" w:lineRule="auto"/>
              <w:ind w:firstLine="0"/>
              <w:jc w:val="center"/>
              <w:rPr>
                <w:rFonts w:cs="Times New Roman"/>
                <w:lang w:val="en-US"/>
              </w:rPr>
            </w:pPr>
            <w:r w:rsidRPr="00C530D7">
              <w:rPr>
                <w:rFonts w:cs="Times New Roman"/>
                <w:lang w:val="en-US"/>
              </w:rPr>
              <w:t>253.4</w:t>
            </w:r>
          </w:p>
        </w:tc>
        <w:tc>
          <w:tcPr>
            <w:tcW w:w="477" w:type="pct"/>
            <w:tcBorders>
              <w:top w:val="nil"/>
              <w:left w:val="nil"/>
              <w:bottom w:val="single" w:sz="8" w:space="0" w:color="auto"/>
              <w:right w:val="nil"/>
            </w:tcBorders>
            <w:shd w:val="clear" w:color="auto" w:fill="auto"/>
            <w:vAlign w:val="center"/>
            <w:hideMark/>
          </w:tcPr>
          <w:p w14:paraId="53C677EF" w14:textId="2AFB7135" w:rsidR="00452781" w:rsidRPr="00C530D7" w:rsidRDefault="00452781" w:rsidP="00452781">
            <w:pPr>
              <w:spacing w:line="240" w:lineRule="auto"/>
              <w:ind w:firstLine="0"/>
              <w:jc w:val="center"/>
              <w:rPr>
                <w:rFonts w:cs="Times New Roman"/>
                <w:lang w:val="en-US"/>
              </w:rPr>
            </w:pPr>
            <w:r w:rsidRPr="00C530D7">
              <w:rPr>
                <w:rFonts w:cs="Times New Roman"/>
                <w:lang w:val="en-US"/>
              </w:rPr>
              <w:t>313.6</w:t>
            </w:r>
          </w:p>
        </w:tc>
        <w:tc>
          <w:tcPr>
            <w:tcW w:w="722" w:type="pct"/>
            <w:tcBorders>
              <w:top w:val="nil"/>
              <w:left w:val="nil"/>
              <w:bottom w:val="single" w:sz="8" w:space="0" w:color="auto"/>
              <w:right w:val="double" w:sz="6" w:space="0" w:color="auto"/>
            </w:tcBorders>
            <w:shd w:val="clear" w:color="auto" w:fill="auto"/>
            <w:vAlign w:val="center"/>
            <w:hideMark/>
          </w:tcPr>
          <w:p w14:paraId="7FF3E50F" w14:textId="338B5C97" w:rsidR="00452781" w:rsidRPr="00C530D7" w:rsidRDefault="00452781" w:rsidP="00452781">
            <w:pPr>
              <w:spacing w:line="240" w:lineRule="auto"/>
              <w:ind w:firstLine="0"/>
              <w:jc w:val="center"/>
              <w:rPr>
                <w:rFonts w:cs="Times New Roman"/>
                <w:lang w:val="en-US"/>
              </w:rPr>
            </w:pPr>
            <w:r w:rsidRPr="00C530D7">
              <w:rPr>
                <w:rFonts w:cs="Times New Roman"/>
                <w:lang w:val="en-US"/>
              </w:rPr>
              <w:t>394.1</w:t>
            </w:r>
          </w:p>
        </w:tc>
        <w:tc>
          <w:tcPr>
            <w:tcW w:w="471" w:type="pct"/>
            <w:tcBorders>
              <w:top w:val="nil"/>
              <w:left w:val="nil"/>
              <w:bottom w:val="single" w:sz="8" w:space="0" w:color="auto"/>
              <w:right w:val="nil"/>
            </w:tcBorders>
            <w:shd w:val="clear" w:color="auto" w:fill="auto"/>
            <w:vAlign w:val="center"/>
            <w:hideMark/>
          </w:tcPr>
          <w:p w14:paraId="4AA77D77" w14:textId="36A138D3" w:rsidR="00452781" w:rsidRPr="00C530D7" w:rsidRDefault="00452781" w:rsidP="00452781">
            <w:pPr>
              <w:spacing w:line="240" w:lineRule="auto"/>
              <w:ind w:firstLine="0"/>
              <w:jc w:val="center"/>
              <w:rPr>
                <w:rFonts w:cs="Times New Roman"/>
                <w:lang w:val="en-US"/>
              </w:rPr>
            </w:pPr>
            <w:r w:rsidRPr="00C530D7">
              <w:rPr>
                <w:rFonts w:cs="Times New Roman"/>
                <w:lang w:val="en-US"/>
              </w:rPr>
              <w:t>394.1</w:t>
            </w:r>
          </w:p>
        </w:tc>
        <w:tc>
          <w:tcPr>
            <w:tcW w:w="471" w:type="pct"/>
            <w:tcBorders>
              <w:top w:val="nil"/>
              <w:left w:val="nil"/>
              <w:bottom w:val="single" w:sz="8" w:space="0" w:color="auto"/>
              <w:right w:val="nil"/>
            </w:tcBorders>
            <w:shd w:val="clear" w:color="auto" w:fill="auto"/>
            <w:vAlign w:val="center"/>
            <w:hideMark/>
          </w:tcPr>
          <w:p w14:paraId="16851261" w14:textId="46AE0753" w:rsidR="00452781" w:rsidRPr="00C530D7" w:rsidRDefault="00452781" w:rsidP="00452781">
            <w:pPr>
              <w:spacing w:line="240" w:lineRule="auto"/>
              <w:ind w:firstLine="0"/>
              <w:jc w:val="center"/>
              <w:rPr>
                <w:rFonts w:cs="Times New Roman"/>
                <w:lang w:val="en-US"/>
              </w:rPr>
            </w:pPr>
            <w:r w:rsidRPr="00C530D7">
              <w:rPr>
                <w:rFonts w:cs="Times New Roman"/>
                <w:lang w:val="en-US"/>
              </w:rPr>
              <w:t>430.7</w:t>
            </w:r>
          </w:p>
        </w:tc>
        <w:tc>
          <w:tcPr>
            <w:tcW w:w="475" w:type="pct"/>
            <w:tcBorders>
              <w:top w:val="nil"/>
              <w:left w:val="nil"/>
              <w:bottom w:val="single" w:sz="8" w:space="0" w:color="auto"/>
              <w:right w:val="nil"/>
            </w:tcBorders>
            <w:shd w:val="clear" w:color="auto" w:fill="auto"/>
            <w:vAlign w:val="center"/>
            <w:hideMark/>
          </w:tcPr>
          <w:p w14:paraId="0A1EC60B" w14:textId="683D57FA" w:rsidR="00452781" w:rsidRPr="00C530D7" w:rsidRDefault="00452781" w:rsidP="00452781">
            <w:pPr>
              <w:spacing w:line="240" w:lineRule="auto"/>
              <w:ind w:firstLine="0"/>
              <w:jc w:val="center"/>
              <w:rPr>
                <w:rFonts w:cs="Times New Roman"/>
                <w:lang w:val="en-US"/>
              </w:rPr>
            </w:pPr>
            <w:r w:rsidRPr="00C530D7">
              <w:rPr>
                <w:rFonts w:cs="Times New Roman"/>
                <w:lang w:val="en-US"/>
              </w:rPr>
              <w:t>482.5</w:t>
            </w:r>
          </w:p>
        </w:tc>
        <w:tc>
          <w:tcPr>
            <w:tcW w:w="474" w:type="pct"/>
            <w:tcBorders>
              <w:top w:val="nil"/>
              <w:left w:val="nil"/>
              <w:bottom w:val="single" w:sz="8" w:space="0" w:color="auto"/>
              <w:right w:val="nil"/>
            </w:tcBorders>
            <w:shd w:val="clear" w:color="auto" w:fill="auto"/>
            <w:vAlign w:val="center"/>
            <w:hideMark/>
          </w:tcPr>
          <w:p w14:paraId="59A04D51" w14:textId="00EAAA77" w:rsidR="00452781" w:rsidRPr="00C530D7" w:rsidRDefault="00452781" w:rsidP="00452781">
            <w:pPr>
              <w:spacing w:line="240" w:lineRule="auto"/>
              <w:ind w:firstLine="0"/>
              <w:jc w:val="center"/>
              <w:rPr>
                <w:rFonts w:cs="Times New Roman"/>
                <w:lang w:val="en-US"/>
              </w:rPr>
            </w:pPr>
            <w:r w:rsidRPr="00C530D7">
              <w:rPr>
                <w:rFonts w:cs="Times New Roman"/>
                <w:lang w:val="en-US"/>
              </w:rPr>
              <w:t>528.4</w:t>
            </w:r>
          </w:p>
        </w:tc>
      </w:tr>
      <w:tr w:rsidR="00452781" w:rsidRPr="00C530D7" w14:paraId="6EC541DD" w14:textId="77777777" w:rsidTr="00452781">
        <w:trPr>
          <w:trHeight w:val="675"/>
        </w:trPr>
        <w:tc>
          <w:tcPr>
            <w:tcW w:w="1434" w:type="pct"/>
            <w:tcBorders>
              <w:top w:val="nil"/>
              <w:left w:val="nil"/>
              <w:bottom w:val="single" w:sz="8" w:space="0" w:color="auto"/>
              <w:right w:val="nil"/>
            </w:tcBorders>
            <w:shd w:val="clear" w:color="auto" w:fill="auto"/>
            <w:vAlign w:val="center"/>
            <w:hideMark/>
          </w:tcPr>
          <w:p w14:paraId="532C4359" w14:textId="097F5849" w:rsidR="00452781" w:rsidRPr="00C530D7" w:rsidRDefault="00452781" w:rsidP="00452781">
            <w:pPr>
              <w:spacing w:line="240" w:lineRule="auto"/>
              <w:ind w:firstLine="0"/>
              <w:jc w:val="left"/>
              <w:rPr>
                <w:rFonts w:cs="Times New Roman"/>
                <w:lang w:val="en-US"/>
              </w:rPr>
            </w:pPr>
            <w:r w:rsidRPr="005A68E6">
              <w:rPr>
                <w:lang w:val="en-US"/>
              </w:rPr>
              <w:t>Interest Payment / State Budget Expenditures</w:t>
            </w:r>
            <w:r w:rsidRPr="005A68E6">
              <w:t xml:space="preserve"> (%)</w:t>
            </w:r>
          </w:p>
        </w:tc>
        <w:tc>
          <w:tcPr>
            <w:tcW w:w="476" w:type="pct"/>
            <w:tcBorders>
              <w:top w:val="nil"/>
              <w:left w:val="nil"/>
              <w:bottom w:val="single" w:sz="8" w:space="0" w:color="auto"/>
              <w:right w:val="nil"/>
            </w:tcBorders>
            <w:shd w:val="clear" w:color="auto" w:fill="auto"/>
            <w:vAlign w:val="center"/>
            <w:hideMark/>
          </w:tcPr>
          <w:p w14:paraId="642098DA"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9.9</w:t>
            </w:r>
          </w:p>
        </w:tc>
        <w:tc>
          <w:tcPr>
            <w:tcW w:w="477" w:type="pct"/>
            <w:tcBorders>
              <w:top w:val="nil"/>
              <w:left w:val="nil"/>
              <w:bottom w:val="single" w:sz="8" w:space="0" w:color="auto"/>
              <w:right w:val="nil"/>
            </w:tcBorders>
            <w:shd w:val="clear" w:color="auto" w:fill="auto"/>
            <w:vAlign w:val="center"/>
            <w:hideMark/>
          </w:tcPr>
          <w:p w14:paraId="5194D622"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10.6</w:t>
            </w:r>
          </w:p>
        </w:tc>
        <w:tc>
          <w:tcPr>
            <w:tcW w:w="722" w:type="pct"/>
            <w:tcBorders>
              <w:top w:val="nil"/>
              <w:left w:val="nil"/>
              <w:bottom w:val="single" w:sz="8" w:space="0" w:color="auto"/>
              <w:right w:val="double" w:sz="6" w:space="0" w:color="auto"/>
            </w:tcBorders>
            <w:shd w:val="clear" w:color="auto" w:fill="auto"/>
            <w:vAlign w:val="center"/>
            <w:hideMark/>
          </w:tcPr>
          <w:p w14:paraId="55E7C89E"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11.5</w:t>
            </w:r>
          </w:p>
        </w:tc>
        <w:tc>
          <w:tcPr>
            <w:tcW w:w="471" w:type="pct"/>
            <w:tcBorders>
              <w:top w:val="nil"/>
              <w:left w:val="nil"/>
              <w:bottom w:val="single" w:sz="8" w:space="0" w:color="auto"/>
              <w:right w:val="nil"/>
            </w:tcBorders>
            <w:shd w:val="clear" w:color="auto" w:fill="auto"/>
            <w:vAlign w:val="center"/>
            <w:hideMark/>
          </w:tcPr>
          <w:p w14:paraId="38082F50"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11.7</w:t>
            </w:r>
          </w:p>
        </w:tc>
        <w:tc>
          <w:tcPr>
            <w:tcW w:w="471" w:type="pct"/>
            <w:tcBorders>
              <w:top w:val="nil"/>
              <w:left w:val="nil"/>
              <w:bottom w:val="single" w:sz="8" w:space="0" w:color="auto"/>
              <w:right w:val="nil"/>
            </w:tcBorders>
            <w:shd w:val="clear" w:color="auto" w:fill="auto"/>
            <w:vAlign w:val="center"/>
            <w:hideMark/>
          </w:tcPr>
          <w:p w14:paraId="2D0BE8B4"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12.0</w:t>
            </w:r>
          </w:p>
        </w:tc>
        <w:tc>
          <w:tcPr>
            <w:tcW w:w="475" w:type="pct"/>
            <w:tcBorders>
              <w:top w:val="nil"/>
              <w:left w:val="nil"/>
              <w:bottom w:val="single" w:sz="8" w:space="0" w:color="auto"/>
              <w:right w:val="nil"/>
            </w:tcBorders>
            <w:shd w:val="clear" w:color="auto" w:fill="auto"/>
            <w:vAlign w:val="center"/>
            <w:hideMark/>
          </w:tcPr>
          <w:p w14:paraId="3CEB16A9"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12.9</w:t>
            </w:r>
          </w:p>
        </w:tc>
        <w:tc>
          <w:tcPr>
            <w:tcW w:w="474" w:type="pct"/>
            <w:tcBorders>
              <w:top w:val="nil"/>
              <w:left w:val="nil"/>
              <w:bottom w:val="single" w:sz="8" w:space="0" w:color="auto"/>
              <w:right w:val="nil"/>
            </w:tcBorders>
            <w:shd w:val="clear" w:color="auto" w:fill="auto"/>
            <w:vAlign w:val="center"/>
            <w:hideMark/>
          </w:tcPr>
          <w:p w14:paraId="21D11FFF"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13.2</w:t>
            </w:r>
          </w:p>
        </w:tc>
      </w:tr>
      <w:tr w:rsidR="00452781" w:rsidRPr="00C530D7" w14:paraId="3ADE0643" w14:textId="77777777" w:rsidTr="00452781">
        <w:trPr>
          <w:trHeight w:val="925"/>
        </w:trPr>
        <w:tc>
          <w:tcPr>
            <w:tcW w:w="1434" w:type="pct"/>
            <w:tcBorders>
              <w:top w:val="nil"/>
              <w:left w:val="nil"/>
              <w:bottom w:val="single" w:sz="8" w:space="0" w:color="auto"/>
              <w:right w:val="nil"/>
            </w:tcBorders>
            <w:shd w:val="clear" w:color="auto" w:fill="auto"/>
            <w:vAlign w:val="center"/>
            <w:hideMark/>
          </w:tcPr>
          <w:p w14:paraId="207CBF63" w14:textId="3BD26273" w:rsidR="00452781" w:rsidRPr="006672FA" w:rsidRDefault="00452781" w:rsidP="00452781">
            <w:pPr>
              <w:spacing w:line="240" w:lineRule="auto"/>
              <w:ind w:firstLine="0"/>
              <w:jc w:val="left"/>
              <w:rPr>
                <w:rFonts w:cs="Times New Roman"/>
              </w:rPr>
            </w:pPr>
            <w:r w:rsidRPr="005A68E6">
              <w:t xml:space="preserve">Interest </w:t>
            </w:r>
            <w:r w:rsidRPr="005A68E6">
              <w:rPr>
                <w:lang w:val="en-US"/>
              </w:rPr>
              <w:t>P</w:t>
            </w:r>
            <w:r w:rsidRPr="005A68E6">
              <w:t>ayment / State Budget Own Revenues (</w:t>
            </w:r>
            <w:r>
              <w:rPr>
                <w:lang w:val="en-US"/>
              </w:rPr>
              <w:t>excluding</w:t>
            </w:r>
            <w:r w:rsidRPr="005A68E6">
              <w:t xml:space="preserve"> grants) (%)</w:t>
            </w:r>
          </w:p>
        </w:tc>
        <w:tc>
          <w:tcPr>
            <w:tcW w:w="476" w:type="pct"/>
            <w:tcBorders>
              <w:top w:val="nil"/>
              <w:left w:val="nil"/>
              <w:bottom w:val="single" w:sz="8" w:space="0" w:color="auto"/>
              <w:right w:val="nil"/>
            </w:tcBorders>
            <w:shd w:val="clear" w:color="auto" w:fill="auto"/>
            <w:vAlign w:val="center"/>
            <w:hideMark/>
          </w:tcPr>
          <w:p w14:paraId="6CC6F56E"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10.7</w:t>
            </w:r>
          </w:p>
        </w:tc>
        <w:tc>
          <w:tcPr>
            <w:tcW w:w="477" w:type="pct"/>
            <w:tcBorders>
              <w:top w:val="nil"/>
              <w:left w:val="nil"/>
              <w:bottom w:val="single" w:sz="8" w:space="0" w:color="auto"/>
              <w:right w:val="nil"/>
            </w:tcBorders>
            <w:shd w:val="clear" w:color="auto" w:fill="auto"/>
            <w:vAlign w:val="center"/>
            <w:hideMark/>
          </w:tcPr>
          <w:p w14:paraId="27C26D35"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12.2</w:t>
            </w:r>
          </w:p>
        </w:tc>
        <w:tc>
          <w:tcPr>
            <w:tcW w:w="722" w:type="pct"/>
            <w:tcBorders>
              <w:top w:val="nil"/>
              <w:left w:val="nil"/>
              <w:bottom w:val="single" w:sz="8" w:space="0" w:color="auto"/>
              <w:right w:val="double" w:sz="6" w:space="0" w:color="auto"/>
            </w:tcBorders>
            <w:shd w:val="clear" w:color="auto" w:fill="auto"/>
            <w:vAlign w:val="center"/>
            <w:hideMark/>
          </w:tcPr>
          <w:p w14:paraId="68E441A0"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13.9</w:t>
            </w:r>
          </w:p>
        </w:tc>
        <w:tc>
          <w:tcPr>
            <w:tcW w:w="471" w:type="pct"/>
            <w:tcBorders>
              <w:top w:val="nil"/>
              <w:left w:val="nil"/>
              <w:bottom w:val="single" w:sz="8" w:space="0" w:color="auto"/>
              <w:right w:val="nil"/>
            </w:tcBorders>
            <w:shd w:val="clear" w:color="auto" w:fill="auto"/>
            <w:vAlign w:val="center"/>
            <w:hideMark/>
          </w:tcPr>
          <w:p w14:paraId="17B679E2"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14.2</w:t>
            </w:r>
          </w:p>
        </w:tc>
        <w:tc>
          <w:tcPr>
            <w:tcW w:w="471" w:type="pct"/>
            <w:tcBorders>
              <w:top w:val="nil"/>
              <w:left w:val="nil"/>
              <w:bottom w:val="single" w:sz="8" w:space="0" w:color="auto"/>
              <w:right w:val="nil"/>
            </w:tcBorders>
            <w:shd w:val="clear" w:color="auto" w:fill="auto"/>
            <w:vAlign w:val="center"/>
            <w:hideMark/>
          </w:tcPr>
          <w:p w14:paraId="4E6E9603"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14.1</w:t>
            </w:r>
          </w:p>
        </w:tc>
        <w:tc>
          <w:tcPr>
            <w:tcW w:w="475" w:type="pct"/>
            <w:tcBorders>
              <w:top w:val="nil"/>
              <w:left w:val="nil"/>
              <w:bottom w:val="single" w:sz="8" w:space="0" w:color="auto"/>
              <w:right w:val="nil"/>
            </w:tcBorders>
            <w:shd w:val="clear" w:color="auto" w:fill="auto"/>
            <w:vAlign w:val="center"/>
            <w:hideMark/>
          </w:tcPr>
          <w:p w14:paraId="037DD2CD"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14.6</w:t>
            </w:r>
          </w:p>
        </w:tc>
        <w:tc>
          <w:tcPr>
            <w:tcW w:w="474" w:type="pct"/>
            <w:tcBorders>
              <w:top w:val="nil"/>
              <w:left w:val="nil"/>
              <w:bottom w:val="single" w:sz="8" w:space="0" w:color="auto"/>
              <w:right w:val="nil"/>
            </w:tcBorders>
            <w:shd w:val="clear" w:color="auto" w:fill="auto"/>
            <w:vAlign w:val="center"/>
            <w:hideMark/>
          </w:tcPr>
          <w:p w14:paraId="0D0CB08F"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14.7</w:t>
            </w:r>
          </w:p>
        </w:tc>
      </w:tr>
      <w:tr w:rsidR="00452781" w:rsidRPr="00C530D7" w14:paraId="46CCCEF8" w14:textId="77777777" w:rsidTr="00452781">
        <w:trPr>
          <w:trHeight w:val="345"/>
        </w:trPr>
        <w:tc>
          <w:tcPr>
            <w:tcW w:w="1434" w:type="pct"/>
            <w:tcBorders>
              <w:top w:val="nil"/>
              <w:left w:val="nil"/>
              <w:bottom w:val="double" w:sz="6" w:space="0" w:color="auto"/>
              <w:right w:val="nil"/>
            </w:tcBorders>
            <w:shd w:val="clear" w:color="auto" w:fill="auto"/>
            <w:vAlign w:val="center"/>
            <w:hideMark/>
          </w:tcPr>
          <w:p w14:paraId="72A30789" w14:textId="46A2FC60" w:rsidR="00452781" w:rsidRPr="00C530D7" w:rsidRDefault="00452781" w:rsidP="00452781">
            <w:pPr>
              <w:spacing w:line="240" w:lineRule="auto"/>
              <w:ind w:firstLine="0"/>
              <w:jc w:val="left"/>
              <w:rPr>
                <w:rFonts w:cs="Times New Roman"/>
                <w:lang w:val="en-US"/>
              </w:rPr>
            </w:pPr>
            <w:r w:rsidRPr="005A68E6">
              <w:rPr>
                <w:lang w:val="en-US"/>
              </w:rPr>
              <w:t xml:space="preserve">Interest Payment </w:t>
            </w:r>
            <w:r w:rsidRPr="005A68E6">
              <w:t>/</w:t>
            </w:r>
            <w:r w:rsidRPr="005A68E6">
              <w:rPr>
                <w:lang w:val="en-US"/>
              </w:rPr>
              <w:t xml:space="preserve"> GDP</w:t>
            </w:r>
            <w:r w:rsidRPr="005A68E6">
              <w:t xml:space="preserve"> (%)</w:t>
            </w:r>
          </w:p>
        </w:tc>
        <w:tc>
          <w:tcPr>
            <w:tcW w:w="476" w:type="pct"/>
            <w:tcBorders>
              <w:top w:val="nil"/>
              <w:left w:val="nil"/>
              <w:bottom w:val="double" w:sz="6" w:space="0" w:color="auto"/>
              <w:right w:val="nil"/>
            </w:tcBorders>
            <w:shd w:val="clear" w:color="auto" w:fill="auto"/>
            <w:vAlign w:val="center"/>
            <w:hideMark/>
          </w:tcPr>
          <w:p w14:paraId="736512BF"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2.7</w:t>
            </w:r>
          </w:p>
        </w:tc>
        <w:tc>
          <w:tcPr>
            <w:tcW w:w="477" w:type="pct"/>
            <w:tcBorders>
              <w:top w:val="nil"/>
              <w:left w:val="nil"/>
              <w:bottom w:val="double" w:sz="6" w:space="0" w:color="auto"/>
              <w:right w:val="nil"/>
            </w:tcBorders>
            <w:shd w:val="clear" w:color="auto" w:fill="auto"/>
            <w:vAlign w:val="center"/>
            <w:hideMark/>
          </w:tcPr>
          <w:p w14:paraId="078D0C85"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3.1</w:t>
            </w:r>
          </w:p>
        </w:tc>
        <w:tc>
          <w:tcPr>
            <w:tcW w:w="722" w:type="pct"/>
            <w:tcBorders>
              <w:top w:val="nil"/>
              <w:left w:val="nil"/>
              <w:bottom w:val="double" w:sz="6" w:space="0" w:color="auto"/>
              <w:right w:val="double" w:sz="6" w:space="0" w:color="auto"/>
            </w:tcBorders>
            <w:shd w:val="clear" w:color="auto" w:fill="auto"/>
            <w:vAlign w:val="center"/>
            <w:hideMark/>
          </w:tcPr>
          <w:p w14:paraId="492609C8"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3.6</w:t>
            </w:r>
          </w:p>
        </w:tc>
        <w:tc>
          <w:tcPr>
            <w:tcW w:w="471" w:type="pct"/>
            <w:tcBorders>
              <w:top w:val="nil"/>
              <w:left w:val="nil"/>
              <w:bottom w:val="double" w:sz="6" w:space="0" w:color="auto"/>
              <w:right w:val="nil"/>
            </w:tcBorders>
            <w:shd w:val="clear" w:color="auto" w:fill="auto"/>
            <w:vAlign w:val="center"/>
            <w:hideMark/>
          </w:tcPr>
          <w:p w14:paraId="535211BA"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3.6</w:t>
            </w:r>
          </w:p>
        </w:tc>
        <w:tc>
          <w:tcPr>
            <w:tcW w:w="471" w:type="pct"/>
            <w:tcBorders>
              <w:top w:val="nil"/>
              <w:left w:val="nil"/>
              <w:bottom w:val="double" w:sz="6" w:space="0" w:color="auto"/>
              <w:right w:val="nil"/>
            </w:tcBorders>
            <w:shd w:val="clear" w:color="auto" w:fill="auto"/>
            <w:vAlign w:val="center"/>
            <w:hideMark/>
          </w:tcPr>
          <w:p w14:paraId="0E7EDEC5"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3.6</w:t>
            </w:r>
          </w:p>
        </w:tc>
        <w:tc>
          <w:tcPr>
            <w:tcW w:w="475" w:type="pct"/>
            <w:tcBorders>
              <w:top w:val="nil"/>
              <w:left w:val="nil"/>
              <w:bottom w:val="double" w:sz="6" w:space="0" w:color="auto"/>
              <w:right w:val="nil"/>
            </w:tcBorders>
            <w:shd w:val="clear" w:color="auto" w:fill="auto"/>
            <w:vAlign w:val="center"/>
            <w:hideMark/>
          </w:tcPr>
          <w:p w14:paraId="3434E902"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3.7</w:t>
            </w:r>
          </w:p>
        </w:tc>
        <w:tc>
          <w:tcPr>
            <w:tcW w:w="474" w:type="pct"/>
            <w:tcBorders>
              <w:top w:val="nil"/>
              <w:left w:val="nil"/>
              <w:bottom w:val="double" w:sz="6" w:space="0" w:color="auto"/>
              <w:right w:val="nil"/>
            </w:tcBorders>
            <w:shd w:val="clear" w:color="auto" w:fill="auto"/>
            <w:vAlign w:val="center"/>
            <w:hideMark/>
          </w:tcPr>
          <w:p w14:paraId="6CDBC977" w14:textId="77777777" w:rsidR="00452781" w:rsidRPr="00C530D7" w:rsidRDefault="00452781" w:rsidP="00452781">
            <w:pPr>
              <w:spacing w:line="240" w:lineRule="auto"/>
              <w:ind w:firstLine="0"/>
              <w:jc w:val="center"/>
              <w:rPr>
                <w:rFonts w:cs="Times New Roman"/>
                <w:lang w:val="en-US"/>
              </w:rPr>
            </w:pPr>
            <w:r w:rsidRPr="00C530D7">
              <w:rPr>
                <w:rFonts w:cs="Times New Roman"/>
                <w:lang w:val="en-US"/>
              </w:rPr>
              <w:t>3.8</w:t>
            </w:r>
          </w:p>
        </w:tc>
      </w:tr>
    </w:tbl>
    <w:p w14:paraId="624486E1" w14:textId="77777777" w:rsidR="00452781" w:rsidRPr="00C57A24" w:rsidRDefault="00452781" w:rsidP="00452781">
      <w:pPr>
        <w:ind w:firstLine="0"/>
        <w:rPr>
          <w:color w:val="FF0000"/>
          <w:lang w:val="en-US"/>
        </w:rPr>
      </w:pPr>
      <w:r w:rsidRPr="00C57A24">
        <w:rPr>
          <w:sz w:val="18"/>
        </w:rPr>
        <w:t>Source: RA MoF</w:t>
      </w:r>
      <w:r>
        <w:rPr>
          <w:sz w:val="18"/>
          <w:lang w:val="en-US"/>
        </w:rPr>
        <w:t xml:space="preserve"> calculations and forecasts</w:t>
      </w:r>
    </w:p>
    <w:p w14:paraId="4EB59B1F" w14:textId="77777777" w:rsidR="00690123" w:rsidRPr="00452781" w:rsidRDefault="00690123" w:rsidP="00342653">
      <w:pPr>
        <w:ind w:firstLine="0"/>
        <w:rPr>
          <w:color w:val="FF0000"/>
          <w:lang w:val="en-US"/>
        </w:rPr>
      </w:pPr>
    </w:p>
    <w:p w14:paraId="323F876B" w14:textId="582486B4" w:rsidR="00342653" w:rsidRDefault="007C29DC" w:rsidP="00CF5BAB">
      <w:pPr>
        <w:pStyle w:val="af6"/>
        <w:numPr>
          <w:ilvl w:val="0"/>
          <w:numId w:val="18"/>
        </w:numPr>
        <w:spacing w:before="0" w:after="0" w:line="360" w:lineRule="auto"/>
        <w:ind w:left="1276" w:hanging="1276"/>
      </w:pPr>
      <w:r>
        <w:rPr>
          <w:lang w:val="en-US"/>
        </w:rPr>
        <w:t>Government bond indicators for 2023-2028</w:t>
      </w:r>
    </w:p>
    <w:tbl>
      <w:tblPr>
        <w:tblW w:w="10290" w:type="dxa"/>
        <w:tblLook w:val="04A0" w:firstRow="1" w:lastRow="0" w:firstColumn="1" w:lastColumn="0" w:noHBand="0" w:noVBand="1"/>
      </w:tblPr>
      <w:tblGrid>
        <w:gridCol w:w="3300"/>
        <w:gridCol w:w="1110"/>
        <w:gridCol w:w="1170"/>
        <w:gridCol w:w="1100"/>
        <w:gridCol w:w="1240"/>
        <w:gridCol w:w="1090"/>
        <w:gridCol w:w="1280"/>
      </w:tblGrid>
      <w:tr w:rsidR="004B4A0B" w:rsidRPr="004B4A0B" w14:paraId="08B5BF5B" w14:textId="77777777" w:rsidTr="008B4634">
        <w:trPr>
          <w:trHeight w:val="900"/>
        </w:trPr>
        <w:tc>
          <w:tcPr>
            <w:tcW w:w="3300" w:type="dxa"/>
            <w:tcBorders>
              <w:top w:val="double" w:sz="6" w:space="0" w:color="auto"/>
              <w:left w:val="nil"/>
              <w:bottom w:val="double" w:sz="6" w:space="0" w:color="auto"/>
              <w:right w:val="nil"/>
            </w:tcBorders>
            <w:shd w:val="clear" w:color="000000" w:fill="5B9BD5"/>
            <w:vAlign w:val="center"/>
            <w:hideMark/>
          </w:tcPr>
          <w:p w14:paraId="610426BD" w14:textId="77777777" w:rsidR="004B4A0B" w:rsidRPr="004B4A0B" w:rsidRDefault="004B4A0B" w:rsidP="004B4A0B">
            <w:pPr>
              <w:spacing w:line="240" w:lineRule="auto"/>
              <w:ind w:firstLine="0"/>
              <w:jc w:val="center"/>
              <w:rPr>
                <w:rFonts w:cs="Times New Roman"/>
                <w:lang w:val="en-US"/>
              </w:rPr>
            </w:pPr>
            <w:r w:rsidRPr="004B4A0B">
              <w:rPr>
                <w:rFonts w:ascii="Calibri" w:hAnsi="Calibri" w:cs="Calibri"/>
              </w:rPr>
              <w:t> </w:t>
            </w:r>
          </w:p>
        </w:tc>
        <w:tc>
          <w:tcPr>
            <w:tcW w:w="1110" w:type="dxa"/>
            <w:tcBorders>
              <w:top w:val="double" w:sz="6" w:space="0" w:color="auto"/>
              <w:left w:val="nil"/>
              <w:bottom w:val="double" w:sz="6" w:space="0" w:color="auto"/>
              <w:right w:val="nil"/>
            </w:tcBorders>
            <w:shd w:val="clear" w:color="000000" w:fill="5B9BD5"/>
            <w:vAlign w:val="center"/>
            <w:hideMark/>
          </w:tcPr>
          <w:p w14:paraId="774F1E16" w14:textId="45BF1D0B" w:rsidR="004B4A0B" w:rsidRPr="004B4A0B" w:rsidRDefault="004B4A0B" w:rsidP="004B4A0B">
            <w:pPr>
              <w:spacing w:line="240" w:lineRule="auto"/>
              <w:ind w:firstLine="0"/>
              <w:jc w:val="center"/>
              <w:rPr>
                <w:rFonts w:cs="Times New Roman"/>
                <w:lang w:val="en-US"/>
              </w:rPr>
            </w:pPr>
            <w:r w:rsidRPr="004B4A0B">
              <w:rPr>
                <w:rFonts w:cs="Times New Roman"/>
                <w:lang w:val="en-US"/>
              </w:rPr>
              <w:t xml:space="preserve">2023 </w:t>
            </w:r>
            <w:r w:rsidR="005F07DD">
              <w:rPr>
                <w:lang w:val="en-US"/>
              </w:rPr>
              <w:t>actual</w:t>
            </w:r>
          </w:p>
        </w:tc>
        <w:tc>
          <w:tcPr>
            <w:tcW w:w="1170" w:type="dxa"/>
            <w:tcBorders>
              <w:top w:val="double" w:sz="6" w:space="0" w:color="auto"/>
              <w:left w:val="nil"/>
              <w:bottom w:val="double" w:sz="6" w:space="0" w:color="auto"/>
              <w:right w:val="nil"/>
            </w:tcBorders>
            <w:shd w:val="clear" w:color="000000" w:fill="5B9BD5"/>
            <w:vAlign w:val="center"/>
            <w:hideMark/>
          </w:tcPr>
          <w:p w14:paraId="314234BE" w14:textId="005FBAF6" w:rsidR="004B4A0B" w:rsidRPr="004B4A0B" w:rsidRDefault="004B4A0B" w:rsidP="004B4A0B">
            <w:pPr>
              <w:spacing w:line="240" w:lineRule="auto"/>
              <w:ind w:firstLine="0"/>
              <w:jc w:val="center"/>
              <w:rPr>
                <w:rFonts w:cs="Times New Roman"/>
                <w:lang w:val="en-US"/>
              </w:rPr>
            </w:pPr>
            <w:r w:rsidRPr="004B4A0B">
              <w:rPr>
                <w:rFonts w:cs="Times New Roman"/>
                <w:lang w:val="en-US"/>
              </w:rPr>
              <w:t xml:space="preserve">2024 </w:t>
            </w:r>
            <w:r w:rsidR="005F07DD">
              <w:rPr>
                <w:lang w:val="en-US"/>
              </w:rPr>
              <w:t>actual</w:t>
            </w:r>
          </w:p>
        </w:tc>
        <w:tc>
          <w:tcPr>
            <w:tcW w:w="1100" w:type="dxa"/>
            <w:tcBorders>
              <w:top w:val="double" w:sz="6" w:space="0" w:color="auto"/>
              <w:left w:val="nil"/>
              <w:bottom w:val="double" w:sz="6" w:space="0" w:color="auto"/>
              <w:right w:val="nil"/>
            </w:tcBorders>
            <w:shd w:val="clear" w:color="000000" w:fill="5B9BD5"/>
            <w:vAlign w:val="center"/>
            <w:hideMark/>
          </w:tcPr>
          <w:p w14:paraId="53EE3583" w14:textId="642EE5E5" w:rsidR="004B4A0B" w:rsidRPr="004B4A0B" w:rsidRDefault="004B4A0B" w:rsidP="004B4A0B">
            <w:pPr>
              <w:spacing w:line="240" w:lineRule="auto"/>
              <w:ind w:firstLine="0"/>
              <w:jc w:val="center"/>
              <w:rPr>
                <w:rFonts w:cs="Times New Roman"/>
                <w:lang w:val="en-US"/>
              </w:rPr>
            </w:pPr>
            <w:r w:rsidRPr="004B4A0B">
              <w:rPr>
                <w:rFonts w:cs="Times New Roman"/>
                <w:lang w:val="en-US"/>
              </w:rPr>
              <w:t xml:space="preserve">2025 </w:t>
            </w:r>
            <w:r w:rsidR="005F07DD" w:rsidRPr="005A68E6">
              <w:rPr>
                <w:lang w:val="en-US"/>
              </w:rPr>
              <w:t>forecast</w:t>
            </w:r>
          </w:p>
        </w:tc>
        <w:tc>
          <w:tcPr>
            <w:tcW w:w="1240" w:type="dxa"/>
            <w:tcBorders>
              <w:top w:val="double" w:sz="6" w:space="0" w:color="auto"/>
              <w:left w:val="nil"/>
              <w:bottom w:val="double" w:sz="6" w:space="0" w:color="auto"/>
              <w:right w:val="nil"/>
            </w:tcBorders>
            <w:shd w:val="clear" w:color="000000" w:fill="5B9BD5"/>
            <w:vAlign w:val="center"/>
            <w:hideMark/>
          </w:tcPr>
          <w:p w14:paraId="7487D048" w14:textId="146DEB47" w:rsidR="004B4A0B" w:rsidRPr="004B4A0B" w:rsidRDefault="004B4A0B" w:rsidP="004B4A0B">
            <w:pPr>
              <w:spacing w:line="240" w:lineRule="auto"/>
              <w:ind w:firstLine="0"/>
              <w:jc w:val="center"/>
              <w:rPr>
                <w:rFonts w:cs="Times New Roman"/>
                <w:lang w:val="en-US"/>
              </w:rPr>
            </w:pPr>
            <w:r w:rsidRPr="004B4A0B">
              <w:rPr>
                <w:rFonts w:cs="Times New Roman"/>
                <w:lang w:val="en-US"/>
              </w:rPr>
              <w:t xml:space="preserve">2026 </w:t>
            </w:r>
            <w:r w:rsidR="005F07DD" w:rsidRPr="005A68E6">
              <w:rPr>
                <w:lang w:val="en-US"/>
              </w:rPr>
              <w:t>forecast</w:t>
            </w:r>
          </w:p>
        </w:tc>
        <w:tc>
          <w:tcPr>
            <w:tcW w:w="1090" w:type="dxa"/>
            <w:tcBorders>
              <w:top w:val="double" w:sz="6" w:space="0" w:color="auto"/>
              <w:left w:val="nil"/>
              <w:bottom w:val="double" w:sz="6" w:space="0" w:color="auto"/>
              <w:right w:val="nil"/>
            </w:tcBorders>
            <w:shd w:val="clear" w:color="000000" w:fill="5B9BD5"/>
            <w:vAlign w:val="center"/>
            <w:hideMark/>
          </w:tcPr>
          <w:p w14:paraId="194E575D" w14:textId="0938F810" w:rsidR="004B4A0B" w:rsidRPr="004B4A0B" w:rsidRDefault="004B4A0B" w:rsidP="004B4A0B">
            <w:pPr>
              <w:spacing w:line="240" w:lineRule="auto"/>
              <w:ind w:firstLine="0"/>
              <w:jc w:val="center"/>
              <w:rPr>
                <w:rFonts w:cs="Times New Roman"/>
                <w:lang w:val="en-US"/>
              </w:rPr>
            </w:pPr>
            <w:r w:rsidRPr="004B4A0B">
              <w:rPr>
                <w:rFonts w:cs="Times New Roman"/>
                <w:lang w:val="en-US"/>
              </w:rPr>
              <w:t xml:space="preserve">2027 </w:t>
            </w:r>
            <w:r w:rsidR="005F07DD" w:rsidRPr="005A68E6">
              <w:rPr>
                <w:lang w:val="en-US"/>
              </w:rPr>
              <w:t>forecast</w:t>
            </w:r>
          </w:p>
        </w:tc>
        <w:tc>
          <w:tcPr>
            <w:tcW w:w="1280" w:type="dxa"/>
            <w:tcBorders>
              <w:top w:val="double" w:sz="6" w:space="0" w:color="auto"/>
              <w:left w:val="nil"/>
              <w:bottom w:val="double" w:sz="6" w:space="0" w:color="auto"/>
              <w:right w:val="nil"/>
            </w:tcBorders>
            <w:shd w:val="clear" w:color="000000" w:fill="5B9BD5"/>
            <w:vAlign w:val="center"/>
            <w:hideMark/>
          </w:tcPr>
          <w:p w14:paraId="6D7A5257" w14:textId="23EA8ADD" w:rsidR="004B4A0B" w:rsidRPr="004B4A0B" w:rsidRDefault="004B4A0B" w:rsidP="004B4A0B">
            <w:pPr>
              <w:spacing w:line="240" w:lineRule="auto"/>
              <w:ind w:firstLine="0"/>
              <w:jc w:val="center"/>
              <w:rPr>
                <w:rFonts w:cs="Times New Roman"/>
                <w:lang w:val="en-US"/>
              </w:rPr>
            </w:pPr>
            <w:r w:rsidRPr="004B4A0B">
              <w:rPr>
                <w:rFonts w:cs="Times New Roman"/>
                <w:lang w:val="en-US"/>
              </w:rPr>
              <w:t xml:space="preserve">2028 </w:t>
            </w:r>
            <w:r w:rsidR="005F07DD" w:rsidRPr="005A68E6">
              <w:rPr>
                <w:lang w:val="en-US"/>
              </w:rPr>
              <w:t>forecast</w:t>
            </w:r>
          </w:p>
        </w:tc>
      </w:tr>
      <w:tr w:rsidR="0064774F" w:rsidRPr="004B4A0B" w14:paraId="2220ECA6" w14:textId="77777777" w:rsidTr="008B4634">
        <w:trPr>
          <w:trHeight w:val="690"/>
        </w:trPr>
        <w:tc>
          <w:tcPr>
            <w:tcW w:w="3300" w:type="dxa"/>
            <w:tcBorders>
              <w:top w:val="nil"/>
              <w:left w:val="nil"/>
              <w:bottom w:val="single" w:sz="8" w:space="0" w:color="auto"/>
              <w:right w:val="nil"/>
            </w:tcBorders>
            <w:shd w:val="clear" w:color="auto" w:fill="auto"/>
            <w:vAlign w:val="center"/>
            <w:hideMark/>
          </w:tcPr>
          <w:p w14:paraId="3F7AC154" w14:textId="13BB962B" w:rsidR="0064774F" w:rsidRPr="006672FA" w:rsidRDefault="0064774F" w:rsidP="0064774F">
            <w:pPr>
              <w:spacing w:line="240" w:lineRule="auto"/>
              <w:ind w:firstLine="0"/>
              <w:jc w:val="left"/>
              <w:rPr>
                <w:rFonts w:cs="Times New Roman"/>
              </w:rPr>
            </w:pPr>
            <w:r w:rsidRPr="005A68E6">
              <w:t xml:space="preserve">Government Treasury Bonds, AMD billion </w:t>
            </w:r>
          </w:p>
        </w:tc>
        <w:tc>
          <w:tcPr>
            <w:tcW w:w="1110" w:type="dxa"/>
            <w:tcBorders>
              <w:top w:val="nil"/>
              <w:left w:val="nil"/>
              <w:bottom w:val="single" w:sz="8" w:space="0" w:color="auto"/>
              <w:right w:val="nil"/>
            </w:tcBorders>
            <w:shd w:val="clear" w:color="auto" w:fill="auto"/>
            <w:vAlign w:val="center"/>
            <w:hideMark/>
          </w:tcPr>
          <w:p w14:paraId="635780FD" w14:textId="77777777" w:rsidR="0064774F" w:rsidRPr="004B4A0B" w:rsidRDefault="0064774F" w:rsidP="0064774F">
            <w:pPr>
              <w:spacing w:line="240" w:lineRule="auto"/>
              <w:ind w:firstLine="0"/>
              <w:jc w:val="center"/>
              <w:rPr>
                <w:rFonts w:cs="Times New Roman"/>
                <w:lang w:val="en-US"/>
              </w:rPr>
            </w:pPr>
            <w:r w:rsidRPr="004B4A0B">
              <w:rPr>
                <w:rFonts w:cs="Times New Roman"/>
              </w:rPr>
              <w:t>2,092.9</w:t>
            </w:r>
          </w:p>
        </w:tc>
        <w:tc>
          <w:tcPr>
            <w:tcW w:w="1170" w:type="dxa"/>
            <w:tcBorders>
              <w:top w:val="nil"/>
              <w:left w:val="nil"/>
              <w:bottom w:val="single" w:sz="8" w:space="0" w:color="auto"/>
              <w:right w:val="nil"/>
            </w:tcBorders>
            <w:shd w:val="clear" w:color="auto" w:fill="auto"/>
            <w:vAlign w:val="center"/>
            <w:hideMark/>
          </w:tcPr>
          <w:p w14:paraId="2EFC6312" w14:textId="77777777" w:rsidR="0064774F" w:rsidRPr="004B4A0B" w:rsidRDefault="0064774F" w:rsidP="0064774F">
            <w:pPr>
              <w:spacing w:line="240" w:lineRule="auto"/>
              <w:ind w:firstLine="0"/>
              <w:jc w:val="center"/>
              <w:rPr>
                <w:rFonts w:cs="Times New Roman"/>
                <w:lang w:val="en-US"/>
              </w:rPr>
            </w:pPr>
            <w:r w:rsidRPr="004B4A0B">
              <w:rPr>
                <w:rFonts w:cs="Times New Roman"/>
              </w:rPr>
              <w:t>2,474.0</w:t>
            </w:r>
          </w:p>
        </w:tc>
        <w:tc>
          <w:tcPr>
            <w:tcW w:w="1100" w:type="dxa"/>
            <w:tcBorders>
              <w:top w:val="nil"/>
              <w:left w:val="nil"/>
              <w:bottom w:val="single" w:sz="8" w:space="0" w:color="auto"/>
              <w:right w:val="nil"/>
            </w:tcBorders>
            <w:shd w:val="clear" w:color="auto" w:fill="auto"/>
            <w:vAlign w:val="center"/>
            <w:hideMark/>
          </w:tcPr>
          <w:p w14:paraId="2371785E" w14:textId="77777777" w:rsidR="0064774F" w:rsidRPr="004B4A0B" w:rsidRDefault="0064774F" w:rsidP="0064774F">
            <w:pPr>
              <w:spacing w:line="240" w:lineRule="auto"/>
              <w:ind w:firstLine="0"/>
              <w:jc w:val="center"/>
              <w:rPr>
                <w:rFonts w:cs="Times New Roman"/>
                <w:lang w:val="en-US"/>
              </w:rPr>
            </w:pPr>
            <w:r w:rsidRPr="004B4A0B">
              <w:rPr>
                <w:rFonts w:cs="Times New Roman"/>
              </w:rPr>
              <w:t>2,771.2</w:t>
            </w:r>
          </w:p>
        </w:tc>
        <w:tc>
          <w:tcPr>
            <w:tcW w:w="1240" w:type="dxa"/>
            <w:tcBorders>
              <w:top w:val="nil"/>
              <w:left w:val="nil"/>
              <w:bottom w:val="single" w:sz="8" w:space="0" w:color="auto"/>
              <w:right w:val="nil"/>
            </w:tcBorders>
            <w:shd w:val="clear" w:color="auto" w:fill="auto"/>
            <w:vAlign w:val="center"/>
            <w:hideMark/>
          </w:tcPr>
          <w:p w14:paraId="532364EC" w14:textId="77777777" w:rsidR="0064774F" w:rsidRPr="004B4A0B" w:rsidRDefault="0064774F" w:rsidP="0064774F">
            <w:pPr>
              <w:spacing w:line="240" w:lineRule="auto"/>
              <w:ind w:firstLine="0"/>
              <w:jc w:val="center"/>
              <w:rPr>
                <w:rFonts w:cs="Times New Roman"/>
                <w:lang w:val="en-US"/>
              </w:rPr>
            </w:pPr>
            <w:r w:rsidRPr="004B4A0B">
              <w:rPr>
                <w:rFonts w:cs="Times New Roman"/>
              </w:rPr>
              <w:t>3,115.2</w:t>
            </w:r>
          </w:p>
        </w:tc>
        <w:tc>
          <w:tcPr>
            <w:tcW w:w="1090" w:type="dxa"/>
            <w:tcBorders>
              <w:top w:val="nil"/>
              <w:left w:val="nil"/>
              <w:bottom w:val="single" w:sz="8" w:space="0" w:color="auto"/>
              <w:right w:val="nil"/>
            </w:tcBorders>
            <w:shd w:val="clear" w:color="auto" w:fill="auto"/>
            <w:vAlign w:val="center"/>
            <w:hideMark/>
          </w:tcPr>
          <w:p w14:paraId="0FE3831C" w14:textId="77777777" w:rsidR="0064774F" w:rsidRPr="004B4A0B" w:rsidRDefault="0064774F" w:rsidP="0064774F">
            <w:pPr>
              <w:spacing w:line="240" w:lineRule="auto"/>
              <w:ind w:firstLine="0"/>
              <w:jc w:val="center"/>
              <w:rPr>
                <w:rFonts w:cs="Times New Roman"/>
                <w:lang w:val="en-US"/>
              </w:rPr>
            </w:pPr>
            <w:r w:rsidRPr="004B4A0B">
              <w:rPr>
                <w:rFonts w:cs="Times New Roman"/>
              </w:rPr>
              <w:t>3,404.3</w:t>
            </w:r>
          </w:p>
        </w:tc>
        <w:tc>
          <w:tcPr>
            <w:tcW w:w="1280" w:type="dxa"/>
            <w:tcBorders>
              <w:top w:val="nil"/>
              <w:left w:val="nil"/>
              <w:bottom w:val="single" w:sz="8" w:space="0" w:color="auto"/>
              <w:right w:val="nil"/>
            </w:tcBorders>
            <w:shd w:val="clear" w:color="auto" w:fill="auto"/>
            <w:vAlign w:val="center"/>
            <w:hideMark/>
          </w:tcPr>
          <w:p w14:paraId="262986B1" w14:textId="77777777" w:rsidR="0064774F" w:rsidRPr="004B4A0B" w:rsidRDefault="0064774F" w:rsidP="0064774F">
            <w:pPr>
              <w:spacing w:line="240" w:lineRule="auto"/>
              <w:ind w:firstLine="0"/>
              <w:jc w:val="center"/>
              <w:rPr>
                <w:rFonts w:cs="Times New Roman"/>
                <w:lang w:val="en-US"/>
              </w:rPr>
            </w:pPr>
            <w:r w:rsidRPr="004B4A0B">
              <w:rPr>
                <w:rFonts w:cs="Times New Roman"/>
              </w:rPr>
              <w:t>3,664.2</w:t>
            </w:r>
          </w:p>
        </w:tc>
      </w:tr>
      <w:tr w:rsidR="0064774F" w:rsidRPr="004B4A0B" w14:paraId="73583379" w14:textId="77777777" w:rsidTr="008B4634">
        <w:trPr>
          <w:trHeight w:val="345"/>
        </w:trPr>
        <w:tc>
          <w:tcPr>
            <w:tcW w:w="3300" w:type="dxa"/>
            <w:tcBorders>
              <w:top w:val="nil"/>
              <w:left w:val="nil"/>
              <w:bottom w:val="single" w:sz="12" w:space="0" w:color="auto"/>
              <w:right w:val="nil"/>
            </w:tcBorders>
            <w:shd w:val="clear" w:color="auto" w:fill="auto"/>
            <w:vAlign w:val="center"/>
            <w:hideMark/>
          </w:tcPr>
          <w:p w14:paraId="6423668F" w14:textId="2F084211" w:rsidR="0064774F" w:rsidRPr="004B4A0B" w:rsidRDefault="0064774F" w:rsidP="0064774F">
            <w:pPr>
              <w:spacing w:line="240" w:lineRule="auto"/>
              <w:ind w:firstLine="0"/>
              <w:jc w:val="left"/>
              <w:rPr>
                <w:rFonts w:cs="Times New Roman"/>
                <w:lang w:val="en-US"/>
              </w:rPr>
            </w:pPr>
            <w:r w:rsidRPr="005A68E6">
              <w:t xml:space="preserve">% </w:t>
            </w:r>
            <w:r w:rsidRPr="005A68E6">
              <w:rPr>
                <w:lang w:val="en-US"/>
              </w:rPr>
              <w:t>of GDP</w:t>
            </w:r>
          </w:p>
        </w:tc>
        <w:tc>
          <w:tcPr>
            <w:tcW w:w="1110" w:type="dxa"/>
            <w:tcBorders>
              <w:top w:val="nil"/>
              <w:left w:val="nil"/>
              <w:bottom w:val="single" w:sz="12" w:space="0" w:color="auto"/>
              <w:right w:val="nil"/>
            </w:tcBorders>
            <w:shd w:val="clear" w:color="auto" w:fill="auto"/>
            <w:vAlign w:val="center"/>
            <w:hideMark/>
          </w:tcPr>
          <w:p w14:paraId="3D225603" w14:textId="77777777" w:rsidR="0064774F" w:rsidRPr="004B4A0B" w:rsidRDefault="0064774F" w:rsidP="0064774F">
            <w:pPr>
              <w:spacing w:line="240" w:lineRule="auto"/>
              <w:ind w:firstLine="0"/>
              <w:jc w:val="center"/>
              <w:rPr>
                <w:rFonts w:cs="Times New Roman"/>
                <w:lang w:val="en-US"/>
              </w:rPr>
            </w:pPr>
            <w:r w:rsidRPr="004B4A0B">
              <w:rPr>
                <w:rFonts w:cs="Times New Roman"/>
              </w:rPr>
              <w:t>22.0</w:t>
            </w:r>
          </w:p>
        </w:tc>
        <w:tc>
          <w:tcPr>
            <w:tcW w:w="1170" w:type="dxa"/>
            <w:tcBorders>
              <w:top w:val="nil"/>
              <w:left w:val="nil"/>
              <w:bottom w:val="single" w:sz="12" w:space="0" w:color="auto"/>
              <w:right w:val="nil"/>
            </w:tcBorders>
            <w:shd w:val="clear" w:color="auto" w:fill="auto"/>
            <w:vAlign w:val="center"/>
            <w:hideMark/>
          </w:tcPr>
          <w:p w14:paraId="694A97AA" w14:textId="77777777" w:rsidR="0064774F" w:rsidRPr="004B4A0B" w:rsidRDefault="0064774F" w:rsidP="0064774F">
            <w:pPr>
              <w:spacing w:line="240" w:lineRule="auto"/>
              <w:ind w:firstLine="0"/>
              <w:jc w:val="center"/>
              <w:rPr>
                <w:rFonts w:cs="Times New Roman"/>
                <w:lang w:val="en-US"/>
              </w:rPr>
            </w:pPr>
            <w:r w:rsidRPr="004B4A0B">
              <w:rPr>
                <w:rFonts w:cs="Times New Roman"/>
              </w:rPr>
              <w:t>24.3</w:t>
            </w:r>
          </w:p>
        </w:tc>
        <w:tc>
          <w:tcPr>
            <w:tcW w:w="1100" w:type="dxa"/>
            <w:tcBorders>
              <w:top w:val="nil"/>
              <w:left w:val="nil"/>
              <w:bottom w:val="single" w:sz="12" w:space="0" w:color="auto"/>
              <w:right w:val="nil"/>
            </w:tcBorders>
            <w:shd w:val="clear" w:color="auto" w:fill="auto"/>
            <w:vAlign w:val="center"/>
            <w:hideMark/>
          </w:tcPr>
          <w:p w14:paraId="6DA94825" w14:textId="77777777" w:rsidR="0064774F" w:rsidRPr="004B4A0B" w:rsidRDefault="0064774F" w:rsidP="0064774F">
            <w:pPr>
              <w:spacing w:line="240" w:lineRule="auto"/>
              <w:ind w:firstLine="0"/>
              <w:jc w:val="center"/>
              <w:rPr>
                <w:rFonts w:cs="Times New Roman"/>
                <w:lang w:val="en-US"/>
              </w:rPr>
            </w:pPr>
            <w:r w:rsidRPr="004B4A0B">
              <w:rPr>
                <w:rFonts w:cs="Times New Roman"/>
              </w:rPr>
              <w:t>25.2</w:t>
            </w:r>
          </w:p>
        </w:tc>
        <w:tc>
          <w:tcPr>
            <w:tcW w:w="1240" w:type="dxa"/>
            <w:tcBorders>
              <w:top w:val="nil"/>
              <w:left w:val="nil"/>
              <w:bottom w:val="single" w:sz="12" w:space="0" w:color="auto"/>
              <w:right w:val="nil"/>
            </w:tcBorders>
            <w:shd w:val="clear" w:color="auto" w:fill="auto"/>
            <w:vAlign w:val="center"/>
            <w:hideMark/>
          </w:tcPr>
          <w:p w14:paraId="1241A928" w14:textId="77777777" w:rsidR="0064774F" w:rsidRPr="004B4A0B" w:rsidRDefault="0064774F" w:rsidP="0064774F">
            <w:pPr>
              <w:spacing w:line="240" w:lineRule="auto"/>
              <w:ind w:firstLine="0"/>
              <w:jc w:val="center"/>
              <w:rPr>
                <w:rFonts w:cs="Times New Roman"/>
                <w:lang w:val="en-US"/>
              </w:rPr>
            </w:pPr>
            <w:r w:rsidRPr="004B4A0B">
              <w:rPr>
                <w:rFonts w:cs="Times New Roman"/>
              </w:rPr>
              <w:t>26.2</w:t>
            </w:r>
          </w:p>
        </w:tc>
        <w:tc>
          <w:tcPr>
            <w:tcW w:w="1090" w:type="dxa"/>
            <w:tcBorders>
              <w:top w:val="nil"/>
              <w:left w:val="nil"/>
              <w:bottom w:val="single" w:sz="12" w:space="0" w:color="auto"/>
              <w:right w:val="nil"/>
            </w:tcBorders>
            <w:shd w:val="clear" w:color="auto" w:fill="auto"/>
            <w:vAlign w:val="center"/>
            <w:hideMark/>
          </w:tcPr>
          <w:p w14:paraId="7C0324CA" w14:textId="77777777" w:rsidR="0064774F" w:rsidRPr="004B4A0B" w:rsidRDefault="0064774F" w:rsidP="0064774F">
            <w:pPr>
              <w:spacing w:line="240" w:lineRule="auto"/>
              <w:ind w:firstLine="0"/>
              <w:jc w:val="center"/>
              <w:rPr>
                <w:rFonts w:cs="Times New Roman"/>
                <w:lang w:val="en-US"/>
              </w:rPr>
            </w:pPr>
            <w:r w:rsidRPr="004B4A0B">
              <w:rPr>
                <w:rFonts w:cs="Times New Roman"/>
              </w:rPr>
              <w:t>26.4</w:t>
            </w:r>
          </w:p>
        </w:tc>
        <w:tc>
          <w:tcPr>
            <w:tcW w:w="1280" w:type="dxa"/>
            <w:tcBorders>
              <w:top w:val="nil"/>
              <w:left w:val="nil"/>
              <w:bottom w:val="single" w:sz="12" w:space="0" w:color="auto"/>
              <w:right w:val="nil"/>
            </w:tcBorders>
            <w:shd w:val="clear" w:color="auto" w:fill="auto"/>
            <w:vAlign w:val="center"/>
            <w:hideMark/>
          </w:tcPr>
          <w:p w14:paraId="1FA7619B" w14:textId="77777777" w:rsidR="0064774F" w:rsidRPr="004B4A0B" w:rsidRDefault="0064774F" w:rsidP="0064774F">
            <w:pPr>
              <w:spacing w:line="240" w:lineRule="auto"/>
              <w:ind w:firstLine="0"/>
              <w:jc w:val="center"/>
              <w:rPr>
                <w:rFonts w:cs="Times New Roman"/>
                <w:lang w:val="en-US"/>
              </w:rPr>
            </w:pPr>
            <w:r w:rsidRPr="004B4A0B">
              <w:rPr>
                <w:rFonts w:cs="Times New Roman"/>
              </w:rPr>
              <w:t>26.2</w:t>
            </w:r>
          </w:p>
        </w:tc>
      </w:tr>
      <w:tr w:rsidR="004764F9" w:rsidRPr="004B4A0B" w14:paraId="13B9E5B2" w14:textId="77777777" w:rsidTr="008B4634">
        <w:trPr>
          <w:trHeight w:val="438"/>
        </w:trPr>
        <w:tc>
          <w:tcPr>
            <w:tcW w:w="3300" w:type="dxa"/>
            <w:tcBorders>
              <w:top w:val="nil"/>
              <w:left w:val="nil"/>
              <w:bottom w:val="single" w:sz="8" w:space="0" w:color="auto"/>
              <w:right w:val="nil"/>
            </w:tcBorders>
            <w:shd w:val="clear" w:color="auto" w:fill="auto"/>
            <w:vAlign w:val="center"/>
            <w:hideMark/>
          </w:tcPr>
          <w:p w14:paraId="19BBA3B1" w14:textId="60F6A891" w:rsidR="004764F9" w:rsidRPr="006672FA" w:rsidRDefault="004764F9" w:rsidP="004764F9">
            <w:pPr>
              <w:spacing w:line="240" w:lineRule="auto"/>
              <w:ind w:firstLine="0"/>
              <w:jc w:val="left"/>
              <w:rPr>
                <w:rFonts w:cs="Times New Roman"/>
              </w:rPr>
            </w:pPr>
            <w:r>
              <w:rPr>
                <w:lang w:val="en-US"/>
              </w:rPr>
              <w:t>B</w:t>
            </w:r>
            <w:r w:rsidRPr="005A68E6">
              <w:rPr>
                <w:lang w:val="en-US"/>
              </w:rPr>
              <w:t>y days to maturity, AMD billion</w:t>
            </w:r>
          </w:p>
        </w:tc>
        <w:tc>
          <w:tcPr>
            <w:tcW w:w="1110" w:type="dxa"/>
            <w:tcBorders>
              <w:top w:val="nil"/>
              <w:left w:val="nil"/>
              <w:bottom w:val="single" w:sz="8" w:space="0" w:color="auto"/>
              <w:right w:val="nil"/>
            </w:tcBorders>
            <w:shd w:val="clear" w:color="auto" w:fill="auto"/>
            <w:vAlign w:val="center"/>
            <w:hideMark/>
          </w:tcPr>
          <w:p w14:paraId="4E838528"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170" w:type="dxa"/>
            <w:tcBorders>
              <w:top w:val="nil"/>
              <w:left w:val="nil"/>
              <w:bottom w:val="single" w:sz="8" w:space="0" w:color="auto"/>
              <w:right w:val="nil"/>
            </w:tcBorders>
            <w:shd w:val="clear" w:color="auto" w:fill="auto"/>
            <w:vAlign w:val="center"/>
            <w:hideMark/>
          </w:tcPr>
          <w:p w14:paraId="269830CA"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100" w:type="dxa"/>
            <w:tcBorders>
              <w:top w:val="nil"/>
              <w:left w:val="nil"/>
              <w:bottom w:val="single" w:sz="8" w:space="0" w:color="auto"/>
              <w:right w:val="nil"/>
            </w:tcBorders>
            <w:shd w:val="clear" w:color="auto" w:fill="auto"/>
            <w:vAlign w:val="center"/>
            <w:hideMark/>
          </w:tcPr>
          <w:p w14:paraId="37948662"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240" w:type="dxa"/>
            <w:tcBorders>
              <w:top w:val="nil"/>
              <w:left w:val="nil"/>
              <w:bottom w:val="single" w:sz="8" w:space="0" w:color="auto"/>
              <w:right w:val="nil"/>
            </w:tcBorders>
            <w:shd w:val="clear" w:color="auto" w:fill="auto"/>
            <w:vAlign w:val="center"/>
            <w:hideMark/>
          </w:tcPr>
          <w:p w14:paraId="57F41EA3"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090" w:type="dxa"/>
            <w:tcBorders>
              <w:top w:val="nil"/>
              <w:left w:val="nil"/>
              <w:bottom w:val="single" w:sz="8" w:space="0" w:color="auto"/>
              <w:right w:val="nil"/>
            </w:tcBorders>
            <w:shd w:val="clear" w:color="auto" w:fill="auto"/>
            <w:vAlign w:val="center"/>
            <w:hideMark/>
          </w:tcPr>
          <w:p w14:paraId="4B484687"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280" w:type="dxa"/>
            <w:tcBorders>
              <w:top w:val="nil"/>
              <w:left w:val="nil"/>
              <w:bottom w:val="single" w:sz="8" w:space="0" w:color="auto"/>
              <w:right w:val="nil"/>
            </w:tcBorders>
            <w:shd w:val="clear" w:color="auto" w:fill="auto"/>
            <w:vAlign w:val="center"/>
            <w:hideMark/>
          </w:tcPr>
          <w:p w14:paraId="2EC697CA"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r>
      <w:tr w:rsidR="004764F9" w:rsidRPr="004B4A0B" w14:paraId="128445AC" w14:textId="77777777" w:rsidTr="008B4634">
        <w:trPr>
          <w:trHeight w:val="345"/>
        </w:trPr>
        <w:tc>
          <w:tcPr>
            <w:tcW w:w="3300" w:type="dxa"/>
            <w:tcBorders>
              <w:top w:val="nil"/>
              <w:left w:val="nil"/>
              <w:bottom w:val="single" w:sz="8" w:space="0" w:color="auto"/>
              <w:right w:val="nil"/>
            </w:tcBorders>
            <w:shd w:val="clear" w:color="auto" w:fill="auto"/>
            <w:vAlign w:val="center"/>
            <w:hideMark/>
          </w:tcPr>
          <w:p w14:paraId="5DAD91D0" w14:textId="171A3BB5" w:rsidR="004764F9" w:rsidRPr="004B4A0B" w:rsidRDefault="004764F9" w:rsidP="004764F9">
            <w:pPr>
              <w:spacing w:line="240" w:lineRule="auto"/>
              <w:ind w:firstLine="0"/>
              <w:jc w:val="left"/>
              <w:rPr>
                <w:rFonts w:cs="Times New Roman"/>
                <w:lang w:val="en-US"/>
              </w:rPr>
            </w:pPr>
            <w:r>
              <w:rPr>
                <w:lang w:val="en-US"/>
              </w:rPr>
              <w:t>u</w:t>
            </w:r>
            <w:r w:rsidRPr="005A68E6">
              <w:rPr>
                <w:lang w:val="en-US"/>
              </w:rPr>
              <w:t>p to 1 year</w:t>
            </w:r>
          </w:p>
        </w:tc>
        <w:tc>
          <w:tcPr>
            <w:tcW w:w="1110" w:type="dxa"/>
            <w:tcBorders>
              <w:top w:val="nil"/>
              <w:left w:val="nil"/>
              <w:bottom w:val="single" w:sz="8" w:space="0" w:color="auto"/>
              <w:right w:val="nil"/>
            </w:tcBorders>
            <w:shd w:val="clear" w:color="auto" w:fill="auto"/>
            <w:vAlign w:val="center"/>
            <w:hideMark/>
          </w:tcPr>
          <w:p w14:paraId="66BFC296" w14:textId="77777777" w:rsidR="004764F9" w:rsidRPr="004B4A0B" w:rsidRDefault="004764F9" w:rsidP="004764F9">
            <w:pPr>
              <w:spacing w:line="240" w:lineRule="auto"/>
              <w:ind w:firstLine="0"/>
              <w:jc w:val="center"/>
              <w:rPr>
                <w:rFonts w:cs="Times New Roman"/>
                <w:lang w:val="en-US"/>
              </w:rPr>
            </w:pPr>
            <w:r w:rsidRPr="004B4A0B">
              <w:rPr>
                <w:rFonts w:cs="Times New Roman"/>
              </w:rPr>
              <w:t>246.6</w:t>
            </w:r>
          </w:p>
        </w:tc>
        <w:tc>
          <w:tcPr>
            <w:tcW w:w="1170" w:type="dxa"/>
            <w:tcBorders>
              <w:top w:val="nil"/>
              <w:left w:val="nil"/>
              <w:bottom w:val="single" w:sz="8" w:space="0" w:color="auto"/>
              <w:right w:val="nil"/>
            </w:tcBorders>
            <w:shd w:val="clear" w:color="auto" w:fill="auto"/>
            <w:vAlign w:val="center"/>
            <w:hideMark/>
          </w:tcPr>
          <w:p w14:paraId="6598CF27" w14:textId="77777777" w:rsidR="004764F9" w:rsidRPr="004B4A0B" w:rsidRDefault="004764F9" w:rsidP="004764F9">
            <w:pPr>
              <w:spacing w:line="240" w:lineRule="auto"/>
              <w:ind w:firstLine="0"/>
              <w:jc w:val="center"/>
              <w:rPr>
                <w:rFonts w:cs="Times New Roman"/>
                <w:lang w:val="en-US"/>
              </w:rPr>
            </w:pPr>
            <w:r w:rsidRPr="004B4A0B">
              <w:rPr>
                <w:rFonts w:cs="Times New Roman"/>
              </w:rPr>
              <w:t>354.0</w:t>
            </w:r>
          </w:p>
        </w:tc>
        <w:tc>
          <w:tcPr>
            <w:tcW w:w="1100" w:type="dxa"/>
            <w:tcBorders>
              <w:top w:val="nil"/>
              <w:left w:val="nil"/>
              <w:bottom w:val="single" w:sz="8" w:space="0" w:color="auto"/>
              <w:right w:val="nil"/>
            </w:tcBorders>
            <w:shd w:val="clear" w:color="auto" w:fill="auto"/>
            <w:vAlign w:val="center"/>
            <w:hideMark/>
          </w:tcPr>
          <w:p w14:paraId="32500321" w14:textId="77777777" w:rsidR="004764F9" w:rsidRPr="004B4A0B" w:rsidRDefault="004764F9" w:rsidP="004764F9">
            <w:pPr>
              <w:spacing w:line="240" w:lineRule="auto"/>
              <w:ind w:firstLine="0"/>
              <w:jc w:val="center"/>
              <w:rPr>
                <w:rFonts w:cs="Times New Roman"/>
                <w:lang w:val="en-US"/>
              </w:rPr>
            </w:pPr>
            <w:r w:rsidRPr="004B4A0B">
              <w:rPr>
                <w:rFonts w:cs="Times New Roman"/>
              </w:rPr>
              <w:t>384.1</w:t>
            </w:r>
          </w:p>
        </w:tc>
        <w:tc>
          <w:tcPr>
            <w:tcW w:w="1240" w:type="dxa"/>
            <w:tcBorders>
              <w:top w:val="nil"/>
              <w:left w:val="nil"/>
              <w:bottom w:val="single" w:sz="8" w:space="0" w:color="auto"/>
              <w:right w:val="nil"/>
            </w:tcBorders>
            <w:shd w:val="clear" w:color="auto" w:fill="auto"/>
            <w:vAlign w:val="center"/>
            <w:hideMark/>
          </w:tcPr>
          <w:p w14:paraId="4294DB69" w14:textId="77777777" w:rsidR="004764F9" w:rsidRPr="004B4A0B" w:rsidRDefault="004764F9" w:rsidP="004764F9">
            <w:pPr>
              <w:spacing w:line="240" w:lineRule="auto"/>
              <w:ind w:firstLine="0"/>
              <w:jc w:val="center"/>
              <w:rPr>
                <w:rFonts w:cs="Times New Roman"/>
                <w:lang w:val="en-US"/>
              </w:rPr>
            </w:pPr>
            <w:r w:rsidRPr="004B4A0B">
              <w:rPr>
                <w:rFonts w:cs="Times New Roman"/>
              </w:rPr>
              <w:t>434.3</w:t>
            </w:r>
          </w:p>
        </w:tc>
        <w:tc>
          <w:tcPr>
            <w:tcW w:w="1090" w:type="dxa"/>
            <w:tcBorders>
              <w:top w:val="nil"/>
              <w:left w:val="nil"/>
              <w:bottom w:val="single" w:sz="8" w:space="0" w:color="auto"/>
              <w:right w:val="nil"/>
            </w:tcBorders>
            <w:shd w:val="clear" w:color="auto" w:fill="auto"/>
            <w:vAlign w:val="center"/>
            <w:hideMark/>
          </w:tcPr>
          <w:p w14:paraId="63B21D7D" w14:textId="77777777" w:rsidR="004764F9" w:rsidRPr="004B4A0B" w:rsidRDefault="004764F9" w:rsidP="004764F9">
            <w:pPr>
              <w:spacing w:line="240" w:lineRule="auto"/>
              <w:ind w:firstLine="0"/>
              <w:jc w:val="center"/>
              <w:rPr>
                <w:rFonts w:cs="Times New Roman"/>
                <w:lang w:val="en-US"/>
              </w:rPr>
            </w:pPr>
            <w:r w:rsidRPr="004B4A0B">
              <w:rPr>
                <w:rFonts w:cs="Times New Roman"/>
              </w:rPr>
              <w:t>462.4</w:t>
            </w:r>
          </w:p>
        </w:tc>
        <w:tc>
          <w:tcPr>
            <w:tcW w:w="1280" w:type="dxa"/>
            <w:tcBorders>
              <w:top w:val="nil"/>
              <w:left w:val="nil"/>
              <w:bottom w:val="single" w:sz="8" w:space="0" w:color="auto"/>
              <w:right w:val="nil"/>
            </w:tcBorders>
            <w:shd w:val="clear" w:color="auto" w:fill="auto"/>
            <w:vAlign w:val="center"/>
            <w:hideMark/>
          </w:tcPr>
          <w:p w14:paraId="43223627" w14:textId="77777777" w:rsidR="004764F9" w:rsidRPr="004B4A0B" w:rsidRDefault="004764F9" w:rsidP="004764F9">
            <w:pPr>
              <w:spacing w:line="240" w:lineRule="auto"/>
              <w:ind w:firstLine="0"/>
              <w:jc w:val="center"/>
              <w:rPr>
                <w:rFonts w:cs="Times New Roman"/>
                <w:lang w:val="en-US"/>
              </w:rPr>
            </w:pPr>
            <w:r w:rsidRPr="004B4A0B">
              <w:rPr>
                <w:rFonts w:cs="Times New Roman"/>
              </w:rPr>
              <w:t>583.6</w:t>
            </w:r>
          </w:p>
        </w:tc>
      </w:tr>
      <w:tr w:rsidR="004764F9" w:rsidRPr="004B4A0B" w14:paraId="6BC7287C" w14:textId="77777777" w:rsidTr="008B4634">
        <w:trPr>
          <w:trHeight w:val="345"/>
        </w:trPr>
        <w:tc>
          <w:tcPr>
            <w:tcW w:w="3300" w:type="dxa"/>
            <w:tcBorders>
              <w:top w:val="nil"/>
              <w:left w:val="nil"/>
              <w:bottom w:val="single" w:sz="8" w:space="0" w:color="auto"/>
              <w:right w:val="nil"/>
            </w:tcBorders>
            <w:shd w:val="clear" w:color="auto" w:fill="auto"/>
            <w:vAlign w:val="center"/>
            <w:hideMark/>
          </w:tcPr>
          <w:p w14:paraId="7771803E" w14:textId="7C9E8577" w:rsidR="004764F9" w:rsidRPr="004B4A0B" w:rsidRDefault="004764F9" w:rsidP="004764F9">
            <w:pPr>
              <w:spacing w:line="240" w:lineRule="auto"/>
              <w:ind w:firstLine="0"/>
              <w:jc w:val="left"/>
              <w:rPr>
                <w:rFonts w:cs="Times New Roman"/>
                <w:lang w:val="en-US"/>
              </w:rPr>
            </w:pPr>
            <w:r w:rsidRPr="005A68E6">
              <w:rPr>
                <w:lang w:val="en-US"/>
              </w:rPr>
              <w:t>1-5 years</w:t>
            </w:r>
          </w:p>
        </w:tc>
        <w:tc>
          <w:tcPr>
            <w:tcW w:w="1110" w:type="dxa"/>
            <w:tcBorders>
              <w:top w:val="nil"/>
              <w:left w:val="nil"/>
              <w:bottom w:val="single" w:sz="8" w:space="0" w:color="auto"/>
              <w:right w:val="nil"/>
            </w:tcBorders>
            <w:shd w:val="clear" w:color="auto" w:fill="auto"/>
            <w:vAlign w:val="center"/>
            <w:hideMark/>
          </w:tcPr>
          <w:p w14:paraId="5851C388" w14:textId="77777777" w:rsidR="004764F9" w:rsidRPr="004B4A0B" w:rsidRDefault="004764F9" w:rsidP="004764F9">
            <w:pPr>
              <w:spacing w:line="240" w:lineRule="auto"/>
              <w:ind w:firstLine="0"/>
              <w:jc w:val="center"/>
              <w:rPr>
                <w:rFonts w:cs="Times New Roman"/>
                <w:lang w:val="en-US"/>
              </w:rPr>
            </w:pPr>
            <w:r w:rsidRPr="004B4A0B">
              <w:rPr>
                <w:rFonts w:cs="Times New Roman"/>
              </w:rPr>
              <w:t>708.4</w:t>
            </w:r>
          </w:p>
        </w:tc>
        <w:tc>
          <w:tcPr>
            <w:tcW w:w="1170" w:type="dxa"/>
            <w:tcBorders>
              <w:top w:val="nil"/>
              <w:left w:val="nil"/>
              <w:bottom w:val="single" w:sz="8" w:space="0" w:color="auto"/>
              <w:right w:val="nil"/>
            </w:tcBorders>
            <w:shd w:val="clear" w:color="auto" w:fill="auto"/>
            <w:vAlign w:val="center"/>
            <w:hideMark/>
          </w:tcPr>
          <w:p w14:paraId="53C71FBB" w14:textId="77777777" w:rsidR="004764F9" w:rsidRPr="004B4A0B" w:rsidRDefault="004764F9" w:rsidP="004764F9">
            <w:pPr>
              <w:spacing w:line="240" w:lineRule="auto"/>
              <w:ind w:firstLine="0"/>
              <w:jc w:val="center"/>
              <w:rPr>
                <w:rFonts w:cs="Times New Roman"/>
                <w:lang w:val="en-US"/>
              </w:rPr>
            </w:pPr>
            <w:r w:rsidRPr="004B4A0B">
              <w:rPr>
                <w:rFonts w:cs="Times New Roman"/>
              </w:rPr>
              <w:t>932.0</w:t>
            </w:r>
          </w:p>
        </w:tc>
        <w:tc>
          <w:tcPr>
            <w:tcW w:w="1100" w:type="dxa"/>
            <w:tcBorders>
              <w:top w:val="nil"/>
              <w:left w:val="nil"/>
              <w:bottom w:val="single" w:sz="8" w:space="0" w:color="auto"/>
              <w:right w:val="nil"/>
            </w:tcBorders>
            <w:shd w:val="clear" w:color="auto" w:fill="auto"/>
            <w:vAlign w:val="center"/>
            <w:hideMark/>
          </w:tcPr>
          <w:p w14:paraId="19193548" w14:textId="77777777" w:rsidR="004764F9" w:rsidRPr="004B4A0B" w:rsidRDefault="004764F9" w:rsidP="004764F9">
            <w:pPr>
              <w:spacing w:line="240" w:lineRule="auto"/>
              <w:ind w:firstLine="0"/>
              <w:jc w:val="center"/>
              <w:rPr>
                <w:rFonts w:cs="Times New Roman"/>
                <w:lang w:val="en-US"/>
              </w:rPr>
            </w:pPr>
            <w:r w:rsidRPr="004B4A0B">
              <w:rPr>
                <w:rFonts w:cs="Times New Roman"/>
              </w:rPr>
              <w:t>1017.8</w:t>
            </w:r>
          </w:p>
        </w:tc>
        <w:tc>
          <w:tcPr>
            <w:tcW w:w="1240" w:type="dxa"/>
            <w:tcBorders>
              <w:top w:val="nil"/>
              <w:left w:val="nil"/>
              <w:bottom w:val="single" w:sz="8" w:space="0" w:color="auto"/>
              <w:right w:val="nil"/>
            </w:tcBorders>
            <w:shd w:val="clear" w:color="auto" w:fill="auto"/>
            <w:vAlign w:val="center"/>
            <w:hideMark/>
          </w:tcPr>
          <w:p w14:paraId="771DD7A8" w14:textId="77777777" w:rsidR="004764F9" w:rsidRPr="004B4A0B" w:rsidRDefault="004764F9" w:rsidP="004764F9">
            <w:pPr>
              <w:spacing w:line="240" w:lineRule="auto"/>
              <w:ind w:firstLine="0"/>
              <w:jc w:val="center"/>
              <w:rPr>
                <w:rFonts w:cs="Times New Roman"/>
                <w:lang w:val="en-US"/>
              </w:rPr>
            </w:pPr>
            <w:r w:rsidRPr="004B4A0B">
              <w:rPr>
                <w:rFonts w:cs="Times New Roman"/>
              </w:rPr>
              <w:t>1258.0</w:t>
            </w:r>
          </w:p>
        </w:tc>
        <w:tc>
          <w:tcPr>
            <w:tcW w:w="1090" w:type="dxa"/>
            <w:tcBorders>
              <w:top w:val="nil"/>
              <w:left w:val="nil"/>
              <w:bottom w:val="single" w:sz="8" w:space="0" w:color="auto"/>
              <w:right w:val="nil"/>
            </w:tcBorders>
            <w:shd w:val="clear" w:color="auto" w:fill="auto"/>
            <w:vAlign w:val="center"/>
            <w:hideMark/>
          </w:tcPr>
          <w:p w14:paraId="4EE73354" w14:textId="77777777" w:rsidR="004764F9" w:rsidRPr="004B4A0B" w:rsidRDefault="004764F9" w:rsidP="004764F9">
            <w:pPr>
              <w:spacing w:line="240" w:lineRule="auto"/>
              <w:ind w:firstLine="0"/>
              <w:jc w:val="center"/>
              <w:rPr>
                <w:rFonts w:cs="Times New Roman"/>
                <w:lang w:val="en-US"/>
              </w:rPr>
            </w:pPr>
            <w:r w:rsidRPr="004B4A0B">
              <w:rPr>
                <w:rFonts w:cs="Times New Roman"/>
              </w:rPr>
              <w:t>1292.4</w:t>
            </w:r>
          </w:p>
        </w:tc>
        <w:tc>
          <w:tcPr>
            <w:tcW w:w="1280" w:type="dxa"/>
            <w:tcBorders>
              <w:top w:val="nil"/>
              <w:left w:val="nil"/>
              <w:bottom w:val="single" w:sz="8" w:space="0" w:color="auto"/>
              <w:right w:val="nil"/>
            </w:tcBorders>
            <w:shd w:val="clear" w:color="auto" w:fill="auto"/>
            <w:vAlign w:val="center"/>
            <w:hideMark/>
          </w:tcPr>
          <w:p w14:paraId="16A8FB8E" w14:textId="77777777" w:rsidR="004764F9" w:rsidRPr="004B4A0B" w:rsidRDefault="004764F9" w:rsidP="004764F9">
            <w:pPr>
              <w:spacing w:line="240" w:lineRule="auto"/>
              <w:ind w:firstLine="0"/>
              <w:jc w:val="center"/>
              <w:rPr>
                <w:rFonts w:cs="Times New Roman"/>
                <w:lang w:val="en-US"/>
              </w:rPr>
            </w:pPr>
            <w:r w:rsidRPr="004B4A0B">
              <w:rPr>
                <w:rFonts w:cs="Times New Roman"/>
              </w:rPr>
              <w:t>1625.1</w:t>
            </w:r>
          </w:p>
        </w:tc>
      </w:tr>
      <w:tr w:rsidR="004764F9" w:rsidRPr="004B4A0B" w14:paraId="295C72AB" w14:textId="77777777" w:rsidTr="008B4634">
        <w:trPr>
          <w:trHeight w:val="345"/>
        </w:trPr>
        <w:tc>
          <w:tcPr>
            <w:tcW w:w="3300" w:type="dxa"/>
            <w:tcBorders>
              <w:top w:val="nil"/>
              <w:left w:val="nil"/>
              <w:bottom w:val="single" w:sz="12" w:space="0" w:color="auto"/>
              <w:right w:val="nil"/>
            </w:tcBorders>
            <w:shd w:val="clear" w:color="auto" w:fill="auto"/>
            <w:vAlign w:val="center"/>
            <w:hideMark/>
          </w:tcPr>
          <w:p w14:paraId="52691C33" w14:textId="77903947" w:rsidR="004764F9" w:rsidRPr="004B4A0B" w:rsidRDefault="004764F9" w:rsidP="004764F9">
            <w:pPr>
              <w:spacing w:line="240" w:lineRule="auto"/>
              <w:ind w:firstLine="0"/>
              <w:jc w:val="left"/>
              <w:rPr>
                <w:rFonts w:cs="Times New Roman"/>
                <w:lang w:val="en-US"/>
              </w:rPr>
            </w:pPr>
            <w:r>
              <w:rPr>
                <w:lang w:val="en-US"/>
              </w:rPr>
              <w:t>m</w:t>
            </w:r>
            <w:r w:rsidRPr="005A68E6">
              <w:rPr>
                <w:lang w:val="en-US"/>
              </w:rPr>
              <w:t>ore than 5 years</w:t>
            </w:r>
          </w:p>
        </w:tc>
        <w:tc>
          <w:tcPr>
            <w:tcW w:w="1110" w:type="dxa"/>
            <w:tcBorders>
              <w:top w:val="nil"/>
              <w:left w:val="nil"/>
              <w:bottom w:val="single" w:sz="12" w:space="0" w:color="auto"/>
              <w:right w:val="nil"/>
            </w:tcBorders>
            <w:shd w:val="clear" w:color="auto" w:fill="auto"/>
            <w:vAlign w:val="center"/>
            <w:hideMark/>
          </w:tcPr>
          <w:p w14:paraId="256BB3CF" w14:textId="77777777" w:rsidR="004764F9" w:rsidRPr="004B4A0B" w:rsidRDefault="004764F9" w:rsidP="004764F9">
            <w:pPr>
              <w:spacing w:line="240" w:lineRule="auto"/>
              <w:ind w:firstLine="0"/>
              <w:jc w:val="center"/>
              <w:rPr>
                <w:rFonts w:cs="Times New Roman"/>
                <w:lang w:val="en-US"/>
              </w:rPr>
            </w:pPr>
            <w:r w:rsidRPr="004B4A0B">
              <w:rPr>
                <w:rFonts w:cs="Times New Roman"/>
              </w:rPr>
              <w:t>1137.8</w:t>
            </w:r>
          </w:p>
        </w:tc>
        <w:tc>
          <w:tcPr>
            <w:tcW w:w="1170" w:type="dxa"/>
            <w:tcBorders>
              <w:top w:val="nil"/>
              <w:left w:val="nil"/>
              <w:bottom w:val="single" w:sz="12" w:space="0" w:color="auto"/>
              <w:right w:val="nil"/>
            </w:tcBorders>
            <w:shd w:val="clear" w:color="auto" w:fill="auto"/>
            <w:vAlign w:val="center"/>
            <w:hideMark/>
          </w:tcPr>
          <w:p w14:paraId="2FDDD987" w14:textId="77777777" w:rsidR="004764F9" w:rsidRPr="004B4A0B" w:rsidRDefault="004764F9" w:rsidP="004764F9">
            <w:pPr>
              <w:spacing w:line="240" w:lineRule="auto"/>
              <w:ind w:firstLine="0"/>
              <w:jc w:val="center"/>
              <w:rPr>
                <w:rFonts w:cs="Times New Roman"/>
                <w:lang w:val="en-US"/>
              </w:rPr>
            </w:pPr>
            <w:r w:rsidRPr="004B4A0B">
              <w:rPr>
                <w:rFonts w:cs="Times New Roman"/>
              </w:rPr>
              <w:t>1188.0</w:t>
            </w:r>
          </w:p>
        </w:tc>
        <w:tc>
          <w:tcPr>
            <w:tcW w:w="1100" w:type="dxa"/>
            <w:tcBorders>
              <w:top w:val="nil"/>
              <w:left w:val="nil"/>
              <w:bottom w:val="single" w:sz="12" w:space="0" w:color="auto"/>
              <w:right w:val="nil"/>
            </w:tcBorders>
            <w:shd w:val="clear" w:color="auto" w:fill="auto"/>
            <w:vAlign w:val="center"/>
            <w:hideMark/>
          </w:tcPr>
          <w:p w14:paraId="6CEED4E6" w14:textId="77777777" w:rsidR="004764F9" w:rsidRPr="004B4A0B" w:rsidRDefault="004764F9" w:rsidP="004764F9">
            <w:pPr>
              <w:spacing w:line="240" w:lineRule="auto"/>
              <w:ind w:firstLine="0"/>
              <w:jc w:val="center"/>
              <w:rPr>
                <w:rFonts w:cs="Times New Roman"/>
                <w:lang w:val="en-US"/>
              </w:rPr>
            </w:pPr>
            <w:r w:rsidRPr="004B4A0B">
              <w:rPr>
                <w:rFonts w:cs="Times New Roman"/>
              </w:rPr>
              <w:t>1369.3</w:t>
            </w:r>
          </w:p>
        </w:tc>
        <w:tc>
          <w:tcPr>
            <w:tcW w:w="1240" w:type="dxa"/>
            <w:tcBorders>
              <w:top w:val="nil"/>
              <w:left w:val="nil"/>
              <w:bottom w:val="single" w:sz="12" w:space="0" w:color="auto"/>
              <w:right w:val="nil"/>
            </w:tcBorders>
            <w:shd w:val="clear" w:color="auto" w:fill="auto"/>
            <w:vAlign w:val="center"/>
            <w:hideMark/>
          </w:tcPr>
          <w:p w14:paraId="216A78FD" w14:textId="77777777" w:rsidR="004764F9" w:rsidRPr="004B4A0B" w:rsidRDefault="004764F9" w:rsidP="004764F9">
            <w:pPr>
              <w:spacing w:line="240" w:lineRule="auto"/>
              <w:ind w:firstLine="0"/>
              <w:jc w:val="center"/>
              <w:rPr>
                <w:rFonts w:cs="Times New Roman"/>
                <w:lang w:val="en-US"/>
              </w:rPr>
            </w:pPr>
            <w:r w:rsidRPr="004B4A0B">
              <w:rPr>
                <w:rFonts w:cs="Times New Roman"/>
              </w:rPr>
              <w:t>1422.9</w:t>
            </w:r>
          </w:p>
        </w:tc>
        <w:tc>
          <w:tcPr>
            <w:tcW w:w="1090" w:type="dxa"/>
            <w:tcBorders>
              <w:top w:val="nil"/>
              <w:left w:val="nil"/>
              <w:bottom w:val="single" w:sz="12" w:space="0" w:color="auto"/>
              <w:right w:val="nil"/>
            </w:tcBorders>
            <w:shd w:val="clear" w:color="auto" w:fill="auto"/>
            <w:vAlign w:val="center"/>
            <w:hideMark/>
          </w:tcPr>
          <w:p w14:paraId="0CB03816" w14:textId="77777777" w:rsidR="004764F9" w:rsidRPr="004B4A0B" w:rsidRDefault="004764F9" w:rsidP="004764F9">
            <w:pPr>
              <w:spacing w:line="240" w:lineRule="auto"/>
              <w:ind w:firstLine="0"/>
              <w:jc w:val="center"/>
              <w:rPr>
                <w:rFonts w:cs="Times New Roman"/>
                <w:lang w:val="en-US"/>
              </w:rPr>
            </w:pPr>
            <w:r w:rsidRPr="004B4A0B">
              <w:rPr>
                <w:rFonts w:cs="Times New Roman"/>
              </w:rPr>
              <w:t>1649.5</w:t>
            </w:r>
          </w:p>
        </w:tc>
        <w:tc>
          <w:tcPr>
            <w:tcW w:w="1280" w:type="dxa"/>
            <w:tcBorders>
              <w:top w:val="nil"/>
              <w:left w:val="nil"/>
              <w:bottom w:val="single" w:sz="12" w:space="0" w:color="auto"/>
              <w:right w:val="nil"/>
            </w:tcBorders>
            <w:shd w:val="clear" w:color="auto" w:fill="auto"/>
            <w:vAlign w:val="center"/>
            <w:hideMark/>
          </w:tcPr>
          <w:p w14:paraId="5F6463FB" w14:textId="77777777" w:rsidR="004764F9" w:rsidRPr="004B4A0B" w:rsidRDefault="004764F9" w:rsidP="004764F9">
            <w:pPr>
              <w:spacing w:line="240" w:lineRule="auto"/>
              <w:ind w:firstLine="0"/>
              <w:jc w:val="center"/>
              <w:rPr>
                <w:rFonts w:cs="Times New Roman"/>
                <w:lang w:val="en-US"/>
              </w:rPr>
            </w:pPr>
            <w:r w:rsidRPr="004B4A0B">
              <w:rPr>
                <w:rFonts w:cs="Times New Roman"/>
              </w:rPr>
              <w:t>1455.5</w:t>
            </w:r>
          </w:p>
        </w:tc>
      </w:tr>
      <w:tr w:rsidR="004764F9" w:rsidRPr="004B4A0B" w14:paraId="5BD85C66" w14:textId="77777777" w:rsidTr="008B4634">
        <w:trPr>
          <w:trHeight w:val="501"/>
        </w:trPr>
        <w:tc>
          <w:tcPr>
            <w:tcW w:w="3300" w:type="dxa"/>
            <w:tcBorders>
              <w:top w:val="nil"/>
              <w:left w:val="nil"/>
              <w:bottom w:val="single" w:sz="8" w:space="0" w:color="auto"/>
              <w:right w:val="nil"/>
            </w:tcBorders>
            <w:shd w:val="clear" w:color="auto" w:fill="auto"/>
            <w:vAlign w:val="center"/>
            <w:hideMark/>
          </w:tcPr>
          <w:p w14:paraId="5AA7E5D5" w14:textId="737FAC67" w:rsidR="004764F9" w:rsidRPr="006672FA" w:rsidRDefault="004764F9" w:rsidP="004764F9">
            <w:pPr>
              <w:spacing w:line="240" w:lineRule="auto"/>
              <w:ind w:firstLine="0"/>
              <w:jc w:val="left"/>
              <w:rPr>
                <w:rFonts w:cs="Times New Roman"/>
              </w:rPr>
            </w:pPr>
            <w:r w:rsidRPr="005A68E6">
              <w:rPr>
                <w:lang w:val="en-US"/>
              </w:rPr>
              <w:lastRenderedPageBreak/>
              <w:t xml:space="preserve">Share by days to maturity </w:t>
            </w:r>
            <w:r w:rsidRPr="005A68E6">
              <w:rPr>
                <w:bCs/>
              </w:rPr>
              <w:t>(%)</w:t>
            </w:r>
          </w:p>
        </w:tc>
        <w:tc>
          <w:tcPr>
            <w:tcW w:w="1110" w:type="dxa"/>
            <w:tcBorders>
              <w:top w:val="nil"/>
              <w:left w:val="nil"/>
              <w:bottom w:val="single" w:sz="8" w:space="0" w:color="auto"/>
              <w:right w:val="nil"/>
            </w:tcBorders>
            <w:shd w:val="clear" w:color="auto" w:fill="auto"/>
            <w:vAlign w:val="center"/>
            <w:hideMark/>
          </w:tcPr>
          <w:p w14:paraId="762902CE"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170" w:type="dxa"/>
            <w:tcBorders>
              <w:top w:val="nil"/>
              <w:left w:val="nil"/>
              <w:bottom w:val="single" w:sz="8" w:space="0" w:color="auto"/>
              <w:right w:val="nil"/>
            </w:tcBorders>
            <w:shd w:val="clear" w:color="auto" w:fill="auto"/>
            <w:vAlign w:val="center"/>
            <w:hideMark/>
          </w:tcPr>
          <w:p w14:paraId="1E5D7E4B"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100" w:type="dxa"/>
            <w:tcBorders>
              <w:top w:val="nil"/>
              <w:left w:val="nil"/>
              <w:bottom w:val="single" w:sz="8" w:space="0" w:color="auto"/>
              <w:right w:val="nil"/>
            </w:tcBorders>
            <w:shd w:val="clear" w:color="auto" w:fill="auto"/>
            <w:vAlign w:val="center"/>
            <w:hideMark/>
          </w:tcPr>
          <w:p w14:paraId="03C2B4A1"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240" w:type="dxa"/>
            <w:tcBorders>
              <w:top w:val="nil"/>
              <w:left w:val="nil"/>
              <w:bottom w:val="single" w:sz="8" w:space="0" w:color="auto"/>
              <w:right w:val="nil"/>
            </w:tcBorders>
            <w:shd w:val="clear" w:color="auto" w:fill="auto"/>
            <w:vAlign w:val="center"/>
            <w:hideMark/>
          </w:tcPr>
          <w:p w14:paraId="5F982C80"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090" w:type="dxa"/>
            <w:tcBorders>
              <w:top w:val="nil"/>
              <w:left w:val="nil"/>
              <w:bottom w:val="single" w:sz="8" w:space="0" w:color="auto"/>
              <w:right w:val="nil"/>
            </w:tcBorders>
            <w:shd w:val="clear" w:color="auto" w:fill="auto"/>
            <w:vAlign w:val="center"/>
            <w:hideMark/>
          </w:tcPr>
          <w:p w14:paraId="6BF00430"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c>
          <w:tcPr>
            <w:tcW w:w="1280" w:type="dxa"/>
            <w:tcBorders>
              <w:top w:val="nil"/>
              <w:left w:val="nil"/>
              <w:bottom w:val="single" w:sz="8" w:space="0" w:color="auto"/>
              <w:right w:val="nil"/>
            </w:tcBorders>
            <w:shd w:val="clear" w:color="auto" w:fill="auto"/>
            <w:vAlign w:val="center"/>
            <w:hideMark/>
          </w:tcPr>
          <w:p w14:paraId="71DD8F89" w14:textId="77777777" w:rsidR="004764F9" w:rsidRPr="006672FA" w:rsidRDefault="004764F9" w:rsidP="004764F9">
            <w:pPr>
              <w:spacing w:line="240" w:lineRule="auto"/>
              <w:ind w:firstLine="0"/>
              <w:jc w:val="center"/>
              <w:rPr>
                <w:rFonts w:cs="Times New Roman"/>
              </w:rPr>
            </w:pPr>
            <w:r w:rsidRPr="004B4A0B">
              <w:rPr>
                <w:rFonts w:ascii="Calibri" w:hAnsi="Calibri" w:cs="Calibri"/>
              </w:rPr>
              <w:t> </w:t>
            </w:r>
          </w:p>
        </w:tc>
      </w:tr>
      <w:tr w:rsidR="004764F9" w:rsidRPr="004B4A0B" w14:paraId="3784A282" w14:textId="77777777" w:rsidTr="008B4634">
        <w:trPr>
          <w:trHeight w:val="345"/>
        </w:trPr>
        <w:tc>
          <w:tcPr>
            <w:tcW w:w="3300" w:type="dxa"/>
            <w:tcBorders>
              <w:top w:val="nil"/>
              <w:left w:val="nil"/>
              <w:bottom w:val="single" w:sz="8" w:space="0" w:color="auto"/>
              <w:right w:val="nil"/>
            </w:tcBorders>
            <w:shd w:val="clear" w:color="auto" w:fill="auto"/>
            <w:vAlign w:val="center"/>
            <w:hideMark/>
          </w:tcPr>
          <w:p w14:paraId="165DA8F9" w14:textId="5F807352" w:rsidR="004764F9" w:rsidRPr="004B4A0B" w:rsidRDefault="004764F9" w:rsidP="004764F9">
            <w:pPr>
              <w:spacing w:line="240" w:lineRule="auto"/>
              <w:ind w:firstLine="0"/>
              <w:jc w:val="left"/>
              <w:rPr>
                <w:rFonts w:cs="Times New Roman"/>
                <w:lang w:val="en-US"/>
              </w:rPr>
            </w:pPr>
            <w:r>
              <w:rPr>
                <w:lang w:val="en-US"/>
              </w:rPr>
              <w:t>u</w:t>
            </w:r>
            <w:r w:rsidRPr="005A68E6">
              <w:rPr>
                <w:lang w:val="en-US"/>
              </w:rPr>
              <w:t>p to 1 year</w:t>
            </w:r>
          </w:p>
        </w:tc>
        <w:tc>
          <w:tcPr>
            <w:tcW w:w="1110" w:type="dxa"/>
            <w:tcBorders>
              <w:top w:val="nil"/>
              <w:left w:val="nil"/>
              <w:bottom w:val="single" w:sz="8" w:space="0" w:color="auto"/>
              <w:right w:val="nil"/>
            </w:tcBorders>
            <w:shd w:val="clear" w:color="auto" w:fill="auto"/>
            <w:vAlign w:val="center"/>
            <w:hideMark/>
          </w:tcPr>
          <w:p w14:paraId="22280BDC" w14:textId="77777777" w:rsidR="004764F9" w:rsidRPr="004B4A0B" w:rsidRDefault="004764F9" w:rsidP="004764F9">
            <w:pPr>
              <w:spacing w:line="240" w:lineRule="auto"/>
              <w:ind w:firstLine="0"/>
              <w:jc w:val="center"/>
              <w:rPr>
                <w:rFonts w:cs="Times New Roman"/>
                <w:lang w:val="en-US"/>
              </w:rPr>
            </w:pPr>
            <w:r w:rsidRPr="004B4A0B">
              <w:rPr>
                <w:rFonts w:cs="Times New Roman"/>
              </w:rPr>
              <w:t>11.8</w:t>
            </w:r>
          </w:p>
        </w:tc>
        <w:tc>
          <w:tcPr>
            <w:tcW w:w="1170" w:type="dxa"/>
            <w:tcBorders>
              <w:top w:val="nil"/>
              <w:left w:val="nil"/>
              <w:bottom w:val="single" w:sz="8" w:space="0" w:color="auto"/>
              <w:right w:val="nil"/>
            </w:tcBorders>
            <w:shd w:val="clear" w:color="auto" w:fill="auto"/>
            <w:vAlign w:val="center"/>
            <w:hideMark/>
          </w:tcPr>
          <w:p w14:paraId="755BC19F" w14:textId="77777777" w:rsidR="004764F9" w:rsidRPr="004B4A0B" w:rsidRDefault="004764F9" w:rsidP="004764F9">
            <w:pPr>
              <w:spacing w:line="240" w:lineRule="auto"/>
              <w:ind w:firstLine="0"/>
              <w:jc w:val="center"/>
              <w:rPr>
                <w:rFonts w:cs="Times New Roman"/>
                <w:lang w:val="en-US"/>
              </w:rPr>
            </w:pPr>
            <w:r w:rsidRPr="004B4A0B">
              <w:rPr>
                <w:rFonts w:cs="Times New Roman"/>
              </w:rPr>
              <w:t>14.3</w:t>
            </w:r>
          </w:p>
        </w:tc>
        <w:tc>
          <w:tcPr>
            <w:tcW w:w="1100" w:type="dxa"/>
            <w:tcBorders>
              <w:top w:val="nil"/>
              <w:left w:val="nil"/>
              <w:bottom w:val="single" w:sz="8" w:space="0" w:color="auto"/>
              <w:right w:val="nil"/>
            </w:tcBorders>
            <w:shd w:val="clear" w:color="auto" w:fill="auto"/>
            <w:vAlign w:val="center"/>
            <w:hideMark/>
          </w:tcPr>
          <w:p w14:paraId="5C1FF4A2" w14:textId="77777777" w:rsidR="004764F9" w:rsidRPr="004B4A0B" w:rsidRDefault="004764F9" w:rsidP="004764F9">
            <w:pPr>
              <w:spacing w:line="240" w:lineRule="auto"/>
              <w:ind w:firstLine="0"/>
              <w:jc w:val="center"/>
              <w:rPr>
                <w:rFonts w:cs="Times New Roman"/>
                <w:lang w:val="en-US"/>
              </w:rPr>
            </w:pPr>
            <w:r w:rsidRPr="004B4A0B">
              <w:rPr>
                <w:rFonts w:cs="Times New Roman"/>
              </w:rPr>
              <w:t>13.9</w:t>
            </w:r>
          </w:p>
        </w:tc>
        <w:tc>
          <w:tcPr>
            <w:tcW w:w="1240" w:type="dxa"/>
            <w:tcBorders>
              <w:top w:val="nil"/>
              <w:left w:val="nil"/>
              <w:bottom w:val="single" w:sz="8" w:space="0" w:color="auto"/>
              <w:right w:val="nil"/>
            </w:tcBorders>
            <w:shd w:val="clear" w:color="auto" w:fill="auto"/>
            <w:vAlign w:val="center"/>
            <w:hideMark/>
          </w:tcPr>
          <w:p w14:paraId="50F8DF11" w14:textId="77777777" w:rsidR="004764F9" w:rsidRPr="004B4A0B" w:rsidRDefault="004764F9" w:rsidP="004764F9">
            <w:pPr>
              <w:spacing w:line="240" w:lineRule="auto"/>
              <w:ind w:firstLine="0"/>
              <w:jc w:val="center"/>
              <w:rPr>
                <w:rFonts w:cs="Times New Roman"/>
                <w:lang w:val="en-US"/>
              </w:rPr>
            </w:pPr>
            <w:r w:rsidRPr="004B4A0B">
              <w:rPr>
                <w:rFonts w:cs="Times New Roman"/>
              </w:rPr>
              <w:t>13.9</w:t>
            </w:r>
          </w:p>
        </w:tc>
        <w:tc>
          <w:tcPr>
            <w:tcW w:w="1090" w:type="dxa"/>
            <w:tcBorders>
              <w:top w:val="nil"/>
              <w:left w:val="nil"/>
              <w:bottom w:val="single" w:sz="8" w:space="0" w:color="auto"/>
              <w:right w:val="nil"/>
            </w:tcBorders>
            <w:shd w:val="clear" w:color="auto" w:fill="auto"/>
            <w:vAlign w:val="center"/>
            <w:hideMark/>
          </w:tcPr>
          <w:p w14:paraId="76925E72" w14:textId="77777777" w:rsidR="004764F9" w:rsidRPr="004B4A0B" w:rsidRDefault="004764F9" w:rsidP="004764F9">
            <w:pPr>
              <w:spacing w:line="240" w:lineRule="auto"/>
              <w:ind w:firstLine="0"/>
              <w:jc w:val="center"/>
              <w:rPr>
                <w:rFonts w:cs="Times New Roman"/>
                <w:lang w:val="en-US"/>
              </w:rPr>
            </w:pPr>
            <w:r w:rsidRPr="004B4A0B">
              <w:rPr>
                <w:rFonts w:cs="Times New Roman"/>
              </w:rPr>
              <w:t>13.6</w:t>
            </w:r>
          </w:p>
        </w:tc>
        <w:tc>
          <w:tcPr>
            <w:tcW w:w="1280" w:type="dxa"/>
            <w:tcBorders>
              <w:top w:val="nil"/>
              <w:left w:val="nil"/>
              <w:bottom w:val="single" w:sz="8" w:space="0" w:color="auto"/>
              <w:right w:val="nil"/>
            </w:tcBorders>
            <w:shd w:val="clear" w:color="auto" w:fill="auto"/>
            <w:vAlign w:val="center"/>
            <w:hideMark/>
          </w:tcPr>
          <w:p w14:paraId="683E425C" w14:textId="77777777" w:rsidR="004764F9" w:rsidRPr="004B4A0B" w:rsidRDefault="004764F9" w:rsidP="004764F9">
            <w:pPr>
              <w:spacing w:line="240" w:lineRule="auto"/>
              <w:ind w:firstLine="0"/>
              <w:jc w:val="center"/>
              <w:rPr>
                <w:rFonts w:cs="Times New Roman"/>
                <w:lang w:val="en-US"/>
              </w:rPr>
            </w:pPr>
            <w:r w:rsidRPr="004B4A0B">
              <w:rPr>
                <w:rFonts w:cs="Times New Roman"/>
              </w:rPr>
              <w:t>15.9</w:t>
            </w:r>
          </w:p>
        </w:tc>
      </w:tr>
      <w:tr w:rsidR="004764F9" w:rsidRPr="004B4A0B" w14:paraId="783A4C50" w14:textId="77777777" w:rsidTr="008B4634">
        <w:trPr>
          <w:trHeight w:val="345"/>
        </w:trPr>
        <w:tc>
          <w:tcPr>
            <w:tcW w:w="3300" w:type="dxa"/>
            <w:tcBorders>
              <w:top w:val="nil"/>
              <w:left w:val="nil"/>
              <w:bottom w:val="single" w:sz="8" w:space="0" w:color="auto"/>
              <w:right w:val="nil"/>
            </w:tcBorders>
            <w:shd w:val="clear" w:color="auto" w:fill="auto"/>
            <w:vAlign w:val="center"/>
            <w:hideMark/>
          </w:tcPr>
          <w:p w14:paraId="765B1BF5" w14:textId="3226B1FF" w:rsidR="004764F9" w:rsidRPr="004B4A0B" w:rsidRDefault="004764F9" w:rsidP="004764F9">
            <w:pPr>
              <w:spacing w:line="240" w:lineRule="auto"/>
              <w:ind w:firstLine="0"/>
              <w:jc w:val="left"/>
              <w:rPr>
                <w:rFonts w:cs="Times New Roman"/>
                <w:lang w:val="en-US"/>
              </w:rPr>
            </w:pPr>
            <w:r w:rsidRPr="005A68E6">
              <w:rPr>
                <w:lang w:val="en-US"/>
              </w:rPr>
              <w:t>1-5 years</w:t>
            </w:r>
          </w:p>
        </w:tc>
        <w:tc>
          <w:tcPr>
            <w:tcW w:w="1110" w:type="dxa"/>
            <w:tcBorders>
              <w:top w:val="nil"/>
              <w:left w:val="nil"/>
              <w:bottom w:val="single" w:sz="8" w:space="0" w:color="auto"/>
              <w:right w:val="nil"/>
            </w:tcBorders>
            <w:shd w:val="clear" w:color="auto" w:fill="auto"/>
            <w:vAlign w:val="center"/>
            <w:hideMark/>
          </w:tcPr>
          <w:p w14:paraId="204C71D4" w14:textId="77777777" w:rsidR="004764F9" w:rsidRPr="004B4A0B" w:rsidRDefault="004764F9" w:rsidP="004764F9">
            <w:pPr>
              <w:spacing w:line="240" w:lineRule="auto"/>
              <w:ind w:firstLine="0"/>
              <w:jc w:val="center"/>
              <w:rPr>
                <w:rFonts w:cs="Times New Roman"/>
                <w:lang w:val="en-US"/>
              </w:rPr>
            </w:pPr>
            <w:r w:rsidRPr="004B4A0B">
              <w:rPr>
                <w:rFonts w:cs="Times New Roman"/>
              </w:rPr>
              <w:t>33.8</w:t>
            </w:r>
          </w:p>
        </w:tc>
        <w:tc>
          <w:tcPr>
            <w:tcW w:w="1170" w:type="dxa"/>
            <w:tcBorders>
              <w:top w:val="nil"/>
              <w:left w:val="nil"/>
              <w:bottom w:val="single" w:sz="8" w:space="0" w:color="auto"/>
              <w:right w:val="nil"/>
            </w:tcBorders>
            <w:shd w:val="clear" w:color="auto" w:fill="auto"/>
            <w:vAlign w:val="center"/>
            <w:hideMark/>
          </w:tcPr>
          <w:p w14:paraId="2FB7942E" w14:textId="77777777" w:rsidR="004764F9" w:rsidRPr="004B4A0B" w:rsidRDefault="004764F9" w:rsidP="004764F9">
            <w:pPr>
              <w:spacing w:line="240" w:lineRule="auto"/>
              <w:ind w:firstLine="0"/>
              <w:jc w:val="center"/>
              <w:rPr>
                <w:rFonts w:cs="Times New Roman"/>
                <w:lang w:val="en-US"/>
              </w:rPr>
            </w:pPr>
            <w:r w:rsidRPr="004B4A0B">
              <w:rPr>
                <w:rFonts w:cs="Times New Roman"/>
              </w:rPr>
              <w:t>37.7</w:t>
            </w:r>
          </w:p>
        </w:tc>
        <w:tc>
          <w:tcPr>
            <w:tcW w:w="1100" w:type="dxa"/>
            <w:tcBorders>
              <w:top w:val="nil"/>
              <w:left w:val="nil"/>
              <w:bottom w:val="single" w:sz="8" w:space="0" w:color="auto"/>
              <w:right w:val="nil"/>
            </w:tcBorders>
            <w:shd w:val="clear" w:color="auto" w:fill="auto"/>
            <w:vAlign w:val="center"/>
            <w:hideMark/>
          </w:tcPr>
          <w:p w14:paraId="30BC6B19" w14:textId="77777777" w:rsidR="004764F9" w:rsidRPr="004B4A0B" w:rsidRDefault="004764F9" w:rsidP="004764F9">
            <w:pPr>
              <w:spacing w:line="240" w:lineRule="auto"/>
              <w:ind w:firstLine="0"/>
              <w:jc w:val="center"/>
              <w:rPr>
                <w:rFonts w:cs="Times New Roman"/>
                <w:lang w:val="en-US"/>
              </w:rPr>
            </w:pPr>
            <w:r w:rsidRPr="004B4A0B">
              <w:rPr>
                <w:rFonts w:cs="Times New Roman"/>
              </w:rPr>
              <w:t>36.7</w:t>
            </w:r>
          </w:p>
        </w:tc>
        <w:tc>
          <w:tcPr>
            <w:tcW w:w="1240" w:type="dxa"/>
            <w:tcBorders>
              <w:top w:val="nil"/>
              <w:left w:val="nil"/>
              <w:bottom w:val="single" w:sz="8" w:space="0" w:color="auto"/>
              <w:right w:val="nil"/>
            </w:tcBorders>
            <w:shd w:val="clear" w:color="auto" w:fill="auto"/>
            <w:vAlign w:val="center"/>
            <w:hideMark/>
          </w:tcPr>
          <w:p w14:paraId="47657560" w14:textId="77777777" w:rsidR="004764F9" w:rsidRPr="004B4A0B" w:rsidRDefault="004764F9" w:rsidP="004764F9">
            <w:pPr>
              <w:spacing w:line="240" w:lineRule="auto"/>
              <w:ind w:firstLine="0"/>
              <w:jc w:val="center"/>
              <w:rPr>
                <w:rFonts w:cs="Times New Roman"/>
                <w:lang w:val="en-US"/>
              </w:rPr>
            </w:pPr>
            <w:r w:rsidRPr="004B4A0B">
              <w:rPr>
                <w:rFonts w:cs="Times New Roman"/>
              </w:rPr>
              <w:t>40.4</w:t>
            </w:r>
          </w:p>
        </w:tc>
        <w:tc>
          <w:tcPr>
            <w:tcW w:w="1090" w:type="dxa"/>
            <w:tcBorders>
              <w:top w:val="nil"/>
              <w:left w:val="nil"/>
              <w:bottom w:val="single" w:sz="8" w:space="0" w:color="auto"/>
              <w:right w:val="nil"/>
            </w:tcBorders>
            <w:shd w:val="clear" w:color="auto" w:fill="auto"/>
            <w:vAlign w:val="center"/>
            <w:hideMark/>
          </w:tcPr>
          <w:p w14:paraId="1A54AECE" w14:textId="77777777" w:rsidR="004764F9" w:rsidRPr="004B4A0B" w:rsidRDefault="004764F9" w:rsidP="004764F9">
            <w:pPr>
              <w:spacing w:line="240" w:lineRule="auto"/>
              <w:ind w:firstLine="0"/>
              <w:jc w:val="center"/>
              <w:rPr>
                <w:rFonts w:cs="Times New Roman"/>
                <w:lang w:val="en-US"/>
              </w:rPr>
            </w:pPr>
            <w:r w:rsidRPr="004B4A0B">
              <w:rPr>
                <w:rFonts w:cs="Times New Roman"/>
              </w:rPr>
              <w:t>38.0</w:t>
            </w:r>
          </w:p>
        </w:tc>
        <w:tc>
          <w:tcPr>
            <w:tcW w:w="1280" w:type="dxa"/>
            <w:tcBorders>
              <w:top w:val="nil"/>
              <w:left w:val="nil"/>
              <w:bottom w:val="single" w:sz="8" w:space="0" w:color="auto"/>
              <w:right w:val="nil"/>
            </w:tcBorders>
            <w:shd w:val="clear" w:color="auto" w:fill="auto"/>
            <w:vAlign w:val="center"/>
            <w:hideMark/>
          </w:tcPr>
          <w:p w14:paraId="3DC2E0E3" w14:textId="77777777" w:rsidR="004764F9" w:rsidRPr="004B4A0B" w:rsidRDefault="004764F9" w:rsidP="004764F9">
            <w:pPr>
              <w:spacing w:line="240" w:lineRule="auto"/>
              <w:ind w:firstLine="0"/>
              <w:jc w:val="center"/>
              <w:rPr>
                <w:rFonts w:cs="Times New Roman"/>
                <w:lang w:val="en-US"/>
              </w:rPr>
            </w:pPr>
            <w:r w:rsidRPr="004B4A0B">
              <w:rPr>
                <w:rFonts w:cs="Times New Roman"/>
              </w:rPr>
              <w:t>44.4</w:t>
            </w:r>
          </w:p>
        </w:tc>
      </w:tr>
      <w:tr w:rsidR="004764F9" w:rsidRPr="004B4A0B" w14:paraId="59B86279" w14:textId="77777777" w:rsidTr="008B4634">
        <w:trPr>
          <w:trHeight w:val="345"/>
        </w:trPr>
        <w:tc>
          <w:tcPr>
            <w:tcW w:w="3300" w:type="dxa"/>
            <w:tcBorders>
              <w:top w:val="nil"/>
              <w:left w:val="nil"/>
              <w:bottom w:val="single" w:sz="12" w:space="0" w:color="auto"/>
              <w:right w:val="nil"/>
            </w:tcBorders>
            <w:shd w:val="clear" w:color="auto" w:fill="auto"/>
            <w:vAlign w:val="center"/>
            <w:hideMark/>
          </w:tcPr>
          <w:p w14:paraId="6F8E8FD2" w14:textId="6A080897" w:rsidR="004764F9" w:rsidRPr="004B4A0B" w:rsidRDefault="004764F9" w:rsidP="004764F9">
            <w:pPr>
              <w:spacing w:line="240" w:lineRule="auto"/>
              <w:ind w:firstLine="0"/>
              <w:jc w:val="left"/>
              <w:rPr>
                <w:rFonts w:cs="Times New Roman"/>
                <w:lang w:val="en-US"/>
              </w:rPr>
            </w:pPr>
            <w:r>
              <w:rPr>
                <w:lang w:val="en-US"/>
              </w:rPr>
              <w:t>m</w:t>
            </w:r>
            <w:r w:rsidRPr="005A68E6">
              <w:rPr>
                <w:lang w:val="en-US"/>
              </w:rPr>
              <w:t>ore than 5 years</w:t>
            </w:r>
          </w:p>
        </w:tc>
        <w:tc>
          <w:tcPr>
            <w:tcW w:w="1110" w:type="dxa"/>
            <w:tcBorders>
              <w:top w:val="nil"/>
              <w:left w:val="nil"/>
              <w:bottom w:val="single" w:sz="12" w:space="0" w:color="auto"/>
              <w:right w:val="nil"/>
            </w:tcBorders>
            <w:shd w:val="clear" w:color="auto" w:fill="auto"/>
            <w:vAlign w:val="center"/>
            <w:hideMark/>
          </w:tcPr>
          <w:p w14:paraId="4B3067BF" w14:textId="77777777" w:rsidR="004764F9" w:rsidRPr="004B4A0B" w:rsidRDefault="004764F9" w:rsidP="004764F9">
            <w:pPr>
              <w:spacing w:line="240" w:lineRule="auto"/>
              <w:ind w:firstLine="0"/>
              <w:jc w:val="center"/>
              <w:rPr>
                <w:rFonts w:cs="Times New Roman"/>
                <w:lang w:val="en-US"/>
              </w:rPr>
            </w:pPr>
            <w:r w:rsidRPr="004B4A0B">
              <w:rPr>
                <w:rFonts w:cs="Times New Roman"/>
              </w:rPr>
              <w:t>54.4</w:t>
            </w:r>
          </w:p>
        </w:tc>
        <w:tc>
          <w:tcPr>
            <w:tcW w:w="1170" w:type="dxa"/>
            <w:tcBorders>
              <w:top w:val="nil"/>
              <w:left w:val="nil"/>
              <w:bottom w:val="single" w:sz="12" w:space="0" w:color="auto"/>
              <w:right w:val="nil"/>
            </w:tcBorders>
            <w:shd w:val="clear" w:color="auto" w:fill="auto"/>
            <w:vAlign w:val="center"/>
            <w:hideMark/>
          </w:tcPr>
          <w:p w14:paraId="1B08D8FD" w14:textId="77777777" w:rsidR="004764F9" w:rsidRPr="004B4A0B" w:rsidRDefault="004764F9" w:rsidP="004764F9">
            <w:pPr>
              <w:spacing w:line="240" w:lineRule="auto"/>
              <w:ind w:firstLine="0"/>
              <w:jc w:val="center"/>
              <w:rPr>
                <w:rFonts w:cs="Times New Roman"/>
                <w:lang w:val="en-US"/>
              </w:rPr>
            </w:pPr>
            <w:r w:rsidRPr="004B4A0B">
              <w:rPr>
                <w:rFonts w:cs="Times New Roman"/>
              </w:rPr>
              <w:t>48.0</w:t>
            </w:r>
          </w:p>
        </w:tc>
        <w:tc>
          <w:tcPr>
            <w:tcW w:w="1100" w:type="dxa"/>
            <w:tcBorders>
              <w:top w:val="nil"/>
              <w:left w:val="nil"/>
              <w:bottom w:val="single" w:sz="12" w:space="0" w:color="auto"/>
              <w:right w:val="nil"/>
            </w:tcBorders>
            <w:shd w:val="clear" w:color="auto" w:fill="auto"/>
            <w:vAlign w:val="center"/>
            <w:hideMark/>
          </w:tcPr>
          <w:p w14:paraId="3D792A24" w14:textId="77777777" w:rsidR="004764F9" w:rsidRPr="004B4A0B" w:rsidRDefault="004764F9" w:rsidP="004764F9">
            <w:pPr>
              <w:spacing w:line="240" w:lineRule="auto"/>
              <w:ind w:firstLine="0"/>
              <w:jc w:val="center"/>
              <w:rPr>
                <w:rFonts w:cs="Times New Roman"/>
                <w:lang w:val="en-US"/>
              </w:rPr>
            </w:pPr>
            <w:r w:rsidRPr="004B4A0B">
              <w:rPr>
                <w:rFonts w:cs="Times New Roman"/>
              </w:rPr>
              <w:t>49.4</w:t>
            </w:r>
          </w:p>
        </w:tc>
        <w:tc>
          <w:tcPr>
            <w:tcW w:w="1240" w:type="dxa"/>
            <w:tcBorders>
              <w:top w:val="nil"/>
              <w:left w:val="nil"/>
              <w:bottom w:val="single" w:sz="12" w:space="0" w:color="auto"/>
              <w:right w:val="nil"/>
            </w:tcBorders>
            <w:shd w:val="clear" w:color="auto" w:fill="auto"/>
            <w:vAlign w:val="center"/>
            <w:hideMark/>
          </w:tcPr>
          <w:p w14:paraId="6C5284D0" w14:textId="77777777" w:rsidR="004764F9" w:rsidRPr="004B4A0B" w:rsidRDefault="004764F9" w:rsidP="004764F9">
            <w:pPr>
              <w:spacing w:line="240" w:lineRule="auto"/>
              <w:ind w:firstLine="0"/>
              <w:jc w:val="center"/>
              <w:rPr>
                <w:rFonts w:cs="Times New Roman"/>
                <w:lang w:val="en-US"/>
              </w:rPr>
            </w:pPr>
            <w:r w:rsidRPr="004B4A0B">
              <w:rPr>
                <w:rFonts w:cs="Times New Roman"/>
              </w:rPr>
              <w:t>45.7</w:t>
            </w:r>
          </w:p>
        </w:tc>
        <w:tc>
          <w:tcPr>
            <w:tcW w:w="1090" w:type="dxa"/>
            <w:tcBorders>
              <w:top w:val="nil"/>
              <w:left w:val="nil"/>
              <w:bottom w:val="single" w:sz="12" w:space="0" w:color="auto"/>
              <w:right w:val="nil"/>
            </w:tcBorders>
            <w:shd w:val="clear" w:color="auto" w:fill="auto"/>
            <w:vAlign w:val="center"/>
            <w:hideMark/>
          </w:tcPr>
          <w:p w14:paraId="34BE0252" w14:textId="77777777" w:rsidR="004764F9" w:rsidRPr="004B4A0B" w:rsidRDefault="004764F9" w:rsidP="004764F9">
            <w:pPr>
              <w:spacing w:line="240" w:lineRule="auto"/>
              <w:ind w:firstLine="0"/>
              <w:jc w:val="center"/>
              <w:rPr>
                <w:rFonts w:cs="Times New Roman"/>
                <w:lang w:val="en-US"/>
              </w:rPr>
            </w:pPr>
            <w:r w:rsidRPr="004B4A0B">
              <w:rPr>
                <w:rFonts w:cs="Times New Roman"/>
              </w:rPr>
              <w:t>48.5</w:t>
            </w:r>
          </w:p>
        </w:tc>
        <w:tc>
          <w:tcPr>
            <w:tcW w:w="1280" w:type="dxa"/>
            <w:tcBorders>
              <w:top w:val="nil"/>
              <w:left w:val="nil"/>
              <w:bottom w:val="single" w:sz="12" w:space="0" w:color="auto"/>
              <w:right w:val="nil"/>
            </w:tcBorders>
            <w:shd w:val="clear" w:color="auto" w:fill="auto"/>
            <w:vAlign w:val="center"/>
            <w:hideMark/>
          </w:tcPr>
          <w:p w14:paraId="786BC6D9" w14:textId="77777777" w:rsidR="004764F9" w:rsidRPr="004B4A0B" w:rsidRDefault="004764F9" w:rsidP="004764F9">
            <w:pPr>
              <w:spacing w:line="240" w:lineRule="auto"/>
              <w:ind w:firstLine="0"/>
              <w:jc w:val="center"/>
              <w:rPr>
                <w:rFonts w:cs="Times New Roman"/>
                <w:lang w:val="en-US"/>
              </w:rPr>
            </w:pPr>
            <w:r w:rsidRPr="004B4A0B">
              <w:rPr>
                <w:rFonts w:cs="Times New Roman"/>
              </w:rPr>
              <w:t>39.7</w:t>
            </w:r>
          </w:p>
        </w:tc>
      </w:tr>
      <w:tr w:rsidR="004764F9" w:rsidRPr="004B4A0B" w14:paraId="1F28AD9D" w14:textId="77777777" w:rsidTr="008B4634">
        <w:trPr>
          <w:trHeight w:val="360"/>
        </w:trPr>
        <w:tc>
          <w:tcPr>
            <w:tcW w:w="3300" w:type="dxa"/>
            <w:tcBorders>
              <w:top w:val="nil"/>
              <w:left w:val="nil"/>
              <w:bottom w:val="single" w:sz="8" w:space="0" w:color="auto"/>
              <w:right w:val="nil"/>
            </w:tcBorders>
            <w:shd w:val="clear" w:color="auto" w:fill="auto"/>
            <w:vAlign w:val="center"/>
            <w:hideMark/>
          </w:tcPr>
          <w:p w14:paraId="11A6AEAD" w14:textId="4D46A199" w:rsidR="004764F9" w:rsidRPr="004B4A0B" w:rsidRDefault="004764F9" w:rsidP="004764F9">
            <w:pPr>
              <w:spacing w:line="240" w:lineRule="auto"/>
              <w:ind w:firstLine="0"/>
              <w:jc w:val="left"/>
              <w:rPr>
                <w:rFonts w:cs="Times New Roman"/>
                <w:lang w:val="en-US"/>
              </w:rPr>
            </w:pPr>
            <w:r w:rsidRPr="005A68E6">
              <w:rPr>
                <w:lang w:val="en-US"/>
              </w:rPr>
              <w:t>Average interest rate</w:t>
            </w:r>
            <w:r w:rsidRPr="005A68E6">
              <w:t xml:space="preserve"> (%)</w:t>
            </w:r>
          </w:p>
        </w:tc>
        <w:tc>
          <w:tcPr>
            <w:tcW w:w="1110" w:type="dxa"/>
            <w:tcBorders>
              <w:top w:val="nil"/>
              <w:left w:val="nil"/>
              <w:bottom w:val="single" w:sz="8" w:space="0" w:color="auto"/>
              <w:right w:val="nil"/>
            </w:tcBorders>
            <w:shd w:val="clear" w:color="auto" w:fill="auto"/>
            <w:vAlign w:val="center"/>
            <w:hideMark/>
          </w:tcPr>
          <w:p w14:paraId="4287D9D8" w14:textId="77777777" w:rsidR="004764F9" w:rsidRPr="004B4A0B" w:rsidRDefault="004764F9" w:rsidP="004764F9">
            <w:pPr>
              <w:spacing w:line="240" w:lineRule="auto"/>
              <w:ind w:firstLine="0"/>
              <w:jc w:val="center"/>
              <w:rPr>
                <w:rFonts w:cs="Times New Roman"/>
                <w:lang w:val="en-US"/>
              </w:rPr>
            </w:pPr>
            <w:r w:rsidRPr="004B4A0B">
              <w:rPr>
                <w:rFonts w:cs="Times New Roman"/>
              </w:rPr>
              <w:t>10.7</w:t>
            </w:r>
          </w:p>
        </w:tc>
        <w:tc>
          <w:tcPr>
            <w:tcW w:w="1170" w:type="dxa"/>
            <w:tcBorders>
              <w:top w:val="nil"/>
              <w:left w:val="nil"/>
              <w:bottom w:val="single" w:sz="8" w:space="0" w:color="auto"/>
              <w:right w:val="nil"/>
            </w:tcBorders>
            <w:shd w:val="clear" w:color="auto" w:fill="auto"/>
            <w:vAlign w:val="center"/>
            <w:hideMark/>
          </w:tcPr>
          <w:p w14:paraId="70BD19BE" w14:textId="77777777" w:rsidR="004764F9" w:rsidRPr="004B4A0B" w:rsidRDefault="004764F9" w:rsidP="004764F9">
            <w:pPr>
              <w:spacing w:line="240" w:lineRule="auto"/>
              <w:ind w:firstLine="0"/>
              <w:jc w:val="center"/>
              <w:rPr>
                <w:rFonts w:cs="Times New Roman"/>
                <w:lang w:val="en-US"/>
              </w:rPr>
            </w:pPr>
            <w:r w:rsidRPr="004B4A0B">
              <w:rPr>
                <w:rFonts w:cs="Times New Roman"/>
              </w:rPr>
              <w:t>10.6</w:t>
            </w:r>
          </w:p>
        </w:tc>
        <w:tc>
          <w:tcPr>
            <w:tcW w:w="1100" w:type="dxa"/>
            <w:tcBorders>
              <w:top w:val="nil"/>
              <w:left w:val="nil"/>
              <w:bottom w:val="single" w:sz="8" w:space="0" w:color="auto"/>
              <w:right w:val="nil"/>
            </w:tcBorders>
            <w:shd w:val="clear" w:color="auto" w:fill="auto"/>
            <w:vAlign w:val="center"/>
            <w:hideMark/>
          </w:tcPr>
          <w:p w14:paraId="21918BE8" w14:textId="77777777" w:rsidR="004764F9" w:rsidRPr="004B4A0B" w:rsidRDefault="004764F9" w:rsidP="004764F9">
            <w:pPr>
              <w:spacing w:line="240" w:lineRule="auto"/>
              <w:ind w:firstLine="0"/>
              <w:jc w:val="center"/>
              <w:rPr>
                <w:rFonts w:cs="Times New Roman"/>
                <w:lang w:val="en-US"/>
              </w:rPr>
            </w:pPr>
            <w:r w:rsidRPr="004B4A0B">
              <w:rPr>
                <w:rFonts w:cs="Times New Roman"/>
              </w:rPr>
              <w:t>10.4</w:t>
            </w:r>
          </w:p>
        </w:tc>
        <w:tc>
          <w:tcPr>
            <w:tcW w:w="1240" w:type="dxa"/>
            <w:tcBorders>
              <w:top w:val="nil"/>
              <w:left w:val="nil"/>
              <w:bottom w:val="single" w:sz="8" w:space="0" w:color="auto"/>
              <w:right w:val="nil"/>
            </w:tcBorders>
            <w:shd w:val="clear" w:color="auto" w:fill="auto"/>
            <w:vAlign w:val="center"/>
            <w:hideMark/>
          </w:tcPr>
          <w:p w14:paraId="67B0FCC0" w14:textId="77777777" w:rsidR="004764F9" w:rsidRPr="004B4A0B" w:rsidRDefault="004764F9" w:rsidP="004764F9">
            <w:pPr>
              <w:spacing w:line="240" w:lineRule="auto"/>
              <w:ind w:firstLine="0"/>
              <w:jc w:val="center"/>
              <w:rPr>
                <w:rFonts w:cs="Times New Roman"/>
                <w:lang w:val="en-US"/>
              </w:rPr>
            </w:pPr>
            <w:r w:rsidRPr="004B4A0B">
              <w:rPr>
                <w:rFonts w:cs="Times New Roman"/>
              </w:rPr>
              <w:t>10.4</w:t>
            </w:r>
          </w:p>
        </w:tc>
        <w:tc>
          <w:tcPr>
            <w:tcW w:w="1090" w:type="dxa"/>
            <w:tcBorders>
              <w:top w:val="nil"/>
              <w:left w:val="nil"/>
              <w:bottom w:val="single" w:sz="8" w:space="0" w:color="auto"/>
              <w:right w:val="nil"/>
            </w:tcBorders>
            <w:shd w:val="clear" w:color="auto" w:fill="auto"/>
            <w:vAlign w:val="center"/>
            <w:hideMark/>
          </w:tcPr>
          <w:p w14:paraId="0BDD37CE" w14:textId="77777777" w:rsidR="004764F9" w:rsidRPr="004B4A0B" w:rsidRDefault="004764F9" w:rsidP="004764F9">
            <w:pPr>
              <w:spacing w:line="240" w:lineRule="auto"/>
              <w:ind w:firstLine="0"/>
              <w:jc w:val="center"/>
              <w:rPr>
                <w:rFonts w:cs="Times New Roman"/>
                <w:lang w:val="en-US"/>
              </w:rPr>
            </w:pPr>
            <w:r w:rsidRPr="004B4A0B">
              <w:rPr>
                <w:rFonts w:cs="Times New Roman"/>
              </w:rPr>
              <w:t>10.2</w:t>
            </w:r>
          </w:p>
        </w:tc>
        <w:tc>
          <w:tcPr>
            <w:tcW w:w="1280" w:type="dxa"/>
            <w:tcBorders>
              <w:top w:val="nil"/>
              <w:left w:val="nil"/>
              <w:bottom w:val="single" w:sz="8" w:space="0" w:color="auto"/>
              <w:right w:val="nil"/>
            </w:tcBorders>
            <w:shd w:val="clear" w:color="auto" w:fill="auto"/>
            <w:vAlign w:val="center"/>
            <w:hideMark/>
          </w:tcPr>
          <w:p w14:paraId="40B29C73" w14:textId="77777777" w:rsidR="004764F9" w:rsidRPr="004B4A0B" w:rsidRDefault="004764F9" w:rsidP="004764F9">
            <w:pPr>
              <w:spacing w:line="240" w:lineRule="auto"/>
              <w:ind w:firstLine="0"/>
              <w:jc w:val="center"/>
              <w:rPr>
                <w:rFonts w:cs="Times New Roman"/>
                <w:lang w:val="en-US"/>
              </w:rPr>
            </w:pPr>
            <w:r w:rsidRPr="004B4A0B">
              <w:rPr>
                <w:rFonts w:cs="Times New Roman"/>
              </w:rPr>
              <w:t>10.1</w:t>
            </w:r>
          </w:p>
        </w:tc>
      </w:tr>
      <w:tr w:rsidR="004764F9" w:rsidRPr="004B4A0B" w14:paraId="0A8189F5" w14:textId="77777777" w:rsidTr="008B4634">
        <w:trPr>
          <w:trHeight w:val="466"/>
        </w:trPr>
        <w:tc>
          <w:tcPr>
            <w:tcW w:w="3300" w:type="dxa"/>
            <w:tcBorders>
              <w:top w:val="nil"/>
              <w:left w:val="nil"/>
              <w:bottom w:val="single" w:sz="12" w:space="0" w:color="auto"/>
              <w:right w:val="nil"/>
            </w:tcBorders>
            <w:shd w:val="clear" w:color="auto" w:fill="auto"/>
            <w:vAlign w:val="center"/>
            <w:hideMark/>
          </w:tcPr>
          <w:p w14:paraId="76991E99" w14:textId="35E6A131" w:rsidR="004764F9" w:rsidRPr="004B4A0B" w:rsidRDefault="004764F9" w:rsidP="004764F9">
            <w:pPr>
              <w:spacing w:line="240" w:lineRule="auto"/>
              <w:ind w:firstLine="0"/>
              <w:jc w:val="left"/>
              <w:rPr>
                <w:rFonts w:cs="Times New Roman"/>
                <w:lang w:val="en-US"/>
              </w:rPr>
            </w:pPr>
            <w:r w:rsidRPr="005A68E6">
              <w:rPr>
                <w:lang w:val="en-US"/>
              </w:rPr>
              <w:t>Average time to maturity</w:t>
            </w:r>
            <w:r w:rsidRPr="005A68E6">
              <w:t xml:space="preserve"> (</w:t>
            </w:r>
            <w:r w:rsidRPr="005A68E6">
              <w:rPr>
                <w:lang w:val="en-US"/>
              </w:rPr>
              <w:t>years</w:t>
            </w:r>
            <w:r w:rsidRPr="005A68E6">
              <w:t>)</w:t>
            </w:r>
          </w:p>
        </w:tc>
        <w:tc>
          <w:tcPr>
            <w:tcW w:w="1110" w:type="dxa"/>
            <w:tcBorders>
              <w:top w:val="nil"/>
              <w:left w:val="nil"/>
              <w:bottom w:val="single" w:sz="12" w:space="0" w:color="auto"/>
              <w:right w:val="nil"/>
            </w:tcBorders>
            <w:shd w:val="clear" w:color="auto" w:fill="auto"/>
            <w:vAlign w:val="center"/>
            <w:hideMark/>
          </w:tcPr>
          <w:p w14:paraId="6B37C71F" w14:textId="77777777" w:rsidR="004764F9" w:rsidRPr="004B4A0B" w:rsidRDefault="004764F9" w:rsidP="004764F9">
            <w:pPr>
              <w:spacing w:line="240" w:lineRule="auto"/>
              <w:ind w:firstLine="0"/>
              <w:jc w:val="center"/>
              <w:rPr>
                <w:rFonts w:cs="Times New Roman"/>
                <w:lang w:val="en-US"/>
              </w:rPr>
            </w:pPr>
            <w:r w:rsidRPr="004B4A0B">
              <w:rPr>
                <w:rFonts w:cs="Times New Roman"/>
              </w:rPr>
              <w:t>8.0</w:t>
            </w:r>
          </w:p>
        </w:tc>
        <w:tc>
          <w:tcPr>
            <w:tcW w:w="1170" w:type="dxa"/>
            <w:tcBorders>
              <w:top w:val="nil"/>
              <w:left w:val="nil"/>
              <w:bottom w:val="single" w:sz="12" w:space="0" w:color="auto"/>
              <w:right w:val="nil"/>
            </w:tcBorders>
            <w:shd w:val="clear" w:color="auto" w:fill="auto"/>
            <w:vAlign w:val="center"/>
            <w:hideMark/>
          </w:tcPr>
          <w:p w14:paraId="55DECDB2" w14:textId="77777777" w:rsidR="004764F9" w:rsidRPr="004B4A0B" w:rsidRDefault="004764F9" w:rsidP="004764F9">
            <w:pPr>
              <w:spacing w:line="240" w:lineRule="auto"/>
              <w:ind w:firstLine="0"/>
              <w:jc w:val="center"/>
              <w:rPr>
                <w:rFonts w:cs="Times New Roman"/>
                <w:lang w:val="en-US"/>
              </w:rPr>
            </w:pPr>
            <w:r w:rsidRPr="004B4A0B">
              <w:rPr>
                <w:rFonts w:cs="Times New Roman"/>
              </w:rPr>
              <w:t>7.3</w:t>
            </w:r>
          </w:p>
        </w:tc>
        <w:tc>
          <w:tcPr>
            <w:tcW w:w="1100" w:type="dxa"/>
            <w:tcBorders>
              <w:top w:val="nil"/>
              <w:left w:val="nil"/>
              <w:bottom w:val="single" w:sz="12" w:space="0" w:color="auto"/>
              <w:right w:val="nil"/>
            </w:tcBorders>
            <w:shd w:val="clear" w:color="auto" w:fill="auto"/>
            <w:vAlign w:val="center"/>
            <w:hideMark/>
          </w:tcPr>
          <w:p w14:paraId="5F8612FC" w14:textId="77777777" w:rsidR="004764F9" w:rsidRPr="004B4A0B" w:rsidRDefault="004764F9" w:rsidP="004764F9">
            <w:pPr>
              <w:spacing w:line="240" w:lineRule="auto"/>
              <w:ind w:firstLine="0"/>
              <w:jc w:val="center"/>
              <w:rPr>
                <w:rFonts w:cs="Times New Roman"/>
                <w:lang w:val="en-US"/>
              </w:rPr>
            </w:pPr>
            <w:r w:rsidRPr="004B4A0B">
              <w:rPr>
                <w:rFonts w:cs="Times New Roman"/>
              </w:rPr>
              <w:t>7.8</w:t>
            </w:r>
          </w:p>
        </w:tc>
        <w:tc>
          <w:tcPr>
            <w:tcW w:w="1240" w:type="dxa"/>
            <w:tcBorders>
              <w:top w:val="nil"/>
              <w:left w:val="nil"/>
              <w:bottom w:val="single" w:sz="12" w:space="0" w:color="auto"/>
              <w:right w:val="nil"/>
            </w:tcBorders>
            <w:shd w:val="clear" w:color="auto" w:fill="auto"/>
            <w:vAlign w:val="center"/>
            <w:hideMark/>
          </w:tcPr>
          <w:p w14:paraId="359327E9" w14:textId="77777777" w:rsidR="004764F9" w:rsidRPr="004B4A0B" w:rsidRDefault="004764F9" w:rsidP="004764F9">
            <w:pPr>
              <w:spacing w:line="240" w:lineRule="auto"/>
              <w:ind w:firstLine="0"/>
              <w:jc w:val="center"/>
              <w:rPr>
                <w:rFonts w:cs="Times New Roman"/>
                <w:lang w:val="en-US"/>
              </w:rPr>
            </w:pPr>
            <w:r w:rsidRPr="004B4A0B">
              <w:rPr>
                <w:rFonts w:cs="Times New Roman"/>
              </w:rPr>
              <w:t>7.5</w:t>
            </w:r>
          </w:p>
        </w:tc>
        <w:tc>
          <w:tcPr>
            <w:tcW w:w="1090" w:type="dxa"/>
            <w:tcBorders>
              <w:top w:val="nil"/>
              <w:left w:val="nil"/>
              <w:bottom w:val="single" w:sz="12" w:space="0" w:color="auto"/>
              <w:right w:val="nil"/>
            </w:tcBorders>
            <w:shd w:val="clear" w:color="auto" w:fill="auto"/>
            <w:vAlign w:val="center"/>
            <w:hideMark/>
          </w:tcPr>
          <w:p w14:paraId="696EF1BB" w14:textId="77777777" w:rsidR="004764F9" w:rsidRPr="004B4A0B" w:rsidRDefault="004764F9" w:rsidP="004764F9">
            <w:pPr>
              <w:spacing w:line="240" w:lineRule="auto"/>
              <w:ind w:firstLine="0"/>
              <w:jc w:val="center"/>
              <w:rPr>
                <w:rFonts w:cs="Times New Roman"/>
                <w:lang w:val="en-US"/>
              </w:rPr>
            </w:pPr>
            <w:r w:rsidRPr="004B4A0B">
              <w:rPr>
                <w:rFonts w:cs="Times New Roman"/>
              </w:rPr>
              <w:t>7.6</w:t>
            </w:r>
          </w:p>
        </w:tc>
        <w:tc>
          <w:tcPr>
            <w:tcW w:w="1280" w:type="dxa"/>
            <w:tcBorders>
              <w:top w:val="nil"/>
              <w:left w:val="nil"/>
              <w:bottom w:val="single" w:sz="12" w:space="0" w:color="auto"/>
              <w:right w:val="nil"/>
            </w:tcBorders>
            <w:shd w:val="clear" w:color="auto" w:fill="auto"/>
            <w:vAlign w:val="center"/>
            <w:hideMark/>
          </w:tcPr>
          <w:p w14:paraId="603C75D6" w14:textId="77777777" w:rsidR="004764F9" w:rsidRPr="004B4A0B" w:rsidRDefault="004764F9" w:rsidP="004764F9">
            <w:pPr>
              <w:spacing w:line="240" w:lineRule="auto"/>
              <w:ind w:firstLine="0"/>
              <w:jc w:val="center"/>
              <w:rPr>
                <w:rFonts w:cs="Times New Roman"/>
                <w:lang w:val="en-US"/>
              </w:rPr>
            </w:pPr>
            <w:r w:rsidRPr="004B4A0B">
              <w:rPr>
                <w:rFonts w:cs="Times New Roman"/>
              </w:rPr>
              <w:t>7.6</w:t>
            </w:r>
          </w:p>
        </w:tc>
      </w:tr>
      <w:tr w:rsidR="004764F9" w:rsidRPr="004B4A0B" w14:paraId="561AA6E1" w14:textId="77777777" w:rsidTr="008B4634">
        <w:trPr>
          <w:trHeight w:val="699"/>
        </w:trPr>
        <w:tc>
          <w:tcPr>
            <w:tcW w:w="3300" w:type="dxa"/>
            <w:tcBorders>
              <w:top w:val="nil"/>
              <w:left w:val="nil"/>
              <w:bottom w:val="single" w:sz="8" w:space="0" w:color="auto"/>
              <w:right w:val="nil"/>
            </w:tcBorders>
            <w:shd w:val="clear" w:color="auto" w:fill="auto"/>
            <w:vAlign w:val="center"/>
            <w:hideMark/>
          </w:tcPr>
          <w:p w14:paraId="26962F1B" w14:textId="49D16402" w:rsidR="004764F9" w:rsidRPr="006672FA" w:rsidRDefault="004764F9" w:rsidP="004764F9">
            <w:pPr>
              <w:spacing w:line="240" w:lineRule="auto"/>
              <w:ind w:firstLine="0"/>
              <w:jc w:val="left"/>
              <w:rPr>
                <w:rFonts w:cs="Times New Roman"/>
              </w:rPr>
            </w:pPr>
            <w:r w:rsidRPr="005A68E6">
              <w:rPr>
                <w:lang w:val="en-US"/>
              </w:rPr>
              <w:t>Foreign Currency Bonds</w:t>
            </w:r>
            <w:r w:rsidRPr="005A68E6">
              <w:t xml:space="preserve">, </w:t>
            </w:r>
            <w:r w:rsidRPr="005A68E6">
              <w:rPr>
                <w:lang w:val="en-US"/>
              </w:rPr>
              <w:t>USD million</w:t>
            </w:r>
          </w:p>
        </w:tc>
        <w:tc>
          <w:tcPr>
            <w:tcW w:w="1110" w:type="dxa"/>
            <w:tcBorders>
              <w:top w:val="nil"/>
              <w:left w:val="nil"/>
              <w:bottom w:val="single" w:sz="8" w:space="0" w:color="auto"/>
              <w:right w:val="nil"/>
            </w:tcBorders>
            <w:shd w:val="clear" w:color="auto" w:fill="auto"/>
            <w:vAlign w:val="center"/>
            <w:hideMark/>
          </w:tcPr>
          <w:p w14:paraId="6A99F400" w14:textId="77777777" w:rsidR="004764F9" w:rsidRPr="004B4A0B" w:rsidRDefault="004764F9" w:rsidP="004764F9">
            <w:pPr>
              <w:spacing w:line="240" w:lineRule="auto"/>
              <w:ind w:firstLine="0"/>
              <w:jc w:val="center"/>
              <w:rPr>
                <w:rFonts w:cs="Times New Roman"/>
                <w:lang w:val="en-US"/>
              </w:rPr>
            </w:pPr>
            <w:r w:rsidRPr="004B4A0B">
              <w:rPr>
                <w:rFonts w:cs="Times New Roman"/>
              </w:rPr>
              <w:t>1563.2</w:t>
            </w:r>
          </w:p>
        </w:tc>
        <w:tc>
          <w:tcPr>
            <w:tcW w:w="1170" w:type="dxa"/>
            <w:tcBorders>
              <w:top w:val="nil"/>
              <w:left w:val="nil"/>
              <w:bottom w:val="single" w:sz="8" w:space="0" w:color="auto"/>
              <w:right w:val="nil"/>
            </w:tcBorders>
            <w:shd w:val="clear" w:color="auto" w:fill="auto"/>
            <w:vAlign w:val="center"/>
            <w:hideMark/>
          </w:tcPr>
          <w:p w14:paraId="2F3291FF" w14:textId="77777777" w:rsidR="004764F9" w:rsidRPr="004B4A0B" w:rsidRDefault="004764F9" w:rsidP="004764F9">
            <w:pPr>
              <w:spacing w:line="240" w:lineRule="auto"/>
              <w:ind w:firstLine="0"/>
              <w:jc w:val="center"/>
              <w:rPr>
                <w:rFonts w:cs="Times New Roman"/>
                <w:lang w:val="en-US"/>
              </w:rPr>
            </w:pPr>
            <w:r w:rsidRPr="004B4A0B">
              <w:rPr>
                <w:rFonts w:cs="Times New Roman"/>
              </w:rPr>
              <w:t>1563.2</w:t>
            </w:r>
          </w:p>
        </w:tc>
        <w:tc>
          <w:tcPr>
            <w:tcW w:w="1100" w:type="dxa"/>
            <w:tcBorders>
              <w:top w:val="nil"/>
              <w:left w:val="nil"/>
              <w:bottom w:val="single" w:sz="8" w:space="0" w:color="auto"/>
              <w:right w:val="nil"/>
            </w:tcBorders>
            <w:shd w:val="clear" w:color="auto" w:fill="auto"/>
            <w:vAlign w:val="center"/>
            <w:hideMark/>
          </w:tcPr>
          <w:p w14:paraId="4217AFFD" w14:textId="77777777" w:rsidR="004764F9" w:rsidRPr="004B4A0B" w:rsidRDefault="004764F9" w:rsidP="004764F9">
            <w:pPr>
              <w:spacing w:line="240" w:lineRule="auto"/>
              <w:ind w:firstLine="0"/>
              <w:jc w:val="center"/>
              <w:rPr>
                <w:rFonts w:cs="Times New Roman"/>
                <w:lang w:val="en-US"/>
              </w:rPr>
            </w:pPr>
            <w:r w:rsidRPr="004B4A0B">
              <w:rPr>
                <w:rFonts w:cs="Times New Roman"/>
              </w:rPr>
              <w:t>2000.0</w:t>
            </w:r>
          </w:p>
        </w:tc>
        <w:tc>
          <w:tcPr>
            <w:tcW w:w="1240" w:type="dxa"/>
            <w:tcBorders>
              <w:top w:val="nil"/>
              <w:left w:val="nil"/>
              <w:bottom w:val="single" w:sz="8" w:space="0" w:color="auto"/>
              <w:right w:val="nil"/>
            </w:tcBorders>
            <w:shd w:val="clear" w:color="auto" w:fill="auto"/>
            <w:vAlign w:val="center"/>
            <w:hideMark/>
          </w:tcPr>
          <w:p w14:paraId="21C75A46" w14:textId="77777777" w:rsidR="004764F9" w:rsidRPr="004B4A0B" w:rsidRDefault="004764F9" w:rsidP="004764F9">
            <w:pPr>
              <w:spacing w:line="240" w:lineRule="auto"/>
              <w:ind w:firstLine="0"/>
              <w:jc w:val="center"/>
              <w:rPr>
                <w:rFonts w:cs="Times New Roman"/>
                <w:lang w:val="en-US"/>
              </w:rPr>
            </w:pPr>
            <w:r w:rsidRPr="004B4A0B">
              <w:rPr>
                <w:rFonts w:cs="Times New Roman"/>
              </w:rPr>
              <w:t>2000.0</w:t>
            </w:r>
          </w:p>
        </w:tc>
        <w:tc>
          <w:tcPr>
            <w:tcW w:w="1090" w:type="dxa"/>
            <w:tcBorders>
              <w:top w:val="nil"/>
              <w:left w:val="nil"/>
              <w:bottom w:val="single" w:sz="8" w:space="0" w:color="auto"/>
              <w:right w:val="nil"/>
            </w:tcBorders>
            <w:shd w:val="clear" w:color="auto" w:fill="auto"/>
            <w:vAlign w:val="center"/>
            <w:hideMark/>
          </w:tcPr>
          <w:p w14:paraId="77DEEF57" w14:textId="77777777" w:rsidR="004764F9" w:rsidRPr="004B4A0B" w:rsidRDefault="004764F9" w:rsidP="004764F9">
            <w:pPr>
              <w:spacing w:line="240" w:lineRule="auto"/>
              <w:ind w:firstLine="0"/>
              <w:jc w:val="center"/>
              <w:rPr>
                <w:rFonts w:cs="Times New Roman"/>
                <w:lang w:val="en-US"/>
              </w:rPr>
            </w:pPr>
            <w:r w:rsidRPr="004B4A0B">
              <w:rPr>
                <w:rFonts w:cs="Times New Roman"/>
              </w:rPr>
              <w:t>2000.0</w:t>
            </w:r>
          </w:p>
        </w:tc>
        <w:tc>
          <w:tcPr>
            <w:tcW w:w="1280" w:type="dxa"/>
            <w:tcBorders>
              <w:top w:val="nil"/>
              <w:left w:val="nil"/>
              <w:bottom w:val="single" w:sz="8" w:space="0" w:color="auto"/>
              <w:right w:val="nil"/>
            </w:tcBorders>
            <w:shd w:val="clear" w:color="auto" w:fill="auto"/>
            <w:vAlign w:val="center"/>
            <w:hideMark/>
          </w:tcPr>
          <w:p w14:paraId="3E90DA7C" w14:textId="77777777" w:rsidR="004764F9" w:rsidRPr="004B4A0B" w:rsidRDefault="004764F9" w:rsidP="004764F9">
            <w:pPr>
              <w:spacing w:line="240" w:lineRule="auto"/>
              <w:ind w:firstLine="0"/>
              <w:jc w:val="center"/>
              <w:rPr>
                <w:rFonts w:cs="Times New Roman"/>
                <w:lang w:val="en-US"/>
              </w:rPr>
            </w:pPr>
            <w:r w:rsidRPr="004B4A0B">
              <w:rPr>
                <w:rFonts w:cs="Times New Roman"/>
              </w:rPr>
              <w:t>2000.0</w:t>
            </w:r>
          </w:p>
        </w:tc>
      </w:tr>
      <w:tr w:rsidR="004764F9" w:rsidRPr="004B4A0B" w14:paraId="157C4B04" w14:textId="77777777" w:rsidTr="008B4634">
        <w:trPr>
          <w:trHeight w:val="345"/>
        </w:trPr>
        <w:tc>
          <w:tcPr>
            <w:tcW w:w="3300" w:type="dxa"/>
            <w:tcBorders>
              <w:top w:val="nil"/>
              <w:left w:val="nil"/>
              <w:bottom w:val="single" w:sz="12" w:space="0" w:color="auto"/>
              <w:right w:val="nil"/>
            </w:tcBorders>
            <w:shd w:val="clear" w:color="auto" w:fill="auto"/>
            <w:vAlign w:val="center"/>
            <w:hideMark/>
          </w:tcPr>
          <w:p w14:paraId="5780EBCA" w14:textId="34BF2FF0" w:rsidR="004764F9" w:rsidRPr="004B4A0B" w:rsidRDefault="004764F9" w:rsidP="004764F9">
            <w:pPr>
              <w:spacing w:line="240" w:lineRule="auto"/>
              <w:ind w:firstLine="0"/>
              <w:jc w:val="left"/>
              <w:rPr>
                <w:rFonts w:cs="Times New Roman"/>
                <w:lang w:val="en-US"/>
              </w:rPr>
            </w:pPr>
            <w:r w:rsidRPr="005A68E6">
              <w:t xml:space="preserve">% </w:t>
            </w:r>
            <w:r w:rsidRPr="005A68E6">
              <w:rPr>
                <w:lang w:val="en-US"/>
              </w:rPr>
              <w:t>of GDP</w:t>
            </w:r>
          </w:p>
        </w:tc>
        <w:tc>
          <w:tcPr>
            <w:tcW w:w="1110" w:type="dxa"/>
            <w:tcBorders>
              <w:top w:val="nil"/>
              <w:left w:val="nil"/>
              <w:bottom w:val="single" w:sz="12" w:space="0" w:color="auto"/>
              <w:right w:val="nil"/>
            </w:tcBorders>
            <w:shd w:val="clear" w:color="auto" w:fill="auto"/>
            <w:vAlign w:val="center"/>
            <w:hideMark/>
          </w:tcPr>
          <w:p w14:paraId="07E28D5C" w14:textId="77777777" w:rsidR="004764F9" w:rsidRPr="004B4A0B" w:rsidRDefault="004764F9" w:rsidP="004764F9">
            <w:pPr>
              <w:spacing w:line="240" w:lineRule="auto"/>
              <w:ind w:firstLine="0"/>
              <w:jc w:val="center"/>
              <w:rPr>
                <w:rFonts w:cs="Times New Roman"/>
                <w:lang w:val="en-US"/>
              </w:rPr>
            </w:pPr>
            <w:r w:rsidRPr="004B4A0B">
              <w:rPr>
                <w:rFonts w:cs="Times New Roman"/>
              </w:rPr>
              <w:t>6.7</w:t>
            </w:r>
          </w:p>
        </w:tc>
        <w:tc>
          <w:tcPr>
            <w:tcW w:w="1170" w:type="dxa"/>
            <w:tcBorders>
              <w:top w:val="nil"/>
              <w:left w:val="nil"/>
              <w:bottom w:val="single" w:sz="12" w:space="0" w:color="auto"/>
              <w:right w:val="nil"/>
            </w:tcBorders>
            <w:shd w:val="clear" w:color="auto" w:fill="auto"/>
            <w:vAlign w:val="center"/>
            <w:hideMark/>
          </w:tcPr>
          <w:p w14:paraId="1955C842" w14:textId="77777777" w:rsidR="004764F9" w:rsidRPr="004B4A0B" w:rsidRDefault="004764F9" w:rsidP="004764F9">
            <w:pPr>
              <w:spacing w:line="240" w:lineRule="auto"/>
              <w:ind w:firstLine="0"/>
              <w:jc w:val="center"/>
              <w:rPr>
                <w:rFonts w:cs="Times New Roman"/>
                <w:lang w:val="en-US"/>
              </w:rPr>
            </w:pPr>
            <w:r w:rsidRPr="004B4A0B">
              <w:rPr>
                <w:rFonts w:cs="Times New Roman"/>
              </w:rPr>
              <w:t>6.1</w:t>
            </w:r>
          </w:p>
        </w:tc>
        <w:tc>
          <w:tcPr>
            <w:tcW w:w="1100" w:type="dxa"/>
            <w:tcBorders>
              <w:top w:val="nil"/>
              <w:left w:val="nil"/>
              <w:bottom w:val="single" w:sz="12" w:space="0" w:color="auto"/>
              <w:right w:val="nil"/>
            </w:tcBorders>
            <w:shd w:val="clear" w:color="auto" w:fill="auto"/>
            <w:vAlign w:val="center"/>
            <w:hideMark/>
          </w:tcPr>
          <w:p w14:paraId="0AF04A8C" w14:textId="77777777" w:rsidR="004764F9" w:rsidRPr="004B4A0B" w:rsidRDefault="004764F9" w:rsidP="004764F9">
            <w:pPr>
              <w:spacing w:line="240" w:lineRule="auto"/>
              <w:ind w:firstLine="0"/>
              <w:jc w:val="center"/>
              <w:rPr>
                <w:rFonts w:cs="Times New Roman"/>
                <w:lang w:val="en-US"/>
              </w:rPr>
            </w:pPr>
            <w:r w:rsidRPr="004B4A0B">
              <w:rPr>
                <w:rFonts w:cs="Times New Roman"/>
              </w:rPr>
              <w:t>7.5</w:t>
            </w:r>
          </w:p>
        </w:tc>
        <w:tc>
          <w:tcPr>
            <w:tcW w:w="1240" w:type="dxa"/>
            <w:tcBorders>
              <w:top w:val="nil"/>
              <w:left w:val="nil"/>
              <w:bottom w:val="single" w:sz="12" w:space="0" w:color="auto"/>
              <w:right w:val="nil"/>
            </w:tcBorders>
            <w:shd w:val="clear" w:color="auto" w:fill="auto"/>
            <w:vAlign w:val="center"/>
            <w:hideMark/>
          </w:tcPr>
          <w:p w14:paraId="3F6883AC" w14:textId="77777777" w:rsidR="004764F9" w:rsidRPr="004B4A0B" w:rsidRDefault="004764F9" w:rsidP="004764F9">
            <w:pPr>
              <w:spacing w:line="240" w:lineRule="auto"/>
              <w:ind w:firstLine="0"/>
              <w:jc w:val="center"/>
              <w:rPr>
                <w:rFonts w:cs="Times New Roman"/>
                <w:lang w:val="en-US"/>
              </w:rPr>
            </w:pPr>
            <w:r w:rsidRPr="004B4A0B">
              <w:rPr>
                <w:rFonts w:cs="Times New Roman"/>
              </w:rPr>
              <w:t>7.2</w:t>
            </w:r>
          </w:p>
        </w:tc>
        <w:tc>
          <w:tcPr>
            <w:tcW w:w="1090" w:type="dxa"/>
            <w:tcBorders>
              <w:top w:val="nil"/>
              <w:left w:val="nil"/>
              <w:bottom w:val="single" w:sz="12" w:space="0" w:color="auto"/>
              <w:right w:val="nil"/>
            </w:tcBorders>
            <w:shd w:val="clear" w:color="auto" w:fill="auto"/>
            <w:vAlign w:val="center"/>
            <w:hideMark/>
          </w:tcPr>
          <w:p w14:paraId="27903AC6" w14:textId="77777777" w:rsidR="004764F9" w:rsidRPr="004B4A0B" w:rsidRDefault="004764F9" w:rsidP="004764F9">
            <w:pPr>
              <w:spacing w:line="240" w:lineRule="auto"/>
              <w:ind w:firstLine="0"/>
              <w:jc w:val="center"/>
              <w:rPr>
                <w:rFonts w:cs="Times New Roman"/>
                <w:lang w:val="en-US"/>
              </w:rPr>
            </w:pPr>
            <w:r w:rsidRPr="004B4A0B">
              <w:rPr>
                <w:rFonts w:cs="Times New Roman"/>
              </w:rPr>
              <w:t>6.8</w:t>
            </w:r>
          </w:p>
        </w:tc>
        <w:tc>
          <w:tcPr>
            <w:tcW w:w="1280" w:type="dxa"/>
            <w:tcBorders>
              <w:top w:val="nil"/>
              <w:left w:val="nil"/>
              <w:bottom w:val="single" w:sz="12" w:space="0" w:color="auto"/>
              <w:right w:val="nil"/>
            </w:tcBorders>
            <w:shd w:val="clear" w:color="auto" w:fill="auto"/>
            <w:vAlign w:val="center"/>
            <w:hideMark/>
          </w:tcPr>
          <w:p w14:paraId="632B76E0" w14:textId="77777777" w:rsidR="004764F9" w:rsidRPr="004B4A0B" w:rsidRDefault="004764F9" w:rsidP="004764F9">
            <w:pPr>
              <w:spacing w:line="240" w:lineRule="auto"/>
              <w:ind w:firstLine="0"/>
              <w:jc w:val="center"/>
              <w:rPr>
                <w:rFonts w:cs="Times New Roman"/>
                <w:lang w:val="en-US"/>
              </w:rPr>
            </w:pPr>
            <w:r w:rsidRPr="004B4A0B">
              <w:rPr>
                <w:rFonts w:cs="Times New Roman"/>
              </w:rPr>
              <w:t>6.4</w:t>
            </w:r>
          </w:p>
        </w:tc>
      </w:tr>
      <w:tr w:rsidR="004764F9" w:rsidRPr="004B4A0B" w14:paraId="28CA7084" w14:textId="77777777" w:rsidTr="008B4634">
        <w:trPr>
          <w:trHeight w:val="360"/>
        </w:trPr>
        <w:tc>
          <w:tcPr>
            <w:tcW w:w="3300" w:type="dxa"/>
            <w:tcBorders>
              <w:top w:val="nil"/>
              <w:left w:val="nil"/>
              <w:bottom w:val="single" w:sz="12" w:space="0" w:color="auto"/>
              <w:right w:val="nil"/>
            </w:tcBorders>
            <w:shd w:val="clear" w:color="auto" w:fill="auto"/>
            <w:vAlign w:val="center"/>
            <w:hideMark/>
          </w:tcPr>
          <w:p w14:paraId="5C56918C" w14:textId="57B37F59" w:rsidR="004764F9" w:rsidRPr="004B4A0B" w:rsidRDefault="004764F9" w:rsidP="004764F9">
            <w:pPr>
              <w:spacing w:line="240" w:lineRule="auto"/>
              <w:ind w:firstLine="0"/>
              <w:jc w:val="left"/>
              <w:rPr>
                <w:rFonts w:cs="Times New Roman"/>
                <w:lang w:val="en-US"/>
              </w:rPr>
            </w:pPr>
            <w:r w:rsidRPr="005A68E6">
              <w:rPr>
                <w:lang w:val="en-US"/>
              </w:rPr>
              <w:t>Average interest rate</w:t>
            </w:r>
            <w:r w:rsidRPr="005A68E6">
              <w:t xml:space="preserve"> (%)</w:t>
            </w:r>
          </w:p>
        </w:tc>
        <w:tc>
          <w:tcPr>
            <w:tcW w:w="1110" w:type="dxa"/>
            <w:tcBorders>
              <w:top w:val="nil"/>
              <w:left w:val="nil"/>
              <w:bottom w:val="single" w:sz="12" w:space="0" w:color="auto"/>
              <w:right w:val="nil"/>
            </w:tcBorders>
            <w:shd w:val="clear" w:color="auto" w:fill="auto"/>
            <w:vAlign w:val="center"/>
            <w:hideMark/>
          </w:tcPr>
          <w:p w14:paraId="001A9170" w14:textId="77777777" w:rsidR="004764F9" w:rsidRPr="004B4A0B" w:rsidRDefault="004764F9" w:rsidP="004764F9">
            <w:pPr>
              <w:spacing w:line="240" w:lineRule="auto"/>
              <w:ind w:firstLine="0"/>
              <w:jc w:val="center"/>
              <w:rPr>
                <w:rFonts w:cs="Times New Roman"/>
                <w:lang w:val="en-US"/>
              </w:rPr>
            </w:pPr>
            <w:r w:rsidRPr="004B4A0B">
              <w:rPr>
                <w:rFonts w:cs="Times New Roman"/>
              </w:rPr>
              <w:t>4.7</w:t>
            </w:r>
          </w:p>
        </w:tc>
        <w:tc>
          <w:tcPr>
            <w:tcW w:w="1170" w:type="dxa"/>
            <w:tcBorders>
              <w:top w:val="nil"/>
              <w:left w:val="nil"/>
              <w:bottom w:val="single" w:sz="12" w:space="0" w:color="auto"/>
              <w:right w:val="nil"/>
            </w:tcBorders>
            <w:shd w:val="clear" w:color="auto" w:fill="auto"/>
            <w:vAlign w:val="center"/>
            <w:hideMark/>
          </w:tcPr>
          <w:p w14:paraId="164A268B" w14:textId="77777777" w:rsidR="004764F9" w:rsidRPr="004B4A0B" w:rsidRDefault="004764F9" w:rsidP="004764F9">
            <w:pPr>
              <w:spacing w:line="240" w:lineRule="auto"/>
              <w:ind w:firstLine="0"/>
              <w:jc w:val="center"/>
              <w:rPr>
                <w:rFonts w:cs="Times New Roman"/>
                <w:lang w:val="en-US"/>
              </w:rPr>
            </w:pPr>
            <w:r w:rsidRPr="004B4A0B">
              <w:rPr>
                <w:rFonts w:cs="Times New Roman"/>
              </w:rPr>
              <w:t>4.7</w:t>
            </w:r>
          </w:p>
        </w:tc>
        <w:tc>
          <w:tcPr>
            <w:tcW w:w="1100" w:type="dxa"/>
            <w:tcBorders>
              <w:top w:val="nil"/>
              <w:left w:val="nil"/>
              <w:bottom w:val="single" w:sz="12" w:space="0" w:color="auto"/>
              <w:right w:val="nil"/>
            </w:tcBorders>
            <w:shd w:val="clear" w:color="auto" w:fill="auto"/>
            <w:vAlign w:val="center"/>
            <w:hideMark/>
          </w:tcPr>
          <w:p w14:paraId="35B56675" w14:textId="77777777" w:rsidR="004764F9" w:rsidRPr="004B4A0B" w:rsidRDefault="004764F9" w:rsidP="004764F9">
            <w:pPr>
              <w:spacing w:line="240" w:lineRule="auto"/>
              <w:ind w:firstLine="0"/>
              <w:jc w:val="center"/>
              <w:rPr>
                <w:rFonts w:cs="Times New Roman"/>
                <w:lang w:val="en-US"/>
              </w:rPr>
            </w:pPr>
            <w:r w:rsidRPr="004B4A0B">
              <w:rPr>
                <w:rFonts w:cs="Times New Roman"/>
              </w:rPr>
              <w:t>5.2</w:t>
            </w:r>
          </w:p>
        </w:tc>
        <w:tc>
          <w:tcPr>
            <w:tcW w:w="1240" w:type="dxa"/>
            <w:tcBorders>
              <w:top w:val="nil"/>
              <w:left w:val="nil"/>
              <w:bottom w:val="single" w:sz="12" w:space="0" w:color="auto"/>
              <w:right w:val="nil"/>
            </w:tcBorders>
            <w:shd w:val="clear" w:color="auto" w:fill="auto"/>
            <w:vAlign w:val="center"/>
            <w:hideMark/>
          </w:tcPr>
          <w:p w14:paraId="0B28750C" w14:textId="77777777" w:rsidR="004764F9" w:rsidRPr="004B4A0B" w:rsidRDefault="004764F9" w:rsidP="004764F9">
            <w:pPr>
              <w:spacing w:line="240" w:lineRule="auto"/>
              <w:ind w:firstLine="0"/>
              <w:jc w:val="center"/>
              <w:rPr>
                <w:rFonts w:cs="Times New Roman"/>
                <w:lang w:val="en-US"/>
              </w:rPr>
            </w:pPr>
            <w:r w:rsidRPr="004B4A0B">
              <w:rPr>
                <w:rFonts w:cs="Times New Roman"/>
              </w:rPr>
              <w:t>5.2</w:t>
            </w:r>
          </w:p>
        </w:tc>
        <w:tc>
          <w:tcPr>
            <w:tcW w:w="1090" w:type="dxa"/>
            <w:tcBorders>
              <w:top w:val="nil"/>
              <w:left w:val="nil"/>
              <w:bottom w:val="single" w:sz="12" w:space="0" w:color="auto"/>
              <w:right w:val="nil"/>
            </w:tcBorders>
            <w:shd w:val="clear" w:color="auto" w:fill="auto"/>
            <w:vAlign w:val="center"/>
            <w:hideMark/>
          </w:tcPr>
          <w:p w14:paraId="2A1F118C" w14:textId="77777777" w:rsidR="004764F9" w:rsidRPr="004B4A0B" w:rsidRDefault="004764F9" w:rsidP="004764F9">
            <w:pPr>
              <w:spacing w:line="240" w:lineRule="auto"/>
              <w:ind w:firstLine="0"/>
              <w:jc w:val="center"/>
              <w:rPr>
                <w:rFonts w:cs="Times New Roman"/>
                <w:lang w:val="en-US"/>
              </w:rPr>
            </w:pPr>
            <w:r w:rsidRPr="004B4A0B">
              <w:rPr>
                <w:rFonts w:cs="Times New Roman"/>
              </w:rPr>
              <w:t>5.2</w:t>
            </w:r>
          </w:p>
        </w:tc>
        <w:tc>
          <w:tcPr>
            <w:tcW w:w="1280" w:type="dxa"/>
            <w:tcBorders>
              <w:top w:val="nil"/>
              <w:left w:val="nil"/>
              <w:bottom w:val="single" w:sz="12" w:space="0" w:color="auto"/>
              <w:right w:val="nil"/>
            </w:tcBorders>
            <w:shd w:val="clear" w:color="auto" w:fill="auto"/>
            <w:vAlign w:val="center"/>
            <w:hideMark/>
          </w:tcPr>
          <w:p w14:paraId="04F0E694" w14:textId="77777777" w:rsidR="004764F9" w:rsidRPr="004B4A0B" w:rsidRDefault="004764F9" w:rsidP="004764F9">
            <w:pPr>
              <w:spacing w:line="240" w:lineRule="auto"/>
              <w:ind w:firstLine="0"/>
              <w:jc w:val="center"/>
              <w:rPr>
                <w:rFonts w:cs="Times New Roman"/>
                <w:lang w:val="en-US"/>
              </w:rPr>
            </w:pPr>
            <w:r w:rsidRPr="004B4A0B">
              <w:rPr>
                <w:rFonts w:cs="Times New Roman"/>
              </w:rPr>
              <w:t>5.2</w:t>
            </w:r>
          </w:p>
        </w:tc>
      </w:tr>
      <w:tr w:rsidR="004764F9" w:rsidRPr="004B4A0B" w14:paraId="40BCD2CB" w14:textId="77777777" w:rsidTr="008B4634">
        <w:trPr>
          <w:trHeight w:val="474"/>
        </w:trPr>
        <w:tc>
          <w:tcPr>
            <w:tcW w:w="3300" w:type="dxa"/>
            <w:tcBorders>
              <w:top w:val="nil"/>
              <w:left w:val="nil"/>
              <w:bottom w:val="double" w:sz="6" w:space="0" w:color="auto"/>
              <w:right w:val="nil"/>
            </w:tcBorders>
            <w:shd w:val="clear" w:color="auto" w:fill="auto"/>
            <w:vAlign w:val="center"/>
            <w:hideMark/>
          </w:tcPr>
          <w:p w14:paraId="794B4CFE" w14:textId="7B28D0F8" w:rsidR="004764F9" w:rsidRPr="004B4A0B" w:rsidRDefault="004764F9" w:rsidP="004764F9">
            <w:pPr>
              <w:spacing w:line="240" w:lineRule="auto"/>
              <w:ind w:firstLine="0"/>
              <w:jc w:val="left"/>
              <w:rPr>
                <w:rFonts w:cs="Times New Roman"/>
                <w:lang w:val="en-US"/>
              </w:rPr>
            </w:pPr>
            <w:r w:rsidRPr="005A68E6">
              <w:rPr>
                <w:lang w:val="en-US"/>
              </w:rPr>
              <w:t>Average time to maturity</w:t>
            </w:r>
            <w:r w:rsidRPr="005A68E6">
              <w:t xml:space="preserve"> (</w:t>
            </w:r>
            <w:r w:rsidRPr="005A68E6">
              <w:rPr>
                <w:lang w:val="en-US"/>
              </w:rPr>
              <w:t>years</w:t>
            </w:r>
            <w:r w:rsidRPr="005A68E6">
              <w:t>)</w:t>
            </w:r>
          </w:p>
        </w:tc>
        <w:tc>
          <w:tcPr>
            <w:tcW w:w="1110" w:type="dxa"/>
            <w:tcBorders>
              <w:top w:val="nil"/>
              <w:left w:val="nil"/>
              <w:bottom w:val="double" w:sz="6" w:space="0" w:color="auto"/>
              <w:right w:val="nil"/>
            </w:tcBorders>
            <w:shd w:val="clear" w:color="auto" w:fill="auto"/>
            <w:vAlign w:val="center"/>
            <w:hideMark/>
          </w:tcPr>
          <w:p w14:paraId="58D5B2B2" w14:textId="77777777" w:rsidR="004764F9" w:rsidRPr="004B4A0B" w:rsidRDefault="004764F9" w:rsidP="004764F9">
            <w:pPr>
              <w:spacing w:line="240" w:lineRule="auto"/>
              <w:ind w:firstLine="0"/>
              <w:jc w:val="center"/>
              <w:rPr>
                <w:rFonts w:cs="Times New Roman"/>
                <w:lang w:val="en-US"/>
              </w:rPr>
            </w:pPr>
            <w:r w:rsidRPr="004B4A0B">
              <w:rPr>
                <w:rFonts w:cs="Times New Roman"/>
              </w:rPr>
              <w:t>5.5</w:t>
            </w:r>
          </w:p>
        </w:tc>
        <w:tc>
          <w:tcPr>
            <w:tcW w:w="1170" w:type="dxa"/>
            <w:tcBorders>
              <w:top w:val="nil"/>
              <w:left w:val="nil"/>
              <w:bottom w:val="double" w:sz="6" w:space="0" w:color="auto"/>
              <w:right w:val="nil"/>
            </w:tcBorders>
            <w:shd w:val="clear" w:color="auto" w:fill="auto"/>
            <w:vAlign w:val="center"/>
            <w:hideMark/>
          </w:tcPr>
          <w:p w14:paraId="19352B69" w14:textId="77777777" w:rsidR="004764F9" w:rsidRPr="004B4A0B" w:rsidRDefault="004764F9" w:rsidP="004764F9">
            <w:pPr>
              <w:spacing w:line="240" w:lineRule="auto"/>
              <w:ind w:firstLine="0"/>
              <w:jc w:val="center"/>
              <w:rPr>
                <w:rFonts w:cs="Times New Roman"/>
                <w:lang w:val="en-US"/>
              </w:rPr>
            </w:pPr>
            <w:r w:rsidRPr="004B4A0B">
              <w:rPr>
                <w:rFonts w:cs="Times New Roman"/>
              </w:rPr>
              <w:t>4.5</w:t>
            </w:r>
          </w:p>
        </w:tc>
        <w:tc>
          <w:tcPr>
            <w:tcW w:w="1100" w:type="dxa"/>
            <w:tcBorders>
              <w:top w:val="nil"/>
              <w:left w:val="nil"/>
              <w:bottom w:val="double" w:sz="6" w:space="0" w:color="auto"/>
              <w:right w:val="nil"/>
            </w:tcBorders>
            <w:shd w:val="clear" w:color="auto" w:fill="auto"/>
            <w:vAlign w:val="center"/>
            <w:hideMark/>
          </w:tcPr>
          <w:p w14:paraId="27CF1F55" w14:textId="77777777" w:rsidR="004764F9" w:rsidRPr="004B4A0B" w:rsidRDefault="004764F9" w:rsidP="004764F9">
            <w:pPr>
              <w:spacing w:line="240" w:lineRule="auto"/>
              <w:ind w:firstLine="0"/>
              <w:jc w:val="center"/>
              <w:rPr>
                <w:rFonts w:cs="Times New Roman"/>
                <w:lang w:val="en-US"/>
              </w:rPr>
            </w:pPr>
            <w:r w:rsidRPr="004B4A0B">
              <w:rPr>
                <w:rFonts w:cs="Times New Roman"/>
              </w:rPr>
              <w:t>6.3</w:t>
            </w:r>
          </w:p>
        </w:tc>
        <w:tc>
          <w:tcPr>
            <w:tcW w:w="1240" w:type="dxa"/>
            <w:tcBorders>
              <w:top w:val="nil"/>
              <w:left w:val="nil"/>
              <w:bottom w:val="double" w:sz="6" w:space="0" w:color="auto"/>
              <w:right w:val="nil"/>
            </w:tcBorders>
            <w:shd w:val="clear" w:color="auto" w:fill="auto"/>
            <w:vAlign w:val="center"/>
            <w:hideMark/>
          </w:tcPr>
          <w:p w14:paraId="4FF1BE98" w14:textId="77777777" w:rsidR="004764F9" w:rsidRPr="004B4A0B" w:rsidRDefault="004764F9" w:rsidP="004764F9">
            <w:pPr>
              <w:spacing w:line="240" w:lineRule="auto"/>
              <w:ind w:firstLine="0"/>
              <w:jc w:val="center"/>
              <w:rPr>
                <w:rFonts w:cs="Times New Roman"/>
                <w:lang w:val="en-US"/>
              </w:rPr>
            </w:pPr>
            <w:r w:rsidRPr="004B4A0B">
              <w:rPr>
                <w:rFonts w:cs="Times New Roman"/>
              </w:rPr>
              <w:t>5.3</w:t>
            </w:r>
          </w:p>
        </w:tc>
        <w:tc>
          <w:tcPr>
            <w:tcW w:w="1090" w:type="dxa"/>
            <w:tcBorders>
              <w:top w:val="nil"/>
              <w:left w:val="nil"/>
              <w:bottom w:val="double" w:sz="6" w:space="0" w:color="auto"/>
              <w:right w:val="nil"/>
            </w:tcBorders>
            <w:shd w:val="clear" w:color="auto" w:fill="auto"/>
            <w:vAlign w:val="center"/>
            <w:hideMark/>
          </w:tcPr>
          <w:p w14:paraId="0829A856" w14:textId="77777777" w:rsidR="004764F9" w:rsidRPr="004B4A0B" w:rsidRDefault="004764F9" w:rsidP="004764F9">
            <w:pPr>
              <w:spacing w:line="240" w:lineRule="auto"/>
              <w:ind w:firstLine="0"/>
              <w:jc w:val="center"/>
              <w:rPr>
                <w:rFonts w:cs="Times New Roman"/>
                <w:lang w:val="en-US"/>
              </w:rPr>
            </w:pPr>
            <w:r w:rsidRPr="004B4A0B">
              <w:rPr>
                <w:rFonts w:cs="Times New Roman"/>
              </w:rPr>
              <w:t>4.3</w:t>
            </w:r>
          </w:p>
        </w:tc>
        <w:tc>
          <w:tcPr>
            <w:tcW w:w="1280" w:type="dxa"/>
            <w:tcBorders>
              <w:top w:val="nil"/>
              <w:left w:val="nil"/>
              <w:bottom w:val="double" w:sz="6" w:space="0" w:color="auto"/>
              <w:right w:val="nil"/>
            </w:tcBorders>
            <w:shd w:val="clear" w:color="auto" w:fill="auto"/>
            <w:vAlign w:val="center"/>
            <w:hideMark/>
          </w:tcPr>
          <w:p w14:paraId="412B99EC" w14:textId="77777777" w:rsidR="004764F9" w:rsidRPr="004B4A0B" w:rsidRDefault="004764F9" w:rsidP="004764F9">
            <w:pPr>
              <w:spacing w:line="240" w:lineRule="auto"/>
              <w:ind w:firstLine="0"/>
              <w:jc w:val="center"/>
              <w:rPr>
                <w:rFonts w:cs="Times New Roman"/>
                <w:lang w:val="en-US"/>
              </w:rPr>
            </w:pPr>
            <w:r w:rsidRPr="004B4A0B">
              <w:rPr>
                <w:rFonts w:cs="Times New Roman"/>
              </w:rPr>
              <w:t>3.3</w:t>
            </w:r>
          </w:p>
        </w:tc>
      </w:tr>
    </w:tbl>
    <w:p w14:paraId="72578303" w14:textId="4D4A0E59" w:rsidR="004B4A0B" w:rsidRPr="005A7F68" w:rsidRDefault="004764F9" w:rsidP="005A7F68">
      <w:pPr>
        <w:ind w:firstLine="0"/>
        <w:rPr>
          <w:sz w:val="18"/>
          <w:lang w:val="en-US"/>
        </w:rPr>
      </w:pPr>
      <w:r w:rsidRPr="005A68E6">
        <w:rPr>
          <w:sz w:val="18"/>
          <w:lang w:val="en-US"/>
        </w:rPr>
        <w:t>Source: RA MoF calculations and forecasts</w:t>
      </w:r>
      <w:r w:rsidRPr="005A7F68" w:rsidDel="007E48F5">
        <w:rPr>
          <w:sz w:val="18"/>
          <w:lang w:val="en-US"/>
        </w:rPr>
        <w:t xml:space="preserve"> </w:t>
      </w:r>
    </w:p>
    <w:p w14:paraId="2F07F414" w14:textId="1A0C0861" w:rsidR="004B4A0B" w:rsidRPr="0070296A" w:rsidRDefault="005A7F68" w:rsidP="005A7F68">
      <w:pPr>
        <w:pStyle w:val="af6"/>
        <w:numPr>
          <w:ilvl w:val="0"/>
          <w:numId w:val="18"/>
        </w:numPr>
        <w:spacing w:before="360" w:after="0"/>
        <w:ind w:left="1276" w:hanging="1276"/>
      </w:pPr>
      <w:r w:rsidRPr="00B46669">
        <w:t xml:space="preserve">Indicators for the RA Government loans and </w:t>
      </w:r>
      <w:r w:rsidRPr="005A7F68">
        <w:t>borrowings</w:t>
      </w:r>
      <w:r>
        <w:t xml:space="preserve"> for 2023-2028 </w:t>
      </w:r>
      <w:r w:rsidRPr="00B46669">
        <w:t>(</w:t>
      </w:r>
      <w:r>
        <w:t>U</w:t>
      </w:r>
      <w:r w:rsidRPr="00B46669">
        <w:t>SD billion)</w:t>
      </w:r>
    </w:p>
    <w:tbl>
      <w:tblPr>
        <w:tblW w:w="9777" w:type="dxa"/>
        <w:tblLook w:val="04A0" w:firstRow="1" w:lastRow="0" w:firstColumn="1" w:lastColumn="0" w:noHBand="0" w:noVBand="1"/>
      </w:tblPr>
      <w:tblGrid>
        <w:gridCol w:w="3600"/>
        <w:gridCol w:w="1068"/>
        <w:gridCol w:w="1120"/>
        <w:gridCol w:w="1001"/>
        <w:gridCol w:w="996"/>
        <w:gridCol w:w="1002"/>
        <w:gridCol w:w="990"/>
      </w:tblGrid>
      <w:tr w:rsidR="005A7F68" w:rsidRPr="00F7427D" w14:paraId="78D03C58" w14:textId="77777777" w:rsidTr="005A7F68">
        <w:trPr>
          <w:trHeight w:val="690"/>
        </w:trPr>
        <w:tc>
          <w:tcPr>
            <w:tcW w:w="3600" w:type="dxa"/>
            <w:tcBorders>
              <w:top w:val="double" w:sz="6" w:space="0" w:color="auto"/>
              <w:left w:val="nil"/>
              <w:bottom w:val="double" w:sz="6" w:space="0" w:color="auto"/>
              <w:right w:val="nil"/>
            </w:tcBorders>
            <w:shd w:val="clear" w:color="000000" w:fill="5B9BD5"/>
            <w:vAlign w:val="center"/>
            <w:hideMark/>
          </w:tcPr>
          <w:p w14:paraId="6B6254E4" w14:textId="77777777" w:rsidR="005A7F68" w:rsidRPr="005A7F68" w:rsidRDefault="005A7F68" w:rsidP="005A7F68">
            <w:pPr>
              <w:spacing w:line="240" w:lineRule="auto"/>
              <w:ind w:firstLine="0"/>
              <w:jc w:val="center"/>
              <w:rPr>
                <w:rFonts w:cs="Times New Roman"/>
              </w:rPr>
            </w:pPr>
            <w:r w:rsidRPr="00F7427D">
              <w:rPr>
                <w:rFonts w:ascii="Calibri" w:hAnsi="Calibri" w:cs="Calibri"/>
              </w:rPr>
              <w:t> </w:t>
            </w:r>
          </w:p>
        </w:tc>
        <w:tc>
          <w:tcPr>
            <w:tcW w:w="1068" w:type="dxa"/>
            <w:tcBorders>
              <w:top w:val="double" w:sz="6" w:space="0" w:color="auto"/>
              <w:left w:val="nil"/>
              <w:bottom w:val="double" w:sz="6" w:space="0" w:color="auto"/>
              <w:right w:val="nil"/>
            </w:tcBorders>
            <w:shd w:val="clear" w:color="000000" w:fill="5B9BD5"/>
            <w:vAlign w:val="center"/>
            <w:hideMark/>
          </w:tcPr>
          <w:p w14:paraId="365F9DB9" w14:textId="60B14E5B" w:rsidR="005A7F68" w:rsidRPr="00F7427D" w:rsidRDefault="005A7F68" w:rsidP="005A7F68">
            <w:pPr>
              <w:spacing w:line="240" w:lineRule="auto"/>
              <w:ind w:firstLine="0"/>
              <w:jc w:val="center"/>
              <w:rPr>
                <w:rFonts w:cs="Times New Roman"/>
                <w:lang w:val="en-US"/>
              </w:rPr>
            </w:pPr>
            <w:r w:rsidRPr="004B4A0B">
              <w:rPr>
                <w:rFonts w:cs="Times New Roman"/>
                <w:lang w:val="en-US"/>
              </w:rPr>
              <w:t xml:space="preserve">2023 </w:t>
            </w:r>
            <w:r>
              <w:rPr>
                <w:lang w:val="en-US"/>
              </w:rPr>
              <w:t>actual</w:t>
            </w:r>
          </w:p>
        </w:tc>
        <w:tc>
          <w:tcPr>
            <w:tcW w:w="1120" w:type="dxa"/>
            <w:tcBorders>
              <w:top w:val="double" w:sz="6" w:space="0" w:color="auto"/>
              <w:left w:val="nil"/>
              <w:bottom w:val="double" w:sz="6" w:space="0" w:color="auto"/>
              <w:right w:val="nil"/>
            </w:tcBorders>
            <w:shd w:val="clear" w:color="000000" w:fill="5B9BD5"/>
            <w:vAlign w:val="center"/>
            <w:hideMark/>
          </w:tcPr>
          <w:p w14:paraId="0D329575" w14:textId="67D71E25" w:rsidR="005A7F68" w:rsidRPr="00F7427D" w:rsidRDefault="005A7F68" w:rsidP="005A7F68">
            <w:pPr>
              <w:spacing w:line="240" w:lineRule="auto"/>
              <w:ind w:firstLine="0"/>
              <w:jc w:val="center"/>
              <w:rPr>
                <w:rFonts w:cs="Times New Roman"/>
                <w:lang w:val="en-US"/>
              </w:rPr>
            </w:pPr>
            <w:r w:rsidRPr="004B4A0B">
              <w:rPr>
                <w:rFonts w:cs="Times New Roman"/>
                <w:lang w:val="en-US"/>
              </w:rPr>
              <w:t xml:space="preserve">2024 </w:t>
            </w:r>
            <w:r>
              <w:rPr>
                <w:lang w:val="en-US"/>
              </w:rPr>
              <w:t>actual</w:t>
            </w:r>
          </w:p>
        </w:tc>
        <w:tc>
          <w:tcPr>
            <w:tcW w:w="1001" w:type="dxa"/>
            <w:tcBorders>
              <w:top w:val="double" w:sz="6" w:space="0" w:color="auto"/>
              <w:left w:val="nil"/>
              <w:bottom w:val="double" w:sz="6" w:space="0" w:color="auto"/>
              <w:right w:val="nil"/>
            </w:tcBorders>
            <w:shd w:val="clear" w:color="000000" w:fill="5B9BD5"/>
            <w:vAlign w:val="center"/>
            <w:hideMark/>
          </w:tcPr>
          <w:p w14:paraId="689C5569" w14:textId="69911B24" w:rsidR="005A7F68" w:rsidRPr="00F7427D" w:rsidRDefault="005A7F68" w:rsidP="005A7F68">
            <w:pPr>
              <w:spacing w:line="240" w:lineRule="auto"/>
              <w:ind w:firstLine="0"/>
              <w:jc w:val="center"/>
              <w:rPr>
                <w:rFonts w:cs="Times New Roman"/>
                <w:lang w:val="en-US"/>
              </w:rPr>
            </w:pPr>
            <w:r w:rsidRPr="004B4A0B">
              <w:rPr>
                <w:rFonts w:cs="Times New Roman"/>
                <w:lang w:val="en-US"/>
              </w:rPr>
              <w:t xml:space="preserve">2025 </w:t>
            </w:r>
            <w:r w:rsidRPr="005A68E6">
              <w:rPr>
                <w:lang w:val="en-US"/>
              </w:rPr>
              <w:t>forecast</w:t>
            </w:r>
          </w:p>
        </w:tc>
        <w:tc>
          <w:tcPr>
            <w:tcW w:w="996" w:type="dxa"/>
            <w:tcBorders>
              <w:top w:val="double" w:sz="6" w:space="0" w:color="auto"/>
              <w:left w:val="nil"/>
              <w:bottom w:val="double" w:sz="6" w:space="0" w:color="auto"/>
              <w:right w:val="nil"/>
            </w:tcBorders>
            <w:shd w:val="clear" w:color="000000" w:fill="5B9BD5"/>
            <w:vAlign w:val="center"/>
            <w:hideMark/>
          </w:tcPr>
          <w:p w14:paraId="508587EB" w14:textId="52BBB5AF" w:rsidR="005A7F68" w:rsidRPr="00F7427D" w:rsidRDefault="005A7F68" w:rsidP="005A7F68">
            <w:pPr>
              <w:spacing w:line="240" w:lineRule="auto"/>
              <w:ind w:firstLine="0"/>
              <w:jc w:val="center"/>
              <w:rPr>
                <w:rFonts w:cs="Times New Roman"/>
                <w:lang w:val="en-US"/>
              </w:rPr>
            </w:pPr>
            <w:r w:rsidRPr="004B4A0B">
              <w:rPr>
                <w:rFonts w:cs="Times New Roman"/>
                <w:lang w:val="en-US"/>
              </w:rPr>
              <w:t xml:space="preserve">2026 </w:t>
            </w:r>
            <w:r w:rsidRPr="005A68E6">
              <w:rPr>
                <w:lang w:val="en-US"/>
              </w:rPr>
              <w:t>forecast</w:t>
            </w:r>
          </w:p>
        </w:tc>
        <w:tc>
          <w:tcPr>
            <w:tcW w:w="1002" w:type="dxa"/>
            <w:tcBorders>
              <w:top w:val="double" w:sz="6" w:space="0" w:color="auto"/>
              <w:left w:val="nil"/>
              <w:bottom w:val="double" w:sz="6" w:space="0" w:color="auto"/>
              <w:right w:val="nil"/>
            </w:tcBorders>
            <w:shd w:val="clear" w:color="000000" w:fill="5B9BD5"/>
            <w:vAlign w:val="center"/>
            <w:hideMark/>
          </w:tcPr>
          <w:p w14:paraId="2DBC15FE" w14:textId="5AF76E9C" w:rsidR="005A7F68" w:rsidRPr="00F7427D" w:rsidRDefault="005A7F68" w:rsidP="005A7F68">
            <w:pPr>
              <w:spacing w:line="240" w:lineRule="auto"/>
              <w:ind w:firstLine="0"/>
              <w:jc w:val="center"/>
              <w:rPr>
                <w:rFonts w:cs="Times New Roman"/>
                <w:lang w:val="en-US"/>
              </w:rPr>
            </w:pPr>
            <w:r w:rsidRPr="004B4A0B">
              <w:rPr>
                <w:rFonts w:cs="Times New Roman"/>
                <w:lang w:val="en-US"/>
              </w:rPr>
              <w:t xml:space="preserve">2027 </w:t>
            </w:r>
            <w:r w:rsidRPr="005A68E6">
              <w:rPr>
                <w:lang w:val="en-US"/>
              </w:rPr>
              <w:t>forecast</w:t>
            </w:r>
          </w:p>
        </w:tc>
        <w:tc>
          <w:tcPr>
            <w:tcW w:w="990" w:type="dxa"/>
            <w:tcBorders>
              <w:top w:val="double" w:sz="6" w:space="0" w:color="auto"/>
              <w:left w:val="nil"/>
              <w:bottom w:val="double" w:sz="6" w:space="0" w:color="auto"/>
              <w:right w:val="nil"/>
            </w:tcBorders>
            <w:shd w:val="clear" w:color="000000" w:fill="5B9BD5"/>
            <w:vAlign w:val="center"/>
            <w:hideMark/>
          </w:tcPr>
          <w:p w14:paraId="23A48006" w14:textId="029A60AE" w:rsidR="005A7F68" w:rsidRPr="00F7427D" w:rsidRDefault="005A7F68" w:rsidP="005A7F68">
            <w:pPr>
              <w:spacing w:line="240" w:lineRule="auto"/>
              <w:ind w:firstLine="0"/>
              <w:jc w:val="center"/>
              <w:rPr>
                <w:rFonts w:cs="Times New Roman"/>
                <w:lang w:val="en-US"/>
              </w:rPr>
            </w:pPr>
            <w:r w:rsidRPr="004B4A0B">
              <w:rPr>
                <w:rFonts w:cs="Times New Roman"/>
                <w:lang w:val="en-US"/>
              </w:rPr>
              <w:t xml:space="preserve">2028 </w:t>
            </w:r>
            <w:r w:rsidRPr="005A68E6">
              <w:rPr>
                <w:lang w:val="en-US"/>
              </w:rPr>
              <w:t>forecast</w:t>
            </w:r>
          </w:p>
        </w:tc>
      </w:tr>
      <w:tr w:rsidR="005A7F68" w:rsidRPr="00F7427D" w14:paraId="4D1103A1" w14:textId="77777777" w:rsidTr="005A7F68">
        <w:trPr>
          <w:trHeight w:val="504"/>
        </w:trPr>
        <w:tc>
          <w:tcPr>
            <w:tcW w:w="3600" w:type="dxa"/>
            <w:tcBorders>
              <w:top w:val="nil"/>
              <w:left w:val="nil"/>
              <w:bottom w:val="single" w:sz="8" w:space="0" w:color="auto"/>
              <w:right w:val="nil"/>
            </w:tcBorders>
            <w:shd w:val="clear" w:color="auto" w:fill="auto"/>
            <w:vAlign w:val="center"/>
            <w:hideMark/>
          </w:tcPr>
          <w:p w14:paraId="67A7F7D3" w14:textId="7BDBF0DF" w:rsidR="005A7F68" w:rsidRPr="00F7427D" w:rsidRDefault="005A7F68" w:rsidP="005A7F68">
            <w:pPr>
              <w:spacing w:line="240" w:lineRule="auto"/>
              <w:ind w:firstLine="0"/>
              <w:jc w:val="left"/>
              <w:rPr>
                <w:rFonts w:cs="Times New Roman"/>
                <w:lang w:val="en-US"/>
              </w:rPr>
            </w:pPr>
            <w:r w:rsidRPr="005A68E6">
              <w:rPr>
                <w:lang w:val="en-US"/>
              </w:rPr>
              <w:t xml:space="preserve">Government Loans and </w:t>
            </w:r>
            <w:r>
              <w:rPr>
                <w:lang w:val="en-US"/>
              </w:rPr>
              <w:t>borrowings</w:t>
            </w:r>
            <w:r w:rsidRPr="005A68E6">
              <w:rPr>
                <w:lang w:val="en-US"/>
              </w:rPr>
              <w:t xml:space="preserve"> </w:t>
            </w:r>
          </w:p>
        </w:tc>
        <w:tc>
          <w:tcPr>
            <w:tcW w:w="1068" w:type="dxa"/>
            <w:tcBorders>
              <w:top w:val="nil"/>
              <w:left w:val="nil"/>
              <w:bottom w:val="single" w:sz="8" w:space="0" w:color="auto"/>
              <w:right w:val="nil"/>
            </w:tcBorders>
            <w:shd w:val="clear" w:color="auto" w:fill="auto"/>
            <w:vAlign w:val="center"/>
            <w:hideMark/>
          </w:tcPr>
          <w:p w14:paraId="31DB3D3C"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4,536.0</w:t>
            </w:r>
          </w:p>
        </w:tc>
        <w:tc>
          <w:tcPr>
            <w:tcW w:w="1120" w:type="dxa"/>
            <w:tcBorders>
              <w:top w:val="nil"/>
              <w:left w:val="nil"/>
              <w:bottom w:val="single" w:sz="8" w:space="0" w:color="auto"/>
              <w:right w:val="nil"/>
            </w:tcBorders>
            <w:shd w:val="clear" w:color="auto" w:fill="auto"/>
            <w:vAlign w:val="center"/>
            <w:hideMark/>
          </w:tcPr>
          <w:p w14:paraId="42C8E9A2"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4,505.8</w:t>
            </w:r>
          </w:p>
        </w:tc>
        <w:tc>
          <w:tcPr>
            <w:tcW w:w="1001" w:type="dxa"/>
            <w:tcBorders>
              <w:top w:val="nil"/>
              <w:left w:val="nil"/>
              <w:bottom w:val="single" w:sz="8" w:space="0" w:color="auto"/>
              <w:right w:val="nil"/>
            </w:tcBorders>
            <w:shd w:val="clear" w:color="auto" w:fill="auto"/>
            <w:vAlign w:val="center"/>
            <w:hideMark/>
          </w:tcPr>
          <w:p w14:paraId="30B7C697"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5,099.4</w:t>
            </w:r>
          </w:p>
        </w:tc>
        <w:tc>
          <w:tcPr>
            <w:tcW w:w="996" w:type="dxa"/>
            <w:tcBorders>
              <w:top w:val="nil"/>
              <w:left w:val="nil"/>
              <w:bottom w:val="single" w:sz="8" w:space="0" w:color="auto"/>
              <w:right w:val="nil"/>
            </w:tcBorders>
            <w:shd w:val="clear" w:color="auto" w:fill="auto"/>
            <w:vAlign w:val="center"/>
            <w:hideMark/>
          </w:tcPr>
          <w:p w14:paraId="154A676C"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5,782.1</w:t>
            </w:r>
          </w:p>
        </w:tc>
        <w:tc>
          <w:tcPr>
            <w:tcW w:w="1002" w:type="dxa"/>
            <w:tcBorders>
              <w:top w:val="nil"/>
              <w:left w:val="nil"/>
              <w:bottom w:val="single" w:sz="8" w:space="0" w:color="auto"/>
              <w:right w:val="nil"/>
            </w:tcBorders>
            <w:shd w:val="clear" w:color="auto" w:fill="auto"/>
            <w:vAlign w:val="center"/>
            <w:hideMark/>
          </w:tcPr>
          <w:p w14:paraId="626E6888"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6,408.2</w:t>
            </w:r>
          </w:p>
        </w:tc>
        <w:tc>
          <w:tcPr>
            <w:tcW w:w="990" w:type="dxa"/>
            <w:tcBorders>
              <w:top w:val="nil"/>
              <w:left w:val="nil"/>
              <w:bottom w:val="single" w:sz="8" w:space="0" w:color="auto"/>
              <w:right w:val="nil"/>
            </w:tcBorders>
            <w:shd w:val="clear" w:color="auto" w:fill="auto"/>
            <w:vAlign w:val="center"/>
            <w:hideMark/>
          </w:tcPr>
          <w:p w14:paraId="40AD227E"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7,142.3</w:t>
            </w:r>
          </w:p>
        </w:tc>
      </w:tr>
      <w:tr w:rsidR="005A7F68" w:rsidRPr="00F7427D" w14:paraId="5C131856" w14:textId="77777777" w:rsidTr="005A7F68">
        <w:trPr>
          <w:trHeight w:val="345"/>
        </w:trPr>
        <w:tc>
          <w:tcPr>
            <w:tcW w:w="3600" w:type="dxa"/>
            <w:tcBorders>
              <w:top w:val="nil"/>
              <w:left w:val="nil"/>
              <w:bottom w:val="single" w:sz="12" w:space="0" w:color="auto"/>
              <w:right w:val="nil"/>
            </w:tcBorders>
            <w:shd w:val="clear" w:color="auto" w:fill="auto"/>
            <w:vAlign w:val="center"/>
            <w:hideMark/>
          </w:tcPr>
          <w:p w14:paraId="20C518BF" w14:textId="0BBCD647" w:rsidR="005A7F68" w:rsidRPr="00F7427D" w:rsidRDefault="005A7F68" w:rsidP="005A7F68">
            <w:pPr>
              <w:spacing w:line="240" w:lineRule="auto"/>
              <w:ind w:firstLine="0"/>
              <w:jc w:val="left"/>
              <w:rPr>
                <w:rFonts w:cs="Times New Roman"/>
                <w:lang w:val="en-US"/>
              </w:rPr>
            </w:pPr>
            <w:r w:rsidRPr="005A68E6">
              <w:t xml:space="preserve">% </w:t>
            </w:r>
            <w:r w:rsidRPr="005A68E6">
              <w:rPr>
                <w:lang w:val="en-US"/>
              </w:rPr>
              <w:t>of GDP</w:t>
            </w:r>
          </w:p>
        </w:tc>
        <w:tc>
          <w:tcPr>
            <w:tcW w:w="1068" w:type="dxa"/>
            <w:tcBorders>
              <w:top w:val="nil"/>
              <w:left w:val="nil"/>
              <w:bottom w:val="single" w:sz="12" w:space="0" w:color="auto"/>
              <w:right w:val="nil"/>
            </w:tcBorders>
            <w:shd w:val="clear" w:color="auto" w:fill="auto"/>
            <w:vAlign w:val="center"/>
            <w:hideMark/>
          </w:tcPr>
          <w:p w14:paraId="44532862"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19.3</w:t>
            </w:r>
          </w:p>
        </w:tc>
        <w:tc>
          <w:tcPr>
            <w:tcW w:w="1120" w:type="dxa"/>
            <w:tcBorders>
              <w:top w:val="nil"/>
              <w:left w:val="nil"/>
              <w:bottom w:val="single" w:sz="12" w:space="0" w:color="auto"/>
              <w:right w:val="nil"/>
            </w:tcBorders>
            <w:shd w:val="clear" w:color="auto" w:fill="auto"/>
            <w:vAlign w:val="center"/>
            <w:hideMark/>
          </w:tcPr>
          <w:p w14:paraId="45411F01"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17.5</w:t>
            </w:r>
          </w:p>
        </w:tc>
        <w:tc>
          <w:tcPr>
            <w:tcW w:w="1001" w:type="dxa"/>
            <w:tcBorders>
              <w:top w:val="nil"/>
              <w:left w:val="nil"/>
              <w:bottom w:val="single" w:sz="12" w:space="0" w:color="auto"/>
              <w:right w:val="nil"/>
            </w:tcBorders>
            <w:shd w:val="clear" w:color="auto" w:fill="auto"/>
            <w:vAlign w:val="center"/>
            <w:hideMark/>
          </w:tcPr>
          <w:p w14:paraId="6E4F3650"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19.2</w:t>
            </w:r>
          </w:p>
        </w:tc>
        <w:tc>
          <w:tcPr>
            <w:tcW w:w="996" w:type="dxa"/>
            <w:tcBorders>
              <w:top w:val="nil"/>
              <w:left w:val="nil"/>
              <w:bottom w:val="single" w:sz="12" w:space="0" w:color="auto"/>
              <w:right w:val="nil"/>
            </w:tcBorders>
            <w:shd w:val="clear" w:color="auto" w:fill="auto"/>
            <w:vAlign w:val="center"/>
            <w:hideMark/>
          </w:tcPr>
          <w:p w14:paraId="6FE389CE"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20.7</w:t>
            </w:r>
          </w:p>
        </w:tc>
        <w:tc>
          <w:tcPr>
            <w:tcW w:w="1002" w:type="dxa"/>
            <w:tcBorders>
              <w:top w:val="nil"/>
              <w:left w:val="nil"/>
              <w:bottom w:val="single" w:sz="12" w:space="0" w:color="auto"/>
              <w:right w:val="nil"/>
            </w:tcBorders>
            <w:shd w:val="clear" w:color="auto" w:fill="auto"/>
            <w:vAlign w:val="center"/>
            <w:hideMark/>
          </w:tcPr>
          <w:p w14:paraId="072A8FA9"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21.7</w:t>
            </w:r>
          </w:p>
        </w:tc>
        <w:tc>
          <w:tcPr>
            <w:tcW w:w="990" w:type="dxa"/>
            <w:tcBorders>
              <w:top w:val="nil"/>
              <w:left w:val="nil"/>
              <w:bottom w:val="single" w:sz="12" w:space="0" w:color="auto"/>
              <w:right w:val="nil"/>
            </w:tcBorders>
            <w:shd w:val="clear" w:color="auto" w:fill="auto"/>
            <w:vAlign w:val="center"/>
            <w:hideMark/>
          </w:tcPr>
          <w:p w14:paraId="06D6088F"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22.9</w:t>
            </w:r>
          </w:p>
        </w:tc>
      </w:tr>
      <w:tr w:rsidR="005A7F68" w:rsidRPr="00F7427D" w14:paraId="56B1ABE4" w14:textId="77777777" w:rsidTr="005A7F68">
        <w:trPr>
          <w:trHeight w:val="360"/>
        </w:trPr>
        <w:tc>
          <w:tcPr>
            <w:tcW w:w="3600" w:type="dxa"/>
            <w:tcBorders>
              <w:top w:val="nil"/>
              <w:left w:val="nil"/>
              <w:bottom w:val="single" w:sz="8" w:space="0" w:color="auto"/>
              <w:right w:val="nil"/>
            </w:tcBorders>
            <w:shd w:val="clear" w:color="auto" w:fill="auto"/>
            <w:vAlign w:val="center"/>
            <w:hideMark/>
          </w:tcPr>
          <w:p w14:paraId="63997288" w14:textId="3564823D" w:rsidR="005A7F68" w:rsidRPr="00F7427D" w:rsidRDefault="005A7F68" w:rsidP="005A7F68">
            <w:pPr>
              <w:spacing w:line="240" w:lineRule="auto"/>
              <w:ind w:firstLine="0"/>
              <w:jc w:val="left"/>
              <w:rPr>
                <w:rFonts w:cs="Times New Roman"/>
                <w:lang w:val="en-US"/>
              </w:rPr>
            </w:pPr>
            <w:r w:rsidRPr="005A68E6">
              <w:rPr>
                <w:lang w:val="en-US"/>
              </w:rPr>
              <w:t>By lender</w:t>
            </w:r>
          </w:p>
        </w:tc>
        <w:tc>
          <w:tcPr>
            <w:tcW w:w="1068" w:type="dxa"/>
            <w:tcBorders>
              <w:top w:val="nil"/>
              <w:left w:val="nil"/>
              <w:bottom w:val="single" w:sz="8" w:space="0" w:color="auto"/>
              <w:right w:val="nil"/>
            </w:tcBorders>
            <w:shd w:val="clear" w:color="auto" w:fill="auto"/>
            <w:vAlign w:val="center"/>
            <w:hideMark/>
          </w:tcPr>
          <w:p w14:paraId="10CBBCB3" w14:textId="77777777" w:rsidR="005A7F68" w:rsidRPr="00F7427D" w:rsidRDefault="005A7F68" w:rsidP="005A7F68">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1120" w:type="dxa"/>
            <w:tcBorders>
              <w:top w:val="nil"/>
              <w:left w:val="nil"/>
              <w:bottom w:val="single" w:sz="8" w:space="0" w:color="auto"/>
              <w:right w:val="nil"/>
            </w:tcBorders>
            <w:shd w:val="clear" w:color="auto" w:fill="auto"/>
            <w:vAlign w:val="center"/>
            <w:hideMark/>
          </w:tcPr>
          <w:p w14:paraId="7312EB14" w14:textId="77777777" w:rsidR="005A7F68" w:rsidRPr="00F7427D" w:rsidRDefault="005A7F68" w:rsidP="005A7F68">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1001" w:type="dxa"/>
            <w:tcBorders>
              <w:top w:val="nil"/>
              <w:left w:val="nil"/>
              <w:bottom w:val="single" w:sz="8" w:space="0" w:color="auto"/>
              <w:right w:val="nil"/>
            </w:tcBorders>
            <w:shd w:val="clear" w:color="auto" w:fill="auto"/>
            <w:vAlign w:val="center"/>
            <w:hideMark/>
          </w:tcPr>
          <w:p w14:paraId="37D1461E" w14:textId="77777777" w:rsidR="005A7F68" w:rsidRPr="00F7427D" w:rsidRDefault="005A7F68" w:rsidP="005A7F68">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996" w:type="dxa"/>
            <w:tcBorders>
              <w:top w:val="nil"/>
              <w:left w:val="nil"/>
              <w:bottom w:val="single" w:sz="8" w:space="0" w:color="auto"/>
              <w:right w:val="nil"/>
            </w:tcBorders>
            <w:shd w:val="clear" w:color="auto" w:fill="auto"/>
            <w:vAlign w:val="center"/>
            <w:hideMark/>
          </w:tcPr>
          <w:p w14:paraId="727BBD72" w14:textId="77777777" w:rsidR="005A7F68" w:rsidRPr="00F7427D" w:rsidRDefault="005A7F68" w:rsidP="005A7F68">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1002" w:type="dxa"/>
            <w:tcBorders>
              <w:top w:val="nil"/>
              <w:left w:val="nil"/>
              <w:bottom w:val="single" w:sz="8" w:space="0" w:color="auto"/>
              <w:right w:val="nil"/>
            </w:tcBorders>
            <w:shd w:val="clear" w:color="auto" w:fill="auto"/>
            <w:vAlign w:val="center"/>
            <w:hideMark/>
          </w:tcPr>
          <w:p w14:paraId="101FA25F" w14:textId="77777777" w:rsidR="005A7F68" w:rsidRPr="00F7427D" w:rsidRDefault="005A7F68" w:rsidP="005A7F68">
            <w:pPr>
              <w:spacing w:line="240" w:lineRule="auto"/>
              <w:ind w:firstLine="0"/>
              <w:jc w:val="center"/>
              <w:rPr>
                <w:rFonts w:cs="Times New Roman"/>
                <w:color w:val="000000"/>
                <w:lang w:val="en-US"/>
              </w:rPr>
            </w:pPr>
            <w:r w:rsidRPr="00F7427D">
              <w:rPr>
                <w:rFonts w:ascii="Calibri" w:hAnsi="Calibri" w:cs="Calibri"/>
                <w:color w:val="000000"/>
                <w:lang w:val="en-US"/>
              </w:rPr>
              <w:t> </w:t>
            </w:r>
          </w:p>
        </w:tc>
        <w:tc>
          <w:tcPr>
            <w:tcW w:w="990" w:type="dxa"/>
            <w:tcBorders>
              <w:top w:val="nil"/>
              <w:left w:val="nil"/>
              <w:bottom w:val="single" w:sz="8" w:space="0" w:color="auto"/>
              <w:right w:val="nil"/>
            </w:tcBorders>
            <w:shd w:val="clear" w:color="auto" w:fill="auto"/>
            <w:vAlign w:val="center"/>
            <w:hideMark/>
          </w:tcPr>
          <w:p w14:paraId="28A4D5FA" w14:textId="77777777" w:rsidR="005A7F68" w:rsidRPr="00F7427D" w:rsidRDefault="005A7F68" w:rsidP="005A7F68">
            <w:pPr>
              <w:spacing w:line="240" w:lineRule="auto"/>
              <w:ind w:firstLine="0"/>
              <w:jc w:val="center"/>
              <w:rPr>
                <w:rFonts w:cs="Times New Roman"/>
                <w:color w:val="000000"/>
                <w:lang w:val="en-US"/>
              </w:rPr>
            </w:pPr>
            <w:r w:rsidRPr="00F7427D">
              <w:rPr>
                <w:rFonts w:ascii="Calibri" w:hAnsi="Calibri" w:cs="Calibri"/>
                <w:color w:val="000000"/>
                <w:lang w:val="en-US"/>
              </w:rPr>
              <w:t> </w:t>
            </w:r>
          </w:p>
        </w:tc>
      </w:tr>
      <w:tr w:rsidR="005A7F68" w:rsidRPr="00F7427D" w14:paraId="488204E4" w14:textId="77777777" w:rsidTr="005A7F68">
        <w:trPr>
          <w:trHeight w:val="675"/>
        </w:trPr>
        <w:tc>
          <w:tcPr>
            <w:tcW w:w="3600" w:type="dxa"/>
            <w:tcBorders>
              <w:top w:val="nil"/>
              <w:left w:val="nil"/>
              <w:bottom w:val="single" w:sz="8" w:space="0" w:color="auto"/>
              <w:right w:val="nil"/>
            </w:tcBorders>
            <w:shd w:val="clear" w:color="auto" w:fill="auto"/>
            <w:vAlign w:val="center"/>
            <w:hideMark/>
          </w:tcPr>
          <w:p w14:paraId="791C1C05" w14:textId="523DB9B5" w:rsidR="005A7F68" w:rsidRPr="00F7427D" w:rsidRDefault="005A7F68" w:rsidP="005A7F68">
            <w:pPr>
              <w:spacing w:line="240" w:lineRule="auto"/>
              <w:ind w:firstLine="0"/>
              <w:jc w:val="left"/>
              <w:rPr>
                <w:rFonts w:cs="Times New Roman"/>
                <w:lang w:val="en-US"/>
              </w:rPr>
            </w:pPr>
            <w:r w:rsidRPr="005A68E6">
              <w:rPr>
                <w:lang w:val="en-US"/>
              </w:rPr>
              <w:t>From International Financial Organizations</w:t>
            </w:r>
          </w:p>
        </w:tc>
        <w:tc>
          <w:tcPr>
            <w:tcW w:w="1068" w:type="dxa"/>
            <w:tcBorders>
              <w:top w:val="nil"/>
              <w:left w:val="nil"/>
              <w:bottom w:val="single" w:sz="8" w:space="0" w:color="auto"/>
              <w:right w:val="nil"/>
            </w:tcBorders>
            <w:shd w:val="clear" w:color="auto" w:fill="auto"/>
            <w:vAlign w:val="center"/>
            <w:hideMark/>
          </w:tcPr>
          <w:p w14:paraId="466BF5FC"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3,590.1</w:t>
            </w:r>
          </w:p>
        </w:tc>
        <w:tc>
          <w:tcPr>
            <w:tcW w:w="1120" w:type="dxa"/>
            <w:tcBorders>
              <w:top w:val="nil"/>
              <w:left w:val="nil"/>
              <w:bottom w:val="single" w:sz="8" w:space="0" w:color="auto"/>
              <w:right w:val="nil"/>
            </w:tcBorders>
            <w:shd w:val="clear" w:color="auto" w:fill="auto"/>
            <w:vAlign w:val="center"/>
            <w:hideMark/>
          </w:tcPr>
          <w:p w14:paraId="36C89C4A"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3,607.1</w:t>
            </w:r>
          </w:p>
        </w:tc>
        <w:tc>
          <w:tcPr>
            <w:tcW w:w="1001" w:type="dxa"/>
            <w:tcBorders>
              <w:top w:val="nil"/>
              <w:left w:val="nil"/>
              <w:bottom w:val="single" w:sz="8" w:space="0" w:color="auto"/>
              <w:right w:val="nil"/>
            </w:tcBorders>
            <w:shd w:val="clear" w:color="auto" w:fill="auto"/>
            <w:vAlign w:val="center"/>
            <w:hideMark/>
          </w:tcPr>
          <w:p w14:paraId="49209142"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3,498.0</w:t>
            </w:r>
          </w:p>
        </w:tc>
        <w:tc>
          <w:tcPr>
            <w:tcW w:w="996" w:type="dxa"/>
            <w:tcBorders>
              <w:top w:val="nil"/>
              <w:left w:val="nil"/>
              <w:bottom w:val="single" w:sz="8" w:space="0" w:color="auto"/>
              <w:right w:val="nil"/>
            </w:tcBorders>
            <w:shd w:val="clear" w:color="auto" w:fill="auto"/>
            <w:vAlign w:val="center"/>
            <w:hideMark/>
          </w:tcPr>
          <w:p w14:paraId="01716AAB"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3,384.8</w:t>
            </w:r>
          </w:p>
        </w:tc>
        <w:tc>
          <w:tcPr>
            <w:tcW w:w="1002" w:type="dxa"/>
            <w:tcBorders>
              <w:top w:val="nil"/>
              <w:left w:val="nil"/>
              <w:bottom w:val="single" w:sz="8" w:space="0" w:color="auto"/>
              <w:right w:val="nil"/>
            </w:tcBorders>
            <w:shd w:val="clear" w:color="auto" w:fill="auto"/>
            <w:vAlign w:val="center"/>
            <w:hideMark/>
          </w:tcPr>
          <w:p w14:paraId="7715E5DA"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3,363.9</w:t>
            </w:r>
          </w:p>
        </w:tc>
        <w:tc>
          <w:tcPr>
            <w:tcW w:w="990" w:type="dxa"/>
            <w:tcBorders>
              <w:top w:val="nil"/>
              <w:left w:val="nil"/>
              <w:bottom w:val="single" w:sz="8" w:space="0" w:color="auto"/>
              <w:right w:val="nil"/>
            </w:tcBorders>
            <w:shd w:val="clear" w:color="auto" w:fill="auto"/>
            <w:vAlign w:val="center"/>
            <w:hideMark/>
          </w:tcPr>
          <w:p w14:paraId="1E1FE432"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3,375.2</w:t>
            </w:r>
          </w:p>
        </w:tc>
      </w:tr>
      <w:tr w:rsidR="005A7F68" w:rsidRPr="00F7427D" w14:paraId="1AF5B697" w14:textId="77777777" w:rsidTr="005A7F68">
        <w:trPr>
          <w:trHeight w:val="430"/>
        </w:trPr>
        <w:tc>
          <w:tcPr>
            <w:tcW w:w="3600" w:type="dxa"/>
            <w:tcBorders>
              <w:top w:val="nil"/>
              <w:left w:val="nil"/>
              <w:bottom w:val="single" w:sz="8" w:space="0" w:color="auto"/>
              <w:right w:val="nil"/>
            </w:tcBorders>
            <w:shd w:val="clear" w:color="auto" w:fill="auto"/>
            <w:vAlign w:val="center"/>
            <w:hideMark/>
          </w:tcPr>
          <w:p w14:paraId="3F02778B" w14:textId="14763A34" w:rsidR="005A7F68" w:rsidRPr="00F7427D" w:rsidRDefault="005A7F68" w:rsidP="005A7F68">
            <w:pPr>
              <w:spacing w:line="240" w:lineRule="auto"/>
              <w:ind w:firstLine="0"/>
              <w:jc w:val="left"/>
              <w:rPr>
                <w:rFonts w:cs="Times New Roman"/>
                <w:lang w:val="en-US"/>
              </w:rPr>
            </w:pPr>
            <w:r w:rsidRPr="005A68E6">
              <w:rPr>
                <w:lang w:val="en-US"/>
              </w:rPr>
              <w:t>From Foreign States</w:t>
            </w:r>
          </w:p>
        </w:tc>
        <w:tc>
          <w:tcPr>
            <w:tcW w:w="1068" w:type="dxa"/>
            <w:tcBorders>
              <w:top w:val="nil"/>
              <w:left w:val="nil"/>
              <w:bottom w:val="single" w:sz="8" w:space="0" w:color="auto"/>
              <w:right w:val="nil"/>
            </w:tcBorders>
            <w:shd w:val="clear" w:color="auto" w:fill="auto"/>
            <w:vAlign w:val="center"/>
            <w:hideMark/>
          </w:tcPr>
          <w:p w14:paraId="5CB0EBBB"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933.9</w:t>
            </w:r>
          </w:p>
        </w:tc>
        <w:tc>
          <w:tcPr>
            <w:tcW w:w="1120" w:type="dxa"/>
            <w:tcBorders>
              <w:top w:val="nil"/>
              <w:left w:val="nil"/>
              <w:bottom w:val="single" w:sz="8" w:space="0" w:color="auto"/>
              <w:right w:val="nil"/>
            </w:tcBorders>
            <w:shd w:val="clear" w:color="auto" w:fill="auto"/>
            <w:vAlign w:val="center"/>
            <w:hideMark/>
          </w:tcPr>
          <w:p w14:paraId="0A5055C7"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889.4</w:t>
            </w:r>
          </w:p>
        </w:tc>
        <w:tc>
          <w:tcPr>
            <w:tcW w:w="1001" w:type="dxa"/>
            <w:tcBorders>
              <w:top w:val="nil"/>
              <w:left w:val="nil"/>
              <w:bottom w:val="single" w:sz="8" w:space="0" w:color="auto"/>
              <w:right w:val="nil"/>
            </w:tcBorders>
            <w:shd w:val="clear" w:color="auto" w:fill="auto"/>
            <w:vAlign w:val="center"/>
            <w:hideMark/>
          </w:tcPr>
          <w:p w14:paraId="46F77BE6"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1,593.6</w:t>
            </w:r>
          </w:p>
        </w:tc>
        <w:tc>
          <w:tcPr>
            <w:tcW w:w="996" w:type="dxa"/>
            <w:tcBorders>
              <w:top w:val="nil"/>
              <w:left w:val="nil"/>
              <w:bottom w:val="single" w:sz="8" w:space="0" w:color="auto"/>
              <w:right w:val="nil"/>
            </w:tcBorders>
            <w:shd w:val="clear" w:color="auto" w:fill="auto"/>
            <w:vAlign w:val="center"/>
            <w:hideMark/>
          </w:tcPr>
          <w:p w14:paraId="1F5900C5"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2,390.9</w:t>
            </w:r>
          </w:p>
        </w:tc>
        <w:tc>
          <w:tcPr>
            <w:tcW w:w="1002" w:type="dxa"/>
            <w:tcBorders>
              <w:top w:val="nil"/>
              <w:left w:val="nil"/>
              <w:bottom w:val="single" w:sz="8" w:space="0" w:color="auto"/>
              <w:right w:val="nil"/>
            </w:tcBorders>
            <w:shd w:val="clear" w:color="auto" w:fill="auto"/>
            <w:vAlign w:val="center"/>
            <w:hideMark/>
          </w:tcPr>
          <w:p w14:paraId="347F53B8"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3,039.3</w:t>
            </w:r>
          </w:p>
        </w:tc>
        <w:tc>
          <w:tcPr>
            <w:tcW w:w="990" w:type="dxa"/>
            <w:tcBorders>
              <w:top w:val="nil"/>
              <w:left w:val="nil"/>
              <w:bottom w:val="single" w:sz="8" w:space="0" w:color="auto"/>
              <w:right w:val="nil"/>
            </w:tcBorders>
            <w:shd w:val="clear" w:color="auto" w:fill="auto"/>
            <w:vAlign w:val="center"/>
            <w:hideMark/>
          </w:tcPr>
          <w:p w14:paraId="13BB7EA2"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3,763.0</w:t>
            </w:r>
          </w:p>
        </w:tc>
      </w:tr>
      <w:tr w:rsidR="005A7F68" w:rsidRPr="00F7427D" w14:paraId="66E6E788" w14:textId="77777777" w:rsidTr="005A7F68">
        <w:trPr>
          <w:trHeight w:val="345"/>
        </w:trPr>
        <w:tc>
          <w:tcPr>
            <w:tcW w:w="3600" w:type="dxa"/>
            <w:tcBorders>
              <w:top w:val="nil"/>
              <w:left w:val="nil"/>
              <w:bottom w:val="single" w:sz="12" w:space="0" w:color="auto"/>
              <w:right w:val="nil"/>
            </w:tcBorders>
            <w:shd w:val="clear" w:color="auto" w:fill="auto"/>
            <w:vAlign w:val="center"/>
            <w:hideMark/>
          </w:tcPr>
          <w:p w14:paraId="5F6A7900" w14:textId="1AC10504" w:rsidR="005A7F68" w:rsidRPr="00F7427D" w:rsidRDefault="005A7F68" w:rsidP="005A7F68">
            <w:pPr>
              <w:spacing w:line="240" w:lineRule="auto"/>
              <w:ind w:firstLine="0"/>
              <w:jc w:val="left"/>
              <w:rPr>
                <w:rFonts w:cs="Times New Roman"/>
                <w:lang w:val="en-US"/>
              </w:rPr>
            </w:pPr>
            <w:r w:rsidRPr="005A68E6">
              <w:rPr>
                <w:lang w:val="en-US"/>
              </w:rPr>
              <w:t>From Commercial Banks</w:t>
            </w:r>
          </w:p>
        </w:tc>
        <w:tc>
          <w:tcPr>
            <w:tcW w:w="1068" w:type="dxa"/>
            <w:tcBorders>
              <w:top w:val="nil"/>
              <w:left w:val="nil"/>
              <w:bottom w:val="single" w:sz="12" w:space="0" w:color="auto"/>
              <w:right w:val="nil"/>
            </w:tcBorders>
            <w:shd w:val="clear" w:color="auto" w:fill="auto"/>
            <w:vAlign w:val="center"/>
            <w:hideMark/>
          </w:tcPr>
          <w:p w14:paraId="12B0CD0B"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12.1</w:t>
            </w:r>
          </w:p>
        </w:tc>
        <w:tc>
          <w:tcPr>
            <w:tcW w:w="1120" w:type="dxa"/>
            <w:tcBorders>
              <w:top w:val="nil"/>
              <w:left w:val="nil"/>
              <w:bottom w:val="single" w:sz="12" w:space="0" w:color="auto"/>
              <w:right w:val="nil"/>
            </w:tcBorders>
            <w:shd w:val="clear" w:color="auto" w:fill="auto"/>
            <w:vAlign w:val="center"/>
            <w:hideMark/>
          </w:tcPr>
          <w:p w14:paraId="23B6E2E2"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9.4</w:t>
            </w:r>
          </w:p>
        </w:tc>
        <w:tc>
          <w:tcPr>
            <w:tcW w:w="1001" w:type="dxa"/>
            <w:tcBorders>
              <w:top w:val="nil"/>
              <w:left w:val="nil"/>
              <w:bottom w:val="single" w:sz="12" w:space="0" w:color="auto"/>
              <w:right w:val="nil"/>
            </w:tcBorders>
            <w:shd w:val="clear" w:color="auto" w:fill="auto"/>
            <w:vAlign w:val="center"/>
            <w:hideMark/>
          </w:tcPr>
          <w:p w14:paraId="3A2AC14F"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7.8</w:t>
            </w:r>
          </w:p>
        </w:tc>
        <w:tc>
          <w:tcPr>
            <w:tcW w:w="996" w:type="dxa"/>
            <w:tcBorders>
              <w:top w:val="nil"/>
              <w:left w:val="nil"/>
              <w:bottom w:val="single" w:sz="12" w:space="0" w:color="auto"/>
              <w:right w:val="nil"/>
            </w:tcBorders>
            <w:shd w:val="clear" w:color="auto" w:fill="auto"/>
            <w:vAlign w:val="center"/>
            <w:hideMark/>
          </w:tcPr>
          <w:p w14:paraId="1546B8F0"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6.4</w:t>
            </w:r>
          </w:p>
        </w:tc>
        <w:tc>
          <w:tcPr>
            <w:tcW w:w="1002" w:type="dxa"/>
            <w:tcBorders>
              <w:top w:val="nil"/>
              <w:left w:val="nil"/>
              <w:bottom w:val="single" w:sz="12" w:space="0" w:color="auto"/>
              <w:right w:val="nil"/>
            </w:tcBorders>
            <w:shd w:val="clear" w:color="auto" w:fill="auto"/>
            <w:vAlign w:val="center"/>
            <w:hideMark/>
          </w:tcPr>
          <w:p w14:paraId="55317C5E"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5.0</w:t>
            </w:r>
          </w:p>
        </w:tc>
        <w:tc>
          <w:tcPr>
            <w:tcW w:w="990" w:type="dxa"/>
            <w:tcBorders>
              <w:top w:val="nil"/>
              <w:left w:val="nil"/>
              <w:bottom w:val="single" w:sz="12" w:space="0" w:color="auto"/>
              <w:right w:val="nil"/>
            </w:tcBorders>
            <w:shd w:val="clear" w:color="auto" w:fill="auto"/>
            <w:vAlign w:val="center"/>
            <w:hideMark/>
          </w:tcPr>
          <w:p w14:paraId="667D104A"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4.1</w:t>
            </w:r>
          </w:p>
        </w:tc>
      </w:tr>
      <w:tr w:rsidR="005A7F68" w:rsidRPr="00F7427D" w14:paraId="0B100C0D" w14:textId="77777777" w:rsidTr="005A7F68">
        <w:trPr>
          <w:trHeight w:val="360"/>
        </w:trPr>
        <w:tc>
          <w:tcPr>
            <w:tcW w:w="3600" w:type="dxa"/>
            <w:tcBorders>
              <w:top w:val="nil"/>
              <w:left w:val="nil"/>
              <w:bottom w:val="single" w:sz="12" w:space="0" w:color="auto"/>
              <w:right w:val="nil"/>
            </w:tcBorders>
            <w:shd w:val="clear" w:color="auto" w:fill="auto"/>
            <w:vAlign w:val="center"/>
            <w:hideMark/>
          </w:tcPr>
          <w:p w14:paraId="434D47E3" w14:textId="10B988A7" w:rsidR="005A7F68" w:rsidRPr="00F7427D" w:rsidRDefault="005A7F68" w:rsidP="005A7F68">
            <w:pPr>
              <w:spacing w:line="240" w:lineRule="auto"/>
              <w:ind w:firstLine="0"/>
              <w:jc w:val="left"/>
              <w:rPr>
                <w:rFonts w:cs="Times New Roman"/>
                <w:lang w:val="en-US"/>
              </w:rPr>
            </w:pPr>
            <w:r w:rsidRPr="005A68E6">
              <w:rPr>
                <w:lang w:val="en-US"/>
              </w:rPr>
              <w:t>Average interest rate</w:t>
            </w:r>
            <w:r w:rsidRPr="005A68E6">
              <w:t xml:space="preserve"> (%)</w:t>
            </w:r>
          </w:p>
        </w:tc>
        <w:tc>
          <w:tcPr>
            <w:tcW w:w="1068" w:type="dxa"/>
            <w:tcBorders>
              <w:top w:val="nil"/>
              <w:left w:val="nil"/>
              <w:bottom w:val="single" w:sz="12" w:space="0" w:color="auto"/>
              <w:right w:val="nil"/>
            </w:tcBorders>
            <w:shd w:val="clear" w:color="auto" w:fill="auto"/>
            <w:vAlign w:val="center"/>
            <w:hideMark/>
          </w:tcPr>
          <w:p w14:paraId="06CBB67F"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3.6</w:t>
            </w:r>
          </w:p>
        </w:tc>
        <w:tc>
          <w:tcPr>
            <w:tcW w:w="1120" w:type="dxa"/>
            <w:tcBorders>
              <w:top w:val="nil"/>
              <w:left w:val="nil"/>
              <w:bottom w:val="single" w:sz="12" w:space="0" w:color="auto"/>
              <w:right w:val="nil"/>
            </w:tcBorders>
            <w:shd w:val="clear" w:color="auto" w:fill="auto"/>
            <w:vAlign w:val="center"/>
            <w:hideMark/>
          </w:tcPr>
          <w:p w14:paraId="5024D03F"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3.5</w:t>
            </w:r>
          </w:p>
        </w:tc>
        <w:tc>
          <w:tcPr>
            <w:tcW w:w="1001" w:type="dxa"/>
            <w:tcBorders>
              <w:top w:val="nil"/>
              <w:left w:val="nil"/>
              <w:bottom w:val="single" w:sz="12" w:space="0" w:color="auto"/>
              <w:right w:val="nil"/>
            </w:tcBorders>
            <w:shd w:val="clear" w:color="auto" w:fill="auto"/>
            <w:vAlign w:val="center"/>
            <w:hideMark/>
          </w:tcPr>
          <w:p w14:paraId="2F55DDE0"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3.4</w:t>
            </w:r>
          </w:p>
        </w:tc>
        <w:tc>
          <w:tcPr>
            <w:tcW w:w="996" w:type="dxa"/>
            <w:tcBorders>
              <w:top w:val="nil"/>
              <w:left w:val="nil"/>
              <w:bottom w:val="single" w:sz="12" w:space="0" w:color="auto"/>
              <w:right w:val="nil"/>
            </w:tcBorders>
            <w:shd w:val="clear" w:color="auto" w:fill="auto"/>
            <w:vAlign w:val="center"/>
            <w:hideMark/>
          </w:tcPr>
          <w:p w14:paraId="0C2D9DD0"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5.0</w:t>
            </w:r>
          </w:p>
        </w:tc>
        <w:tc>
          <w:tcPr>
            <w:tcW w:w="1002" w:type="dxa"/>
            <w:tcBorders>
              <w:top w:val="nil"/>
              <w:left w:val="nil"/>
              <w:bottom w:val="single" w:sz="12" w:space="0" w:color="auto"/>
              <w:right w:val="nil"/>
            </w:tcBorders>
            <w:shd w:val="clear" w:color="auto" w:fill="auto"/>
            <w:vAlign w:val="center"/>
            <w:hideMark/>
          </w:tcPr>
          <w:p w14:paraId="4D0BFA52"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4.8</w:t>
            </w:r>
          </w:p>
        </w:tc>
        <w:tc>
          <w:tcPr>
            <w:tcW w:w="990" w:type="dxa"/>
            <w:tcBorders>
              <w:top w:val="nil"/>
              <w:left w:val="nil"/>
              <w:bottom w:val="single" w:sz="12" w:space="0" w:color="auto"/>
              <w:right w:val="nil"/>
            </w:tcBorders>
            <w:shd w:val="clear" w:color="auto" w:fill="auto"/>
            <w:vAlign w:val="center"/>
            <w:hideMark/>
          </w:tcPr>
          <w:p w14:paraId="5F8EF9BF"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4.8</w:t>
            </w:r>
          </w:p>
        </w:tc>
      </w:tr>
      <w:tr w:rsidR="005A7F68" w:rsidRPr="00F7427D" w14:paraId="7F8A10B7" w14:textId="77777777" w:rsidTr="005A7F68">
        <w:trPr>
          <w:trHeight w:val="474"/>
        </w:trPr>
        <w:tc>
          <w:tcPr>
            <w:tcW w:w="3600" w:type="dxa"/>
            <w:tcBorders>
              <w:top w:val="nil"/>
              <w:left w:val="nil"/>
              <w:bottom w:val="double" w:sz="6" w:space="0" w:color="auto"/>
              <w:right w:val="nil"/>
            </w:tcBorders>
            <w:shd w:val="clear" w:color="auto" w:fill="auto"/>
            <w:vAlign w:val="center"/>
            <w:hideMark/>
          </w:tcPr>
          <w:p w14:paraId="01AB0546" w14:textId="258AAAB3" w:rsidR="005A7F68" w:rsidRPr="00F7427D" w:rsidRDefault="005A7F68" w:rsidP="005A7F68">
            <w:pPr>
              <w:spacing w:line="240" w:lineRule="auto"/>
              <w:ind w:firstLine="0"/>
              <w:jc w:val="left"/>
              <w:rPr>
                <w:rFonts w:cs="Times New Roman"/>
                <w:lang w:val="en-US"/>
              </w:rPr>
            </w:pPr>
            <w:r w:rsidRPr="005A68E6">
              <w:rPr>
                <w:lang w:val="en-US"/>
              </w:rPr>
              <w:t>Average time to maturity</w:t>
            </w:r>
            <w:r w:rsidRPr="005A68E6">
              <w:t xml:space="preserve"> (</w:t>
            </w:r>
            <w:r w:rsidRPr="005A68E6">
              <w:rPr>
                <w:lang w:val="en-US"/>
              </w:rPr>
              <w:t>years</w:t>
            </w:r>
            <w:r w:rsidRPr="005A68E6">
              <w:t>)</w:t>
            </w:r>
          </w:p>
        </w:tc>
        <w:tc>
          <w:tcPr>
            <w:tcW w:w="1068" w:type="dxa"/>
            <w:tcBorders>
              <w:top w:val="nil"/>
              <w:left w:val="nil"/>
              <w:bottom w:val="double" w:sz="6" w:space="0" w:color="auto"/>
              <w:right w:val="nil"/>
            </w:tcBorders>
            <w:shd w:val="clear" w:color="auto" w:fill="auto"/>
            <w:vAlign w:val="center"/>
            <w:hideMark/>
          </w:tcPr>
          <w:p w14:paraId="18F60AE6"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7.3</w:t>
            </w:r>
          </w:p>
        </w:tc>
        <w:tc>
          <w:tcPr>
            <w:tcW w:w="1120" w:type="dxa"/>
            <w:tcBorders>
              <w:top w:val="nil"/>
              <w:left w:val="nil"/>
              <w:bottom w:val="double" w:sz="6" w:space="0" w:color="auto"/>
              <w:right w:val="nil"/>
            </w:tcBorders>
            <w:shd w:val="clear" w:color="auto" w:fill="auto"/>
            <w:vAlign w:val="center"/>
            <w:hideMark/>
          </w:tcPr>
          <w:p w14:paraId="320CE370"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7.4</w:t>
            </w:r>
          </w:p>
        </w:tc>
        <w:tc>
          <w:tcPr>
            <w:tcW w:w="1001" w:type="dxa"/>
            <w:tcBorders>
              <w:top w:val="nil"/>
              <w:left w:val="nil"/>
              <w:bottom w:val="double" w:sz="6" w:space="0" w:color="auto"/>
              <w:right w:val="nil"/>
            </w:tcBorders>
            <w:shd w:val="clear" w:color="auto" w:fill="auto"/>
            <w:vAlign w:val="center"/>
            <w:hideMark/>
          </w:tcPr>
          <w:p w14:paraId="337E0DEA"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7.9</w:t>
            </w:r>
          </w:p>
        </w:tc>
        <w:tc>
          <w:tcPr>
            <w:tcW w:w="996" w:type="dxa"/>
            <w:tcBorders>
              <w:top w:val="nil"/>
              <w:left w:val="nil"/>
              <w:bottom w:val="double" w:sz="6" w:space="0" w:color="auto"/>
              <w:right w:val="nil"/>
            </w:tcBorders>
            <w:shd w:val="clear" w:color="auto" w:fill="auto"/>
            <w:vAlign w:val="center"/>
            <w:hideMark/>
          </w:tcPr>
          <w:p w14:paraId="05E895C4"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7.6</w:t>
            </w:r>
          </w:p>
        </w:tc>
        <w:tc>
          <w:tcPr>
            <w:tcW w:w="1002" w:type="dxa"/>
            <w:tcBorders>
              <w:top w:val="nil"/>
              <w:left w:val="nil"/>
              <w:bottom w:val="double" w:sz="6" w:space="0" w:color="auto"/>
              <w:right w:val="nil"/>
            </w:tcBorders>
            <w:shd w:val="clear" w:color="auto" w:fill="auto"/>
            <w:vAlign w:val="center"/>
            <w:hideMark/>
          </w:tcPr>
          <w:p w14:paraId="46C625D1"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7.6</w:t>
            </w:r>
          </w:p>
        </w:tc>
        <w:tc>
          <w:tcPr>
            <w:tcW w:w="990" w:type="dxa"/>
            <w:tcBorders>
              <w:top w:val="nil"/>
              <w:left w:val="nil"/>
              <w:bottom w:val="double" w:sz="6" w:space="0" w:color="auto"/>
              <w:right w:val="nil"/>
            </w:tcBorders>
            <w:shd w:val="clear" w:color="auto" w:fill="auto"/>
            <w:vAlign w:val="center"/>
            <w:hideMark/>
          </w:tcPr>
          <w:p w14:paraId="3AA5A3CF" w14:textId="77777777" w:rsidR="005A7F68" w:rsidRPr="00F7427D" w:rsidRDefault="005A7F68" w:rsidP="005A7F68">
            <w:pPr>
              <w:spacing w:line="240" w:lineRule="auto"/>
              <w:ind w:firstLine="0"/>
              <w:jc w:val="center"/>
              <w:rPr>
                <w:rFonts w:cs="Times New Roman"/>
                <w:color w:val="000000"/>
                <w:lang w:val="en-US"/>
              </w:rPr>
            </w:pPr>
            <w:r w:rsidRPr="00F7427D">
              <w:rPr>
                <w:rFonts w:cs="Times New Roman"/>
                <w:color w:val="000000"/>
                <w:lang w:val="en-US"/>
              </w:rPr>
              <w:t>7.5</w:t>
            </w:r>
          </w:p>
        </w:tc>
      </w:tr>
    </w:tbl>
    <w:p w14:paraId="1E95C20A" w14:textId="213A0BB2" w:rsidR="00025E2D" w:rsidRPr="0070296A" w:rsidRDefault="005A7F68" w:rsidP="005A7F68">
      <w:pPr>
        <w:ind w:firstLine="0"/>
      </w:pPr>
      <w:r w:rsidRPr="005A68E6">
        <w:rPr>
          <w:sz w:val="18"/>
          <w:lang w:val="en-US"/>
        </w:rPr>
        <w:t>Source: RA MoF calculations and forecasts</w:t>
      </w:r>
      <w:r w:rsidR="00051C98">
        <w:t xml:space="preserve"> </w:t>
      </w:r>
      <w:bookmarkEnd w:id="2"/>
    </w:p>
    <w:sectPr w:rsidR="00025E2D" w:rsidRPr="0070296A" w:rsidSect="006267A8">
      <w:pgSz w:w="11909" w:h="16834" w:code="9"/>
      <w:pgMar w:top="1134" w:right="749" w:bottom="567" w:left="1134" w:header="720" w:footer="2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C61F7" w14:textId="77777777" w:rsidR="009102C6" w:rsidRDefault="009102C6" w:rsidP="00A1274B">
      <w:r>
        <w:separator/>
      </w:r>
    </w:p>
  </w:endnote>
  <w:endnote w:type="continuationSeparator" w:id="0">
    <w:p w14:paraId="2335568B" w14:textId="77777777" w:rsidR="009102C6" w:rsidRDefault="009102C6" w:rsidP="00A1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Unicode">
    <w:panose1 w:val="02020603050405020304"/>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AM">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Russian Baltica">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allak Helv">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A753C" w14:textId="77777777" w:rsidR="009102C6" w:rsidRDefault="009102C6" w:rsidP="00A1274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74E0381D" w14:textId="77777777" w:rsidR="009102C6" w:rsidRDefault="009102C6" w:rsidP="00A127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554747"/>
      <w:docPartObj>
        <w:docPartGallery w:val="Page Numbers (Bottom of Page)"/>
        <w:docPartUnique/>
      </w:docPartObj>
    </w:sdtPr>
    <w:sdtEndPr>
      <w:rPr>
        <w:noProof/>
      </w:rPr>
    </w:sdtEndPr>
    <w:sdtContent>
      <w:p w14:paraId="18A7F74F" w14:textId="6E2CA0F8" w:rsidR="009102C6" w:rsidRDefault="009102C6">
        <w:pPr>
          <w:pStyle w:val="Footer"/>
          <w:jc w:val="right"/>
        </w:pPr>
        <w:r>
          <w:fldChar w:fldCharType="begin"/>
        </w:r>
        <w:r>
          <w:instrText xml:space="preserve"> PAGE   \* MERGEFORMAT </w:instrText>
        </w:r>
        <w:r>
          <w:fldChar w:fldCharType="separate"/>
        </w:r>
        <w:r w:rsidR="00F10701">
          <w:rPr>
            <w:noProof/>
          </w:rPr>
          <w:t>22</w:t>
        </w:r>
        <w:r>
          <w:rPr>
            <w:noProof/>
          </w:rPr>
          <w:fldChar w:fldCharType="end"/>
        </w:r>
      </w:p>
    </w:sdtContent>
  </w:sdt>
  <w:p w14:paraId="7EC756C8" w14:textId="77777777" w:rsidR="009102C6" w:rsidRPr="00B75D58" w:rsidRDefault="009102C6" w:rsidP="00A1274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2B6F7" w14:textId="77777777" w:rsidR="009102C6" w:rsidRDefault="009102C6" w:rsidP="00A1274B">
      <w:r>
        <w:separator/>
      </w:r>
    </w:p>
  </w:footnote>
  <w:footnote w:type="continuationSeparator" w:id="0">
    <w:p w14:paraId="3015D858" w14:textId="77777777" w:rsidR="009102C6" w:rsidRDefault="009102C6" w:rsidP="00A127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2ndheading"/>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90A7F"/>
    <w:multiLevelType w:val="hybridMultilevel"/>
    <w:tmpl w:val="C91A720C"/>
    <w:lvl w:ilvl="0" w:tplc="B096D9E8">
      <w:start w:val="1"/>
      <w:numFmt w:val="bullet"/>
      <w:lvlText w:val=""/>
      <w:lvlJc w:val="left"/>
      <w:pPr>
        <w:tabs>
          <w:tab w:val="num" w:pos="720"/>
        </w:tabs>
        <w:ind w:left="720" w:hanging="360"/>
      </w:pPr>
      <w:rPr>
        <w:rFonts w:ascii="Wingdings" w:hAnsi="Wingdings" w:hint="default"/>
      </w:rPr>
    </w:lvl>
    <w:lvl w:ilvl="1" w:tplc="43F0D7D8" w:tentative="1">
      <w:start w:val="1"/>
      <w:numFmt w:val="bullet"/>
      <w:lvlText w:val=""/>
      <w:lvlJc w:val="left"/>
      <w:pPr>
        <w:tabs>
          <w:tab w:val="num" w:pos="1440"/>
        </w:tabs>
        <w:ind w:left="1440" w:hanging="360"/>
      </w:pPr>
      <w:rPr>
        <w:rFonts w:ascii="Wingdings" w:hAnsi="Wingdings" w:hint="default"/>
      </w:rPr>
    </w:lvl>
    <w:lvl w:ilvl="2" w:tplc="0E4A8670" w:tentative="1">
      <w:start w:val="1"/>
      <w:numFmt w:val="bullet"/>
      <w:lvlText w:val=""/>
      <w:lvlJc w:val="left"/>
      <w:pPr>
        <w:tabs>
          <w:tab w:val="num" w:pos="2160"/>
        </w:tabs>
        <w:ind w:left="2160" w:hanging="360"/>
      </w:pPr>
      <w:rPr>
        <w:rFonts w:ascii="Wingdings" w:hAnsi="Wingdings" w:hint="default"/>
      </w:rPr>
    </w:lvl>
    <w:lvl w:ilvl="3" w:tplc="F77AA234" w:tentative="1">
      <w:start w:val="1"/>
      <w:numFmt w:val="bullet"/>
      <w:lvlText w:val=""/>
      <w:lvlJc w:val="left"/>
      <w:pPr>
        <w:tabs>
          <w:tab w:val="num" w:pos="2880"/>
        </w:tabs>
        <w:ind w:left="2880" w:hanging="360"/>
      </w:pPr>
      <w:rPr>
        <w:rFonts w:ascii="Wingdings" w:hAnsi="Wingdings" w:hint="default"/>
      </w:rPr>
    </w:lvl>
    <w:lvl w:ilvl="4" w:tplc="43BE4F94" w:tentative="1">
      <w:start w:val="1"/>
      <w:numFmt w:val="bullet"/>
      <w:lvlText w:val=""/>
      <w:lvlJc w:val="left"/>
      <w:pPr>
        <w:tabs>
          <w:tab w:val="num" w:pos="3600"/>
        </w:tabs>
        <w:ind w:left="3600" w:hanging="360"/>
      </w:pPr>
      <w:rPr>
        <w:rFonts w:ascii="Wingdings" w:hAnsi="Wingdings" w:hint="default"/>
      </w:rPr>
    </w:lvl>
    <w:lvl w:ilvl="5" w:tplc="6896B926" w:tentative="1">
      <w:start w:val="1"/>
      <w:numFmt w:val="bullet"/>
      <w:lvlText w:val=""/>
      <w:lvlJc w:val="left"/>
      <w:pPr>
        <w:tabs>
          <w:tab w:val="num" w:pos="4320"/>
        </w:tabs>
        <w:ind w:left="4320" w:hanging="360"/>
      </w:pPr>
      <w:rPr>
        <w:rFonts w:ascii="Wingdings" w:hAnsi="Wingdings" w:hint="default"/>
      </w:rPr>
    </w:lvl>
    <w:lvl w:ilvl="6" w:tplc="7CC4FBFC" w:tentative="1">
      <w:start w:val="1"/>
      <w:numFmt w:val="bullet"/>
      <w:lvlText w:val=""/>
      <w:lvlJc w:val="left"/>
      <w:pPr>
        <w:tabs>
          <w:tab w:val="num" w:pos="5040"/>
        </w:tabs>
        <w:ind w:left="5040" w:hanging="360"/>
      </w:pPr>
      <w:rPr>
        <w:rFonts w:ascii="Wingdings" w:hAnsi="Wingdings" w:hint="default"/>
      </w:rPr>
    </w:lvl>
    <w:lvl w:ilvl="7" w:tplc="91027D82" w:tentative="1">
      <w:start w:val="1"/>
      <w:numFmt w:val="bullet"/>
      <w:lvlText w:val=""/>
      <w:lvlJc w:val="left"/>
      <w:pPr>
        <w:tabs>
          <w:tab w:val="num" w:pos="5760"/>
        </w:tabs>
        <w:ind w:left="5760" w:hanging="360"/>
      </w:pPr>
      <w:rPr>
        <w:rFonts w:ascii="Wingdings" w:hAnsi="Wingdings" w:hint="default"/>
      </w:rPr>
    </w:lvl>
    <w:lvl w:ilvl="8" w:tplc="423C85A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77A18"/>
    <w:multiLevelType w:val="hybridMultilevel"/>
    <w:tmpl w:val="A1245534"/>
    <w:lvl w:ilvl="0" w:tplc="1DEEB76E">
      <w:start w:val="1"/>
      <w:numFmt w:val="bullet"/>
      <w:lvlText w:val=""/>
      <w:lvlJc w:val="left"/>
      <w:pPr>
        <w:tabs>
          <w:tab w:val="num" w:pos="720"/>
        </w:tabs>
        <w:ind w:left="720" w:hanging="360"/>
      </w:pPr>
      <w:rPr>
        <w:rFonts w:ascii="Wingdings" w:hAnsi="Wingdings" w:hint="default"/>
      </w:rPr>
    </w:lvl>
    <w:lvl w:ilvl="1" w:tplc="854AE1B4" w:tentative="1">
      <w:start w:val="1"/>
      <w:numFmt w:val="bullet"/>
      <w:lvlText w:val=""/>
      <w:lvlJc w:val="left"/>
      <w:pPr>
        <w:tabs>
          <w:tab w:val="num" w:pos="1440"/>
        </w:tabs>
        <w:ind w:left="1440" w:hanging="360"/>
      </w:pPr>
      <w:rPr>
        <w:rFonts w:ascii="Wingdings" w:hAnsi="Wingdings" w:hint="default"/>
      </w:rPr>
    </w:lvl>
    <w:lvl w:ilvl="2" w:tplc="502C0014" w:tentative="1">
      <w:start w:val="1"/>
      <w:numFmt w:val="bullet"/>
      <w:lvlText w:val=""/>
      <w:lvlJc w:val="left"/>
      <w:pPr>
        <w:tabs>
          <w:tab w:val="num" w:pos="2160"/>
        </w:tabs>
        <w:ind w:left="2160" w:hanging="360"/>
      </w:pPr>
      <w:rPr>
        <w:rFonts w:ascii="Wingdings" w:hAnsi="Wingdings" w:hint="default"/>
      </w:rPr>
    </w:lvl>
    <w:lvl w:ilvl="3" w:tplc="5BB0C730" w:tentative="1">
      <w:start w:val="1"/>
      <w:numFmt w:val="bullet"/>
      <w:lvlText w:val=""/>
      <w:lvlJc w:val="left"/>
      <w:pPr>
        <w:tabs>
          <w:tab w:val="num" w:pos="2880"/>
        </w:tabs>
        <w:ind w:left="2880" w:hanging="360"/>
      </w:pPr>
      <w:rPr>
        <w:rFonts w:ascii="Wingdings" w:hAnsi="Wingdings" w:hint="default"/>
      </w:rPr>
    </w:lvl>
    <w:lvl w:ilvl="4" w:tplc="FC60B900" w:tentative="1">
      <w:start w:val="1"/>
      <w:numFmt w:val="bullet"/>
      <w:lvlText w:val=""/>
      <w:lvlJc w:val="left"/>
      <w:pPr>
        <w:tabs>
          <w:tab w:val="num" w:pos="3600"/>
        </w:tabs>
        <w:ind w:left="3600" w:hanging="360"/>
      </w:pPr>
      <w:rPr>
        <w:rFonts w:ascii="Wingdings" w:hAnsi="Wingdings" w:hint="default"/>
      </w:rPr>
    </w:lvl>
    <w:lvl w:ilvl="5" w:tplc="B9D262A8" w:tentative="1">
      <w:start w:val="1"/>
      <w:numFmt w:val="bullet"/>
      <w:lvlText w:val=""/>
      <w:lvlJc w:val="left"/>
      <w:pPr>
        <w:tabs>
          <w:tab w:val="num" w:pos="4320"/>
        </w:tabs>
        <w:ind w:left="4320" w:hanging="360"/>
      </w:pPr>
      <w:rPr>
        <w:rFonts w:ascii="Wingdings" w:hAnsi="Wingdings" w:hint="default"/>
      </w:rPr>
    </w:lvl>
    <w:lvl w:ilvl="6" w:tplc="66509A00" w:tentative="1">
      <w:start w:val="1"/>
      <w:numFmt w:val="bullet"/>
      <w:lvlText w:val=""/>
      <w:lvlJc w:val="left"/>
      <w:pPr>
        <w:tabs>
          <w:tab w:val="num" w:pos="5040"/>
        </w:tabs>
        <w:ind w:left="5040" w:hanging="360"/>
      </w:pPr>
      <w:rPr>
        <w:rFonts w:ascii="Wingdings" w:hAnsi="Wingdings" w:hint="default"/>
      </w:rPr>
    </w:lvl>
    <w:lvl w:ilvl="7" w:tplc="77D80188" w:tentative="1">
      <w:start w:val="1"/>
      <w:numFmt w:val="bullet"/>
      <w:lvlText w:val=""/>
      <w:lvlJc w:val="left"/>
      <w:pPr>
        <w:tabs>
          <w:tab w:val="num" w:pos="5760"/>
        </w:tabs>
        <w:ind w:left="5760" w:hanging="360"/>
      </w:pPr>
      <w:rPr>
        <w:rFonts w:ascii="Wingdings" w:hAnsi="Wingdings" w:hint="default"/>
      </w:rPr>
    </w:lvl>
    <w:lvl w:ilvl="8" w:tplc="1B3AF96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D22CD"/>
    <w:multiLevelType w:val="multilevel"/>
    <w:tmpl w:val="C77EBEC8"/>
    <w:lvl w:ilvl="0">
      <w:start w:val="1"/>
      <w:numFmt w:val="decimal"/>
      <w:pStyle w:val="Style4"/>
      <w:lvlText w:val="´²ÄÆÜ %1."/>
      <w:lvlJc w:val="left"/>
      <w:pPr>
        <w:tabs>
          <w:tab w:val="num" w:pos="1531"/>
        </w:tabs>
        <w:ind w:left="1531" w:hanging="1531"/>
      </w:pPr>
      <w:rPr>
        <w:rFonts w:hint="default"/>
      </w:rPr>
    </w:lvl>
    <w:lvl w:ilvl="1">
      <w:start w:val="1"/>
      <w:numFmt w:val="decimal"/>
      <w:lvlRestart w:val="0"/>
      <w:pStyle w:val="annexedhead"/>
      <w:lvlText w:val="¶ÈàôÊ %2."/>
      <w:lvlJc w:val="left"/>
      <w:pPr>
        <w:tabs>
          <w:tab w:val="num" w:pos="1440"/>
        </w:tabs>
        <w:ind w:left="737" w:hanging="737"/>
      </w:pPr>
      <w:rPr>
        <w:rFonts w:hint="default"/>
      </w:rPr>
    </w:lvl>
    <w:lvl w:ilvl="2">
      <w:start w:val="1"/>
      <w:numFmt w:val="decimal"/>
      <w:pStyle w:val="StyleHeading3CenteredtextLinespacingsingle"/>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pStyle w:val="Heading6"/>
      <w:lvlText w:val="%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0E616112"/>
    <w:multiLevelType w:val="hybridMultilevel"/>
    <w:tmpl w:val="9B7EDC9E"/>
    <w:lvl w:ilvl="0" w:tplc="3B1ADE4E">
      <w:start w:val="1"/>
      <w:numFmt w:val="bullet"/>
      <w:lvlText w:val=""/>
      <w:lvlJc w:val="left"/>
      <w:pPr>
        <w:tabs>
          <w:tab w:val="num" w:pos="720"/>
        </w:tabs>
        <w:ind w:left="720" w:hanging="360"/>
      </w:pPr>
      <w:rPr>
        <w:rFonts w:ascii="Wingdings" w:hAnsi="Wingdings" w:hint="default"/>
      </w:rPr>
    </w:lvl>
    <w:lvl w:ilvl="1" w:tplc="E078F778" w:tentative="1">
      <w:start w:val="1"/>
      <w:numFmt w:val="bullet"/>
      <w:lvlText w:val=""/>
      <w:lvlJc w:val="left"/>
      <w:pPr>
        <w:tabs>
          <w:tab w:val="num" w:pos="1440"/>
        </w:tabs>
        <w:ind w:left="1440" w:hanging="360"/>
      </w:pPr>
      <w:rPr>
        <w:rFonts w:ascii="Wingdings" w:hAnsi="Wingdings" w:hint="default"/>
      </w:rPr>
    </w:lvl>
    <w:lvl w:ilvl="2" w:tplc="4468ADD6" w:tentative="1">
      <w:start w:val="1"/>
      <w:numFmt w:val="bullet"/>
      <w:lvlText w:val=""/>
      <w:lvlJc w:val="left"/>
      <w:pPr>
        <w:tabs>
          <w:tab w:val="num" w:pos="2160"/>
        </w:tabs>
        <w:ind w:left="2160" w:hanging="360"/>
      </w:pPr>
      <w:rPr>
        <w:rFonts w:ascii="Wingdings" w:hAnsi="Wingdings" w:hint="default"/>
      </w:rPr>
    </w:lvl>
    <w:lvl w:ilvl="3" w:tplc="6082FAE6" w:tentative="1">
      <w:start w:val="1"/>
      <w:numFmt w:val="bullet"/>
      <w:lvlText w:val=""/>
      <w:lvlJc w:val="left"/>
      <w:pPr>
        <w:tabs>
          <w:tab w:val="num" w:pos="2880"/>
        </w:tabs>
        <w:ind w:left="2880" w:hanging="360"/>
      </w:pPr>
      <w:rPr>
        <w:rFonts w:ascii="Wingdings" w:hAnsi="Wingdings" w:hint="default"/>
      </w:rPr>
    </w:lvl>
    <w:lvl w:ilvl="4" w:tplc="DDCA2DA0" w:tentative="1">
      <w:start w:val="1"/>
      <w:numFmt w:val="bullet"/>
      <w:lvlText w:val=""/>
      <w:lvlJc w:val="left"/>
      <w:pPr>
        <w:tabs>
          <w:tab w:val="num" w:pos="3600"/>
        </w:tabs>
        <w:ind w:left="3600" w:hanging="360"/>
      </w:pPr>
      <w:rPr>
        <w:rFonts w:ascii="Wingdings" w:hAnsi="Wingdings" w:hint="default"/>
      </w:rPr>
    </w:lvl>
    <w:lvl w:ilvl="5" w:tplc="B7A49AE8" w:tentative="1">
      <w:start w:val="1"/>
      <w:numFmt w:val="bullet"/>
      <w:lvlText w:val=""/>
      <w:lvlJc w:val="left"/>
      <w:pPr>
        <w:tabs>
          <w:tab w:val="num" w:pos="4320"/>
        </w:tabs>
        <w:ind w:left="4320" w:hanging="360"/>
      </w:pPr>
      <w:rPr>
        <w:rFonts w:ascii="Wingdings" w:hAnsi="Wingdings" w:hint="default"/>
      </w:rPr>
    </w:lvl>
    <w:lvl w:ilvl="6" w:tplc="3BC6A89A" w:tentative="1">
      <w:start w:val="1"/>
      <w:numFmt w:val="bullet"/>
      <w:lvlText w:val=""/>
      <w:lvlJc w:val="left"/>
      <w:pPr>
        <w:tabs>
          <w:tab w:val="num" w:pos="5040"/>
        </w:tabs>
        <w:ind w:left="5040" w:hanging="360"/>
      </w:pPr>
      <w:rPr>
        <w:rFonts w:ascii="Wingdings" w:hAnsi="Wingdings" w:hint="default"/>
      </w:rPr>
    </w:lvl>
    <w:lvl w:ilvl="7" w:tplc="B7F4B5E0" w:tentative="1">
      <w:start w:val="1"/>
      <w:numFmt w:val="bullet"/>
      <w:lvlText w:val=""/>
      <w:lvlJc w:val="left"/>
      <w:pPr>
        <w:tabs>
          <w:tab w:val="num" w:pos="5760"/>
        </w:tabs>
        <w:ind w:left="5760" w:hanging="360"/>
      </w:pPr>
      <w:rPr>
        <w:rFonts w:ascii="Wingdings" w:hAnsi="Wingdings" w:hint="default"/>
      </w:rPr>
    </w:lvl>
    <w:lvl w:ilvl="8" w:tplc="DE32C4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0B6AF2"/>
    <w:multiLevelType w:val="hybridMultilevel"/>
    <w:tmpl w:val="4B985CFC"/>
    <w:lvl w:ilvl="0" w:tplc="C4C8B618">
      <w:start w:val="1"/>
      <w:numFmt w:val="bullet"/>
      <w:lvlText w:val=""/>
      <w:lvlJc w:val="left"/>
      <w:pPr>
        <w:tabs>
          <w:tab w:val="num" w:pos="720"/>
        </w:tabs>
        <w:ind w:left="720" w:hanging="360"/>
      </w:pPr>
      <w:rPr>
        <w:rFonts w:ascii="Wingdings" w:hAnsi="Wingdings" w:hint="default"/>
      </w:rPr>
    </w:lvl>
    <w:lvl w:ilvl="1" w:tplc="3342CE0C" w:tentative="1">
      <w:start w:val="1"/>
      <w:numFmt w:val="bullet"/>
      <w:lvlText w:val=""/>
      <w:lvlJc w:val="left"/>
      <w:pPr>
        <w:tabs>
          <w:tab w:val="num" w:pos="1440"/>
        </w:tabs>
        <w:ind w:left="1440" w:hanging="360"/>
      </w:pPr>
      <w:rPr>
        <w:rFonts w:ascii="Wingdings" w:hAnsi="Wingdings" w:hint="default"/>
      </w:rPr>
    </w:lvl>
    <w:lvl w:ilvl="2" w:tplc="440CF8B4" w:tentative="1">
      <w:start w:val="1"/>
      <w:numFmt w:val="bullet"/>
      <w:lvlText w:val=""/>
      <w:lvlJc w:val="left"/>
      <w:pPr>
        <w:tabs>
          <w:tab w:val="num" w:pos="2160"/>
        </w:tabs>
        <w:ind w:left="2160" w:hanging="360"/>
      </w:pPr>
      <w:rPr>
        <w:rFonts w:ascii="Wingdings" w:hAnsi="Wingdings" w:hint="default"/>
      </w:rPr>
    </w:lvl>
    <w:lvl w:ilvl="3" w:tplc="BFA24EE0" w:tentative="1">
      <w:start w:val="1"/>
      <w:numFmt w:val="bullet"/>
      <w:lvlText w:val=""/>
      <w:lvlJc w:val="left"/>
      <w:pPr>
        <w:tabs>
          <w:tab w:val="num" w:pos="2880"/>
        </w:tabs>
        <w:ind w:left="2880" w:hanging="360"/>
      </w:pPr>
      <w:rPr>
        <w:rFonts w:ascii="Wingdings" w:hAnsi="Wingdings" w:hint="default"/>
      </w:rPr>
    </w:lvl>
    <w:lvl w:ilvl="4" w:tplc="4E50C90A" w:tentative="1">
      <w:start w:val="1"/>
      <w:numFmt w:val="bullet"/>
      <w:lvlText w:val=""/>
      <w:lvlJc w:val="left"/>
      <w:pPr>
        <w:tabs>
          <w:tab w:val="num" w:pos="3600"/>
        </w:tabs>
        <w:ind w:left="3600" w:hanging="360"/>
      </w:pPr>
      <w:rPr>
        <w:rFonts w:ascii="Wingdings" w:hAnsi="Wingdings" w:hint="default"/>
      </w:rPr>
    </w:lvl>
    <w:lvl w:ilvl="5" w:tplc="35CC4AF0" w:tentative="1">
      <w:start w:val="1"/>
      <w:numFmt w:val="bullet"/>
      <w:lvlText w:val=""/>
      <w:lvlJc w:val="left"/>
      <w:pPr>
        <w:tabs>
          <w:tab w:val="num" w:pos="4320"/>
        </w:tabs>
        <w:ind w:left="4320" w:hanging="360"/>
      </w:pPr>
      <w:rPr>
        <w:rFonts w:ascii="Wingdings" w:hAnsi="Wingdings" w:hint="default"/>
      </w:rPr>
    </w:lvl>
    <w:lvl w:ilvl="6" w:tplc="3FB223C4" w:tentative="1">
      <w:start w:val="1"/>
      <w:numFmt w:val="bullet"/>
      <w:lvlText w:val=""/>
      <w:lvlJc w:val="left"/>
      <w:pPr>
        <w:tabs>
          <w:tab w:val="num" w:pos="5040"/>
        </w:tabs>
        <w:ind w:left="5040" w:hanging="360"/>
      </w:pPr>
      <w:rPr>
        <w:rFonts w:ascii="Wingdings" w:hAnsi="Wingdings" w:hint="default"/>
      </w:rPr>
    </w:lvl>
    <w:lvl w:ilvl="7" w:tplc="67A23A38" w:tentative="1">
      <w:start w:val="1"/>
      <w:numFmt w:val="bullet"/>
      <w:lvlText w:val=""/>
      <w:lvlJc w:val="left"/>
      <w:pPr>
        <w:tabs>
          <w:tab w:val="num" w:pos="5760"/>
        </w:tabs>
        <w:ind w:left="5760" w:hanging="360"/>
      </w:pPr>
      <w:rPr>
        <w:rFonts w:ascii="Wingdings" w:hAnsi="Wingdings" w:hint="default"/>
      </w:rPr>
    </w:lvl>
    <w:lvl w:ilvl="8" w:tplc="0142C1D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C13DF6"/>
    <w:multiLevelType w:val="multilevel"/>
    <w:tmpl w:val="4F5A80D2"/>
    <w:lvl w:ilvl="0">
      <w:start w:val="1"/>
      <w:numFmt w:val="decimal"/>
      <w:lvlText w:val="Գլուխ %1."/>
      <w:lvlJc w:val="left"/>
      <w:pPr>
        <w:ind w:left="8866" w:hanging="360"/>
      </w:pPr>
      <w:rPr>
        <w:rFonts w:ascii="GHEA Grapalat" w:hAnsi="GHEA Grapalat" w:hint="default"/>
        <w:b/>
        <w:i w:val="0"/>
        <w:sz w:val="26"/>
        <w:szCs w:val="26"/>
      </w:rPr>
    </w:lvl>
    <w:lvl w:ilvl="1">
      <w:start w:val="1"/>
      <w:numFmt w:val="decimal"/>
      <w:pStyle w:val="Heading3"/>
      <w:lvlText w:val="%1.%2."/>
      <w:lvlJc w:val="left"/>
      <w:pPr>
        <w:ind w:left="9080" w:hanging="432"/>
      </w:pPr>
      <w:rPr>
        <w:b/>
        <w:bCs w:val="0"/>
      </w:rPr>
    </w:lvl>
    <w:lvl w:ilvl="2">
      <w:start w:val="1"/>
      <w:numFmt w:val="decimal"/>
      <w:pStyle w:val="Heading4"/>
      <w:lvlText w:val="%1.%2.%3."/>
      <w:lvlJc w:val="left"/>
      <w:pPr>
        <w:ind w:left="9162" w:hanging="504"/>
      </w:pPr>
    </w:lvl>
    <w:lvl w:ilvl="3">
      <w:start w:val="1"/>
      <w:numFmt w:val="decimal"/>
      <w:lvlText w:val="%1.%2.%3.%4."/>
      <w:lvlJc w:val="left"/>
      <w:pPr>
        <w:ind w:left="9666" w:hanging="648"/>
      </w:pPr>
    </w:lvl>
    <w:lvl w:ilvl="4">
      <w:start w:val="1"/>
      <w:numFmt w:val="decimal"/>
      <w:lvlText w:val="%1.%2.%3.%4.%5."/>
      <w:lvlJc w:val="left"/>
      <w:pPr>
        <w:ind w:left="10170" w:hanging="792"/>
      </w:pPr>
    </w:lvl>
    <w:lvl w:ilvl="5">
      <w:start w:val="1"/>
      <w:numFmt w:val="decimal"/>
      <w:lvlText w:val="%1.%2.%3.%4.%5.%6."/>
      <w:lvlJc w:val="left"/>
      <w:pPr>
        <w:ind w:left="10674" w:hanging="936"/>
      </w:pPr>
    </w:lvl>
    <w:lvl w:ilvl="6">
      <w:start w:val="1"/>
      <w:numFmt w:val="decimal"/>
      <w:lvlText w:val="%1.%2.%3.%4.%5.%6.%7."/>
      <w:lvlJc w:val="left"/>
      <w:pPr>
        <w:ind w:left="11178" w:hanging="1080"/>
      </w:pPr>
    </w:lvl>
    <w:lvl w:ilvl="7">
      <w:start w:val="1"/>
      <w:numFmt w:val="decimal"/>
      <w:lvlText w:val="%1.%2.%3.%4.%5.%6.%7.%8."/>
      <w:lvlJc w:val="left"/>
      <w:pPr>
        <w:ind w:left="11682" w:hanging="1224"/>
      </w:pPr>
    </w:lvl>
    <w:lvl w:ilvl="8">
      <w:start w:val="1"/>
      <w:numFmt w:val="decimal"/>
      <w:lvlText w:val="%1.%2.%3.%4.%5.%6.%7.%8.%9."/>
      <w:lvlJc w:val="left"/>
      <w:pPr>
        <w:ind w:left="12258" w:hanging="1440"/>
      </w:pPr>
    </w:lvl>
  </w:abstractNum>
  <w:abstractNum w:abstractNumId="9" w15:restartNumberingAfterBreak="0">
    <w:nsid w:val="2C0D17E8"/>
    <w:multiLevelType w:val="hybridMultilevel"/>
    <w:tmpl w:val="E8280606"/>
    <w:name w:val="WW8Num43"/>
    <w:lvl w:ilvl="0" w:tplc="FFFFFFFF">
      <w:start w:val="110"/>
      <w:numFmt w:val="bullet"/>
      <w:pStyle w:val="ListBullet2"/>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10" w15:restartNumberingAfterBreak="0">
    <w:nsid w:val="2EC57CAF"/>
    <w:multiLevelType w:val="multilevel"/>
    <w:tmpl w:val="3618B40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EF24154"/>
    <w:multiLevelType w:val="hybridMultilevel"/>
    <w:tmpl w:val="ED42B412"/>
    <w:lvl w:ilvl="0" w:tplc="C1DED674">
      <w:start w:val="1"/>
      <w:numFmt w:val="bullet"/>
      <w:lvlText w:val=""/>
      <w:lvlJc w:val="left"/>
      <w:pPr>
        <w:tabs>
          <w:tab w:val="num" w:pos="720"/>
        </w:tabs>
        <w:ind w:left="720" w:hanging="360"/>
      </w:pPr>
      <w:rPr>
        <w:rFonts w:ascii="Wingdings" w:hAnsi="Wingdings" w:hint="default"/>
      </w:rPr>
    </w:lvl>
    <w:lvl w:ilvl="1" w:tplc="9AB6C34E" w:tentative="1">
      <w:start w:val="1"/>
      <w:numFmt w:val="bullet"/>
      <w:lvlText w:val=""/>
      <w:lvlJc w:val="left"/>
      <w:pPr>
        <w:tabs>
          <w:tab w:val="num" w:pos="1440"/>
        </w:tabs>
        <w:ind w:left="1440" w:hanging="360"/>
      </w:pPr>
      <w:rPr>
        <w:rFonts w:ascii="Wingdings" w:hAnsi="Wingdings" w:hint="default"/>
      </w:rPr>
    </w:lvl>
    <w:lvl w:ilvl="2" w:tplc="0FFEDB2E" w:tentative="1">
      <w:start w:val="1"/>
      <w:numFmt w:val="bullet"/>
      <w:lvlText w:val=""/>
      <w:lvlJc w:val="left"/>
      <w:pPr>
        <w:tabs>
          <w:tab w:val="num" w:pos="2160"/>
        </w:tabs>
        <w:ind w:left="2160" w:hanging="360"/>
      </w:pPr>
      <w:rPr>
        <w:rFonts w:ascii="Wingdings" w:hAnsi="Wingdings" w:hint="default"/>
      </w:rPr>
    </w:lvl>
    <w:lvl w:ilvl="3" w:tplc="140E9A2C" w:tentative="1">
      <w:start w:val="1"/>
      <w:numFmt w:val="bullet"/>
      <w:lvlText w:val=""/>
      <w:lvlJc w:val="left"/>
      <w:pPr>
        <w:tabs>
          <w:tab w:val="num" w:pos="2880"/>
        </w:tabs>
        <w:ind w:left="2880" w:hanging="360"/>
      </w:pPr>
      <w:rPr>
        <w:rFonts w:ascii="Wingdings" w:hAnsi="Wingdings" w:hint="default"/>
      </w:rPr>
    </w:lvl>
    <w:lvl w:ilvl="4" w:tplc="34B8F5C4" w:tentative="1">
      <w:start w:val="1"/>
      <w:numFmt w:val="bullet"/>
      <w:lvlText w:val=""/>
      <w:lvlJc w:val="left"/>
      <w:pPr>
        <w:tabs>
          <w:tab w:val="num" w:pos="3600"/>
        </w:tabs>
        <w:ind w:left="3600" w:hanging="360"/>
      </w:pPr>
      <w:rPr>
        <w:rFonts w:ascii="Wingdings" w:hAnsi="Wingdings" w:hint="default"/>
      </w:rPr>
    </w:lvl>
    <w:lvl w:ilvl="5" w:tplc="F38E2590" w:tentative="1">
      <w:start w:val="1"/>
      <w:numFmt w:val="bullet"/>
      <w:lvlText w:val=""/>
      <w:lvlJc w:val="left"/>
      <w:pPr>
        <w:tabs>
          <w:tab w:val="num" w:pos="4320"/>
        </w:tabs>
        <w:ind w:left="4320" w:hanging="360"/>
      </w:pPr>
      <w:rPr>
        <w:rFonts w:ascii="Wingdings" w:hAnsi="Wingdings" w:hint="default"/>
      </w:rPr>
    </w:lvl>
    <w:lvl w:ilvl="6" w:tplc="549C772A" w:tentative="1">
      <w:start w:val="1"/>
      <w:numFmt w:val="bullet"/>
      <w:lvlText w:val=""/>
      <w:lvlJc w:val="left"/>
      <w:pPr>
        <w:tabs>
          <w:tab w:val="num" w:pos="5040"/>
        </w:tabs>
        <w:ind w:left="5040" w:hanging="360"/>
      </w:pPr>
      <w:rPr>
        <w:rFonts w:ascii="Wingdings" w:hAnsi="Wingdings" w:hint="default"/>
      </w:rPr>
    </w:lvl>
    <w:lvl w:ilvl="7" w:tplc="1862C7AC" w:tentative="1">
      <w:start w:val="1"/>
      <w:numFmt w:val="bullet"/>
      <w:lvlText w:val=""/>
      <w:lvlJc w:val="left"/>
      <w:pPr>
        <w:tabs>
          <w:tab w:val="num" w:pos="5760"/>
        </w:tabs>
        <w:ind w:left="5760" w:hanging="360"/>
      </w:pPr>
      <w:rPr>
        <w:rFonts w:ascii="Wingdings" w:hAnsi="Wingdings" w:hint="default"/>
      </w:rPr>
    </w:lvl>
    <w:lvl w:ilvl="8" w:tplc="8E26E5B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B5C6D"/>
    <w:multiLevelType w:val="hybridMultilevel"/>
    <w:tmpl w:val="3B385820"/>
    <w:lvl w:ilvl="0" w:tplc="3FFADF36">
      <w:start w:val="1"/>
      <w:numFmt w:val="bullet"/>
      <w:lvlText w:val=""/>
      <w:lvlJc w:val="left"/>
      <w:pPr>
        <w:tabs>
          <w:tab w:val="num" w:pos="720"/>
        </w:tabs>
        <w:ind w:left="720" w:hanging="360"/>
      </w:pPr>
      <w:rPr>
        <w:rFonts w:ascii="Wingdings" w:hAnsi="Wingdings" w:hint="default"/>
      </w:rPr>
    </w:lvl>
    <w:lvl w:ilvl="1" w:tplc="DB200D38" w:tentative="1">
      <w:start w:val="1"/>
      <w:numFmt w:val="bullet"/>
      <w:lvlText w:val=""/>
      <w:lvlJc w:val="left"/>
      <w:pPr>
        <w:tabs>
          <w:tab w:val="num" w:pos="1440"/>
        </w:tabs>
        <w:ind w:left="1440" w:hanging="360"/>
      </w:pPr>
      <w:rPr>
        <w:rFonts w:ascii="Wingdings" w:hAnsi="Wingdings" w:hint="default"/>
      </w:rPr>
    </w:lvl>
    <w:lvl w:ilvl="2" w:tplc="9CA620D8" w:tentative="1">
      <w:start w:val="1"/>
      <w:numFmt w:val="bullet"/>
      <w:lvlText w:val=""/>
      <w:lvlJc w:val="left"/>
      <w:pPr>
        <w:tabs>
          <w:tab w:val="num" w:pos="2160"/>
        </w:tabs>
        <w:ind w:left="2160" w:hanging="360"/>
      </w:pPr>
      <w:rPr>
        <w:rFonts w:ascii="Wingdings" w:hAnsi="Wingdings" w:hint="default"/>
      </w:rPr>
    </w:lvl>
    <w:lvl w:ilvl="3" w:tplc="543293F0" w:tentative="1">
      <w:start w:val="1"/>
      <w:numFmt w:val="bullet"/>
      <w:lvlText w:val=""/>
      <w:lvlJc w:val="left"/>
      <w:pPr>
        <w:tabs>
          <w:tab w:val="num" w:pos="2880"/>
        </w:tabs>
        <w:ind w:left="2880" w:hanging="360"/>
      </w:pPr>
      <w:rPr>
        <w:rFonts w:ascii="Wingdings" w:hAnsi="Wingdings" w:hint="default"/>
      </w:rPr>
    </w:lvl>
    <w:lvl w:ilvl="4" w:tplc="DED29FBC" w:tentative="1">
      <w:start w:val="1"/>
      <w:numFmt w:val="bullet"/>
      <w:lvlText w:val=""/>
      <w:lvlJc w:val="left"/>
      <w:pPr>
        <w:tabs>
          <w:tab w:val="num" w:pos="3600"/>
        </w:tabs>
        <w:ind w:left="3600" w:hanging="360"/>
      </w:pPr>
      <w:rPr>
        <w:rFonts w:ascii="Wingdings" w:hAnsi="Wingdings" w:hint="default"/>
      </w:rPr>
    </w:lvl>
    <w:lvl w:ilvl="5" w:tplc="6C2C621C" w:tentative="1">
      <w:start w:val="1"/>
      <w:numFmt w:val="bullet"/>
      <w:lvlText w:val=""/>
      <w:lvlJc w:val="left"/>
      <w:pPr>
        <w:tabs>
          <w:tab w:val="num" w:pos="4320"/>
        </w:tabs>
        <w:ind w:left="4320" w:hanging="360"/>
      </w:pPr>
      <w:rPr>
        <w:rFonts w:ascii="Wingdings" w:hAnsi="Wingdings" w:hint="default"/>
      </w:rPr>
    </w:lvl>
    <w:lvl w:ilvl="6" w:tplc="69288A48" w:tentative="1">
      <w:start w:val="1"/>
      <w:numFmt w:val="bullet"/>
      <w:lvlText w:val=""/>
      <w:lvlJc w:val="left"/>
      <w:pPr>
        <w:tabs>
          <w:tab w:val="num" w:pos="5040"/>
        </w:tabs>
        <w:ind w:left="5040" w:hanging="360"/>
      </w:pPr>
      <w:rPr>
        <w:rFonts w:ascii="Wingdings" w:hAnsi="Wingdings" w:hint="default"/>
      </w:rPr>
    </w:lvl>
    <w:lvl w:ilvl="7" w:tplc="796A477A" w:tentative="1">
      <w:start w:val="1"/>
      <w:numFmt w:val="bullet"/>
      <w:lvlText w:val=""/>
      <w:lvlJc w:val="left"/>
      <w:pPr>
        <w:tabs>
          <w:tab w:val="num" w:pos="5760"/>
        </w:tabs>
        <w:ind w:left="5760" w:hanging="360"/>
      </w:pPr>
      <w:rPr>
        <w:rFonts w:ascii="Wingdings" w:hAnsi="Wingdings" w:hint="default"/>
      </w:rPr>
    </w:lvl>
    <w:lvl w:ilvl="8" w:tplc="9E5EF5B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993892"/>
    <w:multiLevelType w:val="hybridMultilevel"/>
    <w:tmpl w:val="27648804"/>
    <w:lvl w:ilvl="0" w:tplc="114CD1F0">
      <w:start w:val="1"/>
      <w:numFmt w:val="decimal"/>
      <w:lvlText w:val="Table %1."/>
      <w:lvlJc w:val="left"/>
      <w:pPr>
        <w:ind w:left="475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DBD3AA3"/>
    <w:multiLevelType w:val="hybridMultilevel"/>
    <w:tmpl w:val="88A21DE0"/>
    <w:lvl w:ilvl="0" w:tplc="7FDED30E">
      <w:start w:val="1"/>
      <w:numFmt w:val="bullet"/>
      <w:lvlText w:val=""/>
      <w:lvlJc w:val="left"/>
      <w:pPr>
        <w:tabs>
          <w:tab w:val="num" w:pos="720"/>
        </w:tabs>
        <w:ind w:left="720" w:hanging="360"/>
      </w:pPr>
      <w:rPr>
        <w:rFonts w:ascii="Wingdings" w:hAnsi="Wingdings" w:hint="default"/>
      </w:rPr>
    </w:lvl>
    <w:lvl w:ilvl="1" w:tplc="3B50F5EA" w:tentative="1">
      <w:start w:val="1"/>
      <w:numFmt w:val="bullet"/>
      <w:lvlText w:val=""/>
      <w:lvlJc w:val="left"/>
      <w:pPr>
        <w:tabs>
          <w:tab w:val="num" w:pos="1440"/>
        </w:tabs>
        <w:ind w:left="1440" w:hanging="360"/>
      </w:pPr>
      <w:rPr>
        <w:rFonts w:ascii="Wingdings" w:hAnsi="Wingdings" w:hint="default"/>
      </w:rPr>
    </w:lvl>
    <w:lvl w:ilvl="2" w:tplc="A7CA7650" w:tentative="1">
      <w:start w:val="1"/>
      <w:numFmt w:val="bullet"/>
      <w:lvlText w:val=""/>
      <w:lvlJc w:val="left"/>
      <w:pPr>
        <w:tabs>
          <w:tab w:val="num" w:pos="2160"/>
        </w:tabs>
        <w:ind w:left="2160" w:hanging="360"/>
      </w:pPr>
      <w:rPr>
        <w:rFonts w:ascii="Wingdings" w:hAnsi="Wingdings" w:hint="default"/>
      </w:rPr>
    </w:lvl>
    <w:lvl w:ilvl="3" w:tplc="7EAABD28" w:tentative="1">
      <w:start w:val="1"/>
      <w:numFmt w:val="bullet"/>
      <w:lvlText w:val=""/>
      <w:lvlJc w:val="left"/>
      <w:pPr>
        <w:tabs>
          <w:tab w:val="num" w:pos="2880"/>
        </w:tabs>
        <w:ind w:left="2880" w:hanging="360"/>
      </w:pPr>
      <w:rPr>
        <w:rFonts w:ascii="Wingdings" w:hAnsi="Wingdings" w:hint="default"/>
      </w:rPr>
    </w:lvl>
    <w:lvl w:ilvl="4" w:tplc="30C209DE" w:tentative="1">
      <w:start w:val="1"/>
      <w:numFmt w:val="bullet"/>
      <w:lvlText w:val=""/>
      <w:lvlJc w:val="left"/>
      <w:pPr>
        <w:tabs>
          <w:tab w:val="num" w:pos="3600"/>
        </w:tabs>
        <w:ind w:left="3600" w:hanging="360"/>
      </w:pPr>
      <w:rPr>
        <w:rFonts w:ascii="Wingdings" w:hAnsi="Wingdings" w:hint="default"/>
      </w:rPr>
    </w:lvl>
    <w:lvl w:ilvl="5" w:tplc="EB66365A" w:tentative="1">
      <w:start w:val="1"/>
      <w:numFmt w:val="bullet"/>
      <w:lvlText w:val=""/>
      <w:lvlJc w:val="left"/>
      <w:pPr>
        <w:tabs>
          <w:tab w:val="num" w:pos="4320"/>
        </w:tabs>
        <w:ind w:left="4320" w:hanging="360"/>
      </w:pPr>
      <w:rPr>
        <w:rFonts w:ascii="Wingdings" w:hAnsi="Wingdings" w:hint="default"/>
      </w:rPr>
    </w:lvl>
    <w:lvl w:ilvl="6" w:tplc="8034D06E" w:tentative="1">
      <w:start w:val="1"/>
      <w:numFmt w:val="bullet"/>
      <w:lvlText w:val=""/>
      <w:lvlJc w:val="left"/>
      <w:pPr>
        <w:tabs>
          <w:tab w:val="num" w:pos="5040"/>
        </w:tabs>
        <w:ind w:left="5040" w:hanging="360"/>
      </w:pPr>
      <w:rPr>
        <w:rFonts w:ascii="Wingdings" w:hAnsi="Wingdings" w:hint="default"/>
      </w:rPr>
    </w:lvl>
    <w:lvl w:ilvl="7" w:tplc="A0E61550" w:tentative="1">
      <w:start w:val="1"/>
      <w:numFmt w:val="bullet"/>
      <w:lvlText w:val=""/>
      <w:lvlJc w:val="left"/>
      <w:pPr>
        <w:tabs>
          <w:tab w:val="num" w:pos="5760"/>
        </w:tabs>
        <w:ind w:left="5760" w:hanging="360"/>
      </w:pPr>
      <w:rPr>
        <w:rFonts w:ascii="Wingdings" w:hAnsi="Wingdings" w:hint="default"/>
      </w:rPr>
    </w:lvl>
    <w:lvl w:ilvl="8" w:tplc="058C3F2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0D40F5"/>
    <w:multiLevelType w:val="hybridMultilevel"/>
    <w:tmpl w:val="EBA60766"/>
    <w:lvl w:ilvl="0" w:tplc="04090001">
      <w:start w:val="1"/>
      <w:numFmt w:val="bullet"/>
      <w:lvlText w:val=""/>
      <w:lvlJc w:val="left"/>
      <w:pPr>
        <w:tabs>
          <w:tab w:val="num" w:pos="480"/>
        </w:tabs>
        <w:ind w:left="4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nsolas" w:hAnsi="Consola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nsolas" w:hAnsi="Consola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nsolas" w:hAnsi="Consola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8" w15:restartNumberingAfterBreak="0">
    <w:nsid w:val="4728094A"/>
    <w:multiLevelType w:val="hybridMultilevel"/>
    <w:tmpl w:val="2ADC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A0F9D"/>
    <w:multiLevelType w:val="hybridMultilevel"/>
    <w:tmpl w:val="7366AF70"/>
    <w:lvl w:ilvl="0" w:tplc="FA86A28E">
      <w:start w:val="1"/>
      <w:numFmt w:val="bullet"/>
      <w:lvlText w:val=""/>
      <w:lvlJc w:val="left"/>
      <w:pPr>
        <w:tabs>
          <w:tab w:val="num" w:pos="720"/>
        </w:tabs>
        <w:ind w:left="720" w:hanging="360"/>
      </w:pPr>
      <w:rPr>
        <w:rFonts w:ascii="Wingdings" w:hAnsi="Wingdings" w:hint="default"/>
      </w:rPr>
    </w:lvl>
    <w:lvl w:ilvl="1" w:tplc="CD76D0BA" w:tentative="1">
      <w:start w:val="1"/>
      <w:numFmt w:val="bullet"/>
      <w:lvlText w:val=""/>
      <w:lvlJc w:val="left"/>
      <w:pPr>
        <w:tabs>
          <w:tab w:val="num" w:pos="1440"/>
        </w:tabs>
        <w:ind w:left="1440" w:hanging="360"/>
      </w:pPr>
      <w:rPr>
        <w:rFonts w:ascii="Wingdings" w:hAnsi="Wingdings" w:hint="default"/>
      </w:rPr>
    </w:lvl>
    <w:lvl w:ilvl="2" w:tplc="EADA6C56" w:tentative="1">
      <w:start w:val="1"/>
      <w:numFmt w:val="bullet"/>
      <w:lvlText w:val=""/>
      <w:lvlJc w:val="left"/>
      <w:pPr>
        <w:tabs>
          <w:tab w:val="num" w:pos="2160"/>
        </w:tabs>
        <w:ind w:left="2160" w:hanging="360"/>
      </w:pPr>
      <w:rPr>
        <w:rFonts w:ascii="Wingdings" w:hAnsi="Wingdings" w:hint="default"/>
      </w:rPr>
    </w:lvl>
    <w:lvl w:ilvl="3" w:tplc="95E6233A" w:tentative="1">
      <w:start w:val="1"/>
      <w:numFmt w:val="bullet"/>
      <w:lvlText w:val=""/>
      <w:lvlJc w:val="left"/>
      <w:pPr>
        <w:tabs>
          <w:tab w:val="num" w:pos="2880"/>
        </w:tabs>
        <w:ind w:left="2880" w:hanging="360"/>
      </w:pPr>
      <w:rPr>
        <w:rFonts w:ascii="Wingdings" w:hAnsi="Wingdings" w:hint="default"/>
      </w:rPr>
    </w:lvl>
    <w:lvl w:ilvl="4" w:tplc="B608EADE" w:tentative="1">
      <w:start w:val="1"/>
      <w:numFmt w:val="bullet"/>
      <w:lvlText w:val=""/>
      <w:lvlJc w:val="left"/>
      <w:pPr>
        <w:tabs>
          <w:tab w:val="num" w:pos="3600"/>
        </w:tabs>
        <w:ind w:left="3600" w:hanging="360"/>
      </w:pPr>
      <w:rPr>
        <w:rFonts w:ascii="Wingdings" w:hAnsi="Wingdings" w:hint="default"/>
      </w:rPr>
    </w:lvl>
    <w:lvl w:ilvl="5" w:tplc="EA321E1C" w:tentative="1">
      <w:start w:val="1"/>
      <w:numFmt w:val="bullet"/>
      <w:lvlText w:val=""/>
      <w:lvlJc w:val="left"/>
      <w:pPr>
        <w:tabs>
          <w:tab w:val="num" w:pos="4320"/>
        </w:tabs>
        <w:ind w:left="4320" w:hanging="360"/>
      </w:pPr>
      <w:rPr>
        <w:rFonts w:ascii="Wingdings" w:hAnsi="Wingdings" w:hint="default"/>
      </w:rPr>
    </w:lvl>
    <w:lvl w:ilvl="6" w:tplc="8C504B98" w:tentative="1">
      <w:start w:val="1"/>
      <w:numFmt w:val="bullet"/>
      <w:lvlText w:val=""/>
      <w:lvlJc w:val="left"/>
      <w:pPr>
        <w:tabs>
          <w:tab w:val="num" w:pos="5040"/>
        </w:tabs>
        <w:ind w:left="5040" w:hanging="360"/>
      </w:pPr>
      <w:rPr>
        <w:rFonts w:ascii="Wingdings" w:hAnsi="Wingdings" w:hint="default"/>
      </w:rPr>
    </w:lvl>
    <w:lvl w:ilvl="7" w:tplc="92983ECE" w:tentative="1">
      <w:start w:val="1"/>
      <w:numFmt w:val="bullet"/>
      <w:lvlText w:val=""/>
      <w:lvlJc w:val="left"/>
      <w:pPr>
        <w:tabs>
          <w:tab w:val="num" w:pos="5760"/>
        </w:tabs>
        <w:ind w:left="5760" w:hanging="360"/>
      </w:pPr>
      <w:rPr>
        <w:rFonts w:ascii="Wingdings" w:hAnsi="Wingdings" w:hint="default"/>
      </w:rPr>
    </w:lvl>
    <w:lvl w:ilvl="8" w:tplc="E3B073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041A13"/>
    <w:multiLevelType w:val="hybridMultilevel"/>
    <w:tmpl w:val="BF2ED4EA"/>
    <w:lvl w:ilvl="0" w:tplc="802CC0CC">
      <w:start w:val="1"/>
      <w:numFmt w:val="decimal"/>
      <w:lvlText w:val="Chart %1."/>
      <w:lvlJc w:val="left"/>
      <w:pPr>
        <w:ind w:left="720" w:hanging="360"/>
      </w:pPr>
      <w:rPr>
        <w:rFonts w:hint="default"/>
        <w:b/>
        <w:bCs/>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247228"/>
    <w:multiLevelType w:val="hybridMultilevel"/>
    <w:tmpl w:val="69C88C5A"/>
    <w:lvl w:ilvl="0" w:tplc="04190001">
      <w:numFmt w:val="bullet"/>
      <w:pStyle w:val="a"/>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26" w15:restartNumberingAfterBreak="0">
    <w:nsid w:val="5F7C6FDB"/>
    <w:multiLevelType w:val="hybridMultilevel"/>
    <w:tmpl w:val="39C6AF84"/>
    <w:lvl w:ilvl="0" w:tplc="04090001">
      <w:start w:val="1"/>
      <w:numFmt w:val="decimal"/>
      <w:pStyle w:val="BodyText1"/>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6ABB4524"/>
    <w:multiLevelType w:val="hybridMultilevel"/>
    <w:tmpl w:val="831688D4"/>
    <w:lvl w:ilvl="0" w:tplc="04090001">
      <w:start w:val="1"/>
      <w:numFmt w:val="bullet"/>
      <w:pStyle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6B654E65"/>
    <w:multiLevelType w:val="hybridMultilevel"/>
    <w:tmpl w:val="981256A4"/>
    <w:lvl w:ilvl="0" w:tplc="6DACEB06">
      <w:start w:val="1"/>
      <w:numFmt w:val="bullet"/>
      <w:lvlText w:val=""/>
      <w:lvlJc w:val="left"/>
      <w:pPr>
        <w:tabs>
          <w:tab w:val="num" w:pos="720"/>
        </w:tabs>
        <w:ind w:left="720" w:hanging="360"/>
      </w:pPr>
      <w:rPr>
        <w:rFonts w:ascii="Wingdings" w:hAnsi="Wingdings" w:hint="default"/>
      </w:rPr>
    </w:lvl>
    <w:lvl w:ilvl="1" w:tplc="070E08E4" w:tentative="1">
      <w:start w:val="1"/>
      <w:numFmt w:val="bullet"/>
      <w:lvlText w:val=""/>
      <w:lvlJc w:val="left"/>
      <w:pPr>
        <w:tabs>
          <w:tab w:val="num" w:pos="1440"/>
        </w:tabs>
        <w:ind w:left="1440" w:hanging="360"/>
      </w:pPr>
      <w:rPr>
        <w:rFonts w:ascii="Wingdings" w:hAnsi="Wingdings" w:hint="default"/>
      </w:rPr>
    </w:lvl>
    <w:lvl w:ilvl="2" w:tplc="719CEC78" w:tentative="1">
      <w:start w:val="1"/>
      <w:numFmt w:val="bullet"/>
      <w:lvlText w:val=""/>
      <w:lvlJc w:val="left"/>
      <w:pPr>
        <w:tabs>
          <w:tab w:val="num" w:pos="2160"/>
        </w:tabs>
        <w:ind w:left="2160" w:hanging="360"/>
      </w:pPr>
      <w:rPr>
        <w:rFonts w:ascii="Wingdings" w:hAnsi="Wingdings" w:hint="default"/>
      </w:rPr>
    </w:lvl>
    <w:lvl w:ilvl="3" w:tplc="680CEED2" w:tentative="1">
      <w:start w:val="1"/>
      <w:numFmt w:val="bullet"/>
      <w:lvlText w:val=""/>
      <w:lvlJc w:val="left"/>
      <w:pPr>
        <w:tabs>
          <w:tab w:val="num" w:pos="2880"/>
        </w:tabs>
        <w:ind w:left="2880" w:hanging="360"/>
      </w:pPr>
      <w:rPr>
        <w:rFonts w:ascii="Wingdings" w:hAnsi="Wingdings" w:hint="default"/>
      </w:rPr>
    </w:lvl>
    <w:lvl w:ilvl="4" w:tplc="9FBA500C" w:tentative="1">
      <w:start w:val="1"/>
      <w:numFmt w:val="bullet"/>
      <w:lvlText w:val=""/>
      <w:lvlJc w:val="left"/>
      <w:pPr>
        <w:tabs>
          <w:tab w:val="num" w:pos="3600"/>
        </w:tabs>
        <w:ind w:left="3600" w:hanging="360"/>
      </w:pPr>
      <w:rPr>
        <w:rFonts w:ascii="Wingdings" w:hAnsi="Wingdings" w:hint="default"/>
      </w:rPr>
    </w:lvl>
    <w:lvl w:ilvl="5" w:tplc="4D24E75C" w:tentative="1">
      <w:start w:val="1"/>
      <w:numFmt w:val="bullet"/>
      <w:lvlText w:val=""/>
      <w:lvlJc w:val="left"/>
      <w:pPr>
        <w:tabs>
          <w:tab w:val="num" w:pos="4320"/>
        </w:tabs>
        <w:ind w:left="4320" w:hanging="360"/>
      </w:pPr>
      <w:rPr>
        <w:rFonts w:ascii="Wingdings" w:hAnsi="Wingdings" w:hint="default"/>
      </w:rPr>
    </w:lvl>
    <w:lvl w:ilvl="6" w:tplc="57224926" w:tentative="1">
      <w:start w:val="1"/>
      <w:numFmt w:val="bullet"/>
      <w:lvlText w:val=""/>
      <w:lvlJc w:val="left"/>
      <w:pPr>
        <w:tabs>
          <w:tab w:val="num" w:pos="5040"/>
        </w:tabs>
        <w:ind w:left="5040" w:hanging="360"/>
      </w:pPr>
      <w:rPr>
        <w:rFonts w:ascii="Wingdings" w:hAnsi="Wingdings" w:hint="default"/>
      </w:rPr>
    </w:lvl>
    <w:lvl w:ilvl="7" w:tplc="BD5055F0" w:tentative="1">
      <w:start w:val="1"/>
      <w:numFmt w:val="bullet"/>
      <w:lvlText w:val=""/>
      <w:lvlJc w:val="left"/>
      <w:pPr>
        <w:tabs>
          <w:tab w:val="num" w:pos="5760"/>
        </w:tabs>
        <w:ind w:left="5760" w:hanging="360"/>
      </w:pPr>
      <w:rPr>
        <w:rFonts w:ascii="Wingdings" w:hAnsi="Wingdings" w:hint="default"/>
      </w:rPr>
    </w:lvl>
    <w:lvl w:ilvl="8" w:tplc="5F32806E"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
  </w:num>
  <w:num w:numId="3">
    <w:abstractNumId w:val="26"/>
  </w:num>
  <w:num w:numId="4">
    <w:abstractNumId w:val="24"/>
  </w:num>
  <w:num w:numId="5">
    <w:abstractNumId w:val="23"/>
  </w:num>
  <w:num w:numId="6">
    <w:abstractNumId w:val="9"/>
  </w:num>
  <w:num w:numId="7">
    <w:abstractNumId w:val="22"/>
  </w:num>
  <w:num w:numId="8">
    <w:abstractNumId w:val="0"/>
  </w:num>
  <w:num w:numId="9">
    <w:abstractNumId w:val="2"/>
  </w:num>
  <w:num w:numId="10">
    <w:abstractNumId w:val="16"/>
  </w:num>
  <w:num w:numId="11">
    <w:abstractNumId w:val="1"/>
  </w:num>
  <w:num w:numId="12">
    <w:abstractNumId w:val="2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8"/>
  </w:num>
  <w:num w:numId="16">
    <w:abstractNumId w:val="10"/>
  </w:num>
  <w:num w:numId="17">
    <w:abstractNumId w:val="19"/>
  </w:num>
  <w:num w:numId="18">
    <w:abstractNumId w:val="13"/>
  </w:num>
  <w:num w:numId="19">
    <w:abstractNumId w:val="10"/>
    <w:lvlOverride w:ilvl="0">
      <w:startOverride w:val="4"/>
    </w:lvlOverride>
  </w:num>
  <w:num w:numId="20">
    <w:abstractNumId w:val="21"/>
  </w:num>
  <w:num w:numId="21">
    <w:abstractNumId w:val="20"/>
  </w:num>
  <w:num w:numId="22">
    <w:abstractNumId w:val="3"/>
  </w:num>
  <w:num w:numId="23">
    <w:abstractNumId w:val="28"/>
  </w:num>
  <w:num w:numId="24">
    <w:abstractNumId w:val="6"/>
  </w:num>
  <w:num w:numId="25">
    <w:abstractNumId w:val="11"/>
  </w:num>
  <w:num w:numId="26">
    <w:abstractNumId w:val="15"/>
  </w:num>
  <w:num w:numId="27">
    <w:abstractNumId w:val="12"/>
  </w:num>
  <w:num w:numId="28">
    <w:abstractNumId w:val="7"/>
  </w:num>
  <w:num w:numId="29">
    <w:abstractNumId w:val="4"/>
  </w:num>
  <w:num w:numId="30">
    <w:abstractNumId w:val="18"/>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0"/>
  </w:num>
  <w:num w:numId="3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88"/>
    <w:rsid w:val="000005FE"/>
    <w:rsid w:val="00000BD5"/>
    <w:rsid w:val="00000C31"/>
    <w:rsid w:val="00001434"/>
    <w:rsid w:val="000024FA"/>
    <w:rsid w:val="00002AE9"/>
    <w:rsid w:val="0000313E"/>
    <w:rsid w:val="000035AB"/>
    <w:rsid w:val="000035F3"/>
    <w:rsid w:val="00003621"/>
    <w:rsid w:val="0000377E"/>
    <w:rsid w:val="00003865"/>
    <w:rsid w:val="00003F2B"/>
    <w:rsid w:val="000044C4"/>
    <w:rsid w:val="000045AA"/>
    <w:rsid w:val="0000473B"/>
    <w:rsid w:val="00004A96"/>
    <w:rsid w:val="0000514E"/>
    <w:rsid w:val="000052BD"/>
    <w:rsid w:val="00005497"/>
    <w:rsid w:val="000055DF"/>
    <w:rsid w:val="00005874"/>
    <w:rsid w:val="00005DEC"/>
    <w:rsid w:val="000063EC"/>
    <w:rsid w:val="00006489"/>
    <w:rsid w:val="000064D0"/>
    <w:rsid w:val="000069D5"/>
    <w:rsid w:val="00006A45"/>
    <w:rsid w:val="00006C3E"/>
    <w:rsid w:val="00006CBF"/>
    <w:rsid w:val="00006FCA"/>
    <w:rsid w:val="000072EB"/>
    <w:rsid w:val="00007732"/>
    <w:rsid w:val="00007867"/>
    <w:rsid w:val="00007B16"/>
    <w:rsid w:val="00007B72"/>
    <w:rsid w:val="00007C68"/>
    <w:rsid w:val="00007DB5"/>
    <w:rsid w:val="00007F82"/>
    <w:rsid w:val="0001003F"/>
    <w:rsid w:val="000106C8"/>
    <w:rsid w:val="00010C35"/>
    <w:rsid w:val="00010F21"/>
    <w:rsid w:val="00011512"/>
    <w:rsid w:val="00011594"/>
    <w:rsid w:val="0001159F"/>
    <w:rsid w:val="000117CE"/>
    <w:rsid w:val="00011824"/>
    <w:rsid w:val="00011929"/>
    <w:rsid w:val="00011E91"/>
    <w:rsid w:val="00011E94"/>
    <w:rsid w:val="000120C5"/>
    <w:rsid w:val="0001230D"/>
    <w:rsid w:val="000124F0"/>
    <w:rsid w:val="00012554"/>
    <w:rsid w:val="000134EE"/>
    <w:rsid w:val="00013860"/>
    <w:rsid w:val="00013CB6"/>
    <w:rsid w:val="00013D78"/>
    <w:rsid w:val="0001465C"/>
    <w:rsid w:val="00014803"/>
    <w:rsid w:val="00014BC2"/>
    <w:rsid w:val="0001518B"/>
    <w:rsid w:val="00016106"/>
    <w:rsid w:val="00016DF1"/>
    <w:rsid w:val="0001764B"/>
    <w:rsid w:val="00017776"/>
    <w:rsid w:val="0001783C"/>
    <w:rsid w:val="0001789E"/>
    <w:rsid w:val="0001799D"/>
    <w:rsid w:val="00017C97"/>
    <w:rsid w:val="00020620"/>
    <w:rsid w:val="00020674"/>
    <w:rsid w:val="000207D8"/>
    <w:rsid w:val="000211FE"/>
    <w:rsid w:val="00021385"/>
    <w:rsid w:val="0002175F"/>
    <w:rsid w:val="00021774"/>
    <w:rsid w:val="00021890"/>
    <w:rsid w:val="000218DB"/>
    <w:rsid w:val="00021CE8"/>
    <w:rsid w:val="00021EDA"/>
    <w:rsid w:val="000220F0"/>
    <w:rsid w:val="00022681"/>
    <w:rsid w:val="000228FD"/>
    <w:rsid w:val="000233F2"/>
    <w:rsid w:val="00023502"/>
    <w:rsid w:val="0002352D"/>
    <w:rsid w:val="0002388E"/>
    <w:rsid w:val="00023CEE"/>
    <w:rsid w:val="00023D1F"/>
    <w:rsid w:val="000240E8"/>
    <w:rsid w:val="0002480D"/>
    <w:rsid w:val="0002485B"/>
    <w:rsid w:val="00024C23"/>
    <w:rsid w:val="000257B5"/>
    <w:rsid w:val="0002595A"/>
    <w:rsid w:val="000259FD"/>
    <w:rsid w:val="00025DCF"/>
    <w:rsid w:val="00025E2D"/>
    <w:rsid w:val="00025F30"/>
    <w:rsid w:val="000265BB"/>
    <w:rsid w:val="00026778"/>
    <w:rsid w:val="0002687E"/>
    <w:rsid w:val="00026CAE"/>
    <w:rsid w:val="00027014"/>
    <w:rsid w:val="00027348"/>
    <w:rsid w:val="0002739E"/>
    <w:rsid w:val="00027405"/>
    <w:rsid w:val="00027410"/>
    <w:rsid w:val="00027621"/>
    <w:rsid w:val="00027752"/>
    <w:rsid w:val="000278B1"/>
    <w:rsid w:val="00027B70"/>
    <w:rsid w:val="00027E37"/>
    <w:rsid w:val="00030004"/>
    <w:rsid w:val="00030715"/>
    <w:rsid w:val="00030DD0"/>
    <w:rsid w:val="00031AED"/>
    <w:rsid w:val="00031E0D"/>
    <w:rsid w:val="00032117"/>
    <w:rsid w:val="000323A3"/>
    <w:rsid w:val="00032478"/>
    <w:rsid w:val="00032495"/>
    <w:rsid w:val="000326B7"/>
    <w:rsid w:val="000327B7"/>
    <w:rsid w:val="000327D5"/>
    <w:rsid w:val="00032D62"/>
    <w:rsid w:val="0003365B"/>
    <w:rsid w:val="000339FF"/>
    <w:rsid w:val="00033C41"/>
    <w:rsid w:val="000348C0"/>
    <w:rsid w:val="0003498C"/>
    <w:rsid w:val="000349F1"/>
    <w:rsid w:val="000351CF"/>
    <w:rsid w:val="0003569C"/>
    <w:rsid w:val="00036478"/>
    <w:rsid w:val="0003671D"/>
    <w:rsid w:val="00036D08"/>
    <w:rsid w:val="00036DEF"/>
    <w:rsid w:val="00036F5C"/>
    <w:rsid w:val="00037462"/>
    <w:rsid w:val="0003753C"/>
    <w:rsid w:val="00037649"/>
    <w:rsid w:val="00037B0E"/>
    <w:rsid w:val="000402B9"/>
    <w:rsid w:val="0004081B"/>
    <w:rsid w:val="000408C8"/>
    <w:rsid w:val="00040B73"/>
    <w:rsid w:val="00041070"/>
    <w:rsid w:val="000415EC"/>
    <w:rsid w:val="000418E3"/>
    <w:rsid w:val="00041C62"/>
    <w:rsid w:val="00041E53"/>
    <w:rsid w:val="000420B9"/>
    <w:rsid w:val="00042F8A"/>
    <w:rsid w:val="00043614"/>
    <w:rsid w:val="00043BEA"/>
    <w:rsid w:val="00043DB9"/>
    <w:rsid w:val="00044A87"/>
    <w:rsid w:val="00044B27"/>
    <w:rsid w:val="00044C4E"/>
    <w:rsid w:val="00044DDB"/>
    <w:rsid w:val="000453D7"/>
    <w:rsid w:val="00045749"/>
    <w:rsid w:val="00045882"/>
    <w:rsid w:val="00045D88"/>
    <w:rsid w:val="00045F29"/>
    <w:rsid w:val="0004600A"/>
    <w:rsid w:val="000461CA"/>
    <w:rsid w:val="00046215"/>
    <w:rsid w:val="000462A1"/>
    <w:rsid w:val="000463A2"/>
    <w:rsid w:val="000463BB"/>
    <w:rsid w:val="00046F0D"/>
    <w:rsid w:val="00047138"/>
    <w:rsid w:val="00047172"/>
    <w:rsid w:val="0004719F"/>
    <w:rsid w:val="0004764A"/>
    <w:rsid w:val="00047B1D"/>
    <w:rsid w:val="00050379"/>
    <w:rsid w:val="00050680"/>
    <w:rsid w:val="000508BA"/>
    <w:rsid w:val="00050ACB"/>
    <w:rsid w:val="00051149"/>
    <w:rsid w:val="00051580"/>
    <w:rsid w:val="00051C98"/>
    <w:rsid w:val="00051D7F"/>
    <w:rsid w:val="00051FBD"/>
    <w:rsid w:val="00052321"/>
    <w:rsid w:val="0005259B"/>
    <w:rsid w:val="000529D2"/>
    <w:rsid w:val="00052CA4"/>
    <w:rsid w:val="0005381A"/>
    <w:rsid w:val="00053B43"/>
    <w:rsid w:val="00053C5A"/>
    <w:rsid w:val="0005403B"/>
    <w:rsid w:val="000541ED"/>
    <w:rsid w:val="000546EA"/>
    <w:rsid w:val="00054B4E"/>
    <w:rsid w:val="000553FB"/>
    <w:rsid w:val="00055E86"/>
    <w:rsid w:val="00055FA1"/>
    <w:rsid w:val="000564D6"/>
    <w:rsid w:val="00056745"/>
    <w:rsid w:val="00056F9E"/>
    <w:rsid w:val="0005710D"/>
    <w:rsid w:val="000577AC"/>
    <w:rsid w:val="00057C3D"/>
    <w:rsid w:val="0006029F"/>
    <w:rsid w:val="00060808"/>
    <w:rsid w:val="00060A6E"/>
    <w:rsid w:val="00060F9E"/>
    <w:rsid w:val="00061181"/>
    <w:rsid w:val="00061930"/>
    <w:rsid w:val="00061B0E"/>
    <w:rsid w:val="00061D0B"/>
    <w:rsid w:val="00061DB0"/>
    <w:rsid w:val="00061F03"/>
    <w:rsid w:val="0006210F"/>
    <w:rsid w:val="00062286"/>
    <w:rsid w:val="00062642"/>
    <w:rsid w:val="0006297A"/>
    <w:rsid w:val="000631F3"/>
    <w:rsid w:val="00063238"/>
    <w:rsid w:val="00063B02"/>
    <w:rsid w:val="00063FAF"/>
    <w:rsid w:val="000643F9"/>
    <w:rsid w:val="000649E3"/>
    <w:rsid w:val="00064C59"/>
    <w:rsid w:val="00064ED0"/>
    <w:rsid w:val="0006508A"/>
    <w:rsid w:val="00065303"/>
    <w:rsid w:val="000655E9"/>
    <w:rsid w:val="00065D19"/>
    <w:rsid w:val="00065F27"/>
    <w:rsid w:val="00066B3C"/>
    <w:rsid w:val="000674CF"/>
    <w:rsid w:val="00067807"/>
    <w:rsid w:val="000678BC"/>
    <w:rsid w:val="00067914"/>
    <w:rsid w:val="00067E28"/>
    <w:rsid w:val="00070A9D"/>
    <w:rsid w:val="00070EF0"/>
    <w:rsid w:val="00071184"/>
    <w:rsid w:val="0007141A"/>
    <w:rsid w:val="000714BE"/>
    <w:rsid w:val="00071818"/>
    <w:rsid w:val="00072207"/>
    <w:rsid w:val="000723A0"/>
    <w:rsid w:val="00072496"/>
    <w:rsid w:val="0007268E"/>
    <w:rsid w:val="00072EAD"/>
    <w:rsid w:val="00072FA7"/>
    <w:rsid w:val="000730C0"/>
    <w:rsid w:val="00073298"/>
    <w:rsid w:val="00073861"/>
    <w:rsid w:val="00073D18"/>
    <w:rsid w:val="00073F66"/>
    <w:rsid w:val="00074649"/>
    <w:rsid w:val="00074D83"/>
    <w:rsid w:val="00074E12"/>
    <w:rsid w:val="00074FD2"/>
    <w:rsid w:val="00075B95"/>
    <w:rsid w:val="00076105"/>
    <w:rsid w:val="00076112"/>
    <w:rsid w:val="0007613A"/>
    <w:rsid w:val="00076497"/>
    <w:rsid w:val="00076562"/>
    <w:rsid w:val="0007671B"/>
    <w:rsid w:val="00077372"/>
    <w:rsid w:val="0007778E"/>
    <w:rsid w:val="00077B04"/>
    <w:rsid w:val="00077C42"/>
    <w:rsid w:val="00080A63"/>
    <w:rsid w:val="00080D96"/>
    <w:rsid w:val="00080DA6"/>
    <w:rsid w:val="00080E60"/>
    <w:rsid w:val="00080E7B"/>
    <w:rsid w:val="00080EF2"/>
    <w:rsid w:val="000812D1"/>
    <w:rsid w:val="00081403"/>
    <w:rsid w:val="00081AC8"/>
    <w:rsid w:val="00081C12"/>
    <w:rsid w:val="00082001"/>
    <w:rsid w:val="00082325"/>
    <w:rsid w:val="00082A34"/>
    <w:rsid w:val="00082B19"/>
    <w:rsid w:val="00082DDE"/>
    <w:rsid w:val="00082EDD"/>
    <w:rsid w:val="0008305A"/>
    <w:rsid w:val="0008337F"/>
    <w:rsid w:val="00083803"/>
    <w:rsid w:val="00083B66"/>
    <w:rsid w:val="00083F4B"/>
    <w:rsid w:val="000844AD"/>
    <w:rsid w:val="0008464C"/>
    <w:rsid w:val="00085064"/>
    <w:rsid w:val="0008572F"/>
    <w:rsid w:val="00085771"/>
    <w:rsid w:val="00085DF5"/>
    <w:rsid w:val="00086338"/>
    <w:rsid w:val="0008727D"/>
    <w:rsid w:val="000873CF"/>
    <w:rsid w:val="00087427"/>
    <w:rsid w:val="000875F4"/>
    <w:rsid w:val="00087831"/>
    <w:rsid w:val="00087B91"/>
    <w:rsid w:val="000902A5"/>
    <w:rsid w:val="00090574"/>
    <w:rsid w:val="00090A40"/>
    <w:rsid w:val="00090A7A"/>
    <w:rsid w:val="00090B4A"/>
    <w:rsid w:val="00090F10"/>
    <w:rsid w:val="000914F1"/>
    <w:rsid w:val="0009159D"/>
    <w:rsid w:val="0009275C"/>
    <w:rsid w:val="0009278B"/>
    <w:rsid w:val="00092AD6"/>
    <w:rsid w:val="00092B01"/>
    <w:rsid w:val="00092E94"/>
    <w:rsid w:val="00093084"/>
    <w:rsid w:val="000930F2"/>
    <w:rsid w:val="0009351A"/>
    <w:rsid w:val="00093CAD"/>
    <w:rsid w:val="00093CE8"/>
    <w:rsid w:val="000941D6"/>
    <w:rsid w:val="00094365"/>
    <w:rsid w:val="0009439C"/>
    <w:rsid w:val="00094C48"/>
    <w:rsid w:val="000952AF"/>
    <w:rsid w:val="000954FC"/>
    <w:rsid w:val="00095ACA"/>
    <w:rsid w:val="000961E7"/>
    <w:rsid w:val="00096964"/>
    <w:rsid w:val="00096A0B"/>
    <w:rsid w:val="00096B18"/>
    <w:rsid w:val="00096BF2"/>
    <w:rsid w:val="00097247"/>
    <w:rsid w:val="0009746C"/>
    <w:rsid w:val="000978DE"/>
    <w:rsid w:val="000979D0"/>
    <w:rsid w:val="00097B73"/>
    <w:rsid w:val="000A00E3"/>
    <w:rsid w:val="000A036D"/>
    <w:rsid w:val="000A072B"/>
    <w:rsid w:val="000A0885"/>
    <w:rsid w:val="000A0FA0"/>
    <w:rsid w:val="000A13D1"/>
    <w:rsid w:val="000A1498"/>
    <w:rsid w:val="000A18C5"/>
    <w:rsid w:val="000A1D3C"/>
    <w:rsid w:val="000A28D7"/>
    <w:rsid w:val="000A2E66"/>
    <w:rsid w:val="000A33D5"/>
    <w:rsid w:val="000A382F"/>
    <w:rsid w:val="000A43C8"/>
    <w:rsid w:val="000A482A"/>
    <w:rsid w:val="000A4D9F"/>
    <w:rsid w:val="000A50AC"/>
    <w:rsid w:val="000A50AD"/>
    <w:rsid w:val="000A5B81"/>
    <w:rsid w:val="000A5BAB"/>
    <w:rsid w:val="000A5D60"/>
    <w:rsid w:val="000A645E"/>
    <w:rsid w:val="000A64B6"/>
    <w:rsid w:val="000A6767"/>
    <w:rsid w:val="000A72F7"/>
    <w:rsid w:val="000A7C38"/>
    <w:rsid w:val="000B00C3"/>
    <w:rsid w:val="000B0A94"/>
    <w:rsid w:val="000B0D87"/>
    <w:rsid w:val="000B1087"/>
    <w:rsid w:val="000B129E"/>
    <w:rsid w:val="000B18AF"/>
    <w:rsid w:val="000B1E12"/>
    <w:rsid w:val="000B2212"/>
    <w:rsid w:val="000B3017"/>
    <w:rsid w:val="000B3192"/>
    <w:rsid w:val="000B33AF"/>
    <w:rsid w:val="000B3914"/>
    <w:rsid w:val="000B3A9B"/>
    <w:rsid w:val="000B3C32"/>
    <w:rsid w:val="000B3FE9"/>
    <w:rsid w:val="000B4186"/>
    <w:rsid w:val="000B4BB4"/>
    <w:rsid w:val="000B4BCB"/>
    <w:rsid w:val="000B4C8C"/>
    <w:rsid w:val="000B5329"/>
    <w:rsid w:val="000B5416"/>
    <w:rsid w:val="000B575A"/>
    <w:rsid w:val="000B5824"/>
    <w:rsid w:val="000B613C"/>
    <w:rsid w:val="000B70DE"/>
    <w:rsid w:val="000B71B3"/>
    <w:rsid w:val="000B7388"/>
    <w:rsid w:val="000B776A"/>
    <w:rsid w:val="000B7871"/>
    <w:rsid w:val="000B796F"/>
    <w:rsid w:val="000B7AD5"/>
    <w:rsid w:val="000C0254"/>
    <w:rsid w:val="000C03A2"/>
    <w:rsid w:val="000C0652"/>
    <w:rsid w:val="000C0A81"/>
    <w:rsid w:val="000C0B83"/>
    <w:rsid w:val="000C0F88"/>
    <w:rsid w:val="000C167F"/>
    <w:rsid w:val="000C17F0"/>
    <w:rsid w:val="000C1A6D"/>
    <w:rsid w:val="000C1C7D"/>
    <w:rsid w:val="000C1CB3"/>
    <w:rsid w:val="000C2344"/>
    <w:rsid w:val="000C26A1"/>
    <w:rsid w:val="000C2840"/>
    <w:rsid w:val="000C3354"/>
    <w:rsid w:val="000C4526"/>
    <w:rsid w:val="000C452C"/>
    <w:rsid w:val="000C458F"/>
    <w:rsid w:val="000C4710"/>
    <w:rsid w:val="000C48A1"/>
    <w:rsid w:val="000C4C7E"/>
    <w:rsid w:val="000C4CD2"/>
    <w:rsid w:val="000C50BA"/>
    <w:rsid w:val="000C514C"/>
    <w:rsid w:val="000C531F"/>
    <w:rsid w:val="000C5350"/>
    <w:rsid w:val="000C5407"/>
    <w:rsid w:val="000C551F"/>
    <w:rsid w:val="000C6173"/>
    <w:rsid w:val="000C61DF"/>
    <w:rsid w:val="000C6B74"/>
    <w:rsid w:val="000C6BD4"/>
    <w:rsid w:val="000C77CB"/>
    <w:rsid w:val="000C78A2"/>
    <w:rsid w:val="000D02E1"/>
    <w:rsid w:val="000D0369"/>
    <w:rsid w:val="000D065E"/>
    <w:rsid w:val="000D0675"/>
    <w:rsid w:val="000D0C1A"/>
    <w:rsid w:val="000D0D77"/>
    <w:rsid w:val="000D179A"/>
    <w:rsid w:val="000D1A88"/>
    <w:rsid w:val="000D1E6C"/>
    <w:rsid w:val="000D2265"/>
    <w:rsid w:val="000D2A0F"/>
    <w:rsid w:val="000D2B88"/>
    <w:rsid w:val="000D2DBD"/>
    <w:rsid w:val="000D2FDE"/>
    <w:rsid w:val="000D3D8C"/>
    <w:rsid w:val="000D3E50"/>
    <w:rsid w:val="000D3EB7"/>
    <w:rsid w:val="000D3EE7"/>
    <w:rsid w:val="000D42B5"/>
    <w:rsid w:val="000D4BEC"/>
    <w:rsid w:val="000D5DC2"/>
    <w:rsid w:val="000D5E56"/>
    <w:rsid w:val="000D5EE1"/>
    <w:rsid w:val="000D6104"/>
    <w:rsid w:val="000D6179"/>
    <w:rsid w:val="000D68C6"/>
    <w:rsid w:val="000D6AF1"/>
    <w:rsid w:val="000D7621"/>
    <w:rsid w:val="000D7B95"/>
    <w:rsid w:val="000D7D1C"/>
    <w:rsid w:val="000E0968"/>
    <w:rsid w:val="000E0A40"/>
    <w:rsid w:val="000E1092"/>
    <w:rsid w:val="000E1348"/>
    <w:rsid w:val="000E14AD"/>
    <w:rsid w:val="000E1E11"/>
    <w:rsid w:val="000E1FE9"/>
    <w:rsid w:val="000E2224"/>
    <w:rsid w:val="000E22C7"/>
    <w:rsid w:val="000E2807"/>
    <w:rsid w:val="000E2832"/>
    <w:rsid w:val="000E288D"/>
    <w:rsid w:val="000E2909"/>
    <w:rsid w:val="000E292F"/>
    <w:rsid w:val="000E387E"/>
    <w:rsid w:val="000E38DE"/>
    <w:rsid w:val="000E5381"/>
    <w:rsid w:val="000E5432"/>
    <w:rsid w:val="000E5707"/>
    <w:rsid w:val="000E5745"/>
    <w:rsid w:val="000E5DDC"/>
    <w:rsid w:val="000E60F9"/>
    <w:rsid w:val="000E6222"/>
    <w:rsid w:val="000E696B"/>
    <w:rsid w:val="000E715A"/>
    <w:rsid w:val="000E782E"/>
    <w:rsid w:val="000E7D66"/>
    <w:rsid w:val="000F0242"/>
    <w:rsid w:val="000F08E8"/>
    <w:rsid w:val="000F0B28"/>
    <w:rsid w:val="000F0D35"/>
    <w:rsid w:val="000F0EE0"/>
    <w:rsid w:val="000F165C"/>
    <w:rsid w:val="000F18CC"/>
    <w:rsid w:val="000F1B4F"/>
    <w:rsid w:val="000F20F7"/>
    <w:rsid w:val="000F2396"/>
    <w:rsid w:val="000F2663"/>
    <w:rsid w:val="000F28A2"/>
    <w:rsid w:val="000F2A73"/>
    <w:rsid w:val="000F2AC4"/>
    <w:rsid w:val="000F2D42"/>
    <w:rsid w:val="000F32F5"/>
    <w:rsid w:val="000F3318"/>
    <w:rsid w:val="000F37C6"/>
    <w:rsid w:val="000F39F6"/>
    <w:rsid w:val="000F4784"/>
    <w:rsid w:val="000F4C26"/>
    <w:rsid w:val="000F4CC2"/>
    <w:rsid w:val="000F52E5"/>
    <w:rsid w:val="000F5552"/>
    <w:rsid w:val="000F6011"/>
    <w:rsid w:val="000F622B"/>
    <w:rsid w:val="000F648D"/>
    <w:rsid w:val="000F719E"/>
    <w:rsid w:val="000F71DF"/>
    <w:rsid w:val="000F724A"/>
    <w:rsid w:val="000F77B8"/>
    <w:rsid w:val="000F7E5D"/>
    <w:rsid w:val="000F7F12"/>
    <w:rsid w:val="00100A6E"/>
    <w:rsid w:val="001014AD"/>
    <w:rsid w:val="001015B9"/>
    <w:rsid w:val="0010162A"/>
    <w:rsid w:val="001017D4"/>
    <w:rsid w:val="00101F94"/>
    <w:rsid w:val="00102CF9"/>
    <w:rsid w:val="001031A7"/>
    <w:rsid w:val="001038CC"/>
    <w:rsid w:val="001039A1"/>
    <w:rsid w:val="00103A1E"/>
    <w:rsid w:val="00103A39"/>
    <w:rsid w:val="00103F16"/>
    <w:rsid w:val="0010428E"/>
    <w:rsid w:val="001049EE"/>
    <w:rsid w:val="00104FD4"/>
    <w:rsid w:val="0010543C"/>
    <w:rsid w:val="00105849"/>
    <w:rsid w:val="00105C05"/>
    <w:rsid w:val="00105D83"/>
    <w:rsid w:val="00105FD0"/>
    <w:rsid w:val="0010624B"/>
    <w:rsid w:val="001069C9"/>
    <w:rsid w:val="00106BF7"/>
    <w:rsid w:val="00107064"/>
    <w:rsid w:val="00107322"/>
    <w:rsid w:val="00107425"/>
    <w:rsid w:val="0010765C"/>
    <w:rsid w:val="001076F3"/>
    <w:rsid w:val="001100E5"/>
    <w:rsid w:val="0011052A"/>
    <w:rsid w:val="00110ABA"/>
    <w:rsid w:val="00110ED4"/>
    <w:rsid w:val="0011136E"/>
    <w:rsid w:val="001113A0"/>
    <w:rsid w:val="00111755"/>
    <w:rsid w:val="0011181A"/>
    <w:rsid w:val="00111853"/>
    <w:rsid w:val="00111C4F"/>
    <w:rsid w:val="001126F0"/>
    <w:rsid w:val="00113025"/>
    <w:rsid w:val="001134DC"/>
    <w:rsid w:val="001135F1"/>
    <w:rsid w:val="00113656"/>
    <w:rsid w:val="001137FF"/>
    <w:rsid w:val="001139A7"/>
    <w:rsid w:val="00113E83"/>
    <w:rsid w:val="00113E91"/>
    <w:rsid w:val="00114446"/>
    <w:rsid w:val="00114744"/>
    <w:rsid w:val="001147F4"/>
    <w:rsid w:val="00114807"/>
    <w:rsid w:val="00114C47"/>
    <w:rsid w:val="001159A3"/>
    <w:rsid w:val="00115B50"/>
    <w:rsid w:val="00115E50"/>
    <w:rsid w:val="00115EAD"/>
    <w:rsid w:val="00117033"/>
    <w:rsid w:val="00117201"/>
    <w:rsid w:val="0011738A"/>
    <w:rsid w:val="001174E9"/>
    <w:rsid w:val="001179F9"/>
    <w:rsid w:val="00117A7F"/>
    <w:rsid w:val="00117C2E"/>
    <w:rsid w:val="0012003A"/>
    <w:rsid w:val="00120183"/>
    <w:rsid w:val="001201DA"/>
    <w:rsid w:val="0012048A"/>
    <w:rsid w:val="001209A9"/>
    <w:rsid w:val="00120BBF"/>
    <w:rsid w:val="00120E7C"/>
    <w:rsid w:val="00121153"/>
    <w:rsid w:val="0012137E"/>
    <w:rsid w:val="0012190B"/>
    <w:rsid w:val="00122AF7"/>
    <w:rsid w:val="00122D37"/>
    <w:rsid w:val="00123B92"/>
    <w:rsid w:val="00123F26"/>
    <w:rsid w:val="00124229"/>
    <w:rsid w:val="00124594"/>
    <w:rsid w:val="00124B37"/>
    <w:rsid w:val="00124D40"/>
    <w:rsid w:val="001257D1"/>
    <w:rsid w:val="001257F4"/>
    <w:rsid w:val="00126860"/>
    <w:rsid w:val="00126E02"/>
    <w:rsid w:val="0012744D"/>
    <w:rsid w:val="00127D54"/>
    <w:rsid w:val="00127D74"/>
    <w:rsid w:val="00127E94"/>
    <w:rsid w:val="00127F86"/>
    <w:rsid w:val="00130A5F"/>
    <w:rsid w:val="001310CD"/>
    <w:rsid w:val="001310D3"/>
    <w:rsid w:val="0013157A"/>
    <w:rsid w:val="00131827"/>
    <w:rsid w:val="00131D99"/>
    <w:rsid w:val="001322C2"/>
    <w:rsid w:val="00132426"/>
    <w:rsid w:val="0013252A"/>
    <w:rsid w:val="001326E3"/>
    <w:rsid w:val="001328FB"/>
    <w:rsid w:val="00132C3B"/>
    <w:rsid w:val="00132C80"/>
    <w:rsid w:val="001334AE"/>
    <w:rsid w:val="0013393C"/>
    <w:rsid w:val="0013405A"/>
    <w:rsid w:val="00134332"/>
    <w:rsid w:val="00134914"/>
    <w:rsid w:val="00134CAA"/>
    <w:rsid w:val="00134F7E"/>
    <w:rsid w:val="001353C8"/>
    <w:rsid w:val="00135530"/>
    <w:rsid w:val="00135A94"/>
    <w:rsid w:val="00135FA8"/>
    <w:rsid w:val="00136C65"/>
    <w:rsid w:val="00136CD7"/>
    <w:rsid w:val="0013704B"/>
    <w:rsid w:val="00137338"/>
    <w:rsid w:val="001377A2"/>
    <w:rsid w:val="001379CC"/>
    <w:rsid w:val="0014003A"/>
    <w:rsid w:val="001402F9"/>
    <w:rsid w:val="001407E0"/>
    <w:rsid w:val="00140878"/>
    <w:rsid w:val="00140CB3"/>
    <w:rsid w:val="00140CFC"/>
    <w:rsid w:val="00140EDF"/>
    <w:rsid w:val="00141041"/>
    <w:rsid w:val="00141283"/>
    <w:rsid w:val="00141835"/>
    <w:rsid w:val="001419DA"/>
    <w:rsid w:val="00141B38"/>
    <w:rsid w:val="00141DB6"/>
    <w:rsid w:val="00142702"/>
    <w:rsid w:val="0014286E"/>
    <w:rsid w:val="00142969"/>
    <w:rsid w:val="00142C23"/>
    <w:rsid w:val="00142C3D"/>
    <w:rsid w:val="00142FCD"/>
    <w:rsid w:val="001430CB"/>
    <w:rsid w:val="00143552"/>
    <w:rsid w:val="0014364C"/>
    <w:rsid w:val="00143710"/>
    <w:rsid w:val="00143A45"/>
    <w:rsid w:val="00143A4B"/>
    <w:rsid w:val="00143A88"/>
    <w:rsid w:val="00143E2A"/>
    <w:rsid w:val="00143EAC"/>
    <w:rsid w:val="001440CA"/>
    <w:rsid w:val="001442F7"/>
    <w:rsid w:val="00144330"/>
    <w:rsid w:val="001450AD"/>
    <w:rsid w:val="00145A62"/>
    <w:rsid w:val="00145B3E"/>
    <w:rsid w:val="00145CD2"/>
    <w:rsid w:val="00145E8F"/>
    <w:rsid w:val="0014617A"/>
    <w:rsid w:val="0014624E"/>
    <w:rsid w:val="00146AF1"/>
    <w:rsid w:val="0014711F"/>
    <w:rsid w:val="0014795A"/>
    <w:rsid w:val="0014799E"/>
    <w:rsid w:val="00147A6F"/>
    <w:rsid w:val="00147D36"/>
    <w:rsid w:val="00147F10"/>
    <w:rsid w:val="0015024D"/>
    <w:rsid w:val="001502AA"/>
    <w:rsid w:val="001505CB"/>
    <w:rsid w:val="00150CC6"/>
    <w:rsid w:val="00151153"/>
    <w:rsid w:val="001512AC"/>
    <w:rsid w:val="0015146A"/>
    <w:rsid w:val="001516BE"/>
    <w:rsid w:val="00151B14"/>
    <w:rsid w:val="00151DF4"/>
    <w:rsid w:val="001521E1"/>
    <w:rsid w:val="00152D14"/>
    <w:rsid w:val="00152FCA"/>
    <w:rsid w:val="0015329E"/>
    <w:rsid w:val="00153B37"/>
    <w:rsid w:val="00153DA6"/>
    <w:rsid w:val="001540E6"/>
    <w:rsid w:val="00155376"/>
    <w:rsid w:val="001554F4"/>
    <w:rsid w:val="00155D71"/>
    <w:rsid w:val="00155D97"/>
    <w:rsid w:val="001567B6"/>
    <w:rsid w:val="00156B22"/>
    <w:rsid w:val="00156E92"/>
    <w:rsid w:val="00157347"/>
    <w:rsid w:val="0015778E"/>
    <w:rsid w:val="00157B13"/>
    <w:rsid w:val="001602BE"/>
    <w:rsid w:val="0016037B"/>
    <w:rsid w:val="001605EC"/>
    <w:rsid w:val="001606E5"/>
    <w:rsid w:val="00160749"/>
    <w:rsid w:val="001609FC"/>
    <w:rsid w:val="00160B2B"/>
    <w:rsid w:val="00160F48"/>
    <w:rsid w:val="001614E8"/>
    <w:rsid w:val="001616E4"/>
    <w:rsid w:val="00161801"/>
    <w:rsid w:val="00161F0D"/>
    <w:rsid w:val="001620E4"/>
    <w:rsid w:val="001624AB"/>
    <w:rsid w:val="00162924"/>
    <w:rsid w:val="00162AD0"/>
    <w:rsid w:val="0016395D"/>
    <w:rsid w:val="00163A3C"/>
    <w:rsid w:val="0016408F"/>
    <w:rsid w:val="0016487B"/>
    <w:rsid w:val="001649D0"/>
    <w:rsid w:val="00164B77"/>
    <w:rsid w:val="00164E9D"/>
    <w:rsid w:val="00165307"/>
    <w:rsid w:val="00165310"/>
    <w:rsid w:val="00165FCB"/>
    <w:rsid w:val="001660D6"/>
    <w:rsid w:val="001665A5"/>
    <w:rsid w:val="00166712"/>
    <w:rsid w:val="0016680F"/>
    <w:rsid w:val="00166ACC"/>
    <w:rsid w:val="00167269"/>
    <w:rsid w:val="00167830"/>
    <w:rsid w:val="0017063A"/>
    <w:rsid w:val="001706D4"/>
    <w:rsid w:val="0017082A"/>
    <w:rsid w:val="00170970"/>
    <w:rsid w:val="00170A7F"/>
    <w:rsid w:val="00170E4C"/>
    <w:rsid w:val="00170EA1"/>
    <w:rsid w:val="001716C4"/>
    <w:rsid w:val="00171828"/>
    <w:rsid w:val="00171B20"/>
    <w:rsid w:val="00171BF5"/>
    <w:rsid w:val="00172016"/>
    <w:rsid w:val="00172560"/>
    <w:rsid w:val="00172C94"/>
    <w:rsid w:val="00172CC5"/>
    <w:rsid w:val="00173296"/>
    <w:rsid w:val="00173586"/>
    <w:rsid w:val="00174A30"/>
    <w:rsid w:val="00174B20"/>
    <w:rsid w:val="00174C5C"/>
    <w:rsid w:val="00174DD9"/>
    <w:rsid w:val="0017547F"/>
    <w:rsid w:val="0017581E"/>
    <w:rsid w:val="00175CD1"/>
    <w:rsid w:val="00175EA8"/>
    <w:rsid w:val="001760AB"/>
    <w:rsid w:val="00176E93"/>
    <w:rsid w:val="00176EE6"/>
    <w:rsid w:val="001776A8"/>
    <w:rsid w:val="001779C0"/>
    <w:rsid w:val="00177F11"/>
    <w:rsid w:val="00180135"/>
    <w:rsid w:val="00180A3A"/>
    <w:rsid w:val="00180A8F"/>
    <w:rsid w:val="00180BAF"/>
    <w:rsid w:val="00180BCA"/>
    <w:rsid w:val="00180DA0"/>
    <w:rsid w:val="001816E6"/>
    <w:rsid w:val="0018173E"/>
    <w:rsid w:val="00182452"/>
    <w:rsid w:val="00182999"/>
    <w:rsid w:val="00182A3E"/>
    <w:rsid w:val="00182E0D"/>
    <w:rsid w:val="00183857"/>
    <w:rsid w:val="00183AEA"/>
    <w:rsid w:val="00183C8D"/>
    <w:rsid w:val="00184036"/>
    <w:rsid w:val="00184299"/>
    <w:rsid w:val="001846EF"/>
    <w:rsid w:val="0018470B"/>
    <w:rsid w:val="001848C0"/>
    <w:rsid w:val="001849C6"/>
    <w:rsid w:val="00184BC0"/>
    <w:rsid w:val="00184E89"/>
    <w:rsid w:val="00184F02"/>
    <w:rsid w:val="00185BE0"/>
    <w:rsid w:val="00185FE1"/>
    <w:rsid w:val="00185FFA"/>
    <w:rsid w:val="00186A42"/>
    <w:rsid w:val="00186BB6"/>
    <w:rsid w:val="00186BCC"/>
    <w:rsid w:val="00186D7D"/>
    <w:rsid w:val="00187206"/>
    <w:rsid w:val="00187492"/>
    <w:rsid w:val="0018761B"/>
    <w:rsid w:val="001877FE"/>
    <w:rsid w:val="0018789D"/>
    <w:rsid w:val="00187A2C"/>
    <w:rsid w:val="00187AA6"/>
    <w:rsid w:val="00190000"/>
    <w:rsid w:val="00190B36"/>
    <w:rsid w:val="00190F64"/>
    <w:rsid w:val="00190FAC"/>
    <w:rsid w:val="001911DA"/>
    <w:rsid w:val="001918A2"/>
    <w:rsid w:val="00192647"/>
    <w:rsid w:val="001926FE"/>
    <w:rsid w:val="00192843"/>
    <w:rsid w:val="00192AF5"/>
    <w:rsid w:val="00192B0B"/>
    <w:rsid w:val="00192FFE"/>
    <w:rsid w:val="0019355D"/>
    <w:rsid w:val="001937BF"/>
    <w:rsid w:val="00193A77"/>
    <w:rsid w:val="00193B7F"/>
    <w:rsid w:val="0019437A"/>
    <w:rsid w:val="001948FA"/>
    <w:rsid w:val="00194977"/>
    <w:rsid w:val="00194AA2"/>
    <w:rsid w:val="00194D34"/>
    <w:rsid w:val="00195A69"/>
    <w:rsid w:val="00195ACC"/>
    <w:rsid w:val="00195D61"/>
    <w:rsid w:val="001960C5"/>
    <w:rsid w:val="0019636A"/>
    <w:rsid w:val="00196700"/>
    <w:rsid w:val="00196826"/>
    <w:rsid w:val="001968AF"/>
    <w:rsid w:val="001968E0"/>
    <w:rsid w:val="00197230"/>
    <w:rsid w:val="0019725A"/>
    <w:rsid w:val="001972A8"/>
    <w:rsid w:val="001974D9"/>
    <w:rsid w:val="00197528"/>
    <w:rsid w:val="001977DD"/>
    <w:rsid w:val="0019782E"/>
    <w:rsid w:val="0019788F"/>
    <w:rsid w:val="00197E64"/>
    <w:rsid w:val="001A0085"/>
    <w:rsid w:val="001A0093"/>
    <w:rsid w:val="001A1369"/>
    <w:rsid w:val="001A1697"/>
    <w:rsid w:val="001A1914"/>
    <w:rsid w:val="001A1B96"/>
    <w:rsid w:val="001A1FEC"/>
    <w:rsid w:val="001A27DD"/>
    <w:rsid w:val="001A2B7B"/>
    <w:rsid w:val="001A2C62"/>
    <w:rsid w:val="001A2D4A"/>
    <w:rsid w:val="001A3444"/>
    <w:rsid w:val="001A37F1"/>
    <w:rsid w:val="001A3977"/>
    <w:rsid w:val="001A3AFF"/>
    <w:rsid w:val="001A3B7D"/>
    <w:rsid w:val="001A3E52"/>
    <w:rsid w:val="001A3FF3"/>
    <w:rsid w:val="001A4197"/>
    <w:rsid w:val="001A41AA"/>
    <w:rsid w:val="001A459D"/>
    <w:rsid w:val="001A4C0C"/>
    <w:rsid w:val="001A4C14"/>
    <w:rsid w:val="001A51B6"/>
    <w:rsid w:val="001A56EC"/>
    <w:rsid w:val="001A59B7"/>
    <w:rsid w:val="001A6C58"/>
    <w:rsid w:val="001A6CBD"/>
    <w:rsid w:val="001A73E8"/>
    <w:rsid w:val="001A744C"/>
    <w:rsid w:val="001A7525"/>
    <w:rsid w:val="001A77B6"/>
    <w:rsid w:val="001A7914"/>
    <w:rsid w:val="001B00E2"/>
    <w:rsid w:val="001B03A4"/>
    <w:rsid w:val="001B04BA"/>
    <w:rsid w:val="001B0518"/>
    <w:rsid w:val="001B0709"/>
    <w:rsid w:val="001B097C"/>
    <w:rsid w:val="001B0A43"/>
    <w:rsid w:val="001B0DF1"/>
    <w:rsid w:val="001B10F0"/>
    <w:rsid w:val="001B1109"/>
    <w:rsid w:val="001B120F"/>
    <w:rsid w:val="001B1486"/>
    <w:rsid w:val="001B15B4"/>
    <w:rsid w:val="001B1A9B"/>
    <w:rsid w:val="001B1C29"/>
    <w:rsid w:val="001B21D0"/>
    <w:rsid w:val="001B2312"/>
    <w:rsid w:val="001B2343"/>
    <w:rsid w:val="001B2434"/>
    <w:rsid w:val="001B2491"/>
    <w:rsid w:val="001B24EB"/>
    <w:rsid w:val="001B2589"/>
    <w:rsid w:val="001B26BF"/>
    <w:rsid w:val="001B2AE8"/>
    <w:rsid w:val="001B2B31"/>
    <w:rsid w:val="001B2E8D"/>
    <w:rsid w:val="001B2ED8"/>
    <w:rsid w:val="001B3270"/>
    <w:rsid w:val="001B34FC"/>
    <w:rsid w:val="001B392A"/>
    <w:rsid w:val="001B3F56"/>
    <w:rsid w:val="001B4143"/>
    <w:rsid w:val="001B41C6"/>
    <w:rsid w:val="001B4704"/>
    <w:rsid w:val="001B4E79"/>
    <w:rsid w:val="001B5E85"/>
    <w:rsid w:val="001B628F"/>
    <w:rsid w:val="001B65FF"/>
    <w:rsid w:val="001B67C2"/>
    <w:rsid w:val="001B6A6C"/>
    <w:rsid w:val="001B6D9F"/>
    <w:rsid w:val="001B6E97"/>
    <w:rsid w:val="001B6EF3"/>
    <w:rsid w:val="001B7D39"/>
    <w:rsid w:val="001B7D85"/>
    <w:rsid w:val="001B7DC7"/>
    <w:rsid w:val="001C0435"/>
    <w:rsid w:val="001C0630"/>
    <w:rsid w:val="001C06C7"/>
    <w:rsid w:val="001C0804"/>
    <w:rsid w:val="001C08A3"/>
    <w:rsid w:val="001C0CFC"/>
    <w:rsid w:val="001C0E74"/>
    <w:rsid w:val="001C0EC8"/>
    <w:rsid w:val="001C0F12"/>
    <w:rsid w:val="001C12CF"/>
    <w:rsid w:val="001C1563"/>
    <w:rsid w:val="001C187B"/>
    <w:rsid w:val="001C1BB8"/>
    <w:rsid w:val="001C2204"/>
    <w:rsid w:val="001C25F6"/>
    <w:rsid w:val="001C2743"/>
    <w:rsid w:val="001C27F1"/>
    <w:rsid w:val="001C27FF"/>
    <w:rsid w:val="001C2FC1"/>
    <w:rsid w:val="001C3097"/>
    <w:rsid w:val="001C3206"/>
    <w:rsid w:val="001C37E6"/>
    <w:rsid w:val="001C3917"/>
    <w:rsid w:val="001C391F"/>
    <w:rsid w:val="001C3C86"/>
    <w:rsid w:val="001C40E5"/>
    <w:rsid w:val="001C4147"/>
    <w:rsid w:val="001C4223"/>
    <w:rsid w:val="001C43B7"/>
    <w:rsid w:val="001C491F"/>
    <w:rsid w:val="001C4ABD"/>
    <w:rsid w:val="001C52AD"/>
    <w:rsid w:val="001C584E"/>
    <w:rsid w:val="001C5A29"/>
    <w:rsid w:val="001C5CD1"/>
    <w:rsid w:val="001C602A"/>
    <w:rsid w:val="001C62F8"/>
    <w:rsid w:val="001C6DD4"/>
    <w:rsid w:val="001C6FA0"/>
    <w:rsid w:val="001C71E3"/>
    <w:rsid w:val="001C7D73"/>
    <w:rsid w:val="001C7DB1"/>
    <w:rsid w:val="001D09CC"/>
    <w:rsid w:val="001D0BAB"/>
    <w:rsid w:val="001D0FDD"/>
    <w:rsid w:val="001D14AB"/>
    <w:rsid w:val="001D15A7"/>
    <w:rsid w:val="001D1A1E"/>
    <w:rsid w:val="001D1D3A"/>
    <w:rsid w:val="001D1ED7"/>
    <w:rsid w:val="001D1EF3"/>
    <w:rsid w:val="001D2150"/>
    <w:rsid w:val="001D2E19"/>
    <w:rsid w:val="001D307D"/>
    <w:rsid w:val="001D317E"/>
    <w:rsid w:val="001D3687"/>
    <w:rsid w:val="001D388A"/>
    <w:rsid w:val="001D38BE"/>
    <w:rsid w:val="001D3B5C"/>
    <w:rsid w:val="001D437C"/>
    <w:rsid w:val="001D454C"/>
    <w:rsid w:val="001D46FF"/>
    <w:rsid w:val="001D4C83"/>
    <w:rsid w:val="001D4CEA"/>
    <w:rsid w:val="001D5966"/>
    <w:rsid w:val="001D5988"/>
    <w:rsid w:val="001D5FBA"/>
    <w:rsid w:val="001D6296"/>
    <w:rsid w:val="001D652B"/>
    <w:rsid w:val="001D679E"/>
    <w:rsid w:val="001D6ACE"/>
    <w:rsid w:val="001D6AD0"/>
    <w:rsid w:val="001D6E18"/>
    <w:rsid w:val="001D7738"/>
    <w:rsid w:val="001D792C"/>
    <w:rsid w:val="001D7978"/>
    <w:rsid w:val="001D7B4D"/>
    <w:rsid w:val="001D7B9E"/>
    <w:rsid w:val="001D7DEF"/>
    <w:rsid w:val="001E0F39"/>
    <w:rsid w:val="001E1050"/>
    <w:rsid w:val="001E1B3E"/>
    <w:rsid w:val="001E1BBB"/>
    <w:rsid w:val="001E1D83"/>
    <w:rsid w:val="001E20AB"/>
    <w:rsid w:val="001E21C7"/>
    <w:rsid w:val="001E3096"/>
    <w:rsid w:val="001E322D"/>
    <w:rsid w:val="001E33BC"/>
    <w:rsid w:val="001E3D85"/>
    <w:rsid w:val="001E3DF5"/>
    <w:rsid w:val="001E44F0"/>
    <w:rsid w:val="001E4858"/>
    <w:rsid w:val="001E4A23"/>
    <w:rsid w:val="001E4DA1"/>
    <w:rsid w:val="001E512F"/>
    <w:rsid w:val="001E51C9"/>
    <w:rsid w:val="001E52AC"/>
    <w:rsid w:val="001E53A7"/>
    <w:rsid w:val="001E5D47"/>
    <w:rsid w:val="001E607A"/>
    <w:rsid w:val="001E61DC"/>
    <w:rsid w:val="001E6772"/>
    <w:rsid w:val="001E6ECF"/>
    <w:rsid w:val="001E7093"/>
    <w:rsid w:val="001E70AA"/>
    <w:rsid w:val="001E744B"/>
    <w:rsid w:val="001E79B8"/>
    <w:rsid w:val="001E7A72"/>
    <w:rsid w:val="001E7BC8"/>
    <w:rsid w:val="001E7C14"/>
    <w:rsid w:val="001F0627"/>
    <w:rsid w:val="001F0817"/>
    <w:rsid w:val="001F0B51"/>
    <w:rsid w:val="001F0DCF"/>
    <w:rsid w:val="001F100C"/>
    <w:rsid w:val="001F11DC"/>
    <w:rsid w:val="001F1992"/>
    <w:rsid w:val="001F19F6"/>
    <w:rsid w:val="001F24A7"/>
    <w:rsid w:val="001F2522"/>
    <w:rsid w:val="001F2660"/>
    <w:rsid w:val="001F27AE"/>
    <w:rsid w:val="001F28C1"/>
    <w:rsid w:val="001F2AA6"/>
    <w:rsid w:val="001F2D46"/>
    <w:rsid w:val="001F2FF8"/>
    <w:rsid w:val="001F321B"/>
    <w:rsid w:val="001F323C"/>
    <w:rsid w:val="001F39F7"/>
    <w:rsid w:val="001F3BA2"/>
    <w:rsid w:val="001F3D8F"/>
    <w:rsid w:val="001F4521"/>
    <w:rsid w:val="001F45D9"/>
    <w:rsid w:val="001F4B29"/>
    <w:rsid w:val="001F4D35"/>
    <w:rsid w:val="001F4E17"/>
    <w:rsid w:val="001F5412"/>
    <w:rsid w:val="001F5CD8"/>
    <w:rsid w:val="001F65C5"/>
    <w:rsid w:val="001F6CF1"/>
    <w:rsid w:val="001F743C"/>
    <w:rsid w:val="001F7C07"/>
    <w:rsid w:val="001F7D16"/>
    <w:rsid w:val="00200056"/>
    <w:rsid w:val="002004F8"/>
    <w:rsid w:val="002005E3"/>
    <w:rsid w:val="00200648"/>
    <w:rsid w:val="00200FFB"/>
    <w:rsid w:val="00201348"/>
    <w:rsid w:val="00201823"/>
    <w:rsid w:val="00201868"/>
    <w:rsid w:val="00201DEA"/>
    <w:rsid w:val="00201F23"/>
    <w:rsid w:val="00201F72"/>
    <w:rsid w:val="00201FBC"/>
    <w:rsid w:val="00202405"/>
    <w:rsid w:val="0020267B"/>
    <w:rsid w:val="00202838"/>
    <w:rsid w:val="00202CE6"/>
    <w:rsid w:val="00202DED"/>
    <w:rsid w:val="00202ED6"/>
    <w:rsid w:val="00203081"/>
    <w:rsid w:val="002035B4"/>
    <w:rsid w:val="00203824"/>
    <w:rsid w:val="00203862"/>
    <w:rsid w:val="00203EBA"/>
    <w:rsid w:val="00204311"/>
    <w:rsid w:val="00204C41"/>
    <w:rsid w:val="00205590"/>
    <w:rsid w:val="00205B4F"/>
    <w:rsid w:val="00205F59"/>
    <w:rsid w:val="00206834"/>
    <w:rsid w:val="00206C71"/>
    <w:rsid w:val="00206D91"/>
    <w:rsid w:val="00207043"/>
    <w:rsid w:val="00207157"/>
    <w:rsid w:val="0020762E"/>
    <w:rsid w:val="00207E6B"/>
    <w:rsid w:val="00207E8C"/>
    <w:rsid w:val="00207F4A"/>
    <w:rsid w:val="002101B1"/>
    <w:rsid w:val="00210254"/>
    <w:rsid w:val="00210347"/>
    <w:rsid w:val="002103B9"/>
    <w:rsid w:val="0021078E"/>
    <w:rsid w:val="00210CE3"/>
    <w:rsid w:val="002112B1"/>
    <w:rsid w:val="0021135B"/>
    <w:rsid w:val="0021156A"/>
    <w:rsid w:val="00211872"/>
    <w:rsid w:val="002122CA"/>
    <w:rsid w:val="0021241E"/>
    <w:rsid w:val="00212597"/>
    <w:rsid w:val="002128D4"/>
    <w:rsid w:val="00213300"/>
    <w:rsid w:val="002133E3"/>
    <w:rsid w:val="00213402"/>
    <w:rsid w:val="0021342D"/>
    <w:rsid w:val="00213A83"/>
    <w:rsid w:val="00213C8E"/>
    <w:rsid w:val="00213F53"/>
    <w:rsid w:val="00213FE6"/>
    <w:rsid w:val="0021451B"/>
    <w:rsid w:val="002147E0"/>
    <w:rsid w:val="00214C75"/>
    <w:rsid w:val="00214CCE"/>
    <w:rsid w:val="00215754"/>
    <w:rsid w:val="002159DB"/>
    <w:rsid w:val="00215B39"/>
    <w:rsid w:val="00215F5D"/>
    <w:rsid w:val="002165F9"/>
    <w:rsid w:val="002166B7"/>
    <w:rsid w:val="00216EFC"/>
    <w:rsid w:val="00216FA8"/>
    <w:rsid w:val="0021756F"/>
    <w:rsid w:val="00217700"/>
    <w:rsid w:val="002179E8"/>
    <w:rsid w:val="0022015E"/>
    <w:rsid w:val="0022027D"/>
    <w:rsid w:val="00220358"/>
    <w:rsid w:val="0022060F"/>
    <w:rsid w:val="002208A9"/>
    <w:rsid w:val="00220CD5"/>
    <w:rsid w:val="00220D0D"/>
    <w:rsid w:val="0022134B"/>
    <w:rsid w:val="002219C5"/>
    <w:rsid w:val="00221AE4"/>
    <w:rsid w:val="00221D56"/>
    <w:rsid w:val="00221DB4"/>
    <w:rsid w:val="00222155"/>
    <w:rsid w:val="002221D8"/>
    <w:rsid w:val="002225F1"/>
    <w:rsid w:val="0022260F"/>
    <w:rsid w:val="002230A4"/>
    <w:rsid w:val="00223DC9"/>
    <w:rsid w:val="00224117"/>
    <w:rsid w:val="00225357"/>
    <w:rsid w:val="002255C1"/>
    <w:rsid w:val="0022581D"/>
    <w:rsid w:val="00225D51"/>
    <w:rsid w:val="00226082"/>
    <w:rsid w:val="002261D2"/>
    <w:rsid w:val="002264FD"/>
    <w:rsid w:val="00226605"/>
    <w:rsid w:val="0022687C"/>
    <w:rsid w:val="0022706B"/>
    <w:rsid w:val="00227258"/>
    <w:rsid w:val="00227588"/>
    <w:rsid w:val="002276CB"/>
    <w:rsid w:val="002278A3"/>
    <w:rsid w:val="00227A35"/>
    <w:rsid w:val="00227C7E"/>
    <w:rsid w:val="00230138"/>
    <w:rsid w:val="00230DE5"/>
    <w:rsid w:val="00230E20"/>
    <w:rsid w:val="00230FF8"/>
    <w:rsid w:val="00231188"/>
    <w:rsid w:val="00231539"/>
    <w:rsid w:val="00231696"/>
    <w:rsid w:val="002316B2"/>
    <w:rsid w:val="00231C8B"/>
    <w:rsid w:val="002320D1"/>
    <w:rsid w:val="0023226D"/>
    <w:rsid w:val="00232649"/>
    <w:rsid w:val="00232B0B"/>
    <w:rsid w:val="00232E67"/>
    <w:rsid w:val="00233BD9"/>
    <w:rsid w:val="00233DC5"/>
    <w:rsid w:val="00233FFB"/>
    <w:rsid w:val="00234078"/>
    <w:rsid w:val="00234514"/>
    <w:rsid w:val="0023454B"/>
    <w:rsid w:val="00234ADB"/>
    <w:rsid w:val="00234D6A"/>
    <w:rsid w:val="00235158"/>
    <w:rsid w:val="002359C1"/>
    <w:rsid w:val="002361C4"/>
    <w:rsid w:val="0023727D"/>
    <w:rsid w:val="00237364"/>
    <w:rsid w:val="00237367"/>
    <w:rsid w:val="00237EB0"/>
    <w:rsid w:val="00237EFC"/>
    <w:rsid w:val="00240447"/>
    <w:rsid w:val="0024111E"/>
    <w:rsid w:val="00241974"/>
    <w:rsid w:val="00241C32"/>
    <w:rsid w:val="002420C8"/>
    <w:rsid w:val="00242273"/>
    <w:rsid w:val="00242464"/>
    <w:rsid w:val="002425F3"/>
    <w:rsid w:val="00242607"/>
    <w:rsid w:val="002431EA"/>
    <w:rsid w:val="002432D1"/>
    <w:rsid w:val="00243768"/>
    <w:rsid w:val="002437DE"/>
    <w:rsid w:val="00243ABA"/>
    <w:rsid w:val="00243B34"/>
    <w:rsid w:val="002441F2"/>
    <w:rsid w:val="00244804"/>
    <w:rsid w:val="002448A5"/>
    <w:rsid w:val="00245125"/>
    <w:rsid w:val="002455E7"/>
    <w:rsid w:val="00245753"/>
    <w:rsid w:val="00245D43"/>
    <w:rsid w:val="00246188"/>
    <w:rsid w:val="00246196"/>
    <w:rsid w:val="002461C5"/>
    <w:rsid w:val="00246415"/>
    <w:rsid w:val="00246983"/>
    <w:rsid w:val="00246BB6"/>
    <w:rsid w:val="0024714E"/>
    <w:rsid w:val="00247383"/>
    <w:rsid w:val="0024766C"/>
    <w:rsid w:val="00247952"/>
    <w:rsid w:val="002479B8"/>
    <w:rsid w:val="002479BF"/>
    <w:rsid w:val="00247A74"/>
    <w:rsid w:val="00247B9E"/>
    <w:rsid w:val="00247C48"/>
    <w:rsid w:val="00247D80"/>
    <w:rsid w:val="00247ED6"/>
    <w:rsid w:val="002514AD"/>
    <w:rsid w:val="00251668"/>
    <w:rsid w:val="00251C6E"/>
    <w:rsid w:val="00251DD8"/>
    <w:rsid w:val="00252588"/>
    <w:rsid w:val="002526BD"/>
    <w:rsid w:val="002528D7"/>
    <w:rsid w:val="00252DE3"/>
    <w:rsid w:val="00253133"/>
    <w:rsid w:val="00253471"/>
    <w:rsid w:val="0025408A"/>
    <w:rsid w:val="00254150"/>
    <w:rsid w:val="00254712"/>
    <w:rsid w:val="00254B09"/>
    <w:rsid w:val="00254CBA"/>
    <w:rsid w:val="00254F1C"/>
    <w:rsid w:val="0025531B"/>
    <w:rsid w:val="00255464"/>
    <w:rsid w:val="00255E9A"/>
    <w:rsid w:val="002565D5"/>
    <w:rsid w:val="00256654"/>
    <w:rsid w:val="00256657"/>
    <w:rsid w:val="00256D0D"/>
    <w:rsid w:val="00256F6E"/>
    <w:rsid w:val="002570C1"/>
    <w:rsid w:val="00257655"/>
    <w:rsid w:val="00257ABE"/>
    <w:rsid w:val="00257BCE"/>
    <w:rsid w:val="00257E12"/>
    <w:rsid w:val="00257ED5"/>
    <w:rsid w:val="00260420"/>
    <w:rsid w:val="002606C7"/>
    <w:rsid w:val="002606F5"/>
    <w:rsid w:val="00260AFE"/>
    <w:rsid w:val="00260BB3"/>
    <w:rsid w:val="00260C76"/>
    <w:rsid w:val="00260E3E"/>
    <w:rsid w:val="00260F6C"/>
    <w:rsid w:val="002611A6"/>
    <w:rsid w:val="00261288"/>
    <w:rsid w:val="002619C3"/>
    <w:rsid w:val="00262169"/>
    <w:rsid w:val="002624EC"/>
    <w:rsid w:val="0026292E"/>
    <w:rsid w:val="00262FF8"/>
    <w:rsid w:val="0026353F"/>
    <w:rsid w:val="00263A16"/>
    <w:rsid w:val="002645D9"/>
    <w:rsid w:val="00264BF4"/>
    <w:rsid w:val="00264F2B"/>
    <w:rsid w:val="0026520C"/>
    <w:rsid w:val="0026557C"/>
    <w:rsid w:val="002655F0"/>
    <w:rsid w:val="002659D0"/>
    <w:rsid w:val="002659D1"/>
    <w:rsid w:val="00265BAB"/>
    <w:rsid w:val="00265F9B"/>
    <w:rsid w:val="0026641C"/>
    <w:rsid w:val="00266691"/>
    <w:rsid w:val="002666E5"/>
    <w:rsid w:val="0026693E"/>
    <w:rsid w:val="00266B75"/>
    <w:rsid w:val="00266F03"/>
    <w:rsid w:val="002670FA"/>
    <w:rsid w:val="00267363"/>
    <w:rsid w:val="002678A2"/>
    <w:rsid w:val="002678B8"/>
    <w:rsid w:val="00267FB9"/>
    <w:rsid w:val="002706AC"/>
    <w:rsid w:val="002712CE"/>
    <w:rsid w:val="00271549"/>
    <w:rsid w:val="00272290"/>
    <w:rsid w:val="0027242E"/>
    <w:rsid w:val="002728F4"/>
    <w:rsid w:val="00272FC3"/>
    <w:rsid w:val="00273C94"/>
    <w:rsid w:val="002742AA"/>
    <w:rsid w:val="00275036"/>
    <w:rsid w:val="002756F8"/>
    <w:rsid w:val="00275EF6"/>
    <w:rsid w:val="00276122"/>
    <w:rsid w:val="00276938"/>
    <w:rsid w:val="00276BBA"/>
    <w:rsid w:val="002778DE"/>
    <w:rsid w:val="002779CC"/>
    <w:rsid w:val="002800FC"/>
    <w:rsid w:val="00280A02"/>
    <w:rsid w:val="00280EE6"/>
    <w:rsid w:val="00281277"/>
    <w:rsid w:val="00281431"/>
    <w:rsid w:val="00281826"/>
    <w:rsid w:val="00281999"/>
    <w:rsid w:val="00281EB0"/>
    <w:rsid w:val="00282029"/>
    <w:rsid w:val="00282BD7"/>
    <w:rsid w:val="00282C56"/>
    <w:rsid w:val="00282C62"/>
    <w:rsid w:val="00282E8E"/>
    <w:rsid w:val="0028339D"/>
    <w:rsid w:val="00283414"/>
    <w:rsid w:val="0028372C"/>
    <w:rsid w:val="002843E3"/>
    <w:rsid w:val="0028470F"/>
    <w:rsid w:val="002847CB"/>
    <w:rsid w:val="00284996"/>
    <w:rsid w:val="00285429"/>
    <w:rsid w:val="00285A47"/>
    <w:rsid w:val="00286390"/>
    <w:rsid w:val="0028687E"/>
    <w:rsid w:val="00286AF0"/>
    <w:rsid w:val="00286C2E"/>
    <w:rsid w:val="00286DDA"/>
    <w:rsid w:val="0028728D"/>
    <w:rsid w:val="00287402"/>
    <w:rsid w:val="00290131"/>
    <w:rsid w:val="002902A0"/>
    <w:rsid w:val="002905E1"/>
    <w:rsid w:val="00290876"/>
    <w:rsid w:val="00290B1B"/>
    <w:rsid w:val="00290C57"/>
    <w:rsid w:val="00290EAB"/>
    <w:rsid w:val="00291042"/>
    <w:rsid w:val="002910EF"/>
    <w:rsid w:val="002911BC"/>
    <w:rsid w:val="002916AA"/>
    <w:rsid w:val="002918EC"/>
    <w:rsid w:val="00291F2C"/>
    <w:rsid w:val="002920E8"/>
    <w:rsid w:val="0029219F"/>
    <w:rsid w:val="00292227"/>
    <w:rsid w:val="0029252F"/>
    <w:rsid w:val="0029274A"/>
    <w:rsid w:val="00292802"/>
    <w:rsid w:val="00292830"/>
    <w:rsid w:val="00292896"/>
    <w:rsid w:val="002929F9"/>
    <w:rsid w:val="00292CF1"/>
    <w:rsid w:val="00293769"/>
    <w:rsid w:val="0029382F"/>
    <w:rsid w:val="00293C61"/>
    <w:rsid w:val="00294798"/>
    <w:rsid w:val="00294BCA"/>
    <w:rsid w:val="00294D39"/>
    <w:rsid w:val="00295A2A"/>
    <w:rsid w:val="0029611A"/>
    <w:rsid w:val="00296581"/>
    <w:rsid w:val="0029690D"/>
    <w:rsid w:val="00296932"/>
    <w:rsid w:val="00297487"/>
    <w:rsid w:val="00297C90"/>
    <w:rsid w:val="002A0244"/>
    <w:rsid w:val="002A04AF"/>
    <w:rsid w:val="002A0A8B"/>
    <w:rsid w:val="002A0D41"/>
    <w:rsid w:val="002A17CE"/>
    <w:rsid w:val="002A209C"/>
    <w:rsid w:val="002A2400"/>
    <w:rsid w:val="002A28EA"/>
    <w:rsid w:val="002A2966"/>
    <w:rsid w:val="002A3A3D"/>
    <w:rsid w:val="002A3A57"/>
    <w:rsid w:val="002A3EDA"/>
    <w:rsid w:val="002A3FFB"/>
    <w:rsid w:val="002A4075"/>
    <w:rsid w:val="002A445E"/>
    <w:rsid w:val="002A4886"/>
    <w:rsid w:val="002A4F6A"/>
    <w:rsid w:val="002A504D"/>
    <w:rsid w:val="002A5329"/>
    <w:rsid w:val="002A5D68"/>
    <w:rsid w:val="002A5DFD"/>
    <w:rsid w:val="002A6092"/>
    <w:rsid w:val="002A6746"/>
    <w:rsid w:val="002A693C"/>
    <w:rsid w:val="002A6B99"/>
    <w:rsid w:val="002A6EAA"/>
    <w:rsid w:val="002A6FD8"/>
    <w:rsid w:val="002A7072"/>
    <w:rsid w:val="002A766B"/>
    <w:rsid w:val="002A7B29"/>
    <w:rsid w:val="002A7CF1"/>
    <w:rsid w:val="002A7E8A"/>
    <w:rsid w:val="002A7FAE"/>
    <w:rsid w:val="002B005F"/>
    <w:rsid w:val="002B0500"/>
    <w:rsid w:val="002B0B4A"/>
    <w:rsid w:val="002B0D77"/>
    <w:rsid w:val="002B0E16"/>
    <w:rsid w:val="002B1326"/>
    <w:rsid w:val="002B1566"/>
    <w:rsid w:val="002B17BA"/>
    <w:rsid w:val="002B19C5"/>
    <w:rsid w:val="002B1A16"/>
    <w:rsid w:val="002B1C57"/>
    <w:rsid w:val="002B1EBA"/>
    <w:rsid w:val="002B1ED1"/>
    <w:rsid w:val="002B1FE2"/>
    <w:rsid w:val="002B2211"/>
    <w:rsid w:val="002B2EA4"/>
    <w:rsid w:val="002B30CA"/>
    <w:rsid w:val="002B346E"/>
    <w:rsid w:val="002B38E2"/>
    <w:rsid w:val="002B463E"/>
    <w:rsid w:val="002B555E"/>
    <w:rsid w:val="002B5A4F"/>
    <w:rsid w:val="002B63A3"/>
    <w:rsid w:val="002B6A33"/>
    <w:rsid w:val="002B7395"/>
    <w:rsid w:val="002B7A55"/>
    <w:rsid w:val="002B7F55"/>
    <w:rsid w:val="002C0644"/>
    <w:rsid w:val="002C10D5"/>
    <w:rsid w:val="002C12E1"/>
    <w:rsid w:val="002C2546"/>
    <w:rsid w:val="002C2AE5"/>
    <w:rsid w:val="002C2BE4"/>
    <w:rsid w:val="002C2C65"/>
    <w:rsid w:val="002C2FF5"/>
    <w:rsid w:val="002C30A4"/>
    <w:rsid w:val="002C32CD"/>
    <w:rsid w:val="002C3C62"/>
    <w:rsid w:val="002C3C73"/>
    <w:rsid w:val="002C410A"/>
    <w:rsid w:val="002C435E"/>
    <w:rsid w:val="002C450F"/>
    <w:rsid w:val="002C4BFE"/>
    <w:rsid w:val="002C4CEB"/>
    <w:rsid w:val="002C4CFE"/>
    <w:rsid w:val="002C4E70"/>
    <w:rsid w:val="002C527F"/>
    <w:rsid w:val="002C5387"/>
    <w:rsid w:val="002C54E4"/>
    <w:rsid w:val="002C5800"/>
    <w:rsid w:val="002C5E92"/>
    <w:rsid w:val="002C5EE6"/>
    <w:rsid w:val="002C61DD"/>
    <w:rsid w:val="002C6318"/>
    <w:rsid w:val="002C6698"/>
    <w:rsid w:val="002C734A"/>
    <w:rsid w:val="002C74DB"/>
    <w:rsid w:val="002C7D1C"/>
    <w:rsid w:val="002D0386"/>
    <w:rsid w:val="002D03AA"/>
    <w:rsid w:val="002D058A"/>
    <w:rsid w:val="002D083D"/>
    <w:rsid w:val="002D101A"/>
    <w:rsid w:val="002D1E67"/>
    <w:rsid w:val="002D2C99"/>
    <w:rsid w:val="002D2E33"/>
    <w:rsid w:val="002D2ED7"/>
    <w:rsid w:val="002D33E5"/>
    <w:rsid w:val="002D38B6"/>
    <w:rsid w:val="002D433D"/>
    <w:rsid w:val="002D44D4"/>
    <w:rsid w:val="002D4609"/>
    <w:rsid w:val="002D478B"/>
    <w:rsid w:val="002D47CA"/>
    <w:rsid w:val="002D48E7"/>
    <w:rsid w:val="002D4979"/>
    <w:rsid w:val="002D58FE"/>
    <w:rsid w:val="002D5DC0"/>
    <w:rsid w:val="002D651B"/>
    <w:rsid w:val="002D6832"/>
    <w:rsid w:val="002D684D"/>
    <w:rsid w:val="002D6A0A"/>
    <w:rsid w:val="002D6C5B"/>
    <w:rsid w:val="002D70E4"/>
    <w:rsid w:val="002D70E7"/>
    <w:rsid w:val="002D7737"/>
    <w:rsid w:val="002E0135"/>
    <w:rsid w:val="002E06A4"/>
    <w:rsid w:val="002E07A2"/>
    <w:rsid w:val="002E096D"/>
    <w:rsid w:val="002E0ECD"/>
    <w:rsid w:val="002E18E2"/>
    <w:rsid w:val="002E1E6A"/>
    <w:rsid w:val="002E1E83"/>
    <w:rsid w:val="002E31F2"/>
    <w:rsid w:val="002E33FE"/>
    <w:rsid w:val="002E3493"/>
    <w:rsid w:val="002E357A"/>
    <w:rsid w:val="002E3937"/>
    <w:rsid w:val="002E3C89"/>
    <w:rsid w:val="002E41A0"/>
    <w:rsid w:val="002E4283"/>
    <w:rsid w:val="002E42BA"/>
    <w:rsid w:val="002E4468"/>
    <w:rsid w:val="002E4517"/>
    <w:rsid w:val="002E4681"/>
    <w:rsid w:val="002E4F8A"/>
    <w:rsid w:val="002E51B2"/>
    <w:rsid w:val="002E544E"/>
    <w:rsid w:val="002E5923"/>
    <w:rsid w:val="002E5F98"/>
    <w:rsid w:val="002E697D"/>
    <w:rsid w:val="002E6C5C"/>
    <w:rsid w:val="002E6FB8"/>
    <w:rsid w:val="002E7051"/>
    <w:rsid w:val="002E7C9C"/>
    <w:rsid w:val="002E7DDA"/>
    <w:rsid w:val="002F10EE"/>
    <w:rsid w:val="002F1722"/>
    <w:rsid w:val="002F198C"/>
    <w:rsid w:val="002F199B"/>
    <w:rsid w:val="002F1D06"/>
    <w:rsid w:val="002F1DEF"/>
    <w:rsid w:val="002F2053"/>
    <w:rsid w:val="002F21F7"/>
    <w:rsid w:val="002F28FF"/>
    <w:rsid w:val="002F2980"/>
    <w:rsid w:val="002F3158"/>
    <w:rsid w:val="002F333E"/>
    <w:rsid w:val="002F3606"/>
    <w:rsid w:val="002F36B8"/>
    <w:rsid w:val="002F3FA0"/>
    <w:rsid w:val="002F4B7A"/>
    <w:rsid w:val="002F4CC8"/>
    <w:rsid w:val="002F507B"/>
    <w:rsid w:val="002F6504"/>
    <w:rsid w:val="002F6CA3"/>
    <w:rsid w:val="002F6D8D"/>
    <w:rsid w:val="002F7980"/>
    <w:rsid w:val="0030001D"/>
    <w:rsid w:val="00300383"/>
    <w:rsid w:val="0030076F"/>
    <w:rsid w:val="00300B3A"/>
    <w:rsid w:val="00300D4B"/>
    <w:rsid w:val="00300E5A"/>
    <w:rsid w:val="00301443"/>
    <w:rsid w:val="003015D7"/>
    <w:rsid w:val="00301716"/>
    <w:rsid w:val="003017AA"/>
    <w:rsid w:val="00301E90"/>
    <w:rsid w:val="003022FF"/>
    <w:rsid w:val="00302669"/>
    <w:rsid w:val="0030278A"/>
    <w:rsid w:val="003029EB"/>
    <w:rsid w:val="00302D0C"/>
    <w:rsid w:val="00302D0E"/>
    <w:rsid w:val="00302EB1"/>
    <w:rsid w:val="00302EBC"/>
    <w:rsid w:val="00303922"/>
    <w:rsid w:val="00303D28"/>
    <w:rsid w:val="003041BC"/>
    <w:rsid w:val="00304359"/>
    <w:rsid w:val="00305045"/>
    <w:rsid w:val="0030505D"/>
    <w:rsid w:val="00305148"/>
    <w:rsid w:val="00305BB2"/>
    <w:rsid w:val="0030634F"/>
    <w:rsid w:val="00306375"/>
    <w:rsid w:val="003063A6"/>
    <w:rsid w:val="00306617"/>
    <w:rsid w:val="003067AF"/>
    <w:rsid w:val="00306A1F"/>
    <w:rsid w:val="00306E99"/>
    <w:rsid w:val="00306EF2"/>
    <w:rsid w:val="003076A4"/>
    <w:rsid w:val="00310063"/>
    <w:rsid w:val="0031090F"/>
    <w:rsid w:val="00310DA0"/>
    <w:rsid w:val="003111B3"/>
    <w:rsid w:val="0031134F"/>
    <w:rsid w:val="00311A69"/>
    <w:rsid w:val="00312648"/>
    <w:rsid w:val="0031385C"/>
    <w:rsid w:val="00313C48"/>
    <w:rsid w:val="003149BD"/>
    <w:rsid w:val="003149E0"/>
    <w:rsid w:val="0031508A"/>
    <w:rsid w:val="0031545E"/>
    <w:rsid w:val="00315D19"/>
    <w:rsid w:val="0031615B"/>
    <w:rsid w:val="00316498"/>
    <w:rsid w:val="00316801"/>
    <w:rsid w:val="00316B7D"/>
    <w:rsid w:val="003173B8"/>
    <w:rsid w:val="00317BE2"/>
    <w:rsid w:val="00317C5F"/>
    <w:rsid w:val="00317EDD"/>
    <w:rsid w:val="00317FC3"/>
    <w:rsid w:val="003202E6"/>
    <w:rsid w:val="00320628"/>
    <w:rsid w:val="0032117D"/>
    <w:rsid w:val="003218BC"/>
    <w:rsid w:val="00321DD0"/>
    <w:rsid w:val="00321EE1"/>
    <w:rsid w:val="00322457"/>
    <w:rsid w:val="00322473"/>
    <w:rsid w:val="003229BF"/>
    <w:rsid w:val="00322BF2"/>
    <w:rsid w:val="00322F58"/>
    <w:rsid w:val="00323193"/>
    <w:rsid w:val="003234F5"/>
    <w:rsid w:val="003236AB"/>
    <w:rsid w:val="00323912"/>
    <w:rsid w:val="00323979"/>
    <w:rsid w:val="00323A11"/>
    <w:rsid w:val="00323A3E"/>
    <w:rsid w:val="00324D72"/>
    <w:rsid w:val="00325362"/>
    <w:rsid w:val="00325AEF"/>
    <w:rsid w:val="00326263"/>
    <w:rsid w:val="00326B88"/>
    <w:rsid w:val="0032710C"/>
    <w:rsid w:val="003276A5"/>
    <w:rsid w:val="00327A6D"/>
    <w:rsid w:val="00327DA2"/>
    <w:rsid w:val="00330645"/>
    <w:rsid w:val="00330901"/>
    <w:rsid w:val="003313E9"/>
    <w:rsid w:val="0033173F"/>
    <w:rsid w:val="00331BC5"/>
    <w:rsid w:val="00331F6E"/>
    <w:rsid w:val="00332120"/>
    <w:rsid w:val="0033213B"/>
    <w:rsid w:val="003322CA"/>
    <w:rsid w:val="003325F6"/>
    <w:rsid w:val="00332689"/>
    <w:rsid w:val="00332DB9"/>
    <w:rsid w:val="00332F86"/>
    <w:rsid w:val="00333C04"/>
    <w:rsid w:val="003345D2"/>
    <w:rsid w:val="00334CC5"/>
    <w:rsid w:val="00334CF8"/>
    <w:rsid w:val="00334D20"/>
    <w:rsid w:val="00334EBD"/>
    <w:rsid w:val="00334EE1"/>
    <w:rsid w:val="00334EFE"/>
    <w:rsid w:val="00335159"/>
    <w:rsid w:val="003353FF"/>
    <w:rsid w:val="00335719"/>
    <w:rsid w:val="00335C4A"/>
    <w:rsid w:val="0033652C"/>
    <w:rsid w:val="0033666B"/>
    <w:rsid w:val="00336A4D"/>
    <w:rsid w:val="00336CE1"/>
    <w:rsid w:val="00337865"/>
    <w:rsid w:val="00340306"/>
    <w:rsid w:val="00340471"/>
    <w:rsid w:val="003406A4"/>
    <w:rsid w:val="003408CF"/>
    <w:rsid w:val="00340B22"/>
    <w:rsid w:val="00340CB9"/>
    <w:rsid w:val="00340F36"/>
    <w:rsid w:val="00341185"/>
    <w:rsid w:val="00341911"/>
    <w:rsid w:val="00341B57"/>
    <w:rsid w:val="0034243E"/>
    <w:rsid w:val="003425E3"/>
    <w:rsid w:val="00342653"/>
    <w:rsid w:val="003427CF"/>
    <w:rsid w:val="00342850"/>
    <w:rsid w:val="00342CBA"/>
    <w:rsid w:val="00343290"/>
    <w:rsid w:val="00343314"/>
    <w:rsid w:val="0034338E"/>
    <w:rsid w:val="003435E7"/>
    <w:rsid w:val="00343B2B"/>
    <w:rsid w:val="00343B6F"/>
    <w:rsid w:val="00344D75"/>
    <w:rsid w:val="00344F44"/>
    <w:rsid w:val="00345889"/>
    <w:rsid w:val="00345C9E"/>
    <w:rsid w:val="00345CA4"/>
    <w:rsid w:val="00346179"/>
    <w:rsid w:val="0034639C"/>
    <w:rsid w:val="00346651"/>
    <w:rsid w:val="00346E53"/>
    <w:rsid w:val="00346F95"/>
    <w:rsid w:val="0034709F"/>
    <w:rsid w:val="0034727F"/>
    <w:rsid w:val="003505A5"/>
    <w:rsid w:val="003506B2"/>
    <w:rsid w:val="00350908"/>
    <w:rsid w:val="00350C59"/>
    <w:rsid w:val="00350C69"/>
    <w:rsid w:val="00350D3A"/>
    <w:rsid w:val="00350E3E"/>
    <w:rsid w:val="00351BD5"/>
    <w:rsid w:val="00351C08"/>
    <w:rsid w:val="00351CA4"/>
    <w:rsid w:val="00351CBD"/>
    <w:rsid w:val="00352123"/>
    <w:rsid w:val="003524A8"/>
    <w:rsid w:val="00352654"/>
    <w:rsid w:val="00352BDD"/>
    <w:rsid w:val="00352DC3"/>
    <w:rsid w:val="00353205"/>
    <w:rsid w:val="0035397B"/>
    <w:rsid w:val="003539ED"/>
    <w:rsid w:val="003540C2"/>
    <w:rsid w:val="00354711"/>
    <w:rsid w:val="0035491A"/>
    <w:rsid w:val="00354B35"/>
    <w:rsid w:val="00354BEC"/>
    <w:rsid w:val="00354D5B"/>
    <w:rsid w:val="003555F1"/>
    <w:rsid w:val="00355B18"/>
    <w:rsid w:val="00355F47"/>
    <w:rsid w:val="003561C9"/>
    <w:rsid w:val="00356214"/>
    <w:rsid w:val="00356237"/>
    <w:rsid w:val="00356611"/>
    <w:rsid w:val="00356EC5"/>
    <w:rsid w:val="00357088"/>
    <w:rsid w:val="00357784"/>
    <w:rsid w:val="0035792C"/>
    <w:rsid w:val="0035798D"/>
    <w:rsid w:val="00360387"/>
    <w:rsid w:val="003606CE"/>
    <w:rsid w:val="00361DFA"/>
    <w:rsid w:val="00362316"/>
    <w:rsid w:val="003626C1"/>
    <w:rsid w:val="00362D70"/>
    <w:rsid w:val="003638B2"/>
    <w:rsid w:val="00363E4C"/>
    <w:rsid w:val="00364088"/>
    <w:rsid w:val="003641B1"/>
    <w:rsid w:val="003642AD"/>
    <w:rsid w:val="003646A9"/>
    <w:rsid w:val="003647A9"/>
    <w:rsid w:val="00364827"/>
    <w:rsid w:val="003648AF"/>
    <w:rsid w:val="00364CCB"/>
    <w:rsid w:val="0036517F"/>
    <w:rsid w:val="00365329"/>
    <w:rsid w:val="00365711"/>
    <w:rsid w:val="00365842"/>
    <w:rsid w:val="00365898"/>
    <w:rsid w:val="00365C51"/>
    <w:rsid w:val="00366049"/>
    <w:rsid w:val="003660C1"/>
    <w:rsid w:val="003662FB"/>
    <w:rsid w:val="003668B7"/>
    <w:rsid w:val="00366E98"/>
    <w:rsid w:val="00367179"/>
    <w:rsid w:val="00367AC5"/>
    <w:rsid w:val="003700B5"/>
    <w:rsid w:val="00370941"/>
    <w:rsid w:val="00370D42"/>
    <w:rsid w:val="00370EBD"/>
    <w:rsid w:val="00370EFE"/>
    <w:rsid w:val="00371222"/>
    <w:rsid w:val="00371C18"/>
    <w:rsid w:val="00372CB0"/>
    <w:rsid w:val="00373AB4"/>
    <w:rsid w:val="00373C04"/>
    <w:rsid w:val="00373EED"/>
    <w:rsid w:val="0037449F"/>
    <w:rsid w:val="003746C6"/>
    <w:rsid w:val="0037481F"/>
    <w:rsid w:val="003752D1"/>
    <w:rsid w:val="00375639"/>
    <w:rsid w:val="003756CE"/>
    <w:rsid w:val="003757EC"/>
    <w:rsid w:val="003758BC"/>
    <w:rsid w:val="00375FF5"/>
    <w:rsid w:val="00376D1C"/>
    <w:rsid w:val="0037709C"/>
    <w:rsid w:val="00380750"/>
    <w:rsid w:val="00380974"/>
    <w:rsid w:val="00380CE4"/>
    <w:rsid w:val="00380D41"/>
    <w:rsid w:val="0038120A"/>
    <w:rsid w:val="00381518"/>
    <w:rsid w:val="00381918"/>
    <w:rsid w:val="00381A3E"/>
    <w:rsid w:val="00381C5E"/>
    <w:rsid w:val="00381E13"/>
    <w:rsid w:val="00381F72"/>
    <w:rsid w:val="0038218A"/>
    <w:rsid w:val="003826ED"/>
    <w:rsid w:val="00382CF0"/>
    <w:rsid w:val="00382D66"/>
    <w:rsid w:val="00383300"/>
    <w:rsid w:val="00383377"/>
    <w:rsid w:val="00383968"/>
    <w:rsid w:val="003842F0"/>
    <w:rsid w:val="00384867"/>
    <w:rsid w:val="003852C5"/>
    <w:rsid w:val="003853C0"/>
    <w:rsid w:val="00385AAA"/>
    <w:rsid w:val="00385BFD"/>
    <w:rsid w:val="00385DAC"/>
    <w:rsid w:val="00386473"/>
    <w:rsid w:val="003864CA"/>
    <w:rsid w:val="003866FA"/>
    <w:rsid w:val="00386C44"/>
    <w:rsid w:val="00386DCF"/>
    <w:rsid w:val="003870C4"/>
    <w:rsid w:val="00387529"/>
    <w:rsid w:val="003879BD"/>
    <w:rsid w:val="00387D17"/>
    <w:rsid w:val="00387FDE"/>
    <w:rsid w:val="0039013E"/>
    <w:rsid w:val="00390C90"/>
    <w:rsid w:val="00390E25"/>
    <w:rsid w:val="00391229"/>
    <w:rsid w:val="003913BD"/>
    <w:rsid w:val="003915B9"/>
    <w:rsid w:val="00391BD7"/>
    <w:rsid w:val="00391CF5"/>
    <w:rsid w:val="00391D73"/>
    <w:rsid w:val="0039203E"/>
    <w:rsid w:val="00392705"/>
    <w:rsid w:val="00392F81"/>
    <w:rsid w:val="003930B0"/>
    <w:rsid w:val="00393964"/>
    <w:rsid w:val="00393A40"/>
    <w:rsid w:val="00393A9C"/>
    <w:rsid w:val="00393BFB"/>
    <w:rsid w:val="00393D27"/>
    <w:rsid w:val="00394133"/>
    <w:rsid w:val="00394F50"/>
    <w:rsid w:val="00395271"/>
    <w:rsid w:val="00395492"/>
    <w:rsid w:val="003956FC"/>
    <w:rsid w:val="003959C4"/>
    <w:rsid w:val="00395D43"/>
    <w:rsid w:val="00395DC8"/>
    <w:rsid w:val="00396898"/>
    <w:rsid w:val="003968BB"/>
    <w:rsid w:val="00396A69"/>
    <w:rsid w:val="00396DEF"/>
    <w:rsid w:val="0039701E"/>
    <w:rsid w:val="00397469"/>
    <w:rsid w:val="0039783B"/>
    <w:rsid w:val="0039790D"/>
    <w:rsid w:val="00397A35"/>
    <w:rsid w:val="00397C1F"/>
    <w:rsid w:val="003A0137"/>
    <w:rsid w:val="003A01FB"/>
    <w:rsid w:val="003A0944"/>
    <w:rsid w:val="003A09F3"/>
    <w:rsid w:val="003A0BBB"/>
    <w:rsid w:val="003A10ED"/>
    <w:rsid w:val="003A10EF"/>
    <w:rsid w:val="003A1BE6"/>
    <w:rsid w:val="003A1D9F"/>
    <w:rsid w:val="003A1F19"/>
    <w:rsid w:val="003A22EE"/>
    <w:rsid w:val="003A2311"/>
    <w:rsid w:val="003A2392"/>
    <w:rsid w:val="003A2609"/>
    <w:rsid w:val="003A2849"/>
    <w:rsid w:val="003A287B"/>
    <w:rsid w:val="003A359C"/>
    <w:rsid w:val="003A3641"/>
    <w:rsid w:val="003A3970"/>
    <w:rsid w:val="003A3F1F"/>
    <w:rsid w:val="003A40FF"/>
    <w:rsid w:val="003A425C"/>
    <w:rsid w:val="003A42B3"/>
    <w:rsid w:val="003A47C1"/>
    <w:rsid w:val="003A4C51"/>
    <w:rsid w:val="003A4D88"/>
    <w:rsid w:val="003A624D"/>
    <w:rsid w:val="003A6D6F"/>
    <w:rsid w:val="003A6E77"/>
    <w:rsid w:val="003A7086"/>
    <w:rsid w:val="003A7241"/>
    <w:rsid w:val="003A741D"/>
    <w:rsid w:val="003A75E5"/>
    <w:rsid w:val="003B0474"/>
    <w:rsid w:val="003B0565"/>
    <w:rsid w:val="003B05BD"/>
    <w:rsid w:val="003B0900"/>
    <w:rsid w:val="003B09B0"/>
    <w:rsid w:val="003B0B2E"/>
    <w:rsid w:val="003B1266"/>
    <w:rsid w:val="003B1501"/>
    <w:rsid w:val="003B16E0"/>
    <w:rsid w:val="003B1819"/>
    <w:rsid w:val="003B243E"/>
    <w:rsid w:val="003B35B6"/>
    <w:rsid w:val="003B3657"/>
    <w:rsid w:val="003B3A50"/>
    <w:rsid w:val="003B3F1B"/>
    <w:rsid w:val="003B409D"/>
    <w:rsid w:val="003B4113"/>
    <w:rsid w:val="003B441E"/>
    <w:rsid w:val="003B4963"/>
    <w:rsid w:val="003B497A"/>
    <w:rsid w:val="003B4ADE"/>
    <w:rsid w:val="003B4CD4"/>
    <w:rsid w:val="003B5032"/>
    <w:rsid w:val="003B5523"/>
    <w:rsid w:val="003B57EA"/>
    <w:rsid w:val="003B5B28"/>
    <w:rsid w:val="003B5ECE"/>
    <w:rsid w:val="003B6254"/>
    <w:rsid w:val="003B6481"/>
    <w:rsid w:val="003B6770"/>
    <w:rsid w:val="003B722F"/>
    <w:rsid w:val="003B743F"/>
    <w:rsid w:val="003B78FE"/>
    <w:rsid w:val="003B7B7B"/>
    <w:rsid w:val="003B7FDE"/>
    <w:rsid w:val="003C053E"/>
    <w:rsid w:val="003C064B"/>
    <w:rsid w:val="003C08CF"/>
    <w:rsid w:val="003C119F"/>
    <w:rsid w:val="003C1552"/>
    <w:rsid w:val="003C1BB8"/>
    <w:rsid w:val="003C1E86"/>
    <w:rsid w:val="003C1EA9"/>
    <w:rsid w:val="003C241B"/>
    <w:rsid w:val="003C2B64"/>
    <w:rsid w:val="003C2D2A"/>
    <w:rsid w:val="003C2D90"/>
    <w:rsid w:val="003C3B8F"/>
    <w:rsid w:val="003C3F4C"/>
    <w:rsid w:val="003C4302"/>
    <w:rsid w:val="003C4585"/>
    <w:rsid w:val="003C4692"/>
    <w:rsid w:val="003C4AE8"/>
    <w:rsid w:val="003C4BE5"/>
    <w:rsid w:val="003C4D48"/>
    <w:rsid w:val="003C5E9C"/>
    <w:rsid w:val="003C664D"/>
    <w:rsid w:val="003C6E3B"/>
    <w:rsid w:val="003C72E8"/>
    <w:rsid w:val="003C7556"/>
    <w:rsid w:val="003C75D3"/>
    <w:rsid w:val="003C76DB"/>
    <w:rsid w:val="003C7A1A"/>
    <w:rsid w:val="003D00F8"/>
    <w:rsid w:val="003D0199"/>
    <w:rsid w:val="003D0352"/>
    <w:rsid w:val="003D03A1"/>
    <w:rsid w:val="003D1051"/>
    <w:rsid w:val="003D10D2"/>
    <w:rsid w:val="003D118C"/>
    <w:rsid w:val="003D178B"/>
    <w:rsid w:val="003D1BE1"/>
    <w:rsid w:val="003D2015"/>
    <w:rsid w:val="003D20C0"/>
    <w:rsid w:val="003D20CD"/>
    <w:rsid w:val="003D2109"/>
    <w:rsid w:val="003D232C"/>
    <w:rsid w:val="003D2433"/>
    <w:rsid w:val="003D28DA"/>
    <w:rsid w:val="003D2AC7"/>
    <w:rsid w:val="003D350E"/>
    <w:rsid w:val="003D35CC"/>
    <w:rsid w:val="003D3BC2"/>
    <w:rsid w:val="003D3F3C"/>
    <w:rsid w:val="003D4BA6"/>
    <w:rsid w:val="003D4EB9"/>
    <w:rsid w:val="003D5AEB"/>
    <w:rsid w:val="003D5B92"/>
    <w:rsid w:val="003D6325"/>
    <w:rsid w:val="003D636C"/>
    <w:rsid w:val="003D6A1A"/>
    <w:rsid w:val="003D6B5F"/>
    <w:rsid w:val="003D70C7"/>
    <w:rsid w:val="003D70ED"/>
    <w:rsid w:val="003D757C"/>
    <w:rsid w:val="003D790C"/>
    <w:rsid w:val="003D7C2B"/>
    <w:rsid w:val="003D7F61"/>
    <w:rsid w:val="003E067C"/>
    <w:rsid w:val="003E0BBB"/>
    <w:rsid w:val="003E0D73"/>
    <w:rsid w:val="003E14E5"/>
    <w:rsid w:val="003E158C"/>
    <w:rsid w:val="003E1862"/>
    <w:rsid w:val="003E199E"/>
    <w:rsid w:val="003E1A71"/>
    <w:rsid w:val="003E1ADF"/>
    <w:rsid w:val="003E1B35"/>
    <w:rsid w:val="003E1F18"/>
    <w:rsid w:val="003E23E1"/>
    <w:rsid w:val="003E24B7"/>
    <w:rsid w:val="003E266C"/>
    <w:rsid w:val="003E2B29"/>
    <w:rsid w:val="003E2EF0"/>
    <w:rsid w:val="003E31B1"/>
    <w:rsid w:val="003E3525"/>
    <w:rsid w:val="003E37A1"/>
    <w:rsid w:val="003E38E4"/>
    <w:rsid w:val="003E3C38"/>
    <w:rsid w:val="003E3CD3"/>
    <w:rsid w:val="003E3DD8"/>
    <w:rsid w:val="003E41B2"/>
    <w:rsid w:val="003E433E"/>
    <w:rsid w:val="003E46C4"/>
    <w:rsid w:val="003E4726"/>
    <w:rsid w:val="003E4B30"/>
    <w:rsid w:val="003E4EB4"/>
    <w:rsid w:val="003E516F"/>
    <w:rsid w:val="003E58EA"/>
    <w:rsid w:val="003E5BA9"/>
    <w:rsid w:val="003E5DC1"/>
    <w:rsid w:val="003E5F3D"/>
    <w:rsid w:val="003E6188"/>
    <w:rsid w:val="003E66EE"/>
    <w:rsid w:val="003E6C81"/>
    <w:rsid w:val="003E6EB9"/>
    <w:rsid w:val="003E7391"/>
    <w:rsid w:val="003E7550"/>
    <w:rsid w:val="003E7647"/>
    <w:rsid w:val="003F09B1"/>
    <w:rsid w:val="003F0B5A"/>
    <w:rsid w:val="003F0E67"/>
    <w:rsid w:val="003F2080"/>
    <w:rsid w:val="003F2134"/>
    <w:rsid w:val="003F2298"/>
    <w:rsid w:val="003F2B04"/>
    <w:rsid w:val="003F2E3B"/>
    <w:rsid w:val="003F2F20"/>
    <w:rsid w:val="003F2F51"/>
    <w:rsid w:val="003F325C"/>
    <w:rsid w:val="003F3353"/>
    <w:rsid w:val="003F376C"/>
    <w:rsid w:val="003F39B5"/>
    <w:rsid w:val="003F46CD"/>
    <w:rsid w:val="003F4AB7"/>
    <w:rsid w:val="003F4E1D"/>
    <w:rsid w:val="003F50B2"/>
    <w:rsid w:val="003F529E"/>
    <w:rsid w:val="003F57CB"/>
    <w:rsid w:val="003F5886"/>
    <w:rsid w:val="003F5BDE"/>
    <w:rsid w:val="003F5C7C"/>
    <w:rsid w:val="003F6568"/>
    <w:rsid w:val="003F66CB"/>
    <w:rsid w:val="003F67BA"/>
    <w:rsid w:val="003F69E5"/>
    <w:rsid w:val="003F6A07"/>
    <w:rsid w:val="003F6C7E"/>
    <w:rsid w:val="003F6D28"/>
    <w:rsid w:val="003F6DDB"/>
    <w:rsid w:val="003F7235"/>
    <w:rsid w:val="003F7546"/>
    <w:rsid w:val="003F7608"/>
    <w:rsid w:val="003F76E8"/>
    <w:rsid w:val="003F76F0"/>
    <w:rsid w:val="003F7891"/>
    <w:rsid w:val="003F7CC7"/>
    <w:rsid w:val="003F7EAB"/>
    <w:rsid w:val="004002C9"/>
    <w:rsid w:val="004005C2"/>
    <w:rsid w:val="0040090F"/>
    <w:rsid w:val="00400BC0"/>
    <w:rsid w:val="0040254C"/>
    <w:rsid w:val="00402971"/>
    <w:rsid w:val="00402D4B"/>
    <w:rsid w:val="00402DA2"/>
    <w:rsid w:val="00402F32"/>
    <w:rsid w:val="00403424"/>
    <w:rsid w:val="004035EC"/>
    <w:rsid w:val="00403C9C"/>
    <w:rsid w:val="0040413B"/>
    <w:rsid w:val="00404331"/>
    <w:rsid w:val="00404DAD"/>
    <w:rsid w:val="00404FA8"/>
    <w:rsid w:val="00405232"/>
    <w:rsid w:val="0040540B"/>
    <w:rsid w:val="004056C4"/>
    <w:rsid w:val="004058B6"/>
    <w:rsid w:val="00405C24"/>
    <w:rsid w:val="00405FC7"/>
    <w:rsid w:val="004063D3"/>
    <w:rsid w:val="004065C5"/>
    <w:rsid w:val="00406FD9"/>
    <w:rsid w:val="00406FF3"/>
    <w:rsid w:val="00407087"/>
    <w:rsid w:val="00407298"/>
    <w:rsid w:val="00407763"/>
    <w:rsid w:val="00407C64"/>
    <w:rsid w:val="00407E0B"/>
    <w:rsid w:val="00410120"/>
    <w:rsid w:val="00410811"/>
    <w:rsid w:val="00410BA8"/>
    <w:rsid w:val="00410E1C"/>
    <w:rsid w:val="00410FD0"/>
    <w:rsid w:val="00411220"/>
    <w:rsid w:val="00411509"/>
    <w:rsid w:val="0041166A"/>
    <w:rsid w:val="004118F7"/>
    <w:rsid w:val="0041190F"/>
    <w:rsid w:val="00411E14"/>
    <w:rsid w:val="004126B2"/>
    <w:rsid w:val="004127CB"/>
    <w:rsid w:val="004129F4"/>
    <w:rsid w:val="00412B99"/>
    <w:rsid w:val="004139D0"/>
    <w:rsid w:val="00413E0D"/>
    <w:rsid w:val="0041471A"/>
    <w:rsid w:val="00414AE6"/>
    <w:rsid w:val="00414D6B"/>
    <w:rsid w:val="00414E4B"/>
    <w:rsid w:val="00414EDB"/>
    <w:rsid w:val="00415499"/>
    <w:rsid w:val="00415629"/>
    <w:rsid w:val="0041582B"/>
    <w:rsid w:val="00415986"/>
    <w:rsid w:val="00415B90"/>
    <w:rsid w:val="00415C9A"/>
    <w:rsid w:val="00416473"/>
    <w:rsid w:val="00416533"/>
    <w:rsid w:val="0041684D"/>
    <w:rsid w:val="00417280"/>
    <w:rsid w:val="00417329"/>
    <w:rsid w:val="00417525"/>
    <w:rsid w:val="00417DBE"/>
    <w:rsid w:val="00420801"/>
    <w:rsid w:val="0042084F"/>
    <w:rsid w:val="004213FE"/>
    <w:rsid w:val="0042149A"/>
    <w:rsid w:val="004217B1"/>
    <w:rsid w:val="004218BF"/>
    <w:rsid w:val="00421AD4"/>
    <w:rsid w:val="00422443"/>
    <w:rsid w:val="00422987"/>
    <w:rsid w:val="00422E77"/>
    <w:rsid w:val="0042316F"/>
    <w:rsid w:val="00423389"/>
    <w:rsid w:val="00423AAB"/>
    <w:rsid w:val="00423F99"/>
    <w:rsid w:val="00423FC4"/>
    <w:rsid w:val="004240FE"/>
    <w:rsid w:val="004242AA"/>
    <w:rsid w:val="004244D9"/>
    <w:rsid w:val="004246ED"/>
    <w:rsid w:val="0042491B"/>
    <w:rsid w:val="00424D39"/>
    <w:rsid w:val="00424DA3"/>
    <w:rsid w:val="00424E13"/>
    <w:rsid w:val="00424F33"/>
    <w:rsid w:val="004253B8"/>
    <w:rsid w:val="004254F5"/>
    <w:rsid w:val="004254F6"/>
    <w:rsid w:val="00425637"/>
    <w:rsid w:val="0042567B"/>
    <w:rsid w:val="00425D1C"/>
    <w:rsid w:val="00425E56"/>
    <w:rsid w:val="00425F5B"/>
    <w:rsid w:val="00426028"/>
    <w:rsid w:val="00426B5E"/>
    <w:rsid w:val="00426DDD"/>
    <w:rsid w:val="00427122"/>
    <w:rsid w:val="00427575"/>
    <w:rsid w:val="00427C55"/>
    <w:rsid w:val="0043002B"/>
    <w:rsid w:val="004300B3"/>
    <w:rsid w:val="004300D5"/>
    <w:rsid w:val="00430641"/>
    <w:rsid w:val="004307CC"/>
    <w:rsid w:val="00430B69"/>
    <w:rsid w:val="00431FE9"/>
    <w:rsid w:val="004321F6"/>
    <w:rsid w:val="00432508"/>
    <w:rsid w:val="004325CE"/>
    <w:rsid w:val="004325F2"/>
    <w:rsid w:val="00432737"/>
    <w:rsid w:val="00432816"/>
    <w:rsid w:val="004328C2"/>
    <w:rsid w:val="0043299A"/>
    <w:rsid w:val="004333C0"/>
    <w:rsid w:val="0043362B"/>
    <w:rsid w:val="004336B6"/>
    <w:rsid w:val="00433F56"/>
    <w:rsid w:val="00434461"/>
    <w:rsid w:val="0043515A"/>
    <w:rsid w:val="004357C7"/>
    <w:rsid w:val="004358C3"/>
    <w:rsid w:val="00435AE6"/>
    <w:rsid w:val="00435D28"/>
    <w:rsid w:val="0043601A"/>
    <w:rsid w:val="00436664"/>
    <w:rsid w:val="0043688D"/>
    <w:rsid w:val="00436996"/>
    <w:rsid w:val="004377C2"/>
    <w:rsid w:val="0043795F"/>
    <w:rsid w:val="00437AAC"/>
    <w:rsid w:val="00437C12"/>
    <w:rsid w:val="0044051E"/>
    <w:rsid w:val="004407EC"/>
    <w:rsid w:val="00440B7C"/>
    <w:rsid w:val="00440E57"/>
    <w:rsid w:val="00440F81"/>
    <w:rsid w:val="00441030"/>
    <w:rsid w:val="00441224"/>
    <w:rsid w:val="004413AA"/>
    <w:rsid w:val="00441809"/>
    <w:rsid w:val="00441D7B"/>
    <w:rsid w:val="004421B9"/>
    <w:rsid w:val="0044250F"/>
    <w:rsid w:val="004427EB"/>
    <w:rsid w:val="00442C86"/>
    <w:rsid w:val="00443136"/>
    <w:rsid w:val="0044360C"/>
    <w:rsid w:val="0044392F"/>
    <w:rsid w:val="00443BEF"/>
    <w:rsid w:val="00443E36"/>
    <w:rsid w:val="0044415D"/>
    <w:rsid w:val="0044470C"/>
    <w:rsid w:val="004447E1"/>
    <w:rsid w:val="00444B07"/>
    <w:rsid w:val="00444FFF"/>
    <w:rsid w:val="00445444"/>
    <w:rsid w:val="0044549C"/>
    <w:rsid w:val="00445C29"/>
    <w:rsid w:val="00445C8E"/>
    <w:rsid w:val="00445E28"/>
    <w:rsid w:val="00446138"/>
    <w:rsid w:val="004462F3"/>
    <w:rsid w:val="00446376"/>
    <w:rsid w:val="00446D4C"/>
    <w:rsid w:val="00446F75"/>
    <w:rsid w:val="00447419"/>
    <w:rsid w:val="004476C4"/>
    <w:rsid w:val="004478AD"/>
    <w:rsid w:val="0045017D"/>
    <w:rsid w:val="004506E3"/>
    <w:rsid w:val="00450750"/>
    <w:rsid w:val="00450B2A"/>
    <w:rsid w:val="00450F26"/>
    <w:rsid w:val="00450FD4"/>
    <w:rsid w:val="00450FE2"/>
    <w:rsid w:val="00451043"/>
    <w:rsid w:val="00451365"/>
    <w:rsid w:val="004515DC"/>
    <w:rsid w:val="004517F3"/>
    <w:rsid w:val="00451A2F"/>
    <w:rsid w:val="00451A5F"/>
    <w:rsid w:val="00451B83"/>
    <w:rsid w:val="00451DF0"/>
    <w:rsid w:val="00452781"/>
    <w:rsid w:val="004529B3"/>
    <w:rsid w:val="004529F6"/>
    <w:rsid w:val="00452C00"/>
    <w:rsid w:val="00452F6B"/>
    <w:rsid w:val="0045375F"/>
    <w:rsid w:val="00453825"/>
    <w:rsid w:val="00453E63"/>
    <w:rsid w:val="0045410F"/>
    <w:rsid w:val="004545BF"/>
    <w:rsid w:val="00454767"/>
    <w:rsid w:val="00454AC3"/>
    <w:rsid w:val="00454CF9"/>
    <w:rsid w:val="00455B6D"/>
    <w:rsid w:val="00455C67"/>
    <w:rsid w:val="00455E62"/>
    <w:rsid w:val="0045615A"/>
    <w:rsid w:val="004561BC"/>
    <w:rsid w:val="0045690E"/>
    <w:rsid w:val="004577B5"/>
    <w:rsid w:val="00457C1A"/>
    <w:rsid w:val="00457CDE"/>
    <w:rsid w:val="00457D03"/>
    <w:rsid w:val="0046055C"/>
    <w:rsid w:val="004605E8"/>
    <w:rsid w:val="00460A54"/>
    <w:rsid w:val="00461675"/>
    <w:rsid w:val="004618EA"/>
    <w:rsid w:val="00461F51"/>
    <w:rsid w:val="00462029"/>
    <w:rsid w:val="004631D3"/>
    <w:rsid w:val="0046387D"/>
    <w:rsid w:val="0046419B"/>
    <w:rsid w:val="004641B7"/>
    <w:rsid w:val="00464C22"/>
    <w:rsid w:val="00465232"/>
    <w:rsid w:val="0046539D"/>
    <w:rsid w:val="004659BC"/>
    <w:rsid w:val="00465EF7"/>
    <w:rsid w:val="00465F05"/>
    <w:rsid w:val="004664A3"/>
    <w:rsid w:val="004667BF"/>
    <w:rsid w:val="004669F3"/>
    <w:rsid w:val="00466A1E"/>
    <w:rsid w:val="00466D35"/>
    <w:rsid w:val="0046789F"/>
    <w:rsid w:val="00467902"/>
    <w:rsid w:val="00467954"/>
    <w:rsid w:val="00467EED"/>
    <w:rsid w:val="0047050C"/>
    <w:rsid w:val="00470601"/>
    <w:rsid w:val="00470612"/>
    <w:rsid w:val="00470A1F"/>
    <w:rsid w:val="0047109D"/>
    <w:rsid w:val="0047115F"/>
    <w:rsid w:val="00471310"/>
    <w:rsid w:val="00471777"/>
    <w:rsid w:val="004717CB"/>
    <w:rsid w:val="00472365"/>
    <w:rsid w:val="0047239E"/>
    <w:rsid w:val="004723FF"/>
    <w:rsid w:val="00472498"/>
    <w:rsid w:val="00472B31"/>
    <w:rsid w:val="00472D78"/>
    <w:rsid w:val="00474A81"/>
    <w:rsid w:val="00474AB6"/>
    <w:rsid w:val="00474C95"/>
    <w:rsid w:val="00474F17"/>
    <w:rsid w:val="00475293"/>
    <w:rsid w:val="00475AC1"/>
    <w:rsid w:val="00475D3E"/>
    <w:rsid w:val="004764F9"/>
    <w:rsid w:val="00476E8F"/>
    <w:rsid w:val="00477428"/>
    <w:rsid w:val="00477843"/>
    <w:rsid w:val="00477998"/>
    <w:rsid w:val="00477C60"/>
    <w:rsid w:val="00477EB0"/>
    <w:rsid w:val="00480CA4"/>
    <w:rsid w:val="00480E9E"/>
    <w:rsid w:val="00481852"/>
    <w:rsid w:val="00481A77"/>
    <w:rsid w:val="00481CAA"/>
    <w:rsid w:val="00482208"/>
    <w:rsid w:val="0048248D"/>
    <w:rsid w:val="0048287F"/>
    <w:rsid w:val="00482B94"/>
    <w:rsid w:val="00482EF0"/>
    <w:rsid w:val="00483321"/>
    <w:rsid w:val="004836A0"/>
    <w:rsid w:val="00483B7C"/>
    <w:rsid w:val="00483FF0"/>
    <w:rsid w:val="00484183"/>
    <w:rsid w:val="004846AE"/>
    <w:rsid w:val="0048533F"/>
    <w:rsid w:val="00485351"/>
    <w:rsid w:val="004859B8"/>
    <w:rsid w:val="00485BB5"/>
    <w:rsid w:val="00485ECE"/>
    <w:rsid w:val="00485FD0"/>
    <w:rsid w:val="00486146"/>
    <w:rsid w:val="00486148"/>
    <w:rsid w:val="00486595"/>
    <w:rsid w:val="00486FEF"/>
    <w:rsid w:val="00487276"/>
    <w:rsid w:val="0048729A"/>
    <w:rsid w:val="004872AA"/>
    <w:rsid w:val="004872CA"/>
    <w:rsid w:val="004872D9"/>
    <w:rsid w:val="00487474"/>
    <w:rsid w:val="004876CD"/>
    <w:rsid w:val="004879B6"/>
    <w:rsid w:val="00487B70"/>
    <w:rsid w:val="00487B71"/>
    <w:rsid w:val="00487F1A"/>
    <w:rsid w:val="00490168"/>
    <w:rsid w:val="00490244"/>
    <w:rsid w:val="004902A8"/>
    <w:rsid w:val="0049066F"/>
    <w:rsid w:val="004907C8"/>
    <w:rsid w:val="00490876"/>
    <w:rsid w:val="00490BFB"/>
    <w:rsid w:val="00490CFE"/>
    <w:rsid w:val="00490D5F"/>
    <w:rsid w:val="00490E23"/>
    <w:rsid w:val="00491218"/>
    <w:rsid w:val="00491649"/>
    <w:rsid w:val="00491736"/>
    <w:rsid w:val="0049255A"/>
    <w:rsid w:val="00492D51"/>
    <w:rsid w:val="00493401"/>
    <w:rsid w:val="00493E5E"/>
    <w:rsid w:val="0049416D"/>
    <w:rsid w:val="00494311"/>
    <w:rsid w:val="00494654"/>
    <w:rsid w:val="00494703"/>
    <w:rsid w:val="004947DE"/>
    <w:rsid w:val="0049492E"/>
    <w:rsid w:val="00494932"/>
    <w:rsid w:val="00494D55"/>
    <w:rsid w:val="00494E19"/>
    <w:rsid w:val="004950DA"/>
    <w:rsid w:val="00495263"/>
    <w:rsid w:val="00495D28"/>
    <w:rsid w:val="00495D77"/>
    <w:rsid w:val="00496339"/>
    <w:rsid w:val="00496AB8"/>
    <w:rsid w:val="00496C04"/>
    <w:rsid w:val="00496E5C"/>
    <w:rsid w:val="00496F8C"/>
    <w:rsid w:val="0049769F"/>
    <w:rsid w:val="0049778D"/>
    <w:rsid w:val="00497ACC"/>
    <w:rsid w:val="00497BD7"/>
    <w:rsid w:val="00497DA4"/>
    <w:rsid w:val="004A0037"/>
    <w:rsid w:val="004A01E2"/>
    <w:rsid w:val="004A05B8"/>
    <w:rsid w:val="004A0A9D"/>
    <w:rsid w:val="004A0F5C"/>
    <w:rsid w:val="004A126B"/>
    <w:rsid w:val="004A17DC"/>
    <w:rsid w:val="004A19C3"/>
    <w:rsid w:val="004A1F22"/>
    <w:rsid w:val="004A2051"/>
    <w:rsid w:val="004A222A"/>
    <w:rsid w:val="004A223D"/>
    <w:rsid w:val="004A290C"/>
    <w:rsid w:val="004A31E3"/>
    <w:rsid w:val="004A340E"/>
    <w:rsid w:val="004A3725"/>
    <w:rsid w:val="004A4108"/>
    <w:rsid w:val="004A4811"/>
    <w:rsid w:val="004A4C00"/>
    <w:rsid w:val="004A4D9D"/>
    <w:rsid w:val="004A4DDC"/>
    <w:rsid w:val="004A51BD"/>
    <w:rsid w:val="004A5218"/>
    <w:rsid w:val="004A5795"/>
    <w:rsid w:val="004A6134"/>
    <w:rsid w:val="004A637E"/>
    <w:rsid w:val="004A63DA"/>
    <w:rsid w:val="004A664C"/>
    <w:rsid w:val="004A6874"/>
    <w:rsid w:val="004A687B"/>
    <w:rsid w:val="004A6ADB"/>
    <w:rsid w:val="004A6E4A"/>
    <w:rsid w:val="004A6F0B"/>
    <w:rsid w:val="004A6F39"/>
    <w:rsid w:val="004A6FA1"/>
    <w:rsid w:val="004A73AD"/>
    <w:rsid w:val="004A76A4"/>
    <w:rsid w:val="004A76FF"/>
    <w:rsid w:val="004A7A98"/>
    <w:rsid w:val="004A7B38"/>
    <w:rsid w:val="004A7EEE"/>
    <w:rsid w:val="004B0098"/>
    <w:rsid w:val="004B00B5"/>
    <w:rsid w:val="004B08BB"/>
    <w:rsid w:val="004B18D4"/>
    <w:rsid w:val="004B1AF4"/>
    <w:rsid w:val="004B2023"/>
    <w:rsid w:val="004B2080"/>
    <w:rsid w:val="004B21CA"/>
    <w:rsid w:val="004B26E8"/>
    <w:rsid w:val="004B29A9"/>
    <w:rsid w:val="004B2BD0"/>
    <w:rsid w:val="004B3086"/>
    <w:rsid w:val="004B3193"/>
    <w:rsid w:val="004B326C"/>
    <w:rsid w:val="004B332A"/>
    <w:rsid w:val="004B3764"/>
    <w:rsid w:val="004B3DC1"/>
    <w:rsid w:val="004B3DEE"/>
    <w:rsid w:val="004B42F0"/>
    <w:rsid w:val="004B4A0B"/>
    <w:rsid w:val="004B4DE3"/>
    <w:rsid w:val="004B5204"/>
    <w:rsid w:val="004B52CF"/>
    <w:rsid w:val="004B5718"/>
    <w:rsid w:val="004B5A91"/>
    <w:rsid w:val="004B5E94"/>
    <w:rsid w:val="004B61FB"/>
    <w:rsid w:val="004B725E"/>
    <w:rsid w:val="004B7414"/>
    <w:rsid w:val="004B7520"/>
    <w:rsid w:val="004B76B3"/>
    <w:rsid w:val="004B7B0A"/>
    <w:rsid w:val="004B7D2D"/>
    <w:rsid w:val="004C04CF"/>
    <w:rsid w:val="004C0E78"/>
    <w:rsid w:val="004C10CA"/>
    <w:rsid w:val="004C12B4"/>
    <w:rsid w:val="004C1A10"/>
    <w:rsid w:val="004C217F"/>
    <w:rsid w:val="004C21D7"/>
    <w:rsid w:val="004C2975"/>
    <w:rsid w:val="004C3212"/>
    <w:rsid w:val="004C35FB"/>
    <w:rsid w:val="004C38CD"/>
    <w:rsid w:val="004C392F"/>
    <w:rsid w:val="004C39AC"/>
    <w:rsid w:val="004C3CDB"/>
    <w:rsid w:val="004C43DF"/>
    <w:rsid w:val="004C4662"/>
    <w:rsid w:val="004C4890"/>
    <w:rsid w:val="004C4D8B"/>
    <w:rsid w:val="004C51F6"/>
    <w:rsid w:val="004C5BAB"/>
    <w:rsid w:val="004C5D42"/>
    <w:rsid w:val="004C5E39"/>
    <w:rsid w:val="004C6382"/>
    <w:rsid w:val="004C667A"/>
    <w:rsid w:val="004C6E53"/>
    <w:rsid w:val="004C719C"/>
    <w:rsid w:val="004C71DD"/>
    <w:rsid w:val="004C7893"/>
    <w:rsid w:val="004D0308"/>
    <w:rsid w:val="004D0DCD"/>
    <w:rsid w:val="004D110F"/>
    <w:rsid w:val="004D11CA"/>
    <w:rsid w:val="004D1300"/>
    <w:rsid w:val="004D158C"/>
    <w:rsid w:val="004D1879"/>
    <w:rsid w:val="004D1B07"/>
    <w:rsid w:val="004D1BAE"/>
    <w:rsid w:val="004D1C39"/>
    <w:rsid w:val="004D2835"/>
    <w:rsid w:val="004D29FF"/>
    <w:rsid w:val="004D2AE9"/>
    <w:rsid w:val="004D2DA8"/>
    <w:rsid w:val="004D2E88"/>
    <w:rsid w:val="004D30A8"/>
    <w:rsid w:val="004D3777"/>
    <w:rsid w:val="004D3BE6"/>
    <w:rsid w:val="004D43A1"/>
    <w:rsid w:val="004D4B25"/>
    <w:rsid w:val="004D50AB"/>
    <w:rsid w:val="004D52E6"/>
    <w:rsid w:val="004D55A0"/>
    <w:rsid w:val="004D58E3"/>
    <w:rsid w:val="004D5DCE"/>
    <w:rsid w:val="004D5EDF"/>
    <w:rsid w:val="004D6024"/>
    <w:rsid w:val="004D61D0"/>
    <w:rsid w:val="004D62FE"/>
    <w:rsid w:val="004D6551"/>
    <w:rsid w:val="004D6AA6"/>
    <w:rsid w:val="004D6E0E"/>
    <w:rsid w:val="004D6E46"/>
    <w:rsid w:val="004D7256"/>
    <w:rsid w:val="004D78E6"/>
    <w:rsid w:val="004D7B2F"/>
    <w:rsid w:val="004E0042"/>
    <w:rsid w:val="004E0A71"/>
    <w:rsid w:val="004E0D45"/>
    <w:rsid w:val="004E151B"/>
    <w:rsid w:val="004E16C6"/>
    <w:rsid w:val="004E174F"/>
    <w:rsid w:val="004E1E1B"/>
    <w:rsid w:val="004E277D"/>
    <w:rsid w:val="004E2E10"/>
    <w:rsid w:val="004E2F88"/>
    <w:rsid w:val="004E3004"/>
    <w:rsid w:val="004E345E"/>
    <w:rsid w:val="004E3498"/>
    <w:rsid w:val="004E36B9"/>
    <w:rsid w:val="004E3AE6"/>
    <w:rsid w:val="004E3CFA"/>
    <w:rsid w:val="004E453B"/>
    <w:rsid w:val="004E4949"/>
    <w:rsid w:val="004E4C94"/>
    <w:rsid w:val="004E4ED5"/>
    <w:rsid w:val="004E53FF"/>
    <w:rsid w:val="004E5544"/>
    <w:rsid w:val="004E55C1"/>
    <w:rsid w:val="004E5864"/>
    <w:rsid w:val="004E5A78"/>
    <w:rsid w:val="004E5E52"/>
    <w:rsid w:val="004E60AE"/>
    <w:rsid w:val="004E6686"/>
    <w:rsid w:val="004E6A5E"/>
    <w:rsid w:val="004E6A76"/>
    <w:rsid w:val="004E6B6D"/>
    <w:rsid w:val="004E6BEE"/>
    <w:rsid w:val="004E6DBB"/>
    <w:rsid w:val="004E79AE"/>
    <w:rsid w:val="004E7AB5"/>
    <w:rsid w:val="004E7D9A"/>
    <w:rsid w:val="004E7FC3"/>
    <w:rsid w:val="004F046F"/>
    <w:rsid w:val="004F061F"/>
    <w:rsid w:val="004F07D6"/>
    <w:rsid w:val="004F0A98"/>
    <w:rsid w:val="004F0C6E"/>
    <w:rsid w:val="004F0CBD"/>
    <w:rsid w:val="004F0F66"/>
    <w:rsid w:val="004F1465"/>
    <w:rsid w:val="004F1E85"/>
    <w:rsid w:val="004F21D7"/>
    <w:rsid w:val="004F248E"/>
    <w:rsid w:val="004F2540"/>
    <w:rsid w:val="004F2677"/>
    <w:rsid w:val="004F2DC1"/>
    <w:rsid w:val="004F33F9"/>
    <w:rsid w:val="004F38B9"/>
    <w:rsid w:val="004F3914"/>
    <w:rsid w:val="004F3ACA"/>
    <w:rsid w:val="004F3CE7"/>
    <w:rsid w:val="004F43EC"/>
    <w:rsid w:val="004F46D9"/>
    <w:rsid w:val="004F4EA2"/>
    <w:rsid w:val="004F5017"/>
    <w:rsid w:val="004F5529"/>
    <w:rsid w:val="004F6D7B"/>
    <w:rsid w:val="004F7042"/>
    <w:rsid w:val="004F765B"/>
    <w:rsid w:val="004F7B58"/>
    <w:rsid w:val="00500446"/>
    <w:rsid w:val="0050072F"/>
    <w:rsid w:val="005008F1"/>
    <w:rsid w:val="00500DE2"/>
    <w:rsid w:val="00500F16"/>
    <w:rsid w:val="0050146F"/>
    <w:rsid w:val="005014EC"/>
    <w:rsid w:val="00501D90"/>
    <w:rsid w:val="00501EFE"/>
    <w:rsid w:val="00502724"/>
    <w:rsid w:val="0050283B"/>
    <w:rsid w:val="00502D94"/>
    <w:rsid w:val="005030A0"/>
    <w:rsid w:val="00503429"/>
    <w:rsid w:val="00503693"/>
    <w:rsid w:val="00503895"/>
    <w:rsid w:val="00503D89"/>
    <w:rsid w:val="00503E85"/>
    <w:rsid w:val="00503FD1"/>
    <w:rsid w:val="00504159"/>
    <w:rsid w:val="00504278"/>
    <w:rsid w:val="00504866"/>
    <w:rsid w:val="00504974"/>
    <w:rsid w:val="00505490"/>
    <w:rsid w:val="00505665"/>
    <w:rsid w:val="005065EC"/>
    <w:rsid w:val="005067B3"/>
    <w:rsid w:val="005068B4"/>
    <w:rsid w:val="005069B1"/>
    <w:rsid w:val="00507003"/>
    <w:rsid w:val="00507072"/>
    <w:rsid w:val="005073FE"/>
    <w:rsid w:val="005078D7"/>
    <w:rsid w:val="00507F68"/>
    <w:rsid w:val="005100D7"/>
    <w:rsid w:val="00510288"/>
    <w:rsid w:val="00510609"/>
    <w:rsid w:val="00510629"/>
    <w:rsid w:val="00511052"/>
    <w:rsid w:val="005112FF"/>
    <w:rsid w:val="00511567"/>
    <w:rsid w:val="00511C56"/>
    <w:rsid w:val="00511E51"/>
    <w:rsid w:val="00511FD1"/>
    <w:rsid w:val="0051218C"/>
    <w:rsid w:val="005121FB"/>
    <w:rsid w:val="00512431"/>
    <w:rsid w:val="005126BD"/>
    <w:rsid w:val="00512A1D"/>
    <w:rsid w:val="00512EB7"/>
    <w:rsid w:val="005131BB"/>
    <w:rsid w:val="0051340C"/>
    <w:rsid w:val="00513C0D"/>
    <w:rsid w:val="00513C20"/>
    <w:rsid w:val="00513EAE"/>
    <w:rsid w:val="00514867"/>
    <w:rsid w:val="00514995"/>
    <w:rsid w:val="00514DEC"/>
    <w:rsid w:val="0051503D"/>
    <w:rsid w:val="00515CBF"/>
    <w:rsid w:val="00516179"/>
    <w:rsid w:val="0051653E"/>
    <w:rsid w:val="00516A61"/>
    <w:rsid w:val="00516AF8"/>
    <w:rsid w:val="00516B9F"/>
    <w:rsid w:val="005175E0"/>
    <w:rsid w:val="005179F1"/>
    <w:rsid w:val="00517B2E"/>
    <w:rsid w:val="00517BAD"/>
    <w:rsid w:val="00520401"/>
    <w:rsid w:val="005208D2"/>
    <w:rsid w:val="00520F12"/>
    <w:rsid w:val="00521343"/>
    <w:rsid w:val="00521B37"/>
    <w:rsid w:val="0052209E"/>
    <w:rsid w:val="00522B9A"/>
    <w:rsid w:val="00522F93"/>
    <w:rsid w:val="005234EC"/>
    <w:rsid w:val="005239D8"/>
    <w:rsid w:val="00523A55"/>
    <w:rsid w:val="00523D04"/>
    <w:rsid w:val="00523D50"/>
    <w:rsid w:val="00523DC6"/>
    <w:rsid w:val="00524127"/>
    <w:rsid w:val="005249DC"/>
    <w:rsid w:val="00524FAB"/>
    <w:rsid w:val="0052503A"/>
    <w:rsid w:val="00525CC6"/>
    <w:rsid w:val="00525E42"/>
    <w:rsid w:val="0052629F"/>
    <w:rsid w:val="00526538"/>
    <w:rsid w:val="0052654A"/>
    <w:rsid w:val="00526551"/>
    <w:rsid w:val="005270AE"/>
    <w:rsid w:val="00527216"/>
    <w:rsid w:val="005276B9"/>
    <w:rsid w:val="00527B23"/>
    <w:rsid w:val="00530347"/>
    <w:rsid w:val="00530768"/>
    <w:rsid w:val="00530B95"/>
    <w:rsid w:val="00530F4E"/>
    <w:rsid w:val="00531054"/>
    <w:rsid w:val="0053117C"/>
    <w:rsid w:val="005313FC"/>
    <w:rsid w:val="00531AA0"/>
    <w:rsid w:val="00532273"/>
    <w:rsid w:val="005324BB"/>
    <w:rsid w:val="00532602"/>
    <w:rsid w:val="00532A3B"/>
    <w:rsid w:val="00532E8C"/>
    <w:rsid w:val="005336AA"/>
    <w:rsid w:val="00533E1B"/>
    <w:rsid w:val="00533F51"/>
    <w:rsid w:val="005341FA"/>
    <w:rsid w:val="00534284"/>
    <w:rsid w:val="00534952"/>
    <w:rsid w:val="005349BA"/>
    <w:rsid w:val="00534F12"/>
    <w:rsid w:val="0053502B"/>
    <w:rsid w:val="005350E2"/>
    <w:rsid w:val="005356DC"/>
    <w:rsid w:val="00535D83"/>
    <w:rsid w:val="00536112"/>
    <w:rsid w:val="00536120"/>
    <w:rsid w:val="00536387"/>
    <w:rsid w:val="00536801"/>
    <w:rsid w:val="00536C00"/>
    <w:rsid w:val="00536D5C"/>
    <w:rsid w:val="00536DD2"/>
    <w:rsid w:val="00537656"/>
    <w:rsid w:val="0053771A"/>
    <w:rsid w:val="00537EF0"/>
    <w:rsid w:val="0054010F"/>
    <w:rsid w:val="00540258"/>
    <w:rsid w:val="00540316"/>
    <w:rsid w:val="00540B79"/>
    <w:rsid w:val="00541257"/>
    <w:rsid w:val="005412CD"/>
    <w:rsid w:val="00541575"/>
    <w:rsid w:val="005415C7"/>
    <w:rsid w:val="00541639"/>
    <w:rsid w:val="005416C6"/>
    <w:rsid w:val="005418EE"/>
    <w:rsid w:val="00541B6C"/>
    <w:rsid w:val="00541BFC"/>
    <w:rsid w:val="005420CF"/>
    <w:rsid w:val="0054213F"/>
    <w:rsid w:val="005425FA"/>
    <w:rsid w:val="00542B9C"/>
    <w:rsid w:val="00542D62"/>
    <w:rsid w:val="00542EAF"/>
    <w:rsid w:val="00543031"/>
    <w:rsid w:val="005430B1"/>
    <w:rsid w:val="0054354C"/>
    <w:rsid w:val="00544AF1"/>
    <w:rsid w:val="00545585"/>
    <w:rsid w:val="00545594"/>
    <w:rsid w:val="005455D2"/>
    <w:rsid w:val="005461B7"/>
    <w:rsid w:val="00546379"/>
    <w:rsid w:val="00546564"/>
    <w:rsid w:val="00546C37"/>
    <w:rsid w:val="00546EA2"/>
    <w:rsid w:val="00547022"/>
    <w:rsid w:val="005471F2"/>
    <w:rsid w:val="00547281"/>
    <w:rsid w:val="00547551"/>
    <w:rsid w:val="00547F67"/>
    <w:rsid w:val="005500EA"/>
    <w:rsid w:val="0055016E"/>
    <w:rsid w:val="00550756"/>
    <w:rsid w:val="00550816"/>
    <w:rsid w:val="005508BD"/>
    <w:rsid w:val="00550CE2"/>
    <w:rsid w:val="00550D32"/>
    <w:rsid w:val="00550E1E"/>
    <w:rsid w:val="005510F2"/>
    <w:rsid w:val="00551122"/>
    <w:rsid w:val="005513A9"/>
    <w:rsid w:val="005514AA"/>
    <w:rsid w:val="00552369"/>
    <w:rsid w:val="005524C7"/>
    <w:rsid w:val="0055295E"/>
    <w:rsid w:val="0055299B"/>
    <w:rsid w:val="00552A94"/>
    <w:rsid w:val="00552B4D"/>
    <w:rsid w:val="00552DA7"/>
    <w:rsid w:val="00552F9F"/>
    <w:rsid w:val="005531A9"/>
    <w:rsid w:val="00553206"/>
    <w:rsid w:val="00553381"/>
    <w:rsid w:val="005533AC"/>
    <w:rsid w:val="00553A10"/>
    <w:rsid w:val="0055419D"/>
    <w:rsid w:val="005546E3"/>
    <w:rsid w:val="00554D89"/>
    <w:rsid w:val="00554E65"/>
    <w:rsid w:val="00555580"/>
    <w:rsid w:val="00555771"/>
    <w:rsid w:val="005557C2"/>
    <w:rsid w:val="005559F6"/>
    <w:rsid w:val="00555AB6"/>
    <w:rsid w:val="00555DB7"/>
    <w:rsid w:val="005560CA"/>
    <w:rsid w:val="005561FF"/>
    <w:rsid w:val="005567D3"/>
    <w:rsid w:val="0055686B"/>
    <w:rsid w:val="0055691D"/>
    <w:rsid w:val="00556A0B"/>
    <w:rsid w:val="00556A45"/>
    <w:rsid w:val="00556B84"/>
    <w:rsid w:val="00556D6C"/>
    <w:rsid w:val="00556F82"/>
    <w:rsid w:val="005571E3"/>
    <w:rsid w:val="005572CD"/>
    <w:rsid w:val="00557906"/>
    <w:rsid w:val="005579D3"/>
    <w:rsid w:val="0056044D"/>
    <w:rsid w:val="00560AD9"/>
    <w:rsid w:val="005612C9"/>
    <w:rsid w:val="00561989"/>
    <w:rsid w:val="00561B2C"/>
    <w:rsid w:val="00561E33"/>
    <w:rsid w:val="00562172"/>
    <w:rsid w:val="005623F7"/>
    <w:rsid w:val="00562CFA"/>
    <w:rsid w:val="00562D56"/>
    <w:rsid w:val="0056377B"/>
    <w:rsid w:val="00563B54"/>
    <w:rsid w:val="00563E43"/>
    <w:rsid w:val="0056507C"/>
    <w:rsid w:val="005653A3"/>
    <w:rsid w:val="0056557D"/>
    <w:rsid w:val="005657D4"/>
    <w:rsid w:val="00565BC3"/>
    <w:rsid w:val="0056606F"/>
    <w:rsid w:val="005660E5"/>
    <w:rsid w:val="00566463"/>
    <w:rsid w:val="00566942"/>
    <w:rsid w:val="00566E5C"/>
    <w:rsid w:val="00566E78"/>
    <w:rsid w:val="005670E4"/>
    <w:rsid w:val="00567A51"/>
    <w:rsid w:val="0057010E"/>
    <w:rsid w:val="0057040D"/>
    <w:rsid w:val="005710A4"/>
    <w:rsid w:val="005711FE"/>
    <w:rsid w:val="00571894"/>
    <w:rsid w:val="00571D0B"/>
    <w:rsid w:val="00572242"/>
    <w:rsid w:val="005726F4"/>
    <w:rsid w:val="00572B38"/>
    <w:rsid w:val="00572CB2"/>
    <w:rsid w:val="00572D08"/>
    <w:rsid w:val="005732FE"/>
    <w:rsid w:val="00573608"/>
    <w:rsid w:val="00573B68"/>
    <w:rsid w:val="00573C1C"/>
    <w:rsid w:val="00573D0E"/>
    <w:rsid w:val="00573D57"/>
    <w:rsid w:val="00573DD2"/>
    <w:rsid w:val="00574023"/>
    <w:rsid w:val="00574160"/>
    <w:rsid w:val="0057479A"/>
    <w:rsid w:val="0057502A"/>
    <w:rsid w:val="005750B1"/>
    <w:rsid w:val="0057524B"/>
    <w:rsid w:val="0057556F"/>
    <w:rsid w:val="00575C5C"/>
    <w:rsid w:val="00575CB1"/>
    <w:rsid w:val="00575FD1"/>
    <w:rsid w:val="00575FDD"/>
    <w:rsid w:val="005763B8"/>
    <w:rsid w:val="00576519"/>
    <w:rsid w:val="00576AA0"/>
    <w:rsid w:val="005772DF"/>
    <w:rsid w:val="005773E8"/>
    <w:rsid w:val="00577408"/>
    <w:rsid w:val="0057795C"/>
    <w:rsid w:val="00577BB2"/>
    <w:rsid w:val="00580135"/>
    <w:rsid w:val="005809C5"/>
    <w:rsid w:val="00580A3A"/>
    <w:rsid w:val="00581010"/>
    <w:rsid w:val="005812FC"/>
    <w:rsid w:val="0058135C"/>
    <w:rsid w:val="00581B13"/>
    <w:rsid w:val="00581DD1"/>
    <w:rsid w:val="00581FDD"/>
    <w:rsid w:val="00582716"/>
    <w:rsid w:val="00583735"/>
    <w:rsid w:val="00584AA9"/>
    <w:rsid w:val="00584F79"/>
    <w:rsid w:val="005851DB"/>
    <w:rsid w:val="005854AB"/>
    <w:rsid w:val="00585839"/>
    <w:rsid w:val="00585B96"/>
    <w:rsid w:val="00585D81"/>
    <w:rsid w:val="0058688C"/>
    <w:rsid w:val="005868BF"/>
    <w:rsid w:val="0058696C"/>
    <w:rsid w:val="005870B6"/>
    <w:rsid w:val="005870DA"/>
    <w:rsid w:val="005875DB"/>
    <w:rsid w:val="005875F3"/>
    <w:rsid w:val="005877C6"/>
    <w:rsid w:val="005878A4"/>
    <w:rsid w:val="00587B38"/>
    <w:rsid w:val="00587C87"/>
    <w:rsid w:val="00587E63"/>
    <w:rsid w:val="00590298"/>
    <w:rsid w:val="005907A9"/>
    <w:rsid w:val="00590AB4"/>
    <w:rsid w:val="00590ADA"/>
    <w:rsid w:val="00591734"/>
    <w:rsid w:val="005917D1"/>
    <w:rsid w:val="00591A65"/>
    <w:rsid w:val="00591E82"/>
    <w:rsid w:val="00591F52"/>
    <w:rsid w:val="00591FD2"/>
    <w:rsid w:val="00592353"/>
    <w:rsid w:val="0059256A"/>
    <w:rsid w:val="005926ED"/>
    <w:rsid w:val="005926FB"/>
    <w:rsid w:val="0059298B"/>
    <w:rsid w:val="00592C89"/>
    <w:rsid w:val="00592F01"/>
    <w:rsid w:val="00593143"/>
    <w:rsid w:val="0059356D"/>
    <w:rsid w:val="00593979"/>
    <w:rsid w:val="0059419E"/>
    <w:rsid w:val="0059454F"/>
    <w:rsid w:val="005946DE"/>
    <w:rsid w:val="00594846"/>
    <w:rsid w:val="005948B8"/>
    <w:rsid w:val="00594914"/>
    <w:rsid w:val="00594CA7"/>
    <w:rsid w:val="00594E59"/>
    <w:rsid w:val="00594F35"/>
    <w:rsid w:val="00596228"/>
    <w:rsid w:val="00596989"/>
    <w:rsid w:val="00596A85"/>
    <w:rsid w:val="005972CD"/>
    <w:rsid w:val="00597824"/>
    <w:rsid w:val="00597E9F"/>
    <w:rsid w:val="00597FA0"/>
    <w:rsid w:val="005A052D"/>
    <w:rsid w:val="005A07B5"/>
    <w:rsid w:val="005A121E"/>
    <w:rsid w:val="005A12CE"/>
    <w:rsid w:val="005A140D"/>
    <w:rsid w:val="005A14B0"/>
    <w:rsid w:val="005A1E34"/>
    <w:rsid w:val="005A25FC"/>
    <w:rsid w:val="005A2E2C"/>
    <w:rsid w:val="005A34FA"/>
    <w:rsid w:val="005A38EF"/>
    <w:rsid w:val="005A3B8C"/>
    <w:rsid w:val="005A3C3E"/>
    <w:rsid w:val="005A3E62"/>
    <w:rsid w:val="005A3FA5"/>
    <w:rsid w:val="005A41B7"/>
    <w:rsid w:val="005A4214"/>
    <w:rsid w:val="005A434C"/>
    <w:rsid w:val="005A45EA"/>
    <w:rsid w:val="005A4F62"/>
    <w:rsid w:val="005A51E3"/>
    <w:rsid w:val="005A57C2"/>
    <w:rsid w:val="005A5898"/>
    <w:rsid w:val="005A5A08"/>
    <w:rsid w:val="005A5EF6"/>
    <w:rsid w:val="005A6335"/>
    <w:rsid w:val="005A67C0"/>
    <w:rsid w:val="005A6BEC"/>
    <w:rsid w:val="005A7F68"/>
    <w:rsid w:val="005A7FD6"/>
    <w:rsid w:val="005B01E6"/>
    <w:rsid w:val="005B0488"/>
    <w:rsid w:val="005B0865"/>
    <w:rsid w:val="005B08FB"/>
    <w:rsid w:val="005B0B4D"/>
    <w:rsid w:val="005B0FB7"/>
    <w:rsid w:val="005B0FD8"/>
    <w:rsid w:val="005B10BB"/>
    <w:rsid w:val="005B14B1"/>
    <w:rsid w:val="005B1905"/>
    <w:rsid w:val="005B1984"/>
    <w:rsid w:val="005B1AF4"/>
    <w:rsid w:val="005B208F"/>
    <w:rsid w:val="005B231B"/>
    <w:rsid w:val="005B2455"/>
    <w:rsid w:val="005B25CF"/>
    <w:rsid w:val="005B2A93"/>
    <w:rsid w:val="005B3131"/>
    <w:rsid w:val="005B35E9"/>
    <w:rsid w:val="005B3695"/>
    <w:rsid w:val="005B375A"/>
    <w:rsid w:val="005B382F"/>
    <w:rsid w:val="005B3CA4"/>
    <w:rsid w:val="005B40B9"/>
    <w:rsid w:val="005B4434"/>
    <w:rsid w:val="005B4E7F"/>
    <w:rsid w:val="005B51C7"/>
    <w:rsid w:val="005B557D"/>
    <w:rsid w:val="005B68E1"/>
    <w:rsid w:val="005B68F4"/>
    <w:rsid w:val="005B699F"/>
    <w:rsid w:val="005B6B6B"/>
    <w:rsid w:val="005B6BC2"/>
    <w:rsid w:val="005C0727"/>
    <w:rsid w:val="005C08FC"/>
    <w:rsid w:val="005C0904"/>
    <w:rsid w:val="005C0BB4"/>
    <w:rsid w:val="005C0D44"/>
    <w:rsid w:val="005C10A5"/>
    <w:rsid w:val="005C1146"/>
    <w:rsid w:val="005C1301"/>
    <w:rsid w:val="005C140D"/>
    <w:rsid w:val="005C146F"/>
    <w:rsid w:val="005C1527"/>
    <w:rsid w:val="005C156B"/>
    <w:rsid w:val="005C15EB"/>
    <w:rsid w:val="005C168A"/>
    <w:rsid w:val="005C1AD4"/>
    <w:rsid w:val="005C1B99"/>
    <w:rsid w:val="005C207E"/>
    <w:rsid w:val="005C20F8"/>
    <w:rsid w:val="005C2B6C"/>
    <w:rsid w:val="005C2DC7"/>
    <w:rsid w:val="005C30E1"/>
    <w:rsid w:val="005C38F6"/>
    <w:rsid w:val="005C3ADC"/>
    <w:rsid w:val="005C3E6D"/>
    <w:rsid w:val="005C3ED8"/>
    <w:rsid w:val="005C4107"/>
    <w:rsid w:val="005C45B3"/>
    <w:rsid w:val="005C4A30"/>
    <w:rsid w:val="005C4B7E"/>
    <w:rsid w:val="005C52EB"/>
    <w:rsid w:val="005C533E"/>
    <w:rsid w:val="005C549A"/>
    <w:rsid w:val="005C5AE6"/>
    <w:rsid w:val="005C5D63"/>
    <w:rsid w:val="005C5E1A"/>
    <w:rsid w:val="005C61E2"/>
    <w:rsid w:val="005C665E"/>
    <w:rsid w:val="005C674F"/>
    <w:rsid w:val="005C6835"/>
    <w:rsid w:val="005C6E80"/>
    <w:rsid w:val="005C7501"/>
    <w:rsid w:val="005C77AC"/>
    <w:rsid w:val="005C7CFF"/>
    <w:rsid w:val="005C7DDA"/>
    <w:rsid w:val="005C7EBC"/>
    <w:rsid w:val="005D0186"/>
    <w:rsid w:val="005D0640"/>
    <w:rsid w:val="005D0686"/>
    <w:rsid w:val="005D093D"/>
    <w:rsid w:val="005D0C85"/>
    <w:rsid w:val="005D1241"/>
    <w:rsid w:val="005D196D"/>
    <w:rsid w:val="005D19EF"/>
    <w:rsid w:val="005D1A31"/>
    <w:rsid w:val="005D1B7F"/>
    <w:rsid w:val="005D1D10"/>
    <w:rsid w:val="005D246D"/>
    <w:rsid w:val="005D2662"/>
    <w:rsid w:val="005D3748"/>
    <w:rsid w:val="005D3A34"/>
    <w:rsid w:val="005D4CE9"/>
    <w:rsid w:val="005D4E95"/>
    <w:rsid w:val="005D5335"/>
    <w:rsid w:val="005D5629"/>
    <w:rsid w:val="005D5B0F"/>
    <w:rsid w:val="005D5F84"/>
    <w:rsid w:val="005D6521"/>
    <w:rsid w:val="005D66F0"/>
    <w:rsid w:val="005D6749"/>
    <w:rsid w:val="005D67C3"/>
    <w:rsid w:val="005D6C3A"/>
    <w:rsid w:val="005D6CDA"/>
    <w:rsid w:val="005D71F6"/>
    <w:rsid w:val="005D7DAD"/>
    <w:rsid w:val="005D7DAF"/>
    <w:rsid w:val="005E01C4"/>
    <w:rsid w:val="005E04D4"/>
    <w:rsid w:val="005E0750"/>
    <w:rsid w:val="005E09A5"/>
    <w:rsid w:val="005E0D5A"/>
    <w:rsid w:val="005E14EA"/>
    <w:rsid w:val="005E1A6A"/>
    <w:rsid w:val="005E1F20"/>
    <w:rsid w:val="005E2146"/>
    <w:rsid w:val="005E215A"/>
    <w:rsid w:val="005E230A"/>
    <w:rsid w:val="005E350E"/>
    <w:rsid w:val="005E354D"/>
    <w:rsid w:val="005E39D2"/>
    <w:rsid w:val="005E3DD2"/>
    <w:rsid w:val="005E4169"/>
    <w:rsid w:val="005E43F0"/>
    <w:rsid w:val="005E492F"/>
    <w:rsid w:val="005E495B"/>
    <w:rsid w:val="005E4A07"/>
    <w:rsid w:val="005E4EBD"/>
    <w:rsid w:val="005E5166"/>
    <w:rsid w:val="005E55A0"/>
    <w:rsid w:val="005E5676"/>
    <w:rsid w:val="005E58F5"/>
    <w:rsid w:val="005E5A1A"/>
    <w:rsid w:val="005E5A6E"/>
    <w:rsid w:val="005E5A78"/>
    <w:rsid w:val="005E618C"/>
    <w:rsid w:val="005E64FF"/>
    <w:rsid w:val="005E654C"/>
    <w:rsid w:val="005E6711"/>
    <w:rsid w:val="005E6EF1"/>
    <w:rsid w:val="005E71BF"/>
    <w:rsid w:val="005E780E"/>
    <w:rsid w:val="005E79D7"/>
    <w:rsid w:val="005E7B60"/>
    <w:rsid w:val="005E7E6E"/>
    <w:rsid w:val="005F071C"/>
    <w:rsid w:val="005F077F"/>
    <w:rsid w:val="005F07DD"/>
    <w:rsid w:val="005F084F"/>
    <w:rsid w:val="005F0851"/>
    <w:rsid w:val="005F0B68"/>
    <w:rsid w:val="005F1089"/>
    <w:rsid w:val="005F10C5"/>
    <w:rsid w:val="005F17B5"/>
    <w:rsid w:val="005F1842"/>
    <w:rsid w:val="005F1D17"/>
    <w:rsid w:val="005F1EA1"/>
    <w:rsid w:val="005F1F44"/>
    <w:rsid w:val="005F2095"/>
    <w:rsid w:val="005F2A59"/>
    <w:rsid w:val="005F2C3C"/>
    <w:rsid w:val="005F2D0E"/>
    <w:rsid w:val="005F2F13"/>
    <w:rsid w:val="005F4268"/>
    <w:rsid w:val="005F4779"/>
    <w:rsid w:val="005F48ED"/>
    <w:rsid w:val="005F4A1E"/>
    <w:rsid w:val="005F5148"/>
    <w:rsid w:val="005F51CB"/>
    <w:rsid w:val="005F5318"/>
    <w:rsid w:val="005F5951"/>
    <w:rsid w:val="005F5D25"/>
    <w:rsid w:val="005F5DED"/>
    <w:rsid w:val="005F5F7F"/>
    <w:rsid w:val="005F610A"/>
    <w:rsid w:val="005F64B0"/>
    <w:rsid w:val="005F6676"/>
    <w:rsid w:val="005F6CB4"/>
    <w:rsid w:val="005F74B4"/>
    <w:rsid w:val="005F74E5"/>
    <w:rsid w:val="005F7E19"/>
    <w:rsid w:val="00600144"/>
    <w:rsid w:val="006003A2"/>
    <w:rsid w:val="00600502"/>
    <w:rsid w:val="00600B58"/>
    <w:rsid w:val="00600C1B"/>
    <w:rsid w:val="00601987"/>
    <w:rsid w:val="00601BCC"/>
    <w:rsid w:val="00601F14"/>
    <w:rsid w:val="006025DE"/>
    <w:rsid w:val="006028B3"/>
    <w:rsid w:val="006029CE"/>
    <w:rsid w:val="00602AD7"/>
    <w:rsid w:val="00602C17"/>
    <w:rsid w:val="00602C73"/>
    <w:rsid w:val="00602CDB"/>
    <w:rsid w:val="00602ECA"/>
    <w:rsid w:val="00603389"/>
    <w:rsid w:val="00603575"/>
    <w:rsid w:val="0060381C"/>
    <w:rsid w:val="0060411A"/>
    <w:rsid w:val="00604C17"/>
    <w:rsid w:val="006057CA"/>
    <w:rsid w:val="00605B2F"/>
    <w:rsid w:val="00606663"/>
    <w:rsid w:val="00606914"/>
    <w:rsid w:val="00606B56"/>
    <w:rsid w:val="00606C1F"/>
    <w:rsid w:val="00606CF7"/>
    <w:rsid w:val="0060739A"/>
    <w:rsid w:val="00607426"/>
    <w:rsid w:val="00607B28"/>
    <w:rsid w:val="00607BEA"/>
    <w:rsid w:val="0061005A"/>
    <w:rsid w:val="006100DA"/>
    <w:rsid w:val="0061026C"/>
    <w:rsid w:val="00610888"/>
    <w:rsid w:val="00610A8D"/>
    <w:rsid w:val="00611634"/>
    <w:rsid w:val="006116ED"/>
    <w:rsid w:val="006119B5"/>
    <w:rsid w:val="00611F64"/>
    <w:rsid w:val="0061338A"/>
    <w:rsid w:val="006133F0"/>
    <w:rsid w:val="00613554"/>
    <w:rsid w:val="0061363A"/>
    <w:rsid w:val="00613F8B"/>
    <w:rsid w:val="0061409F"/>
    <w:rsid w:val="006140A2"/>
    <w:rsid w:val="00614461"/>
    <w:rsid w:val="00614CAC"/>
    <w:rsid w:val="00614F46"/>
    <w:rsid w:val="00614F5A"/>
    <w:rsid w:val="0061557A"/>
    <w:rsid w:val="006163DA"/>
    <w:rsid w:val="006166EA"/>
    <w:rsid w:val="00616A5F"/>
    <w:rsid w:val="00616A8B"/>
    <w:rsid w:val="00616FF3"/>
    <w:rsid w:val="0061735A"/>
    <w:rsid w:val="006175D7"/>
    <w:rsid w:val="00617688"/>
    <w:rsid w:val="006176F4"/>
    <w:rsid w:val="00617E87"/>
    <w:rsid w:val="006207D8"/>
    <w:rsid w:val="00620CD4"/>
    <w:rsid w:val="00621169"/>
    <w:rsid w:val="0062127E"/>
    <w:rsid w:val="006213FA"/>
    <w:rsid w:val="006215A0"/>
    <w:rsid w:val="006217E4"/>
    <w:rsid w:val="00621B8B"/>
    <w:rsid w:val="0062236A"/>
    <w:rsid w:val="00622B3B"/>
    <w:rsid w:val="00623103"/>
    <w:rsid w:val="0062332B"/>
    <w:rsid w:val="00623724"/>
    <w:rsid w:val="00624254"/>
    <w:rsid w:val="0062474E"/>
    <w:rsid w:val="00624D8B"/>
    <w:rsid w:val="00624E28"/>
    <w:rsid w:val="006251CA"/>
    <w:rsid w:val="00625281"/>
    <w:rsid w:val="00625AFD"/>
    <w:rsid w:val="0062610C"/>
    <w:rsid w:val="0062624A"/>
    <w:rsid w:val="00626366"/>
    <w:rsid w:val="00626646"/>
    <w:rsid w:val="006267A8"/>
    <w:rsid w:val="00626927"/>
    <w:rsid w:val="00626937"/>
    <w:rsid w:val="00626989"/>
    <w:rsid w:val="00626A70"/>
    <w:rsid w:val="00626D34"/>
    <w:rsid w:val="00626D56"/>
    <w:rsid w:val="006272E3"/>
    <w:rsid w:val="006277DA"/>
    <w:rsid w:val="00627B32"/>
    <w:rsid w:val="00630058"/>
    <w:rsid w:val="00630162"/>
    <w:rsid w:val="0063062E"/>
    <w:rsid w:val="0063067F"/>
    <w:rsid w:val="00630A92"/>
    <w:rsid w:val="00630F15"/>
    <w:rsid w:val="006311CB"/>
    <w:rsid w:val="00631271"/>
    <w:rsid w:val="00631AC3"/>
    <w:rsid w:val="00631CC3"/>
    <w:rsid w:val="00632102"/>
    <w:rsid w:val="0063232C"/>
    <w:rsid w:val="006325A2"/>
    <w:rsid w:val="00632AC4"/>
    <w:rsid w:val="00632D7D"/>
    <w:rsid w:val="00633AFB"/>
    <w:rsid w:val="00633E75"/>
    <w:rsid w:val="00635305"/>
    <w:rsid w:val="00635A28"/>
    <w:rsid w:val="00635EEF"/>
    <w:rsid w:val="006364E6"/>
    <w:rsid w:val="006366C8"/>
    <w:rsid w:val="00636CD0"/>
    <w:rsid w:val="006375E3"/>
    <w:rsid w:val="006379A5"/>
    <w:rsid w:val="00637EBE"/>
    <w:rsid w:val="0064030D"/>
    <w:rsid w:val="006405A7"/>
    <w:rsid w:val="006408BD"/>
    <w:rsid w:val="006409BB"/>
    <w:rsid w:val="00640AC0"/>
    <w:rsid w:val="00640B94"/>
    <w:rsid w:val="00641447"/>
    <w:rsid w:val="0064154E"/>
    <w:rsid w:val="006416CF"/>
    <w:rsid w:val="00641A6B"/>
    <w:rsid w:val="00641B28"/>
    <w:rsid w:val="006431FC"/>
    <w:rsid w:val="00643BE3"/>
    <w:rsid w:val="00643C78"/>
    <w:rsid w:val="00643FD0"/>
    <w:rsid w:val="006443EE"/>
    <w:rsid w:val="00644700"/>
    <w:rsid w:val="006447B1"/>
    <w:rsid w:val="0064496F"/>
    <w:rsid w:val="00644C0A"/>
    <w:rsid w:val="00644ED9"/>
    <w:rsid w:val="006451C0"/>
    <w:rsid w:val="00645310"/>
    <w:rsid w:val="0064537B"/>
    <w:rsid w:val="00645A98"/>
    <w:rsid w:val="0064615D"/>
    <w:rsid w:val="00646432"/>
    <w:rsid w:val="006466FC"/>
    <w:rsid w:val="00647334"/>
    <w:rsid w:val="0064774F"/>
    <w:rsid w:val="00647A65"/>
    <w:rsid w:val="00650166"/>
    <w:rsid w:val="006502E4"/>
    <w:rsid w:val="006502EC"/>
    <w:rsid w:val="00650CC6"/>
    <w:rsid w:val="00650CF0"/>
    <w:rsid w:val="006519F8"/>
    <w:rsid w:val="00651A53"/>
    <w:rsid w:val="00651F23"/>
    <w:rsid w:val="0065229C"/>
    <w:rsid w:val="00652422"/>
    <w:rsid w:val="00652800"/>
    <w:rsid w:val="00652DA3"/>
    <w:rsid w:val="00652E26"/>
    <w:rsid w:val="00653B8A"/>
    <w:rsid w:val="00653CB2"/>
    <w:rsid w:val="00653DEC"/>
    <w:rsid w:val="006540F7"/>
    <w:rsid w:val="006543A3"/>
    <w:rsid w:val="00654494"/>
    <w:rsid w:val="00654894"/>
    <w:rsid w:val="00654BAC"/>
    <w:rsid w:val="00654F98"/>
    <w:rsid w:val="00655285"/>
    <w:rsid w:val="00655E1D"/>
    <w:rsid w:val="00655E76"/>
    <w:rsid w:val="006561A5"/>
    <w:rsid w:val="00656498"/>
    <w:rsid w:val="0065670C"/>
    <w:rsid w:val="00656A10"/>
    <w:rsid w:val="00656AC3"/>
    <w:rsid w:val="00656FB3"/>
    <w:rsid w:val="00657712"/>
    <w:rsid w:val="006579FF"/>
    <w:rsid w:val="00657CFC"/>
    <w:rsid w:val="006606B6"/>
    <w:rsid w:val="006608FC"/>
    <w:rsid w:val="00661676"/>
    <w:rsid w:val="00661713"/>
    <w:rsid w:val="006618DC"/>
    <w:rsid w:val="006619D3"/>
    <w:rsid w:val="00661C60"/>
    <w:rsid w:val="00662128"/>
    <w:rsid w:val="00662523"/>
    <w:rsid w:val="0066271E"/>
    <w:rsid w:val="00662832"/>
    <w:rsid w:val="00662CCC"/>
    <w:rsid w:val="00662F36"/>
    <w:rsid w:val="00662F80"/>
    <w:rsid w:val="0066318F"/>
    <w:rsid w:val="00663969"/>
    <w:rsid w:val="00663B4C"/>
    <w:rsid w:val="00663DB2"/>
    <w:rsid w:val="00664AB0"/>
    <w:rsid w:val="00664B2E"/>
    <w:rsid w:val="006651C6"/>
    <w:rsid w:val="00665A74"/>
    <w:rsid w:val="00665F12"/>
    <w:rsid w:val="006668EE"/>
    <w:rsid w:val="00666A26"/>
    <w:rsid w:val="006670C3"/>
    <w:rsid w:val="006672FA"/>
    <w:rsid w:val="00667506"/>
    <w:rsid w:val="006679FC"/>
    <w:rsid w:val="00667B8A"/>
    <w:rsid w:val="006704E0"/>
    <w:rsid w:val="00670547"/>
    <w:rsid w:val="006711B5"/>
    <w:rsid w:val="00671492"/>
    <w:rsid w:val="0067159C"/>
    <w:rsid w:val="006715C7"/>
    <w:rsid w:val="00671A59"/>
    <w:rsid w:val="00672541"/>
    <w:rsid w:val="006729DC"/>
    <w:rsid w:val="00672D48"/>
    <w:rsid w:val="00672D50"/>
    <w:rsid w:val="00672DD4"/>
    <w:rsid w:val="006732F2"/>
    <w:rsid w:val="006735EA"/>
    <w:rsid w:val="006737D0"/>
    <w:rsid w:val="00673B20"/>
    <w:rsid w:val="00673F36"/>
    <w:rsid w:val="0067448E"/>
    <w:rsid w:val="00674BA4"/>
    <w:rsid w:val="00674BD9"/>
    <w:rsid w:val="00674EA4"/>
    <w:rsid w:val="006755C5"/>
    <w:rsid w:val="00675F43"/>
    <w:rsid w:val="00676879"/>
    <w:rsid w:val="00676DF1"/>
    <w:rsid w:val="006770F0"/>
    <w:rsid w:val="00677537"/>
    <w:rsid w:val="00677965"/>
    <w:rsid w:val="00677DC0"/>
    <w:rsid w:val="006802DC"/>
    <w:rsid w:val="00680530"/>
    <w:rsid w:val="00680773"/>
    <w:rsid w:val="00680D03"/>
    <w:rsid w:val="0068111C"/>
    <w:rsid w:val="00681179"/>
    <w:rsid w:val="006812E8"/>
    <w:rsid w:val="0068145E"/>
    <w:rsid w:val="006814FC"/>
    <w:rsid w:val="006816E5"/>
    <w:rsid w:val="00681B89"/>
    <w:rsid w:val="0068240C"/>
    <w:rsid w:val="006824A7"/>
    <w:rsid w:val="0068286C"/>
    <w:rsid w:val="00682886"/>
    <w:rsid w:val="006828B2"/>
    <w:rsid w:val="00683392"/>
    <w:rsid w:val="0068372D"/>
    <w:rsid w:val="0068394A"/>
    <w:rsid w:val="00683A2F"/>
    <w:rsid w:val="00683AF1"/>
    <w:rsid w:val="00683C10"/>
    <w:rsid w:val="006842C0"/>
    <w:rsid w:val="006842D6"/>
    <w:rsid w:val="006843B2"/>
    <w:rsid w:val="0068478C"/>
    <w:rsid w:val="006856DA"/>
    <w:rsid w:val="006859EC"/>
    <w:rsid w:val="00685C13"/>
    <w:rsid w:val="006865F2"/>
    <w:rsid w:val="0068698C"/>
    <w:rsid w:val="00686F6C"/>
    <w:rsid w:val="006870A8"/>
    <w:rsid w:val="006873E4"/>
    <w:rsid w:val="00687A60"/>
    <w:rsid w:val="00687B85"/>
    <w:rsid w:val="00687EB2"/>
    <w:rsid w:val="00690123"/>
    <w:rsid w:val="006902EE"/>
    <w:rsid w:val="00690A32"/>
    <w:rsid w:val="00690D93"/>
    <w:rsid w:val="0069177E"/>
    <w:rsid w:val="006927DF"/>
    <w:rsid w:val="006929C7"/>
    <w:rsid w:val="00692D16"/>
    <w:rsid w:val="0069389B"/>
    <w:rsid w:val="00693A8E"/>
    <w:rsid w:val="00693BC2"/>
    <w:rsid w:val="006940D2"/>
    <w:rsid w:val="006940F5"/>
    <w:rsid w:val="00694933"/>
    <w:rsid w:val="00694969"/>
    <w:rsid w:val="00694B70"/>
    <w:rsid w:val="00694D2B"/>
    <w:rsid w:val="006952F6"/>
    <w:rsid w:val="0069532E"/>
    <w:rsid w:val="006953BC"/>
    <w:rsid w:val="00695409"/>
    <w:rsid w:val="006955DC"/>
    <w:rsid w:val="00695A5C"/>
    <w:rsid w:val="00695D4A"/>
    <w:rsid w:val="00695DA2"/>
    <w:rsid w:val="00695E25"/>
    <w:rsid w:val="00696088"/>
    <w:rsid w:val="00696706"/>
    <w:rsid w:val="006968A2"/>
    <w:rsid w:val="006968B3"/>
    <w:rsid w:val="0069692F"/>
    <w:rsid w:val="00696A2E"/>
    <w:rsid w:val="0069779F"/>
    <w:rsid w:val="00697FF2"/>
    <w:rsid w:val="006A059D"/>
    <w:rsid w:val="006A0635"/>
    <w:rsid w:val="006A0732"/>
    <w:rsid w:val="006A0D12"/>
    <w:rsid w:val="006A12EC"/>
    <w:rsid w:val="006A1C1F"/>
    <w:rsid w:val="006A1DB6"/>
    <w:rsid w:val="006A1EAF"/>
    <w:rsid w:val="006A3337"/>
    <w:rsid w:val="006A337C"/>
    <w:rsid w:val="006A3C76"/>
    <w:rsid w:val="006A3EC7"/>
    <w:rsid w:val="006A424F"/>
    <w:rsid w:val="006A443B"/>
    <w:rsid w:val="006A4D25"/>
    <w:rsid w:val="006A4DA4"/>
    <w:rsid w:val="006A5079"/>
    <w:rsid w:val="006A5F43"/>
    <w:rsid w:val="006A6061"/>
    <w:rsid w:val="006A60F7"/>
    <w:rsid w:val="006A636B"/>
    <w:rsid w:val="006A6B52"/>
    <w:rsid w:val="006A6BFB"/>
    <w:rsid w:val="006A6D3F"/>
    <w:rsid w:val="006A6DBA"/>
    <w:rsid w:val="006A714A"/>
    <w:rsid w:val="006A71D0"/>
    <w:rsid w:val="006A7517"/>
    <w:rsid w:val="006A7ACC"/>
    <w:rsid w:val="006A7B78"/>
    <w:rsid w:val="006A7BB3"/>
    <w:rsid w:val="006A7FB1"/>
    <w:rsid w:val="006B0144"/>
    <w:rsid w:val="006B068F"/>
    <w:rsid w:val="006B07B6"/>
    <w:rsid w:val="006B0D52"/>
    <w:rsid w:val="006B175F"/>
    <w:rsid w:val="006B1B4A"/>
    <w:rsid w:val="006B1B7C"/>
    <w:rsid w:val="006B22AF"/>
    <w:rsid w:val="006B2C9B"/>
    <w:rsid w:val="006B2EED"/>
    <w:rsid w:val="006B4755"/>
    <w:rsid w:val="006B4912"/>
    <w:rsid w:val="006B4B2F"/>
    <w:rsid w:val="006B4DF2"/>
    <w:rsid w:val="006B5844"/>
    <w:rsid w:val="006B58AD"/>
    <w:rsid w:val="006B5B7A"/>
    <w:rsid w:val="006B5BB2"/>
    <w:rsid w:val="006B5E73"/>
    <w:rsid w:val="006B5E86"/>
    <w:rsid w:val="006B632F"/>
    <w:rsid w:val="006B6ABB"/>
    <w:rsid w:val="006B70AB"/>
    <w:rsid w:val="006B759D"/>
    <w:rsid w:val="006B78A9"/>
    <w:rsid w:val="006B7B90"/>
    <w:rsid w:val="006C046A"/>
    <w:rsid w:val="006C050F"/>
    <w:rsid w:val="006C08D3"/>
    <w:rsid w:val="006C09A2"/>
    <w:rsid w:val="006C1B7A"/>
    <w:rsid w:val="006C2554"/>
    <w:rsid w:val="006C2735"/>
    <w:rsid w:val="006C286E"/>
    <w:rsid w:val="006C2BFB"/>
    <w:rsid w:val="006C2D41"/>
    <w:rsid w:val="006C3016"/>
    <w:rsid w:val="006C3239"/>
    <w:rsid w:val="006C387F"/>
    <w:rsid w:val="006C3A85"/>
    <w:rsid w:val="006C3BCF"/>
    <w:rsid w:val="006C3BE6"/>
    <w:rsid w:val="006C3F48"/>
    <w:rsid w:val="006C43E2"/>
    <w:rsid w:val="006C4653"/>
    <w:rsid w:val="006C49B8"/>
    <w:rsid w:val="006C4A00"/>
    <w:rsid w:val="006C4B35"/>
    <w:rsid w:val="006C4C32"/>
    <w:rsid w:val="006C4EB4"/>
    <w:rsid w:val="006C542D"/>
    <w:rsid w:val="006C54EB"/>
    <w:rsid w:val="006C5628"/>
    <w:rsid w:val="006C5A6A"/>
    <w:rsid w:val="006C5F7E"/>
    <w:rsid w:val="006C6076"/>
    <w:rsid w:val="006C63F6"/>
    <w:rsid w:val="006C6912"/>
    <w:rsid w:val="006C6BFE"/>
    <w:rsid w:val="006C6E25"/>
    <w:rsid w:val="006C6E4F"/>
    <w:rsid w:val="006C6EF7"/>
    <w:rsid w:val="006C6F75"/>
    <w:rsid w:val="006C70D3"/>
    <w:rsid w:val="006C7AFC"/>
    <w:rsid w:val="006C7E2B"/>
    <w:rsid w:val="006C7E7A"/>
    <w:rsid w:val="006C7E81"/>
    <w:rsid w:val="006D07E7"/>
    <w:rsid w:val="006D0D61"/>
    <w:rsid w:val="006D0E21"/>
    <w:rsid w:val="006D2165"/>
    <w:rsid w:val="006D23A7"/>
    <w:rsid w:val="006D2612"/>
    <w:rsid w:val="006D2804"/>
    <w:rsid w:val="006D2885"/>
    <w:rsid w:val="006D2EA6"/>
    <w:rsid w:val="006D2F29"/>
    <w:rsid w:val="006D31A6"/>
    <w:rsid w:val="006D3491"/>
    <w:rsid w:val="006D3DAB"/>
    <w:rsid w:val="006D405F"/>
    <w:rsid w:val="006D4D4C"/>
    <w:rsid w:val="006D4F07"/>
    <w:rsid w:val="006D5AA4"/>
    <w:rsid w:val="006D5C4B"/>
    <w:rsid w:val="006D5D13"/>
    <w:rsid w:val="006D5DCA"/>
    <w:rsid w:val="006D6C0E"/>
    <w:rsid w:val="006D6E9B"/>
    <w:rsid w:val="006D7056"/>
    <w:rsid w:val="006D70E2"/>
    <w:rsid w:val="006D7E26"/>
    <w:rsid w:val="006E0181"/>
    <w:rsid w:val="006E0482"/>
    <w:rsid w:val="006E07CF"/>
    <w:rsid w:val="006E14A9"/>
    <w:rsid w:val="006E1B90"/>
    <w:rsid w:val="006E1C04"/>
    <w:rsid w:val="006E1E4F"/>
    <w:rsid w:val="006E221C"/>
    <w:rsid w:val="006E25CB"/>
    <w:rsid w:val="006E2EF0"/>
    <w:rsid w:val="006E30B0"/>
    <w:rsid w:val="006E33E9"/>
    <w:rsid w:val="006E3711"/>
    <w:rsid w:val="006E39E4"/>
    <w:rsid w:val="006E3A42"/>
    <w:rsid w:val="006E3A84"/>
    <w:rsid w:val="006E3DB3"/>
    <w:rsid w:val="006E3F37"/>
    <w:rsid w:val="006E43C5"/>
    <w:rsid w:val="006E44E7"/>
    <w:rsid w:val="006E480A"/>
    <w:rsid w:val="006E4F89"/>
    <w:rsid w:val="006E5100"/>
    <w:rsid w:val="006E51C7"/>
    <w:rsid w:val="006E53CE"/>
    <w:rsid w:val="006E5969"/>
    <w:rsid w:val="006E598E"/>
    <w:rsid w:val="006E5FA2"/>
    <w:rsid w:val="006E6055"/>
    <w:rsid w:val="006E6768"/>
    <w:rsid w:val="006E699F"/>
    <w:rsid w:val="006E6B40"/>
    <w:rsid w:val="006E6E89"/>
    <w:rsid w:val="006E6F3E"/>
    <w:rsid w:val="006E759C"/>
    <w:rsid w:val="006E770B"/>
    <w:rsid w:val="006E7CB6"/>
    <w:rsid w:val="006F00B7"/>
    <w:rsid w:val="006F01AE"/>
    <w:rsid w:val="006F084D"/>
    <w:rsid w:val="006F0B7A"/>
    <w:rsid w:val="006F0F6D"/>
    <w:rsid w:val="006F15AC"/>
    <w:rsid w:val="006F174D"/>
    <w:rsid w:val="006F19C6"/>
    <w:rsid w:val="006F1BED"/>
    <w:rsid w:val="006F201A"/>
    <w:rsid w:val="006F242A"/>
    <w:rsid w:val="006F27D0"/>
    <w:rsid w:val="006F2973"/>
    <w:rsid w:val="006F298A"/>
    <w:rsid w:val="006F2F63"/>
    <w:rsid w:val="006F336F"/>
    <w:rsid w:val="006F3C66"/>
    <w:rsid w:val="006F3C69"/>
    <w:rsid w:val="006F4485"/>
    <w:rsid w:val="006F47DF"/>
    <w:rsid w:val="006F4A1B"/>
    <w:rsid w:val="006F4A30"/>
    <w:rsid w:val="006F537D"/>
    <w:rsid w:val="006F59B4"/>
    <w:rsid w:val="006F5B04"/>
    <w:rsid w:val="006F63DA"/>
    <w:rsid w:val="006F6498"/>
    <w:rsid w:val="006F69E4"/>
    <w:rsid w:val="006F6AB8"/>
    <w:rsid w:val="006F6C9A"/>
    <w:rsid w:val="006F6E3B"/>
    <w:rsid w:val="006F6E3F"/>
    <w:rsid w:val="006F6F3C"/>
    <w:rsid w:val="006F7018"/>
    <w:rsid w:val="006F7059"/>
    <w:rsid w:val="006F72A8"/>
    <w:rsid w:val="006F7384"/>
    <w:rsid w:val="006F73C8"/>
    <w:rsid w:val="006F7981"/>
    <w:rsid w:val="00700112"/>
    <w:rsid w:val="00700140"/>
    <w:rsid w:val="0070019F"/>
    <w:rsid w:val="007006DA"/>
    <w:rsid w:val="007007F3"/>
    <w:rsid w:val="0070098A"/>
    <w:rsid w:val="00700A16"/>
    <w:rsid w:val="00700D2F"/>
    <w:rsid w:val="00700ED3"/>
    <w:rsid w:val="00701055"/>
    <w:rsid w:val="0070105F"/>
    <w:rsid w:val="0070126D"/>
    <w:rsid w:val="00701318"/>
    <w:rsid w:val="0070165A"/>
    <w:rsid w:val="0070186F"/>
    <w:rsid w:val="007018B1"/>
    <w:rsid w:val="007018EA"/>
    <w:rsid w:val="00702104"/>
    <w:rsid w:val="00702338"/>
    <w:rsid w:val="007027B1"/>
    <w:rsid w:val="0070296A"/>
    <w:rsid w:val="00702B12"/>
    <w:rsid w:val="00702B98"/>
    <w:rsid w:val="00702E40"/>
    <w:rsid w:val="007030E0"/>
    <w:rsid w:val="007033CE"/>
    <w:rsid w:val="00703663"/>
    <w:rsid w:val="00703873"/>
    <w:rsid w:val="007039AB"/>
    <w:rsid w:val="007043A5"/>
    <w:rsid w:val="00704D36"/>
    <w:rsid w:val="00704F62"/>
    <w:rsid w:val="00705107"/>
    <w:rsid w:val="0070594B"/>
    <w:rsid w:val="00705D41"/>
    <w:rsid w:val="00706218"/>
    <w:rsid w:val="00706638"/>
    <w:rsid w:val="00706640"/>
    <w:rsid w:val="007066C7"/>
    <w:rsid w:val="00706A40"/>
    <w:rsid w:val="00706AF3"/>
    <w:rsid w:val="00706FB3"/>
    <w:rsid w:val="007073E8"/>
    <w:rsid w:val="00707443"/>
    <w:rsid w:val="00710026"/>
    <w:rsid w:val="00710078"/>
    <w:rsid w:val="00710A84"/>
    <w:rsid w:val="00710A8A"/>
    <w:rsid w:val="00710CFB"/>
    <w:rsid w:val="007113C6"/>
    <w:rsid w:val="007114F2"/>
    <w:rsid w:val="00711775"/>
    <w:rsid w:val="00711EED"/>
    <w:rsid w:val="00712058"/>
    <w:rsid w:val="0071220D"/>
    <w:rsid w:val="0071237D"/>
    <w:rsid w:val="0071249C"/>
    <w:rsid w:val="00712919"/>
    <w:rsid w:val="00712C00"/>
    <w:rsid w:val="00712D69"/>
    <w:rsid w:val="007131CD"/>
    <w:rsid w:val="00713B3F"/>
    <w:rsid w:val="007152BC"/>
    <w:rsid w:val="00715521"/>
    <w:rsid w:val="00715694"/>
    <w:rsid w:val="00715695"/>
    <w:rsid w:val="007161C6"/>
    <w:rsid w:val="0071657E"/>
    <w:rsid w:val="00716646"/>
    <w:rsid w:val="00716731"/>
    <w:rsid w:val="00716AEF"/>
    <w:rsid w:val="00716C4E"/>
    <w:rsid w:val="00716CFF"/>
    <w:rsid w:val="00716D26"/>
    <w:rsid w:val="007172B0"/>
    <w:rsid w:val="007176D5"/>
    <w:rsid w:val="007176F2"/>
    <w:rsid w:val="007177DA"/>
    <w:rsid w:val="00717859"/>
    <w:rsid w:val="00717CE2"/>
    <w:rsid w:val="00717DE5"/>
    <w:rsid w:val="00717EFD"/>
    <w:rsid w:val="00720116"/>
    <w:rsid w:val="0072014A"/>
    <w:rsid w:val="0072026D"/>
    <w:rsid w:val="007205A6"/>
    <w:rsid w:val="007218C9"/>
    <w:rsid w:val="00722902"/>
    <w:rsid w:val="007229EA"/>
    <w:rsid w:val="00722B44"/>
    <w:rsid w:val="00722E81"/>
    <w:rsid w:val="00723269"/>
    <w:rsid w:val="00723682"/>
    <w:rsid w:val="007236A3"/>
    <w:rsid w:val="007236FB"/>
    <w:rsid w:val="007238A1"/>
    <w:rsid w:val="00723A34"/>
    <w:rsid w:val="00723BF7"/>
    <w:rsid w:val="00723FA0"/>
    <w:rsid w:val="00724895"/>
    <w:rsid w:val="00724949"/>
    <w:rsid w:val="00724ACE"/>
    <w:rsid w:val="0072512D"/>
    <w:rsid w:val="0072580E"/>
    <w:rsid w:val="007258EF"/>
    <w:rsid w:val="00725A51"/>
    <w:rsid w:val="00725B94"/>
    <w:rsid w:val="00725E55"/>
    <w:rsid w:val="00726229"/>
    <w:rsid w:val="007267E3"/>
    <w:rsid w:val="007269B2"/>
    <w:rsid w:val="00726FAA"/>
    <w:rsid w:val="007274BA"/>
    <w:rsid w:val="00727564"/>
    <w:rsid w:val="00727A16"/>
    <w:rsid w:val="00727D55"/>
    <w:rsid w:val="0073091C"/>
    <w:rsid w:val="00730E55"/>
    <w:rsid w:val="00731602"/>
    <w:rsid w:val="00731D75"/>
    <w:rsid w:val="00731FFE"/>
    <w:rsid w:val="00732055"/>
    <w:rsid w:val="007323D0"/>
    <w:rsid w:val="007325C2"/>
    <w:rsid w:val="00733B91"/>
    <w:rsid w:val="00733C29"/>
    <w:rsid w:val="007340EC"/>
    <w:rsid w:val="0073429F"/>
    <w:rsid w:val="007342E3"/>
    <w:rsid w:val="00734874"/>
    <w:rsid w:val="00734B99"/>
    <w:rsid w:val="00734D64"/>
    <w:rsid w:val="00734F40"/>
    <w:rsid w:val="007350AC"/>
    <w:rsid w:val="0073518C"/>
    <w:rsid w:val="00735A76"/>
    <w:rsid w:val="00735CAC"/>
    <w:rsid w:val="00735E87"/>
    <w:rsid w:val="00736296"/>
    <w:rsid w:val="00736791"/>
    <w:rsid w:val="007369DD"/>
    <w:rsid w:val="00736FF1"/>
    <w:rsid w:val="00737172"/>
    <w:rsid w:val="00737314"/>
    <w:rsid w:val="00737467"/>
    <w:rsid w:val="007374F3"/>
    <w:rsid w:val="00737A89"/>
    <w:rsid w:val="00737B7B"/>
    <w:rsid w:val="00737D54"/>
    <w:rsid w:val="007400D7"/>
    <w:rsid w:val="00740B2D"/>
    <w:rsid w:val="00740FD4"/>
    <w:rsid w:val="007411D6"/>
    <w:rsid w:val="00741736"/>
    <w:rsid w:val="0074261C"/>
    <w:rsid w:val="00742D86"/>
    <w:rsid w:val="00743374"/>
    <w:rsid w:val="00743916"/>
    <w:rsid w:val="007439A1"/>
    <w:rsid w:val="00743CB2"/>
    <w:rsid w:val="00744F3E"/>
    <w:rsid w:val="00744FCF"/>
    <w:rsid w:val="00745079"/>
    <w:rsid w:val="00745267"/>
    <w:rsid w:val="007452E6"/>
    <w:rsid w:val="007459E9"/>
    <w:rsid w:val="00745A7C"/>
    <w:rsid w:val="00745C22"/>
    <w:rsid w:val="00745CB0"/>
    <w:rsid w:val="00746092"/>
    <w:rsid w:val="0074656E"/>
    <w:rsid w:val="0074680E"/>
    <w:rsid w:val="00746BD7"/>
    <w:rsid w:val="00746EC3"/>
    <w:rsid w:val="0074702E"/>
    <w:rsid w:val="007476A1"/>
    <w:rsid w:val="007477E8"/>
    <w:rsid w:val="007502B1"/>
    <w:rsid w:val="00750357"/>
    <w:rsid w:val="0075046D"/>
    <w:rsid w:val="007509F8"/>
    <w:rsid w:val="00750AF7"/>
    <w:rsid w:val="007514CC"/>
    <w:rsid w:val="00751510"/>
    <w:rsid w:val="0075171B"/>
    <w:rsid w:val="00751F47"/>
    <w:rsid w:val="007520B0"/>
    <w:rsid w:val="00752457"/>
    <w:rsid w:val="00752836"/>
    <w:rsid w:val="007528F0"/>
    <w:rsid w:val="00752922"/>
    <w:rsid w:val="0075298F"/>
    <w:rsid w:val="00752B47"/>
    <w:rsid w:val="007540BD"/>
    <w:rsid w:val="00754C96"/>
    <w:rsid w:val="00754D09"/>
    <w:rsid w:val="00754E73"/>
    <w:rsid w:val="00754E8F"/>
    <w:rsid w:val="0075500D"/>
    <w:rsid w:val="007556E1"/>
    <w:rsid w:val="0075598F"/>
    <w:rsid w:val="00755B7A"/>
    <w:rsid w:val="00756193"/>
    <w:rsid w:val="007561F6"/>
    <w:rsid w:val="0075624F"/>
    <w:rsid w:val="00756686"/>
    <w:rsid w:val="0075692D"/>
    <w:rsid w:val="00756A30"/>
    <w:rsid w:val="00756C20"/>
    <w:rsid w:val="00756D08"/>
    <w:rsid w:val="00756D3F"/>
    <w:rsid w:val="00757031"/>
    <w:rsid w:val="0075706E"/>
    <w:rsid w:val="007575B5"/>
    <w:rsid w:val="00757AF0"/>
    <w:rsid w:val="00757C78"/>
    <w:rsid w:val="00757DB5"/>
    <w:rsid w:val="00757E31"/>
    <w:rsid w:val="007604DA"/>
    <w:rsid w:val="007614CA"/>
    <w:rsid w:val="007618B0"/>
    <w:rsid w:val="007618E0"/>
    <w:rsid w:val="00761AC7"/>
    <w:rsid w:val="00761AF1"/>
    <w:rsid w:val="00761D70"/>
    <w:rsid w:val="00761DBE"/>
    <w:rsid w:val="00762370"/>
    <w:rsid w:val="00762594"/>
    <w:rsid w:val="00762C52"/>
    <w:rsid w:val="00762C62"/>
    <w:rsid w:val="00762E14"/>
    <w:rsid w:val="00762E9E"/>
    <w:rsid w:val="00762FE5"/>
    <w:rsid w:val="007639C7"/>
    <w:rsid w:val="00763A57"/>
    <w:rsid w:val="00763C8A"/>
    <w:rsid w:val="00763F90"/>
    <w:rsid w:val="00764436"/>
    <w:rsid w:val="00764621"/>
    <w:rsid w:val="00764FB0"/>
    <w:rsid w:val="00765510"/>
    <w:rsid w:val="00765901"/>
    <w:rsid w:val="00765E7D"/>
    <w:rsid w:val="00767255"/>
    <w:rsid w:val="00767383"/>
    <w:rsid w:val="0076762D"/>
    <w:rsid w:val="00767900"/>
    <w:rsid w:val="00767D74"/>
    <w:rsid w:val="00767FA7"/>
    <w:rsid w:val="00770F8C"/>
    <w:rsid w:val="007712D0"/>
    <w:rsid w:val="007714EF"/>
    <w:rsid w:val="0077153C"/>
    <w:rsid w:val="0077169A"/>
    <w:rsid w:val="007716A6"/>
    <w:rsid w:val="00771B41"/>
    <w:rsid w:val="00771D9D"/>
    <w:rsid w:val="00771DAB"/>
    <w:rsid w:val="00771E52"/>
    <w:rsid w:val="00771F80"/>
    <w:rsid w:val="007720E2"/>
    <w:rsid w:val="007727E6"/>
    <w:rsid w:val="007728D2"/>
    <w:rsid w:val="00772D12"/>
    <w:rsid w:val="007730D9"/>
    <w:rsid w:val="0077330F"/>
    <w:rsid w:val="0077339C"/>
    <w:rsid w:val="00773729"/>
    <w:rsid w:val="0077392A"/>
    <w:rsid w:val="00773CFD"/>
    <w:rsid w:val="00773EBA"/>
    <w:rsid w:val="007741E2"/>
    <w:rsid w:val="00774212"/>
    <w:rsid w:val="0077465B"/>
    <w:rsid w:val="00774676"/>
    <w:rsid w:val="007748E8"/>
    <w:rsid w:val="00774AB4"/>
    <w:rsid w:val="007752CA"/>
    <w:rsid w:val="00775A32"/>
    <w:rsid w:val="00775C7A"/>
    <w:rsid w:val="00776181"/>
    <w:rsid w:val="0077656F"/>
    <w:rsid w:val="0077661A"/>
    <w:rsid w:val="0077696D"/>
    <w:rsid w:val="00776991"/>
    <w:rsid w:val="00776B72"/>
    <w:rsid w:val="00776C92"/>
    <w:rsid w:val="007778F9"/>
    <w:rsid w:val="00777B92"/>
    <w:rsid w:val="00777BE0"/>
    <w:rsid w:val="00780818"/>
    <w:rsid w:val="00780EB0"/>
    <w:rsid w:val="00781014"/>
    <w:rsid w:val="007819EB"/>
    <w:rsid w:val="00781BB6"/>
    <w:rsid w:val="00781D04"/>
    <w:rsid w:val="00782136"/>
    <w:rsid w:val="00782BFF"/>
    <w:rsid w:val="00783023"/>
    <w:rsid w:val="007836C7"/>
    <w:rsid w:val="0078395D"/>
    <w:rsid w:val="007839E3"/>
    <w:rsid w:val="00783AC7"/>
    <w:rsid w:val="00783DC3"/>
    <w:rsid w:val="00783F57"/>
    <w:rsid w:val="0078401C"/>
    <w:rsid w:val="00784110"/>
    <w:rsid w:val="00784736"/>
    <w:rsid w:val="00784A8C"/>
    <w:rsid w:val="00784C28"/>
    <w:rsid w:val="00784FC7"/>
    <w:rsid w:val="0078529B"/>
    <w:rsid w:val="00785A54"/>
    <w:rsid w:val="00785BD5"/>
    <w:rsid w:val="00785CB7"/>
    <w:rsid w:val="00785DE3"/>
    <w:rsid w:val="00786060"/>
    <w:rsid w:val="0078611B"/>
    <w:rsid w:val="0078629A"/>
    <w:rsid w:val="007865BF"/>
    <w:rsid w:val="007866D3"/>
    <w:rsid w:val="00786986"/>
    <w:rsid w:val="007869CC"/>
    <w:rsid w:val="00786C0C"/>
    <w:rsid w:val="0078781B"/>
    <w:rsid w:val="00787C04"/>
    <w:rsid w:val="0079018B"/>
    <w:rsid w:val="007901C3"/>
    <w:rsid w:val="00790230"/>
    <w:rsid w:val="0079069A"/>
    <w:rsid w:val="00790A04"/>
    <w:rsid w:val="00790A4E"/>
    <w:rsid w:val="00790DAF"/>
    <w:rsid w:val="007911A2"/>
    <w:rsid w:val="007912A2"/>
    <w:rsid w:val="00791822"/>
    <w:rsid w:val="00791A05"/>
    <w:rsid w:val="00791D74"/>
    <w:rsid w:val="00791F6D"/>
    <w:rsid w:val="007920A4"/>
    <w:rsid w:val="007922DA"/>
    <w:rsid w:val="007924CE"/>
    <w:rsid w:val="0079295D"/>
    <w:rsid w:val="007934BD"/>
    <w:rsid w:val="00793C65"/>
    <w:rsid w:val="00793F90"/>
    <w:rsid w:val="00794C9E"/>
    <w:rsid w:val="00794E72"/>
    <w:rsid w:val="0079517E"/>
    <w:rsid w:val="007951A4"/>
    <w:rsid w:val="0079526F"/>
    <w:rsid w:val="00795321"/>
    <w:rsid w:val="007957D8"/>
    <w:rsid w:val="00795B5B"/>
    <w:rsid w:val="00795C46"/>
    <w:rsid w:val="007961B6"/>
    <w:rsid w:val="00796267"/>
    <w:rsid w:val="007965E3"/>
    <w:rsid w:val="00796697"/>
    <w:rsid w:val="007966DA"/>
    <w:rsid w:val="0079695B"/>
    <w:rsid w:val="00796972"/>
    <w:rsid w:val="00796B65"/>
    <w:rsid w:val="00796DAC"/>
    <w:rsid w:val="00797112"/>
    <w:rsid w:val="00797195"/>
    <w:rsid w:val="007972C9"/>
    <w:rsid w:val="00797745"/>
    <w:rsid w:val="00797E1E"/>
    <w:rsid w:val="007A0199"/>
    <w:rsid w:val="007A02E4"/>
    <w:rsid w:val="007A0965"/>
    <w:rsid w:val="007A11BE"/>
    <w:rsid w:val="007A1404"/>
    <w:rsid w:val="007A144D"/>
    <w:rsid w:val="007A1C49"/>
    <w:rsid w:val="007A20FF"/>
    <w:rsid w:val="007A24A1"/>
    <w:rsid w:val="007A257D"/>
    <w:rsid w:val="007A2786"/>
    <w:rsid w:val="007A2AA8"/>
    <w:rsid w:val="007A2C82"/>
    <w:rsid w:val="007A2D1E"/>
    <w:rsid w:val="007A2DC5"/>
    <w:rsid w:val="007A3308"/>
    <w:rsid w:val="007A33BF"/>
    <w:rsid w:val="007A34C3"/>
    <w:rsid w:val="007A3AB0"/>
    <w:rsid w:val="007A3B77"/>
    <w:rsid w:val="007A3C8C"/>
    <w:rsid w:val="007A3DFB"/>
    <w:rsid w:val="007A410C"/>
    <w:rsid w:val="007A4573"/>
    <w:rsid w:val="007A45C6"/>
    <w:rsid w:val="007A46E3"/>
    <w:rsid w:val="007A4C29"/>
    <w:rsid w:val="007A4E3E"/>
    <w:rsid w:val="007A59F7"/>
    <w:rsid w:val="007A5D1B"/>
    <w:rsid w:val="007A5D8A"/>
    <w:rsid w:val="007A5DD2"/>
    <w:rsid w:val="007A5E6F"/>
    <w:rsid w:val="007A607F"/>
    <w:rsid w:val="007A61D7"/>
    <w:rsid w:val="007A66F3"/>
    <w:rsid w:val="007A6993"/>
    <w:rsid w:val="007A6F3E"/>
    <w:rsid w:val="007A73B0"/>
    <w:rsid w:val="007B07A7"/>
    <w:rsid w:val="007B096C"/>
    <w:rsid w:val="007B0970"/>
    <w:rsid w:val="007B0E96"/>
    <w:rsid w:val="007B10B6"/>
    <w:rsid w:val="007B10BF"/>
    <w:rsid w:val="007B1136"/>
    <w:rsid w:val="007B147E"/>
    <w:rsid w:val="007B1CFA"/>
    <w:rsid w:val="007B2048"/>
    <w:rsid w:val="007B3018"/>
    <w:rsid w:val="007B328A"/>
    <w:rsid w:val="007B3521"/>
    <w:rsid w:val="007B3E87"/>
    <w:rsid w:val="007B3FC1"/>
    <w:rsid w:val="007B4144"/>
    <w:rsid w:val="007B4305"/>
    <w:rsid w:val="007B4497"/>
    <w:rsid w:val="007B46B4"/>
    <w:rsid w:val="007B4E6F"/>
    <w:rsid w:val="007B505E"/>
    <w:rsid w:val="007B50AD"/>
    <w:rsid w:val="007B5113"/>
    <w:rsid w:val="007B521D"/>
    <w:rsid w:val="007B545C"/>
    <w:rsid w:val="007B5FA2"/>
    <w:rsid w:val="007B654E"/>
    <w:rsid w:val="007B69AD"/>
    <w:rsid w:val="007B6B5E"/>
    <w:rsid w:val="007B6D4D"/>
    <w:rsid w:val="007B6E36"/>
    <w:rsid w:val="007B6FCC"/>
    <w:rsid w:val="007B6FD3"/>
    <w:rsid w:val="007B7FF2"/>
    <w:rsid w:val="007C0169"/>
    <w:rsid w:val="007C02D2"/>
    <w:rsid w:val="007C06CE"/>
    <w:rsid w:val="007C09F2"/>
    <w:rsid w:val="007C1D5E"/>
    <w:rsid w:val="007C2303"/>
    <w:rsid w:val="007C277F"/>
    <w:rsid w:val="007C29DC"/>
    <w:rsid w:val="007C2D2F"/>
    <w:rsid w:val="007C2E86"/>
    <w:rsid w:val="007C321D"/>
    <w:rsid w:val="007C378F"/>
    <w:rsid w:val="007C46BF"/>
    <w:rsid w:val="007C4C94"/>
    <w:rsid w:val="007C57B2"/>
    <w:rsid w:val="007C58FE"/>
    <w:rsid w:val="007C64C0"/>
    <w:rsid w:val="007C655A"/>
    <w:rsid w:val="007C65AF"/>
    <w:rsid w:val="007C677F"/>
    <w:rsid w:val="007C69D4"/>
    <w:rsid w:val="007C6A8D"/>
    <w:rsid w:val="007C6AF8"/>
    <w:rsid w:val="007C6B7A"/>
    <w:rsid w:val="007C6BBD"/>
    <w:rsid w:val="007C72B4"/>
    <w:rsid w:val="007C77F7"/>
    <w:rsid w:val="007D0299"/>
    <w:rsid w:val="007D070F"/>
    <w:rsid w:val="007D084B"/>
    <w:rsid w:val="007D0912"/>
    <w:rsid w:val="007D093D"/>
    <w:rsid w:val="007D0965"/>
    <w:rsid w:val="007D0A6E"/>
    <w:rsid w:val="007D0C96"/>
    <w:rsid w:val="007D1452"/>
    <w:rsid w:val="007D1947"/>
    <w:rsid w:val="007D259D"/>
    <w:rsid w:val="007D3113"/>
    <w:rsid w:val="007D31FD"/>
    <w:rsid w:val="007D3987"/>
    <w:rsid w:val="007D39F9"/>
    <w:rsid w:val="007D3D80"/>
    <w:rsid w:val="007D4044"/>
    <w:rsid w:val="007D44A7"/>
    <w:rsid w:val="007D4BAF"/>
    <w:rsid w:val="007D535C"/>
    <w:rsid w:val="007D5417"/>
    <w:rsid w:val="007D5460"/>
    <w:rsid w:val="007D5A68"/>
    <w:rsid w:val="007D69A5"/>
    <w:rsid w:val="007D6FF6"/>
    <w:rsid w:val="007D708B"/>
    <w:rsid w:val="007D745C"/>
    <w:rsid w:val="007D7814"/>
    <w:rsid w:val="007D7866"/>
    <w:rsid w:val="007D796E"/>
    <w:rsid w:val="007D7A02"/>
    <w:rsid w:val="007D7BA9"/>
    <w:rsid w:val="007D7D6B"/>
    <w:rsid w:val="007D7DDF"/>
    <w:rsid w:val="007E010D"/>
    <w:rsid w:val="007E058D"/>
    <w:rsid w:val="007E07CC"/>
    <w:rsid w:val="007E08D6"/>
    <w:rsid w:val="007E0BB9"/>
    <w:rsid w:val="007E0CC2"/>
    <w:rsid w:val="007E109D"/>
    <w:rsid w:val="007E15BF"/>
    <w:rsid w:val="007E1979"/>
    <w:rsid w:val="007E1EFA"/>
    <w:rsid w:val="007E204F"/>
    <w:rsid w:val="007E23D7"/>
    <w:rsid w:val="007E2A19"/>
    <w:rsid w:val="007E3209"/>
    <w:rsid w:val="007E328C"/>
    <w:rsid w:val="007E37AA"/>
    <w:rsid w:val="007E3ADA"/>
    <w:rsid w:val="007E49F5"/>
    <w:rsid w:val="007E4CB7"/>
    <w:rsid w:val="007E4E65"/>
    <w:rsid w:val="007E4F72"/>
    <w:rsid w:val="007E556F"/>
    <w:rsid w:val="007E5C38"/>
    <w:rsid w:val="007E625E"/>
    <w:rsid w:val="007E6332"/>
    <w:rsid w:val="007E64E8"/>
    <w:rsid w:val="007E64F6"/>
    <w:rsid w:val="007E67C4"/>
    <w:rsid w:val="007E6833"/>
    <w:rsid w:val="007E6B1F"/>
    <w:rsid w:val="007E6F1D"/>
    <w:rsid w:val="007E70EE"/>
    <w:rsid w:val="007E7904"/>
    <w:rsid w:val="007E7A89"/>
    <w:rsid w:val="007E7CB7"/>
    <w:rsid w:val="007F0376"/>
    <w:rsid w:val="007F0CEC"/>
    <w:rsid w:val="007F0D12"/>
    <w:rsid w:val="007F1503"/>
    <w:rsid w:val="007F1579"/>
    <w:rsid w:val="007F16AF"/>
    <w:rsid w:val="007F209A"/>
    <w:rsid w:val="007F217B"/>
    <w:rsid w:val="007F2308"/>
    <w:rsid w:val="007F2824"/>
    <w:rsid w:val="007F2AA9"/>
    <w:rsid w:val="007F2C82"/>
    <w:rsid w:val="007F3C54"/>
    <w:rsid w:val="007F43D6"/>
    <w:rsid w:val="007F4556"/>
    <w:rsid w:val="007F4A20"/>
    <w:rsid w:val="007F4E55"/>
    <w:rsid w:val="007F5932"/>
    <w:rsid w:val="007F5E8E"/>
    <w:rsid w:val="007F62F3"/>
    <w:rsid w:val="007F63A0"/>
    <w:rsid w:val="007F70CA"/>
    <w:rsid w:val="007F71EE"/>
    <w:rsid w:val="007F758A"/>
    <w:rsid w:val="007F7CE4"/>
    <w:rsid w:val="007F7D41"/>
    <w:rsid w:val="007F7D7A"/>
    <w:rsid w:val="00800072"/>
    <w:rsid w:val="008008B7"/>
    <w:rsid w:val="008009B9"/>
    <w:rsid w:val="00800B2B"/>
    <w:rsid w:val="00800CBF"/>
    <w:rsid w:val="00801166"/>
    <w:rsid w:val="0080125C"/>
    <w:rsid w:val="008014DD"/>
    <w:rsid w:val="00801DC9"/>
    <w:rsid w:val="00801E33"/>
    <w:rsid w:val="00802295"/>
    <w:rsid w:val="00802481"/>
    <w:rsid w:val="008028FD"/>
    <w:rsid w:val="00802E81"/>
    <w:rsid w:val="008030DA"/>
    <w:rsid w:val="0080359C"/>
    <w:rsid w:val="00803656"/>
    <w:rsid w:val="0080382A"/>
    <w:rsid w:val="00803CED"/>
    <w:rsid w:val="008044F8"/>
    <w:rsid w:val="008049A9"/>
    <w:rsid w:val="00804A26"/>
    <w:rsid w:val="00804D46"/>
    <w:rsid w:val="00805542"/>
    <w:rsid w:val="008056C4"/>
    <w:rsid w:val="00805A03"/>
    <w:rsid w:val="0080657F"/>
    <w:rsid w:val="00806831"/>
    <w:rsid w:val="00806A44"/>
    <w:rsid w:val="00806FD7"/>
    <w:rsid w:val="0080735B"/>
    <w:rsid w:val="008073BC"/>
    <w:rsid w:val="00807452"/>
    <w:rsid w:val="008074E7"/>
    <w:rsid w:val="008076D3"/>
    <w:rsid w:val="0081040A"/>
    <w:rsid w:val="00810F72"/>
    <w:rsid w:val="00811469"/>
    <w:rsid w:val="00811DF4"/>
    <w:rsid w:val="008120E2"/>
    <w:rsid w:val="008129B2"/>
    <w:rsid w:val="00812ADC"/>
    <w:rsid w:val="00812DEF"/>
    <w:rsid w:val="00813092"/>
    <w:rsid w:val="008130F9"/>
    <w:rsid w:val="0081313B"/>
    <w:rsid w:val="00813610"/>
    <w:rsid w:val="00813D99"/>
    <w:rsid w:val="00813E8F"/>
    <w:rsid w:val="00813F83"/>
    <w:rsid w:val="00814385"/>
    <w:rsid w:val="00814425"/>
    <w:rsid w:val="00814DBD"/>
    <w:rsid w:val="00815096"/>
    <w:rsid w:val="00815517"/>
    <w:rsid w:val="0081557A"/>
    <w:rsid w:val="00815826"/>
    <w:rsid w:val="00815D6A"/>
    <w:rsid w:val="00815E18"/>
    <w:rsid w:val="0081688C"/>
    <w:rsid w:val="00816A59"/>
    <w:rsid w:val="00816F9A"/>
    <w:rsid w:val="0081734C"/>
    <w:rsid w:val="00817BAC"/>
    <w:rsid w:val="00820654"/>
    <w:rsid w:val="00820915"/>
    <w:rsid w:val="00821453"/>
    <w:rsid w:val="008216CB"/>
    <w:rsid w:val="00821A5F"/>
    <w:rsid w:val="008225E1"/>
    <w:rsid w:val="00822C2A"/>
    <w:rsid w:val="00822CB7"/>
    <w:rsid w:val="00823D39"/>
    <w:rsid w:val="00823ED5"/>
    <w:rsid w:val="008243BC"/>
    <w:rsid w:val="008243CD"/>
    <w:rsid w:val="00824E2D"/>
    <w:rsid w:val="00825769"/>
    <w:rsid w:val="00826862"/>
    <w:rsid w:val="008269EE"/>
    <w:rsid w:val="00827483"/>
    <w:rsid w:val="008276CE"/>
    <w:rsid w:val="00827716"/>
    <w:rsid w:val="00827EF9"/>
    <w:rsid w:val="00827F5A"/>
    <w:rsid w:val="008307A5"/>
    <w:rsid w:val="0083084D"/>
    <w:rsid w:val="00830A5B"/>
    <w:rsid w:val="00830BDD"/>
    <w:rsid w:val="00830CE9"/>
    <w:rsid w:val="00830F7A"/>
    <w:rsid w:val="00831053"/>
    <w:rsid w:val="008312A2"/>
    <w:rsid w:val="008314DE"/>
    <w:rsid w:val="008318E3"/>
    <w:rsid w:val="00831BF7"/>
    <w:rsid w:val="00831C21"/>
    <w:rsid w:val="00831CB0"/>
    <w:rsid w:val="00831CC3"/>
    <w:rsid w:val="0083286C"/>
    <w:rsid w:val="00832D3F"/>
    <w:rsid w:val="00833015"/>
    <w:rsid w:val="00833366"/>
    <w:rsid w:val="008334DC"/>
    <w:rsid w:val="008335FA"/>
    <w:rsid w:val="00833ABB"/>
    <w:rsid w:val="00833B50"/>
    <w:rsid w:val="00833D88"/>
    <w:rsid w:val="00833F6E"/>
    <w:rsid w:val="008341E7"/>
    <w:rsid w:val="0083454C"/>
    <w:rsid w:val="0083483E"/>
    <w:rsid w:val="00834A87"/>
    <w:rsid w:val="00834C10"/>
    <w:rsid w:val="00834D8D"/>
    <w:rsid w:val="00834DBC"/>
    <w:rsid w:val="00834E5A"/>
    <w:rsid w:val="00835022"/>
    <w:rsid w:val="00835111"/>
    <w:rsid w:val="008353BF"/>
    <w:rsid w:val="00835A64"/>
    <w:rsid w:val="00835C86"/>
    <w:rsid w:val="00835D69"/>
    <w:rsid w:val="008361DC"/>
    <w:rsid w:val="0083641B"/>
    <w:rsid w:val="008365EA"/>
    <w:rsid w:val="008366EE"/>
    <w:rsid w:val="00836739"/>
    <w:rsid w:val="008368B5"/>
    <w:rsid w:val="00836AEB"/>
    <w:rsid w:val="00836BA5"/>
    <w:rsid w:val="0083707A"/>
    <w:rsid w:val="00837175"/>
    <w:rsid w:val="00837A56"/>
    <w:rsid w:val="00837D50"/>
    <w:rsid w:val="00837EC0"/>
    <w:rsid w:val="00840199"/>
    <w:rsid w:val="0084033A"/>
    <w:rsid w:val="008407A5"/>
    <w:rsid w:val="00840912"/>
    <w:rsid w:val="00840F1A"/>
    <w:rsid w:val="00840FEA"/>
    <w:rsid w:val="008418E0"/>
    <w:rsid w:val="00841EC9"/>
    <w:rsid w:val="00842418"/>
    <w:rsid w:val="0084258D"/>
    <w:rsid w:val="00842F9F"/>
    <w:rsid w:val="0084332A"/>
    <w:rsid w:val="0084373A"/>
    <w:rsid w:val="008437D7"/>
    <w:rsid w:val="00843C79"/>
    <w:rsid w:val="00844F2F"/>
    <w:rsid w:val="00845726"/>
    <w:rsid w:val="0084593D"/>
    <w:rsid w:val="00845A1D"/>
    <w:rsid w:val="00845B8D"/>
    <w:rsid w:val="008464BE"/>
    <w:rsid w:val="00846895"/>
    <w:rsid w:val="00846E69"/>
    <w:rsid w:val="0084740A"/>
    <w:rsid w:val="00847451"/>
    <w:rsid w:val="0084797A"/>
    <w:rsid w:val="00850088"/>
    <w:rsid w:val="008504B5"/>
    <w:rsid w:val="008504F9"/>
    <w:rsid w:val="0085080B"/>
    <w:rsid w:val="00850B5D"/>
    <w:rsid w:val="00850B7C"/>
    <w:rsid w:val="00850E51"/>
    <w:rsid w:val="008511AF"/>
    <w:rsid w:val="008512E4"/>
    <w:rsid w:val="0085153B"/>
    <w:rsid w:val="00851653"/>
    <w:rsid w:val="00851896"/>
    <w:rsid w:val="0085206E"/>
    <w:rsid w:val="008520D2"/>
    <w:rsid w:val="008521BD"/>
    <w:rsid w:val="008526DC"/>
    <w:rsid w:val="0085271C"/>
    <w:rsid w:val="00852B5A"/>
    <w:rsid w:val="00852BD9"/>
    <w:rsid w:val="00852C88"/>
    <w:rsid w:val="00852FAB"/>
    <w:rsid w:val="00853023"/>
    <w:rsid w:val="00853058"/>
    <w:rsid w:val="008532FA"/>
    <w:rsid w:val="00853D67"/>
    <w:rsid w:val="00854257"/>
    <w:rsid w:val="0085432F"/>
    <w:rsid w:val="0085472C"/>
    <w:rsid w:val="00854D1A"/>
    <w:rsid w:val="00855205"/>
    <w:rsid w:val="008553FD"/>
    <w:rsid w:val="0085549D"/>
    <w:rsid w:val="008559FC"/>
    <w:rsid w:val="00856066"/>
    <w:rsid w:val="00856342"/>
    <w:rsid w:val="008565E8"/>
    <w:rsid w:val="00856662"/>
    <w:rsid w:val="00856716"/>
    <w:rsid w:val="008568FE"/>
    <w:rsid w:val="00856C10"/>
    <w:rsid w:val="00856F4D"/>
    <w:rsid w:val="0085705B"/>
    <w:rsid w:val="00857076"/>
    <w:rsid w:val="008570C4"/>
    <w:rsid w:val="0085781B"/>
    <w:rsid w:val="00857839"/>
    <w:rsid w:val="008578F8"/>
    <w:rsid w:val="00861A6D"/>
    <w:rsid w:val="00861C85"/>
    <w:rsid w:val="00861EE4"/>
    <w:rsid w:val="008621AC"/>
    <w:rsid w:val="00862410"/>
    <w:rsid w:val="008628EC"/>
    <w:rsid w:val="00862970"/>
    <w:rsid w:val="00862B46"/>
    <w:rsid w:val="008630AF"/>
    <w:rsid w:val="008632B5"/>
    <w:rsid w:val="0086340E"/>
    <w:rsid w:val="00863DEB"/>
    <w:rsid w:val="008640A6"/>
    <w:rsid w:val="00864458"/>
    <w:rsid w:val="008644F7"/>
    <w:rsid w:val="008647DA"/>
    <w:rsid w:val="00864C5C"/>
    <w:rsid w:val="0086508E"/>
    <w:rsid w:val="00865442"/>
    <w:rsid w:val="00865539"/>
    <w:rsid w:val="0086566C"/>
    <w:rsid w:val="008656BD"/>
    <w:rsid w:val="00865EF3"/>
    <w:rsid w:val="00866057"/>
    <w:rsid w:val="008660C1"/>
    <w:rsid w:val="008661B5"/>
    <w:rsid w:val="00866335"/>
    <w:rsid w:val="00866858"/>
    <w:rsid w:val="00866B6B"/>
    <w:rsid w:val="00867BAD"/>
    <w:rsid w:val="0087034C"/>
    <w:rsid w:val="00870568"/>
    <w:rsid w:val="0087098E"/>
    <w:rsid w:val="00871C31"/>
    <w:rsid w:val="00871EFA"/>
    <w:rsid w:val="00871F49"/>
    <w:rsid w:val="00871FFF"/>
    <w:rsid w:val="008721EC"/>
    <w:rsid w:val="008723C6"/>
    <w:rsid w:val="00872716"/>
    <w:rsid w:val="008729EB"/>
    <w:rsid w:val="00872B4E"/>
    <w:rsid w:val="00873311"/>
    <w:rsid w:val="008733D5"/>
    <w:rsid w:val="0087373E"/>
    <w:rsid w:val="00873BEF"/>
    <w:rsid w:val="00873F05"/>
    <w:rsid w:val="008741E1"/>
    <w:rsid w:val="008755FC"/>
    <w:rsid w:val="00875710"/>
    <w:rsid w:val="008758A0"/>
    <w:rsid w:val="00876195"/>
    <w:rsid w:val="008762BF"/>
    <w:rsid w:val="008765E3"/>
    <w:rsid w:val="00876D4A"/>
    <w:rsid w:val="00876DE7"/>
    <w:rsid w:val="008773DC"/>
    <w:rsid w:val="0088001C"/>
    <w:rsid w:val="008804F1"/>
    <w:rsid w:val="00881264"/>
    <w:rsid w:val="00881393"/>
    <w:rsid w:val="0088159C"/>
    <w:rsid w:val="0088166A"/>
    <w:rsid w:val="00881671"/>
    <w:rsid w:val="00881810"/>
    <w:rsid w:val="008823CD"/>
    <w:rsid w:val="00882403"/>
    <w:rsid w:val="0088251E"/>
    <w:rsid w:val="00882748"/>
    <w:rsid w:val="00882B66"/>
    <w:rsid w:val="00882C90"/>
    <w:rsid w:val="00882E8A"/>
    <w:rsid w:val="00882F80"/>
    <w:rsid w:val="0088346A"/>
    <w:rsid w:val="008835F8"/>
    <w:rsid w:val="00883AD8"/>
    <w:rsid w:val="00883B2D"/>
    <w:rsid w:val="00884794"/>
    <w:rsid w:val="00884D4E"/>
    <w:rsid w:val="00884F3A"/>
    <w:rsid w:val="00884F41"/>
    <w:rsid w:val="008855F4"/>
    <w:rsid w:val="00885F7C"/>
    <w:rsid w:val="00886121"/>
    <w:rsid w:val="00886323"/>
    <w:rsid w:val="0088683F"/>
    <w:rsid w:val="0088694E"/>
    <w:rsid w:val="00886C35"/>
    <w:rsid w:val="0088717F"/>
    <w:rsid w:val="0088718C"/>
    <w:rsid w:val="008871AB"/>
    <w:rsid w:val="008877F0"/>
    <w:rsid w:val="00887D4B"/>
    <w:rsid w:val="008904E0"/>
    <w:rsid w:val="0089068D"/>
    <w:rsid w:val="00890851"/>
    <w:rsid w:val="00890B29"/>
    <w:rsid w:val="008912F5"/>
    <w:rsid w:val="00891E31"/>
    <w:rsid w:val="00892316"/>
    <w:rsid w:val="00892635"/>
    <w:rsid w:val="008926E3"/>
    <w:rsid w:val="008928AC"/>
    <w:rsid w:val="00892DCA"/>
    <w:rsid w:val="00892E8B"/>
    <w:rsid w:val="00893024"/>
    <w:rsid w:val="0089375B"/>
    <w:rsid w:val="00893CA5"/>
    <w:rsid w:val="00894170"/>
    <w:rsid w:val="008947DD"/>
    <w:rsid w:val="00894A95"/>
    <w:rsid w:val="008955B4"/>
    <w:rsid w:val="00895C85"/>
    <w:rsid w:val="008963B5"/>
    <w:rsid w:val="00896AA9"/>
    <w:rsid w:val="0089722C"/>
    <w:rsid w:val="008973E3"/>
    <w:rsid w:val="00897777"/>
    <w:rsid w:val="00897912"/>
    <w:rsid w:val="00897B18"/>
    <w:rsid w:val="00897CE4"/>
    <w:rsid w:val="00897DA8"/>
    <w:rsid w:val="00897FA2"/>
    <w:rsid w:val="008A00BE"/>
    <w:rsid w:val="008A037F"/>
    <w:rsid w:val="008A0419"/>
    <w:rsid w:val="008A068E"/>
    <w:rsid w:val="008A0E6A"/>
    <w:rsid w:val="008A0F55"/>
    <w:rsid w:val="008A0FDD"/>
    <w:rsid w:val="008A121A"/>
    <w:rsid w:val="008A1B5C"/>
    <w:rsid w:val="008A1C1C"/>
    <w:rsid w:val="008A1F65"/>
    <w:rsid w:val="008A1FF5"/>
    <w:rsid w:val="008A2321"/>
    <w:rsid w:val="008A259F"/>
    <w:rsid w:val="008A25AF"/>
    <w:rsid w:val="008A2E91"/>
    <w:rsid w:val="008A356E"/>
    <w:rsid w:val="008A3850"/>
    <w:rsid w:val="008A3C7D"/>
    <w:rsid w:val="008A4328"/>
    <w:rsid w:val="008A4855"/>
    <w:rsid w:val="008A4EC2"/>
    <w:rsid w:val="008A5418"/>
    <w:rsid w:val="008A5439"/>
    <w:rsid w:val="008A564E"/>
    <w:rsid w:val="008A5A6C"/>
    <w:rsid w:val="008A5ABE"/>
    <w:rsid w:val="008A5EA6"/>
    <w:rsid w:val="008A6CA9"/>
    <w:rsid w:val="008A6F8A"/>
    <w:rsid w:val="008A6FBD"/>
    <w:rsid w:val="008A73EF"/>
    <w:rsid w:val="008A74C5"/>
    <w:rsid w:val="008A7715"/>
    <w:rsid w:val="008A79CD"/>
    <w:rsid w:val="008A79D6"/>
    <w:rsid w:val="008A7F01"/>
    <w:rsid w:val="008B01B7"/>
    <w:rsid w:val="008B03AA"/>
    <w:rsid w:val="008B05B3"/>
    <w:rsid w:val="008B0870"/>
    <w:rsid w:val="008B0EC0"/>
    <w:rsid w:val="008B0FC5"/>
    <w:rsid w:val="008B1331"/>
    <w:rsid w:val="008B15FD"/>
    <w:rsid w:val="008B2196"/>
    <w:rsid w:val="008B2280"/>
    <w:rsid w:val="008B2904"/>
    <w:rsid w:val="008B298B"/>
    <w:rsid w:val="008B29B5"/>
    <w:rsid w:val="008B2ACD"/>
    <w:rsid w:val="008B3063"/>
    <w:rsid w:val="008B30CF"/>
    <w:rsid w:val="008B3CE4"/>
    <w:rsid w:val="008B4634"/>
    <w:rsid w:val="008B48E6"/>
    <w:rsid w:val="008B4EFA"/>
    <w:rsid w:val="008B5285"/>
    <w:rsid w:val="008B57C4"/>
    <w:rsid w:val="008B59B4"/>
    <w:rsid w:val="008B6594"/>
    <w:rsid w:val="008B65A4"/>
    <w:rsid w:val="008B67F3"/>
    <w:rsid w:val="008B69A0"/>
    <w:rsid w:val="008B6C56"/>
    <w:rsid w:val="008B6ED2"/>
    <w:rsid w:val="008B7068"/>
    <w:rsid w:val="008B7BFF"/>
    <w:rsid w:val="008C05D6"/>
    <w:rsid w:val="008C088C"/>
    <w:rsid w:val="008C09F0"/>
    <w:rsid w:val="008C10E2"/>
    <w:rsid w:val="008C1173"/>
    <w:rsid w:val="008C12C0"/>
    <w:rsid w:val="008C135E"/>
    <w:rsid w:val="008C1500"/>
    <w:rsid w:val="008C1714"/>
    <w:rsid w:val="008C1BFE"/>
    <w:rsid w:val="008C210A"/>
    <w:rsid w:val="008C23A8"/>
    <w:rsid w:val="008C29B6"/>
    <w:rsid w:val="008C2ADE"/>
    <w:rsid w:val="008C2CCD"/>
    <w:rsid w:val="008C31B3"/>
    <w:rsid w:val="008C3349"/>
    <w:rsid w:val="008C3357"/>
    <w:rsid w:val="008C33B1"/>
    <w:rsid w:val="008C3428"/>
    <w:rsid w:val="008C3609"/>
    <w:rsid w:val="008C3750"/>
    <w:rsid w:val="008C3998"/>
    <w:rsid w:val="008C3C2C"/>
    <w:rsid w:val="008C431D"/>
    <w:rsid w:val="008C4448"/>
    <w:rsid w:val="008C4805"/>
    <w:rsid w:val="008C4810"/>
    <w:rsid w:val="008C49DE"/>
    <w:rsid w:val="008C4CAA"/>
    <w:rsid w:val="008C5983"/>
    <w:rsid w:val="008C59FD"/>
    <w:rsid w:val="008C5A6D"/>
    <w:rsid w:val="008C5C07"/>
    <w:rsid w:val="008C5F95"/>
    <w:rsid w:val="008C6138"/>
    <w:rsid w:val="008C6325"/>
    <w:rsid w:val="008C67A2"/>
    <w:rsid w:val="008C6ED1"/>
    <w:rsid w:val="008C6FA2"/>
    <w:rsid w:val="008C73A5"/>
    <w:rsid w:val="008C7705"/>
    <w:rsid w:val="008C78F6"/>
    <w:rsid w:val="008C796D"/>
    <w:rsid w:val="008C7972"/>
    <w:rsid w:val="008D00CF"/>
    <w:rsid w:val="008D0309"/>
    <w:rsid w:val="008D054D"/>
    <w:rsid w:val="008D06C1"/>
    <w:rsid w:val="008D09CB"/>
    <w:rsid w:val="008D0FD9"/>
    <w:rsid w:val="008D1306"/>
    <w:rsid w:val="008D1663"/>
    <w:rsid w:val="008D1CD4"/>
    <w:rsid w:val="008D1D05"/>
    <w:rsid w:val="008D1D5D"/>
    <w:rsid w:val="008D1FC1"/>
    <w:rsid w:val="008D20B6"/>
    <w:rsid w:val="008D21EF"/>
    <w:rsid w:val="008D2820"/>
    <w:rsid w:val="008D290D"/>
    <w:rsid w:val="008D293E"/>
    <w:rsid w:val="008D33F2"/>
    <w:rsid w:val="008D3987"/>
    <w:rsid w:val="008D39CA"/>
    <w:rsid w:val="008D3AC5"/>
    <w:rsid w:val="008D40CB"/>
    <w:rsid w:val="008D482B"/>
    <w:rsid w:val="008D4D2D"/>
    <w:rsid w:val="008D4D71"/>
    <w:rsid w:val="008D5194"/>
    <w:rsid w:val="008D58D3"/>
    <w:rsid w:val="008D59A5"/>
    <w:rsid w:val="008D5EDB"/>
    <w:rsid w:val="008D62B0"/>
    <w:rsid w:val="008D6737"/>
    <w:rsid w:val="008D69C8"/>
    <w:rsid w:val="008D6AF9"/>
    <w:rsid w:val="008D756C"/>
    <w:rsid w:val="008D7BAE"/>
    <w:rsid w:val="008D7E34"/>
    <w:rsid w:val="008E0BDB"/>
    <w:rsid w:val="008E0F91"/>
    <w:rsid w:val="008E15FB"/>
    <w:rsid w:val="008E1953"/>
    <w:rsid w:val="008E1E63"/>
    <w:rsid w:val="008E1ED9"/>
    <w:rsid w:val="008E2150"/>
    <w:rsid w:val="008E2769"/>
    <w:rsid w:val="008E2793"/>
    <w:rsid w:val="008E29DA"/>
    <w:rsid w:val="008E31D0"/>
    <w:rsid w:val="008E36CD"/>
    <w:rsid w:val="008E3BFC"/>
    <w:rsid w:val="008E3DB0"/>
    <w:rsid w:val="008E4458"/>
    <w:rsid w:val="008E49DA"/>
    <w:rsid w:val="008E4AC6"/>
    <w:rsid w:val="008E4B78"/>
    <w:rsid w:val="008E4C00"/>
    <w:rsid w:val="008E4C9D"/>
    <w:rsid w:val="008E4D64"/>
    <w:rsid w:val="008E4EA0"/>
    <w:rsid w:val="008E52F5"/>
    <w:rsid w:val="008E5490"/>
    <w:rsid w:val="008E55EF"/>
    <w:rsid w:val="008E5EE0"/>
    <w:rsid w:val="008E638F"/>
    <w:rsid w:val="008E660E"/>
    <w:rsid w:val="008E674D"/>
    <w:rsid w:val="008E6C3B"/>
    <w:rsid w:val="008E6CD2"/>
    <w:rsid w:val="008E7724"/>
    <w:rsid w:val="008E7DFA"/>
    <w:rsid w:val="008F01A4"/>
    <w:rsid w:val="008F051A"/>
    <w:rsid w:val="008F0CAB"/>
    <w:rsid w:val="008F0EE2"/>
    <w:rsid w:val="008F165D"/>
    <w:rsid w:val="008F168F"/>
    <w:rsid w:val="008F27B2"/>
    <w:rsid w:val="008F2B2A"/>
    <w:rsid w:val="008F2E2C"/>
    <w:rsid w:val="008F311D"/>
    <w:rsid w:val="008F32B1"/>
    <w:rsid w:val="008F3741"/>
    <w:rsid w:val="008F37E5"/>
    <w:rsid w:val="008F3843"/>
    <w:rsid w:val="008F49C6"/>
    <w:rsid w:val="008F49EA"/>
    <w:rsid w:val="008F4BE9"/>
    <w:rsid w:val="008F5087"/>
    <w:rsid w:val="008F51C2"/>
    <w:rsid w:val="008F524E"/>
    <w:rsid w:val="008F540D"/>
    <w:rsid w:val="008F5E1E"/>
    <w:rsid w:val="008F61F3"/>
    <w:rsid w:val="008F6382"/>
    <w:rsid w:val="008F63D7"/>
    <w:rsid w:val="008F660E"/>
    <w:rsid w:val="008F686F"/>
    <w:rsid w:val="008F6D4F"/>
    <w:rsid w:val="008F6EAD"/>
    <w:rsid w:val="008F6F6E"/>
    <w:rsid w:val="008F77EB"/>
    <w:rsid w:val="008F7968"/>
    <w:rsid w:val="008F7F91"/>
    <w:rsid w:val="00900043"/>
    <w:rsid w:val="00900E3C"/>
    <w:rsid w:val="009012C5"/>
    <w:rsid w:val="00901BF3"/>
    <w:rsid w:val="00901D26"/>
    <w:rsid w:val="009020EE"/>
    <w:rsid w:val="00902131"/>
    <w:rsid w:val="00902185"/>
    <w:rsid w:val="00902363"/>
    <w:rsid w:val="009024CD"/>
    <w:rsid w:val="0090258B"/>
    <w:rsid w:val="00902672"/>
    <w:rsid w:val="009027BC"/>
    <w:rsid w:val="009027D1"/>
    <w:rsid w:val="00902892"/>
    <w:rsid w:val="00902A04"/>
    <w:rsid w:val="00903749"/>
    <w:rsid w:val="00903B79"/>
    <w:rsid w:val="00903E87"/>
    <w:rsid w:val="0090429E"/>
    <w:rsid w:val="0090441B"/>
    <w:rsid w:val="009045BD"/>
    <w:rsid w:val="009046CF"/>
    <w:rsid w:val="00904825"/>
    <w:rsid w:val="00904B0C"/>
    <w:rsid w:val="00904D01"/>
    <w:rsid w:val="00904EB0"/>
    <w:rsid w:val="00905116"/>
    <w:rsid w:val="00905405"/>
    <w:rsid w:val="0090554F"/>
    <w:rsid w:val="009058B7"/>
    <w:rsid w:val="00905C61"/>
    <w:rsid w:val="00905F94"/>
    <w:rsid w:val="0090601B"/>
    <w:rsid w:val="00906333"/>
    <w:rsid w:val="009068C0"/>
    <w:rsid w:val="009069FB"/>
    <w:rsid w:val="00906B76"/>
    <w:rsid w:val="009073B6"/>
    <w:rsid w:val="0090745C"/>
    <w:rsid w:val="00907534"/>
    <w:rsid w:val="00907558"/>
    <w:rsid w:val="00907769"/>
    <w:rsid w:val="0090784F"/>
    <w:rsid w:val="00907E1C"/>
    <w:rsid w:val="00907E1F"/>
    <w:rsid w:val="009102C6"/>
    <w:rsid w:val="00910926"/>
    <w:rsid w:val="00910947"/>
    <w:rsid w:val="00910BDB"/>
    <w:rsid w:val="00910DBD"/>
    <w:rsid w:val="0091145D"/>
    <w:rsid w:val="0091151A"/>
    <w:rsid w:val="00911816"/>
    <w:rsid w:val="00911A36"/>
    <w:rsid w:val="00911C8A"/>
    <w:rsid w:val="00912584"/>
    <w:rsid w:val="00912847"/>
    <w:rsid w:val="00912918"/>
    <w:rsid w:val="00912DCF"/>
    <w:rsid w:val="00912E2B"/>
    <w:rsid w:val="00913246"/>
    <w:rsid w:val="009135A4"/>
    <w:rsid w:val="009136C9"/>
    <w:rsid w:val="0091387E"/>
    <w:rsid w:val="009143D3"/>
    <w:rsid w:val="00914639"/>
    <w:rsid w:val="0091476A"/>
    <w:rsid w:val="00914910"/>
    <w:rsid w:val="00915104"/>
    <w:rsid w:val="00915118"/>
    <w:rsid w:val="0091527C"/>
    <w:rsid w:val="00915472"/>
    <w:rsid w:val="00915576"/>
    <w:rsid w:val="00915F16"/>
    <w:rsid w:val="00916173"/>
    <w:rsid w:val="00916BD8"/>
    <w:rsid w:val="00916EC6"/>
    <w:rsid w:val="009207FE"/>
    <w:rsid w:val="00920840"/>
    <w:rsid w:val="00920A01"/>
    <w:rsid w:val="00920EED"/>
    <w:rsid w:val="00921371"/>
    <w:rsid w:val="0092147E"/>
    <w:rsid w:val="00921AD9"/>
    <w:rsid w:val="00922335"/>
    <w:rsid w:val="00922BD3"/>
    <w:rsid w:val="00922CD3"/>
    <w:rsid w:val="00922E5C"/>
    <w:rsid w:val="00923D0B"/>
    <w:rsid w:val="00924052"/>
    <w:rsid w:val="009241FA"/>
    <w:rsid w:val="0092420F"/>
    <w:rsid w:val="0092470B"/>
    <w:rsid w:val="00924950"/>
    <w:rsid w:val="00924A3C"/>
    <w:rsid w:val="00924D57"/>
    <w:rsid w:val="00924DD9"/>
    <w:rsid w:val="00924DE2"/>
    <w:rsid w:val="00924EC1"/>
    <w:rsid w:val="00925137"/>
    <w:rsid w:val="00925376"/>
    <w:rsid w:val="00925487"/>
    <w:rsid w:val="00925B13"/>
    <w:rsid w:val="00925C40"/>
    <w:rsid w:val="0092635E"/>
    <w:rsid w:val="00926565"/>
    <w:rsid w:val="00926A08"/>
    <w:rsid w:val="00926B5A"/>
    <w:rsid w:val="00926BD7"/>
    <w:rsid w:val="00927088"/>
    <w:rsid w:val="00927777"/>
    <w:rsid w:val="009277C7"/>
    <w:rsid w:val="009303E1"/>
    <w:rsid w:val="00930671"/>
    <w:rsid w:val="00930707"/>
    <w:rsid w:val="0093079C"/>
    <w:rsid w:val="00930C97"/>
    <w:rsid w:val="00930EE1"/>
    <w:rsid w:val="0093103C"/>
    <w:rsid w:val="00931579"/>
    <w:rsid w:val="00931A6E"/>
    <w:rsid w:val="00931A76"/>
    <w:rsid w:val="00932493"/>
    <w:rsid w:val="00932854"/>
    <w:rsid w:val="00933310"/>
    <w:rsid w:val="00933675"/>
    <w:rsid w:val="00933C39"/>
    <w:rsid w:val="00933E5F"/>
    <w:rsid w:val="0093413C"/>
    <w:rsid w:val="0093434A"/>
    <w:rsid w:val="0093455B"/>
    <w:rsid w:val="00934CA4"/>
    <w:rsid w:val="009352AF"/>
    <w:rsid w:val="00935317"/>
    <w:rsid w:val="00935D5C"/>
    <w:rsid w:val="00935FB9"/>
    <w:rsid w:val="0093611D"/>
    <w:rsid w:val="0093683B"/>
    <w:rsid w:val="00936979"/>
    <w:rsid w:val="00936BDE"/>
    <w:rsid w:val="00936C9D"/>
    <w:rsid w:val="009375AC"/>
    <w:rsid w:val="0093780A"/>
    <w:rsid w:val="00937841"/>
    <w:rsid w:val="00940A33"/>
    <w:rsid w:val="00940E35"/>
    <w:rsid w:val="00941534"/>
    <w:rsid w:val="00941B32"/>
    <w:rsid w:val="00941E44"/>
    <w:rsid w:val="00941F38"/>
    <w:rsid w:val="00942303"/>
    <w:rsid w:val="0094264B"/>
    <w:rsid w:val="009426A1"/>
    <w:rsid w:val="00943381"/>
    <w:rsid w:val="00943B6B"/>
    <w:rsid w:val="00943F62"/>
    <w:rsid w:val="009441CA"/>
    <w:rsid w:val="00944607"/>
    <w:rsid w:val="00945101"/>
    <w:rsid w:val="009454EF"/>
    <w:rsid w:val="00945A94"/>
    <w:rsid w:val="00945C70"/>
    <w:rsid w:val="00945DBB"/>
    <w:rsid w:val="00945DFE"/>
    <w:rsid w:val="00945FBD"/>
    <w:rsid w:val="00946886"/>
    <w:rsid w:val="009468C4"/>
    <w:rsid w:val="00946BBF"/>
    <w:rsid w:val="00947014"/>
    <w:rsid w:val="009470EA"/>
    <w:rsid w:val="0094712B"/>
    <w:rsid w:val="0094724F"/>
    <w:rsid w:val="00947B2E"/>
    <w:rsid w:val="00947CB6"/>
    <w:rsid w:val="00947CD7"/>
    <w:rsid w:val="0095117F"/>
    <w:rsid w:val="009512B1"/>
    <w:rsid w:val="009514FC"/>
    <w:rsid w:val="00951558"/>
    <w:rsid w:val="009515E4"/>
    <w:rsid w:val="00951DA2"/>
    <w:rsid w:val="00952026"/>
    <w:rsid w:val="009523F2"/>
    <w:rsid w:val="00952BC6"/>
    <w:rsid w:val="0095381B"/>
    <w:rsid w:val="00953AEA"/>
    <w:rsid w:val="00953E0A"/>
    <w:rsid w:val="00954162"/>
    <w:rsid w:val="009549B2"/>
    <w:rsid w:val="00954C91"/>
    <w:rsid w:val="00954D53"/>
    <w:rsid w:val="00954E1B"/>
    <w:rsid w:val="0095519A"/>
    <w:rsid w:val="00955255"/>
    <w:rsid w:val="00955540"/>
    <w:rsid w:val="00955656"/>
    <w:rsid w:val="009562F5"/>
    <w:rsid w:val="0095680B"/>
    <w:rsid w:val="00956F5C"/>
    <w:rsid w:val="00956F97"/>
    <w:rsid w:val="009570EC"/>
    <w:rsid w:val="009570F9"/>
    <w:rsid w:val="0095731C"/>
    <w:rsid w:val="00957992"/>
    <w:rsid w:val="00957CFF"/>
    <w:rsid w:val="00957E4C"/>
    <w:rsid w:val="0096017C"/>
    <w:rsid w:val="0096073D"/>
    <w:rsid w:val="00960A4C"/>
    <w:rsid w:val="00960AE8"/>
    <w:rsid w:val="00960D4D"/>
    <w:rsid w:val="0096127A"/>
    <w:rsid w:val="009613A9"/>
    <w:rsid w:val="00961586"/>
    <w:rsid w:val="009620CA"/>
    <w:rsid w:val="0096276D"/>
    <w:rsid w:val="009628C3"/>
    <w:rsid w:val="00962C1C"/>
    <w:rsid w:val="00963111"/>
    <w:rsid w:val="0096349E"/>
    <w:rsid w:val="009638CB"/>
    <w:rsid w:val="00963E2B"/>
    <w:rsid w:val="00963EDF"/>
    <w:rsid w:val="00964288"/>
    <w:rsid w:val="0096436A"/>
    <w:rsid w:val="0096479A"/>
    <w:rsid w:val="00964DC3"/>
    <w:rsid w:val="00964F02"/>
    <w:rsid w:val="00965947"/>
    <w:rsid w:val="00965C99"/>
    <w:rsid w:val="009665EE"/>
    <w:rsid w:val="0096662F"/>
    <w:rsid w:val="009667E2"/>
    <w:rsid w:val="00966BEF"/>
    <w:rsid w:val="00966D24"/>
    <w:rsid w:val="009670AF"/>
    <w:rsid w:val="00967966"/>
    <w:rsid w:val="00967A88"/>
    <w:rsid w:val="00967AD8"/>
    <w:rsid w:val="00967BD9"/>
    <w:rsid w:val="00967CDA"/>
    <w:rsid w:val="00967D26"/>
    <w:rsid w:val="0097039C"/>
    <w:rsid w:val="0097055B"/>
    <w:rsid w:val="009705E7"/>
    <w:rsid w:val="00970669"/>
    <w:rsid w:val="00970714"/>
    <w:rsid w:val="00970AE6"/>
    <w:rsid w:val="00970F7D"/>
    <w:rsid w:val="00970FE0"/>
    <w:rsid w:val="00971029"/>
    <w:rsid w:val="0097107E"/>
    <w:rsid w:val="00971202"/>
    <w:rsid w:val="00971274"/>
    <w:rsid w:val="00971522"/>
    <w:rsid w:val="009716AA"/>
    <w:rsid w:val="009716AD"/>
    <w:rsid w:val="009716EE"/>
    <w:rsid w:val="00971E14"/>
    <w:rsid w:val="009722FF"/>
    <w:rsid w:val="00972945"/>
    <w:rsid w:val="00972F41"/>
    <w:rsid w:val="00972FF3"/>
    <w:rsid w:val="009730E9"/>
    <w:rsid w:val="0097471E"/>
    <w:rsid w:val="00974AF3"/>
    <w:rsid w:val="00974E42"/>
    <w:rsid w:val="00974E7F"/>
    <w:rsid w:val="00975131"/>
    <w:rsid w:val="00975247"/>
    <w:rsid w:val="009756EF"/>
    <w:rsid w:val="00975BEC"/>
    <w:rsid w:val="00976B1B"/>
    <w:rsid w:val="00976CF7"/>
    <w:rsid w:val="0097713A"/>
    <w:rsid w:val="009772CD"/>
    <w:rsid w:val="00977A4F"/>
    <w:rsid w:val="00977FB0"/>
    <w:rsid w:val="00980497"/>
    <w:rsid w:val="0098060F"/>
    <w:rsid w:val="009807D1"/>
    <w:rsid w:val="00980C41"/>
    <w:rsid w:val="00981A6F"/>
    <w:rsid w:val="00981BC8"/>
    <w:rsid w:val="00982436"/>
    <w:rsid w:val="00982841"/>
    <w:rsid w:val="00982846"/>
    <w:rsid w:val="009830DA"/>
    <w:rsid w:val="00983263"/>
    <w:rsid w:val="009832E0"/>
    <w:rsid w:val="009834F7"/>
    <w:rsid w:val="00983F89"/>
    <w:rsid w:val="00984123"/>
    <w:rsid w:val="009843CC"/>
    <w:rsid w:val="00984E35"/>
    <w:rsid w:val="0098542E"/>
    <w:rsid w:val="0098591E"/>
    <w:rsid w:val="00985A63"/>
    <w:rsid w:val="00985F5A"/>
    <w:rsid w:val="009865DD"/>
    <w:rsid w:val="0098695C"/>
    <w:rsid w:val="00986E8C"/>
    <w:rsid w:val="009870CA"/>
    <w:rsid w:val="00987543"/>
    <w:rsid w:val="00987871"/>
    <w:rsid w:val="009878AD"/>
    <w:rsid w:val="00987F15"/>
    <w:rsid w:val="00990CB6"/>
    <w:rsid w:val="00990DD3"/>
    <w:rsid w:val="00991047"/>
    <w:rsid w:val="00991421"/>
    <w:rsid w:val="00991546"/>
    <w:rsid w:val="00991D24"/>
    <w:rsid w:val="009922C7"/>
    <w:rsid w:val="00992363"/>
    <w:rsid w:val="00992B73"/>
    <w:rsid w:val="00992DFF"/>
    <w:rsid w:val="00993357"/>
    <w:rsid w:val="009938FB"/>
    <w:rsid w:val="00993CAB"/>
    <w:rsid w:val="00993F10"/>
    <w:rsid w:val="009954AD"/>
    <w:rsid w:val="00995986"/>
    <w:rsid w:val="00995BD0"/>
    <w:rsid w:val="00995C3B"/>
    <w:rsid w:val="00995E1F"/>
    <w:rsid w:val="009965A6"/>
    <w:rsid w:val="00996654"/>
    <w:rsid w:val="009966EA"/>
    <w:rsid w:val="00996B1B"/>
    <w:rsid w:val="00996BD6"/>
    <w:rsid w:val="009972AE"/>
    <w:rsid w:val="00997466"/>
    <w:rsid w:val="00997586"/>
    <w:rsid w:val="00997D55"/>
    <w:rsid w:val="00997DE8"/>
    <w:rsid w:val="009A02E1"/>
    <w:rsid w:val="009A02E2"/>
    <w:rsid w:val="009A03AC"/>
    <w:rsid w:val="009A064E"/>
    <w:rsid w:val="009A06EA"/>
    <w:rsid w:val="009A080E"/>
    <w:rsid w:val="009A092F"/>
    <w:rsid w:val="009A0FED"/>
    <w:rsid w:val="009A0FF6"/>
    <w:rsid w:val="009A1121"/>
    <w:rsid w:val="009A164C"/>
    <w:rsid w:val="009A1AC2"/>
    <w:rsid w:val="009A1E74"/>
    <w:rsid w:val="009A1EF4"/>
    <w:rsid w:val="009A2254"/>
    <w:rsid w:val="009A26EF"/>
    <w:rsid w:val="009A2940"/>
    <w:rsid w:val="009A2A46"/>
    <w:rsid w:val="009A31B0"/>
    <w:rsid w:val="009A3472"/>
    <w:rsid w:val="009A348A"/>
    <w:rsid w:val="009A35F2"/>
    <w:rsid w:val="009A39E4"/>
    <w:rsid w:val="009A3C48"/>
    <w:rsid w:val="009A3E68"/>
    <w:rsid w:val="009A41BD"/>
    <w:rsid w:val="009A465C"/>
    <w:rsid w:val="009A4AC0"/>
    <w:rsid w:val="009A4CDF"/>
    <w:rsid w:val="009A4F85"/>
    <w:rsid w:val="009A5072"/>
    <w:rsid w:val="009A5523"/>
    <w:rsid w:val="009A5537"/>
    <w:rsid w:val="009A6393"/>
    <w:rsid w:val="009A665E"/>
    <w:rsid w:val="009A6B5C"/>
    <w:rsid w:val="009A6D14"/>
    <w:rsid w:val="009A7086"/>
    <w:rsid w:val="009A72DB"/>
    <w:rsid w:val="009A7415"/>
    <w:rsid w:val="009A7541"/>
    <w:rsid w:val="009A75BE"/>
    <w:rsid w:val="009A7677"/>
    <w:rsid w:val="009A78DB"/>
    <w:rsid w:val="009A7B5D"/>
    <w:rsid w:val="009A7C12"/>
    <w:rsid w:val="009A7C8C"/>
    <w:rsid w:val="009B0703"/>
    <w:rsid w:val="009B07BA"/>
    <w:rsid w:val="009B0A21"/>
    <w:rsid w:val="009B0B42"/>
    <w:rsid w:val="009B0F4A"/>
    <w:rsid w:val="009B152B"/>
    <w:rsid w:val="009B1BFB"/>
    <w:rsid w:val="009B1FF3"/>
    <w:rsid w:val="009B2442"/>
    <w:rsid w:val="009B269A"/>
    <w:rsid w:val="009B2809"/>
    <w:rsid w:val="009B3B13"/>
    <w:rsid w:val="009B3BDF"/>
    <w:rsid w:val="009B3C60"/>
    <w:rsid w:val="009B410F"/>
    <w:rsid w:val="009B41CA"/>
    <w:rsid w:val="009B4284"/>
    <w:rsid w:val="009B433E"/>
    <w:rsid w:val="009B4985"/>
    <w:rsid w:val="009B4E6E"/>
    <w:rsid w:val="009B50F7"/>
    <w:rsid w:val="009B510C"/>
    <w:rsid w:val="009B523C"/>
    <w:rsid w:val="009B5B75"/>
    <w:rsid w:val="009B6073"/>
    <w:rsid w:val="009B625B"/>
    <w:rsid w:val="009B696D"/>
    <w:rsid w:val="009B7104"/>
    <w:rsid w:val="009B7BC6"/>
    <w:rsid w:val="009B7F95"/>
    <w:rsid w:val="009C0A74"/>
    <w:rsid w:val="009C0A95"/>
    <w:rsid w:val="009C0C9A"/>
    <w:rsid w:val="009C0D05"/>
    <w:rsid w:val="009C0E8E"/>
    <w:rsid w:val="009C10AD"/>
    <w:rsid w:val="009C19D0"/>
    <w:rsid w:val="009C1B8D"/>
    <w:rsid w:val="009C220B"/>
    <w:rsid w:val="009C27E8"/>
    <w:rsid w:val="009C29F9"/>
    <w:rsid w:val="009C2D21"/>
    <w:rsid w:val="009C31F3"/>
    <w:rsid w:val="009C348E"/>
    <w:rsid w:val="009C3C62"/>
    <w:rsid w:val="009C46CD"/>
    <w:rsid w:val="009C4E65"/>
    <w:rsid w:val="009C560D"/>
    <w:rsid w:val="009C56D7"/>
    <w:rsid w:val="009C589B"/>
    <w:rsid w:val="009C5C5E"/>
    <w:rsid w:val="009C5DA7"/>
    <w:rsid w:val="009C62A9"/>
    <w:rsid w:val="009C68A8"/>
    <w:rsid w:val="009C69CF"/>
    <w:rsid w:val="009C69EA"/>
    <w:rsid w:val="009C6D9C"/>
    <w:rsid w:val="009C6F9F"/>
    <w:rsid w:val="009C7166"/>
    <w:rsid w:val="009C73DC"/>
    <w:rsid w:val="009C773F"/>
    <w:rsid w:val="009C77E2"/>
    <w:rsid w:val="009C7D61"/>
    <w:rsid w:val="009C7DDE"/>
    <w:rsid w:val="009D07BE"/>
    <w:rsid w:val="009D0ABB"/>
    <w:rsid w:val="009D0E71"/>
    <w:rsid w:val="009D12AE"/>
    <w:rsid w:val="009D13FA"/>
    <w:rsid w:val="009D15A5"/>
    <w:rsid w:val="009D1747"/>
    <w:rsid w:val="009D1761"/>
    <w:rsid w:val="009D17C0"/>
    <w:rsid w:val="009D1C81"/>
    <w:rsid w:val="009D2118"/>
    <w:rsid w:val="009D2677"/>
    <w:rsid w:val="009D309F"/>
    <w:rsid w:val="009D344F"/>
    <w:rsid w:val="009D3959"/>
    <w:rsid w:val="009D3F6F"/>
    <w:rsid w:val="009D4034"/>
    <w:rsid w:val="009D420F"/>
    <w:rsid w:val="009D461C"/>
    <w:rsid w:val="009D4678"/>
    <w:rsid w:val="009D4959"/>
    <w:rsid w:val="009D517F"/>
    <w:rsid w:val="009D5235"/>
    <w:rsid w:val="009D59B8"/>
    <w:rsid w:val="009D5AA8"/>
    <w:rsid w:val="009D5DE8"/>
    <w:rsid w:val="009D5EF1"/>
    <w:rsid w:val="009D6289"/>
    <w:rsid w:val="009D77C7"/>
    <w:rsid w:val="009D7800"/>
    <w:rsid w:val="009D784F"/>
    <w:rsid w:val="009D78AA"/>
    <w:rsid w:val="009D7A50"/>
    <w:rsid w:val="009D7B6E"/>
    <w:rsid w:val="009E0371"/>
    <w:rsid w:val="009E06B5"/>
    <w:rsid w:val="009E0883"/>
    <w:rsid w:val="009E0C65"/>
    <w:rsid w:val="009E0E25"/>
    <w:rsid w:val="009E1455"/>
    <w:rsid w:val="009E17C5"/>
    <w:rsid w:val="009E1AFD"/>
    <w:rsid w:val="009E2548"/>
    <w:rsid w:val="009E276C"/>
    <w:rsid w:val="009E2BF1"/>
    <w:rsid w:val="009E2D7E"/>
    <w:rsid w:val="009E3193"/>
    <w:rsid w:val="009E3945"/>
    <w:rsid w:val="009E39D9"/>
    <w:rsid w:val="009E3D81"/>
    <w:rsid w:val="009E43A8"/>
    <w:rsid w:val="009E464D"/>
    <w:rsid w:val="009E4EB2"/>
    <w:rsid w:val="009E5024"/>
    <w:rsid w:val="009E53F4"/>
    <w:rsid w:val="009E559A"/>
    <w:rsid w:val="009E565A"/>
    <w:rsid w:val="009E578E"/>
    <w:rsid w:val="009E5A0E"/>
    <w:rsid w:val="009E5A59"/>
    <w:rsid w:val="009E5FD1"/>
    <w:rsid w:val="009E6184"/>
    <w:rsid w:val="009E697B"/>
    <w:rsid w:val="009E6B23"/>
    <w:rsid w:val="009E6B5C"/>
    <w:rsid w:val="009E6C7F"/>
    <w:rsid w:val="009E6E6A"/>
    <w:rsid w:val="009E7AA9"/>
    <w:rsid w:val="009E7FD2"/>
    <w:rsid w:val="009F045D"/>
    <w:rsid w:val="009F0602"/>
    <w:rsid w:val="009F0F2D"/>
    <w:rsid w:val="009F10E8"/>
    <w:rsid w:val="009F1188"/>
    <w:rsid w:val="009F11AF"/>
    <w:rsid w:val="009F163F"/>
    <w:rsid w:val="009F1770"/>
    <w:rsid w:val="009F208B"/>
    <w:rsid w:val="009F21D3"/>
    <w:rsid w:val="009F24F6"/>
    <w:rsid w:val="009F2586"/>
    <w:rsid w:val="009F2643"/>
    <w:rsid w:val="009F2C3D"/>
    <w:rsid w:val="009F2C95"/>
    <w:rsid w:val="009F3373"/>
    <w:rsid w:val="009F3384"/>
    <w:rsid w:val="009F4268"/>
    <w:rsid w:val="009F4C88"/>
    <w:rsid w:val="009F4ED0"/>
    <w:rsid w:val="009F4F93"/>
    <w:rsid w:val="009F5096"/>
    <w:rsid w:val="009F52A9"/>
    <w:rsid w:val="009F540B"/>
    <w:rsid w:val="009F57EA"/>
    <w:rsid w:val="009F5D8D"/>
    <w:rsid w:val="009F69CD"/>
    <w:rsid w:val="009F6C14"/>
    <w:rsid w:val="009F6F60"/>
    <w:rsid w:val="009F7022"/>
    <w:rsid w:val="00A00317"/>
    <w:rsid w:val="00A00EE1"/>
    <w:rsid w:val="00A00F0D"/>
    <w:rsid w:val="00A01283"/>
    <w:rsid w:val="00A017E9"/>
    <w:rsid w:val="00A01C22"/>
    <w:rsid w:val="00A01D4D"/>
    <w:rsid w:val="00A01EB9"/>
    <w:rsid w:val="00A02406"/>
    <w:rsid w:val="00A02502"/>
    <w:rsid w:val="00A02633"/>
    <w:rsid w:val="00A027CE"/>
    <w:rsid w:val="00A0298D"/>
    <w:rsid w:val="00A031DB"/>
    <w:rsid w:val="00A0342B"/>
    <w:rsid w:val="00A03771"/>
    <w:rsid w:val="00A038FA"/>
    <w:rsid w:val="00A03968"/>
    <w:rsid w:val="00A039B0"/>
    <w:rsid w:val="00A03C42"/>
    <w:rsid w:val="00A03C5A"/>
    <w:rsid w:val="00A03D15"/>
    <w:rsid w:val="00A04851"/>
    <w:rsid w:val="00A04DBA"/>
    <w:rsid w:val="00A04F1F"/>
    <w:rsid w:val="00A0500A"/>
    <w:rsid w:val="00A0501C"/>
    <w:rsid w:val="00A05185"/>
    <w:rsid w:val="00A052B0"/>
    <w:rsid w:val="00A05A70"/>
    <w:rsid w:val="00A0625B"/>
    <w:rsid w:val="00A0654E"/>
    <w:rsid w:val="00A06832"/>
    <w:rsid w:val="00A06D6E"/>
    <w:rsid w:val="00A06DB2"/>
    <w:rsid w:val="00A0700D"/>
    <w:rsid w:val="00A10041"/>
    <w:rsid w:val="00A105A8"/>
    <w:rsid w:val="00A10E44"/>
    <w:rsid w:val="00A10FD1"/>
    <w:rsid w:val="00A1102C"/>
    <w:rsid w:val="00A1105F"/>
    <w:rsid w:val="00A1129D"/>
    <w:rsid w:val="00A119E2"/>
    <w:rsid w:val="00A11AE8"/>
    <w:rsid w:val="00A1207F"/>
    <w:rsid w:val="00A1217B"/>
    <w:rsid w:val="00A124C1"/>
    <w:rsid w:val="00A12744"/>
    <w:rsid w:val="00A1274B"/>
    <w:rsid w:val="00A12AA2"/>
    <w:rsid w:val="00A12D6A"/>
    <w:rsid w:val="00A12F67"/>
    <w:rsid w:val="00A13BE1"/>
    <w:rsid w:val="00A14179"/>
    <w:rsid w:val="00A1459A"/>
    <w:rsid w:val="00A145DD"/>
    <w:rsid w:val="00A14835"/>
    <w:rsid w:val="00A14B13"/>
    <w:rsid w:val="00A14F23"/>
    <w:rsid w:val="00A14FE3"/>
    <w:rsid w:val="00A1501C"/>
    <w:rsid w:val="00A15C2F"/>
    <w:rsid w:val="00A16196"/>
    <w:rsid w:val="00A16398"/>
    <w:rsid w:val="00A1640F"/>
    <w:rsid w:val="00A16680"/>
    <w:rsid w:val="00A1768D"/>
    <w:rsid w:val="00A176F8"/>
    <w:rsid w:val="00A17968"/>
    <w:rsid w:val="00A17F63"/>
    <w:rsid w:val="00A205DB"/>
    <w:rsid w:val="00A20EA2"/>
    <w:rsid w:val="00A21206"/>
    <w:rsid w:val="00A21310"/>
    <w:rsid w:val="00A21893"/>
    <w:rsid w:val="00A21B7F"/>
    <w:rsid w:val="00A22017"/>
    <w:rsid w:val="00A22406"/>
    <w:rsid w:val="00A2248D"/>
    <w:rsid w:val="00A2264E"/>
    <w:rsid w:val="00A226D4"/>
    <w:rsid w:val="00A22DBE"/>
    <w:rsid w:val="00A22FFC"/>
    <w:rsid w:val="00A23434"/>
    <w:rsid w:val="00A236B7"/>
    <w:rsid w:val="00A244BD"/>
    <w:rsid w:val="00A24611"/>
    <w:rsid w:val="00A247F2"/>
    <w:rsid w:val="00A24902"/>
    <w:rsid w:val="00A2499F"/>
    <w:rsid w:val="00A24A3C"/>
    <w:rsid w:val="00A24DB8"/>
    <w:rsid w:val="00A24F3E"/>
    <w:rsid w:val="00A25112"/>
    <w:rsid w:val="00A2597F"/>
    <w:rsid w:val="00A25A17"/>
    <w:rsid w:val="00A25D40"/>
    <w:rsid w:val="00A25E55"/>
    <w:rsid w:val="00A25F1F"/>
    <w:rsid w:val="00A25FD3"/>
    <w:rsid w:val="00A26CAF"/>
    <w:rsid w:val="00A26DA1"/>
    <w:rsid w:val="00A2727E"/>
    <w:rsid w:val="00A2749C"/>
    <w:rsid w:val="00A278C6"/>
    <w:rsid w:val="00A27933"/>
    <w:rsid w:val="00A279AA"/>
    <w:rsid w:val="00A27AE2"/>
    <w:rsid w:val="00A300CB"/>
    <w:rsid w:val="00A30E75"/>
    <w:rsid w:val="00A3109A"/>
    <w:rsid w:val="00A31292"/>
    <w:rsid w:val="00A312A8"/>
    <w:rsid w:val="00A313B0"/>
    <w:rsid w:val="00A31827"/>
    <w:rsid w:val="00A319A9"/>
    <w:rsid w:val="00A31B75"/>
    <w:rsid w:val="00A3230C"/>
    <w:rsid w:val="00A32361"/>
    <w:rsid w:val="00A32866"/>
    <w:rsid w:val="00A328D2"/>
    <w:rsid w:val="00A32E7B"/>
    <w:rsid w:val="00A330AB"/>
    <w:rsid w:val="00A333A1"/>
    <w:rsid w:val="00A33E99"/>
    <w:rsid w:val="00A345D4"/>
    <w:rsid w:val="00A3476A"/>
    <w:rsid w:val="00A3551A"/>
    <w:rsid w:val="00A35B58"/>
    <w:rsid w:val="00A35C80"/>
    <w:rsid w:val="00A35D73"/>
    <w:rsid w:val="00A360D6"/>
    <w:rsid w:val="00A36609"/>
    <w:rsid w:val="00A367BD"/>
    <w:rsid w:val="00A36DDE"/>
    <w:rsid w:val="00A37784"/>
    <w:rsid w:val="00A3791E"/>
    <w:rsid w:val="00A37E88"/>
    <w:rsid w:val="00A40382"/>
    <w:rsid w:val="00A40683"/>
    <w:rsid w:val="00A406DB"/>
    <w:rsid w:val="00A407D8"/>
    <w:rsid w:val="00A413E9"/>
    <w:rsid w:val="00A417E8"/>
    <w:rsid w:val="00A4190F"/>
    <w:rsid w:val="00A41A18"/>
    <w:rsid w:val="00A41AA5"/>
    <w:rsid w:val="00A41B26"/>
    <w:rsid w:val="00A41FC4"/>
    <w:rsid w:val="00A41FE1"/>
    <w:rsid w:val="00A42407"/>
    <w:rsid w:val="00A42438"/>
    <w:rsid w:val="00A424BD"/>
    <w:rsid w:val="00A42DE4"/>
    <w:rsid w:val="00A43E50"/>
    <w:rsid w:val="00A43EC8"/>
    <w:rsid w:val="00A43EDB"/>
    <w:rsid w:val="00A43F3E"/>
    <w:rsid w:val="00A43F9B"/>
    <w:rsid w:val="00A440F8"/>
    <w:rsid w:val="00A442EF"/>
    <w:rsid w:val="00A4448B"/>
    <w:rsid w:val="00A449EF"/>
    <w:rsid w:val="00A44F45"/>
    <w:rsid w:val="00A452A2"/>
    <w:rsid w:val="00A4539E"/>
    <w:rsid w:val="00A460A6"/>
    <w:rsid w:val="00A4630E"/>
    <w:rsid w:val="00A46491"/>
    <w:rsid w:val="00A46976"/>
    <w:rsid w:val="00A469F8"/>
    <w:rsid w:val="00A46A60"/>
    <w:rsid w:val="00A46D7C"/>
    <w:rsid w:val="00A46EF3"/>
    <w:rsid w:val="00A47163"/>
    <w:rsid w:val="00A4716A"/>
    <w:rsid w:val="00A47326"/>
    <w:rsid w:val="00A47350"/>
    <w:rsid w:val="00A47956"/>
    <w:rsid w:val="00A4798C"/>
    <w:rsid w:val="00A47EDF"/>
    <w:rsid w:val="00A502C7"/>
    <w:rsid w:val="00A5037F"/>
    <w:rsid w:val="00A50789"/>
    <w:rsid w:val="00A50C5B"/>
    <w:rsid w:val="00A50D93"/>
    <w:rsid w:val="00A50E28"/>
    <w:rsid w:val="00A50E7F"/>
    <w:rsid w:val="00A50F64"/>
    <w:rsid w:val="00A5112B"/>
    <w:rsid w:val="00A51355"/>
    <w:rsid w:val="00A518D5"/>
    <w:rsid w:val="00A51ED3"/>
    <w:rsid w:val="00A52163"/>
    <w:rsid w:val="00A521BE"/>
    <w:rsid w:val="00A52AD1"/>
    <w:rsid w:val="00A52C6A"/>
    <w:rsid w:val="00A52CF9"/>
    <w:rsid w:val="00A53259"/>
    <w:rsid w:val="00A534CB"/>
    <w:rsid w:val="00A53965"/>
    <w:rsid w:val="00A53D85"/>
    <w:rsid w:val="00A5436E"/>
    <w:rsid w:val="00A54685"/>
    <w:rsid w:val="00A548A7"/>
    <w:rsid w:val="00A549A3"/>
    <w:rsid w:val="00A54C36"/>
    <w:rsid w:val="00A54F29"/>
    <w:rsid w:val="00A55108"/>
    <w:rsid w:val="00A551F4"/>
    <w:rsid w:val="00A55275"/>
    <w:rsid w:val="00A55D6A"/>
    <w:rsid w:val="00A55EB1"/>
    <w:rsid w:val="00A563AE"/>
    <w:rsid w:val="00A56A32"/>
    <w:rsid w:val="00A571D1"/>
    <w:rsid w:val="00A57431"/>
    <w:rsid w:val="00A574D8"/>
    <w:rsid w:val="00A57591"/>
    <w:rsid w:val="00A57A4A"/>
    <w:rsid w:val="00A57B01"/>
    <w:rsid w:val="00A57DA1"/>
    <w:rsid w:val="00A6026A"/>
    <w:rsid w:val="00A603AF"/>
    <w:rsid w:val="00A60785"/>
    <w:rsid w:val="00A60B0B"/>
    <w:rsid w:val="00A61317"/>
    <w:rsid w:val="00A615DA"/>
    <w:rsid w:val="00A61674"/>
    <w:rsid w:val="00A61EE9"/>
    <w:rsid w:val="00A6212B"/>
    <w:rsid w:val="00A62262"/>
    <w:rsid w:val="00A624D3"/>
    <w:rsid w:val="00A626F2"/>
    <w:rsid w:val="00A62AC5"/>
    <w:rsid w:val="00A62BBE"/>
    <w:rsid w:val="00A63045"/>
    <w:rsid w:val="00A63542"/>
    <w:rsid w:val="00A6384B"/>
    <w:rsid w:val="00A63A9E"/>
    <w:rsid w:val="00A63C95"/>
    <w:rsid w:val="00A63E72"/>
    <w:rsid w:val="00A6423C"/>
    <w:rsid w:val="00A64E61"/>
    <w:rsid w:val="00A65561"/>
    <w:rsid w:val="00A655EE"/>
    <w:rsid w:val="00A65828"/>
    <w:rsid w:val="00A659B8"/>
    <w:rsid w:val="00A65F23"/>
    <w:rsid w:val="00A661A4"/>
    <w:rsid w:val="00A6640F"/>
    <w:rsid w:val="00A66421"/>
    <w:rsid w:val="00A6653E"/>
    <w:rsid w:val="00A66663"/>
    <w:rsid w:val="00A66A57"/>
    <w:rsid w:val="00A66EDF"/>
    <w:rsid w:val="00A671A1"/>
    <w:rsid w:val="00A67521"/>
    <w:rsid w:val="00A6758D"/>
    <w:rsid w:val="00A706F4"/>
    <w:rsid w:val="00A70839"/>
    <w:rsid w:val="00A70B0A"/>
    <w:rsid w:val="00A71908"/>
    <w:rsid w:val="00A71B8A"/>
    <w:rsid w:val="00A71BB5"/>
    <w:rsid w:val="00A720DB"/>
    <w:rsid w:val="00A72D84"/>
    <w:rsid w:val="00A732B0"/>
    <w:rsid w:val="00A7347A"/>
    <w:rsid w:val="00A737A1"/>
    <w:rsid w:val="00A73B8A"/>
    <w:rsid w:val="00A73DB8"/>
    <w:rsid w:val="00A73FA8"/>
    <w:rsid w:val="00A740B0"/>
    <w:rsid w:val="00A740F4"/>
    <w:rsid w:val="00A74196"/>
    <w:rsid w:val="00A74340"/>
    <w:rsid w:val="00A7435B"/>
    <w:rsid w:val="00A7551B"/>
    <w:rsid w:val="00A755E2"/>
    <w:rsid w:val="00A757BB"/>
    <w:rsid w:val="00A75BD7"/>
    <w:rsid w:val="00A75F14"/>
    <w:rsid w:val="00A75FBB"/>
    <w:rsid w:val="00A77020"/>
    <w:rsid w:val="00A7720F"/>
    <w:rsid w:val="00A778EA"/>
    <w:rsid w:val="00A77B93"/>
    <w:rsid w:val="00A80B3E"/>
    <w:rsid w:val="00A80DBE"/>
    <w:rsid w:val="00A80EBE"/>
    <w:rsid w:val="00A8109F"/>
    <w:rsid w:val="00A8141A"/>
    <w:rsid w:val="00A81A0D"/>
    <w:rsid w:val="00A81D4F"/>
    <w:rsid w:val="00A827B4"/>
    <w:rsid w:val="00A828DE"/>
    <w:rsid w:val="00A82CB8"/>
    <w:rsid w:val="00A82EC6"/>
    <w:rsid w:val="00A83697"/>
    <w:rsid w:val="00A83E8B"/>
    <w:rsid w:val="00A844DE"/>
    <w:rsid w:val="00A847EE"/>
    <w:rsid w:val="00A852AD"/>
    <w:rsid w:val="00A8538D"/>
    <w:rsid w:val="00A8599F"/>
    <w:rsid w:val="00A86328"/>
    <w:rsid w:val="00A8645C"/>
    <w:rsid w:val="00A86489"/>
    <w:rsid w:val="00A86596"/>
    <w:rsid w:val="00A87021"/>
    <w:rsid w:val="00A87323"/>
    <w:rsid w:val="00A87D0E"/>
    <w:rsid w:val="00A900A7"/>
    <w:rsid w:val="00A90353"/>
    <w:rsid w:val="00A904D7"/>
    <w:rsid w:val="00A9107F"/>
    <w:rsid w:val="00A912E4"/>
    <w:rsid w:val="00A91492"/>
    <w:rsid w:val="00A91997"/>
    <w:rsid w:val="00A91C0A"/>
    <w:rsid w:val="00A920A0"/>
    <w:rsid w:val="00A9215D"/>
    <w:rsid w:val="00A92449"/>
    <w:rsid w:val="00A9270A"/>
    <w:rsid w:val="00A92CBE"/>
    <w:rsid w:val="00A92DD0"/>
    <w:rsid w:val="00A93101"/>
    <w:rsid w:val="00A9344D"/>
    <w:rsid w:val="00A935C1"/>
    <w:rsid w:val="00A93DFF"/>
    <w:rsid w:val="00A940CC"/>
    <w:rsid w:val="00A943E3"/>
    <w:rsid w:val="00A945B1"/>
    <w:rsid w:val="00A948D9"/>
    <w:rsid w:val="00A94C99"/>
    <w:rsid w:val="00A94F1A"/>
    <w:rsid w:val="00A95069"/>
    <w:rsid w:val="00A950F3"/>
    <w:rsid w:val="00A95109"/>
    <w:rsid w:val="00A95846"/>
    <w:rsid w:val="00A95A39"/>
    <w:rsid w:val="00A95CA3"/>
    <w:rsid w:val="00A9623E"/>
    <w:rsid w:val="00A96489"/>
    <w:rsid w:val="00A96DAE"/>
    <w:rsid w:val="00A96FB3"/>
    <w:rsid w:val="00A976D8"/>
    <w:rsid w:val="00A9777F"/>
    <w:rsid w:val="00A97A21"/>
    <w:rsid w:val="00A97D9B"/>
    <w:rsid w:val="00A97E2D"/>
    <w:rsid w:val="00A97F72"/>
    <w:rsid w:val="00A97FEE"/>
    <w:rsid w:val="00AA01D3"/>
    <w:rsid w:val="00AA0328"/>
    <w:rsid w:val="00AA09AF"/>
    <w:rsid w:val="00AA0B7C"/>
    <w:rsid w:val="00AA144A"/>
    <w:rsid w:val="00AA145B"/>
    <w:rsid w:val="00AA17F2"/>
    <w:rsid w:val="00AA214C"/>
    <w:rsid w:val="00AA21AB"/>
    <w:rsid w:val="00AA2307"/>
    <w:rsid w:val="00AA27ED"/>
    <w:rsid w:val="00AA32ED"/>
    <w:rsid w:val="00AA3510"/>
    <w:rsid w:val="00AA3F63"/>
    <w:rsid w:val="00AA4334"/>
    <w:rsid w:val="00AA4DDD"/>
    <w:rsid w:val="00AA5014"/>
    <w:rsid w:val="00AA5602"/>
    <w:rsid w:val="00AA5987"/>
    <w:rsid w:val="00AA6026"/>
    <w:rsid w:val="00AA6A06"/>
    <w:rsid w:val="00AA6A62"/>
    <w:rsid w:val="00AA6EBB"/>
    <w:rsid w:val="00AA6F22"/>
    <w:rsid w:val="00AA75F5"/>
    <w:rsid w:val="00AA7AF0"/>
    <w:rsid w:val="00AA7F10"/>
    <w:rsid w:val="00AB0129"/>
    <w:rsid w:val="00AB0AE7"/>
    <w:rsid w:val="00AB0DDD"/>
    <w:rsid w:val="00AB17FA"/>
    <w:rsid w:val="00AB1FA8"/>
    <w:rsid w:val="00AB2561"/>
    <w:rsid w:val="00AB2586"/>
    <w:rsid w:val="00AB2A5A"/>
    <w:rsid w:val="00AB2A7A"/>
    <w:rsid w:val="00AB2C30"/>
    <w:rsid w:val="00AB30B8"/>
    <w:rsid w:val="00AB33A5"/>
    <w:rsid w:val="00AB36FD"/>
    <w:rsid w:val="00AB3DAE"/>
    <w:rsid w:val="00AB40B6"/>
    <w:rsid w:val="00AB493F"/>
    <w:rsid w:val="00AB4C95"/>
    <w:rsid w:val="00AB4E79"/>
    <w:rsid w:val="00AB5186"/>
    <w:rsid w:val="00AB5302"/>
    <w:rsid w:val="00AB5AE0"/>
    <w:rsid w:val="00AB5C4C"/>
    <w:rsid w:val="00AB603A"/>
    <w:rsid w:val="00AB641E"/>
    <w:rsid w:val="00AB699A"/>
    <w:rsid w:val="00AB6AF9"/>
    <w:rsid w:val="00AB6CB1"/>
    <w:rsid w:val="00AB70A9"/>
    <w:rsid w:val="00AB7242"/>
    <w:rsid w:val="00AB74AD"/>
    <w:rsid w:val="00AB764A"/>
    <w:rsid w:val="00AB7B9B"/>
    <w:rsid w:val="00AB7CBF"/>
    <w:rsid w:val="00AC003B"/>
    <w:rsid w:val="00AC00B3"/>
    <w:rsid w:val="00AC03DB"/>
    <w:rsid w:val="00AC187F"/>
    <w:rsid w:val="00AC23B2"/>
    <w:rsid w:val="00AC2731"/>
    <w:rsid w:val="00AC2A51"/>
    <w:rsid w:val="00AC39C7"/>
    <w:rsid w:val="00AC3A2A"/>
    <w:rsid w:val="00AC3B27"/>
    <w:rsid w:val="00AC3CB7"/>
    <w:rsid w:val="00AC3D99"/>
    <w:rsid w:val="00AC3DB5"/>
    <w:rsid w:val="00AC3FF0"/>
    <w:rsid w:val="00AC4055"/>
    <w:rsid w:val="00AC4730"/>
    <w:rsid w:val="00AC47AB"/>
    <w:rsid w:val="00AC4B1F"/>
    <w:rsid w:val="00AC5AE0"/>
    <w:rsid w:val="00AC5DE3"/>
    <w:rsid w:val="00AC6281"/>
    <w:rsid w:val="00AC62BD"/>
    <w:rsid w:val="00AC642D"/>
    <w:rsid w:val="00AC67B2"/>
    <w:rsid w:val="00AC7060"/>
    <w:rsid w:val="00AC7ECC"/>
    <w:rsid w:val="00AD0131"/>
    <w:rsid w:val="00AD01CF"/>
    <w:rsid w:val="00AD02C3"/>
    <w:rsid w:val="00AD0345"/>
    <w:rsid w:val="00AD0801"/>
    <w:rsid w:val="00AD0DA5"/>
    <w:rsid w:val="00AD1508"/>
    <w:rsid w:val="00AD1AE5"/>
    <w:rsid w:val="00AD26B7"/>
    <w:rsid w:val="00AD2830"/>
    <w:rsid w:val="00AD2AD9"/>
    <w:rsid w:val="00AD2BAF"/>
    <w:rsid w:val="00AD348E"/>
    <w:rsid w:val="00AD3823"/>
    <w:rsid w:val="00AD3AC2"/>
    <w:rsid w:val="00AD3C7A"/>
    <w:rsid w:val="00AD401D"/>
    <w:rsid w:val="00AD40AD"/>
    <w:rsid w:val="00AD4173"/>
    <w:rsid w:val="00AD427B"/>
    <w:rsid w:val="00AD43DB"/>
    <w:rsid w:val="00AD45B3"/>
    <w:rsid w:val="00AD4874"/>
    <w:rsid w:val="00AD51CF"/>
    <w:rsid w:val="00AD5796"/>
    <w:rsid w:val="00AD5A84"/>
    <w:rsid w:val="00AD5B81"/>
    <w:rsid w:val="00AD5F2C"/>
    <w:rsid w:val="00AD61BB"/>
    <w:rsid w:val="00AD6417"/>
    <w:rsid w:val="00AD6C48"/>
    <w:rsid w:val="00AD7391"/>
    <w:rsid w:val="00AD73D9"/>
    <w:rsid w:val="00AD77D6"/>
    <w:rsid w:val="00AD7B3D"/>
    <w:rsid w:val="00AD7ECF"/>
    <w:rsid w:val="00AE0003"/>
    <w:rsid w:val="00AE08C8"/>
    <w:rsid w:val="00AE0AE0"/>
    <w:rsid w:val="00AE0B30"/>
    <w:rsid w:val="00AE14C1"/>
    <w:rsid w:val="00AE1E67"/>
    <w:rsid w:val="00AE1FFE"/>
    <w:rsid w:val="00AE2021"/>
    <w:rsid w:val="00AE219F"/>
    <w:rsid w:val="00AE2362"/>
    <w:rsid w:val="00AE268A"/>
    <w:rsid w:val="00AE2DDB"/>
    <w:rsid w:val="00AE2ED5"/>
    <w:rsid w:val="00AE332E"/>
    <w:rsid w:val="00AE3887"/>
    <w:rsid w:val="00AE450C"/>
    <w:rsid w:val="00AE4633"/>
    <w:rsid w:val="00AE4CBA"/>
    <w:rsid w:val="00AE4D6A"/>
    <w:rsid w:val="00AE58A1"/>
    <w:rsid w:val="00AE5922"/>
    <w:rsid w:val="00AE5FD1"/>
    <w:rsid w:val="00AE64DF"/>
    <w:rsid w:val="00AE7A91"/>
    <w:rsid w:val="00AE7CEE"/>
    <w:rsid w:val="00AE7DC2"/>
    <w:rsid w:val="00AF0013"/>
    <w:rsid w:val="00AF0450"/>
    <w:rsid w:val="00AF0776"/>
    <w:rsid w:val="00AF0CB4"/>
    <w:rsid w:val="00AF0FF9"/>
    <w:rsid w:val="00AF112C"/>
    <w:rsid w:val="00AF11FA"/>
    <w:rsid w:val="00AF2006"/>
    <w:rsid w:val="00AF22D3"/>
    <w:rsid w:val="00AF255D"/>
    <w:rsid w:val="00AF29AA"/>
    <w:rsid w:val="00AF2F5D"/>
    <w:rsid w:val="00AF34AE"/>
    <w:rsid w:val="00AF38A1"/>
    <w:rsid w:val="00AF444D"/>
    <w:rsid w:val="00AF4568"/>
    <w:rsid w:val="00AF45EB"/>
    <w:rsid w:val="00AF46C9"/>
    <w:rsid w:val="00AF4917"/>
    <w:rsid w:val="00AF4ADE"/>
    <w:rsid w:val="00AF4B8D"/>
    <w:rsid w:val="00AF52DF"/>
    <w:rsid w:val="00AF5441"/>
    <w:rsid w:val="00AF5786"/>
    <w:rsid w:val="00AF5A6C"/>
    <w:rsid w:val="00AF5AB6"/>
    <w:rsid w:val="00AF60C3"/>
    <w:rsid w:val="00AF6318"/>
    <w:rsid w:val="00AF63AE"/>
    <w:rsid w:val="00AF68A4"/>
    <w:rsid w:val="00AF6994"/>
    <w:rsid w:val="00AF6AD6"/>
    <w:rsid w:val="00AF7182"/>
    <w:rsid w:val="00AF7425"/>
    <w:rsid w:val="00AF79C4"/>
    <w:rsid w:val="00AF7D69"/>
    <w:rsid w:val="00B00638"/>
    <w:rsid w:val="00B007B1"/>
    <w:rsid w:val="00B00A76"/>
    <w:rsid w:val="00B00E9E"/>
    <w:rsid w:val="00B01686"/>
    <w:rsid w:val="00B01857"/>
    <w:rsid w:val="00B01CE6"/>
    <w:rsid w:val="00B01D28"/>
    <w:rsid w:val="00B01F68"/>
    <w:rsid w:val="00B0239E"/>
    <w:rsid w:val="00B02502"/>
    <w:rsid w:val="00B02F92"/>
    <w:rsid w:val="00B03194"/>
    <w:rsid w:val="00B031FE"/>
    <w:rsid w:val="00B03ADB"/>
    <w:rsid w:val="00B03E6B"/>
    <w:rsid w:val="00B04433"/>
    <w:rsid w:val="00B0510B"/>
    <w:rsid w:val="00B054C2"/>
    <w:rsid w:val="00B05646"/>
    <w:rsid w:val="00B056B6"/>
    <w:rsid w:val="00B0573D"/>
    <w:rsid w:val="00B059F3"/>
    <w:rsid w:val="00B05A2F"/>
    <w:rsid w:val="00B0603D"/>
    <w:rsid w:val="00B06218"/>
    <w:rsid w:val="00B0640B"/>
    <w:rsid w:val="00B069F1"/>
    <w:rsid w:val="00B0707B"/>
    <w:rsid w:val="00B07112"/>
    <w:rsid w:val="00B1034C"/>
    <w:rsid w:val="00B104ED"/>
    <w:rsid w:val="00B105EB"/>
    <w:rsid w:val="00B1068B"/>
    <w:rsid w:val="00B10F06"/>
    <w:rsid w:val="00B10F0E"/>
    <w:rsid w:val="00B10F51"/>
    <w:rsid w:val="00B10FCB"/>
    <w:rsid w:val="00B11534"/>
    <w:rsid w:val="00B117D8"/>
    <w:rsid w:val="00B11AC1"/>
    <w:rsid w:val="00B11F72"/>
    <w:rsid w:val="00B12393"/>
    <w:rsid w:val="00B12A5B"/>
    <w:rsid w:val="00B1306D"/>
    <w:rsid w:val="00B1308C"/>
    <w:rsid w:val="00B13511"/>
    <w:rsid w:val="00B13C00"/>
    <w:rsid w:val="00B1420E"/>
    <w:rsid w:val="00B142B8"/>
    <w:rsid w:val="00B14452"/>
    <w:rsid w:val="00B16015"/>
    <w:rsid w:val="00B16152"/>
    <w:rsid w:val="00B1689C"/>
    <w:rsid w:val="00B1706C"/>
    <w:rsid w:val="00B1712B"/>
    <w:rsid w:val="00B17715"/>
    <w:rsid w:val="00B17BA6"/>
    <w:rsid w:val="00B17BCC"/>
    <w:rsid w:val="00B17F26"/>
    <w:rsid w:val="00B201EF"/>
    <w:rsid w:val="00B202E1"/>
    <w:rsid w:val="00B203BB"/>
    <w:rsid w:val="00B208C9"/>
    <w:rsid w:val="00B20AB8"/>
    <w:rsid w:val="00B20B8F"/>
    <w:rsid w:val="00B20B95"/>
    <w:rsid w:val="00B20C8F"/>
    <w:rsid w:val="00B211FD"/>
    <w:rsid w:val="00B212B4"/>
    <w:rsid w:val="00B21306"/>
    <w:rsid w:val="00B21484"/>
    <w:rsid w:val="00B21603"/>
    <w:rsid w:val="00B2164B"/>
    <w:rsid w:val="00B218EC"/>
    <w:rsid w:val="00B21E9E"/>
    <w:rsid w:val="00B22264"/>
    <w:rsid w:val="00B22786"/>
    <w:rsid w:val="00B228EA"/>
    <w:rsid w:val="00B2324C"/>
    <w:rsid w:val="00B237AB"/>
    <w:rsid w:val="00B2381E"/>
    <w:rsid w:val="00B23D50"/>
    <w:rsid w:val="00B23EB4"/>
    <w:rsid w:val="00B23F5A"/>
    <w:rsid w:val="00B24057"/>
    <w:rsid w:val="00B243C7"/>
    <w:rsid w:val="00B2453B"/>
    <w:rsid w:val="00B24926"/>
    <w:rsid w:val="00B24AEE"/>
    <w:rsid w:val="00B24AFC"/>
    <w:rsid w:val="00B24C06"/>
    <w:rsid w:val="00B251F0"/>
    <w:rsid w:val="00B2572B"/>
    <w:rsid w:val="00B25939"/>
    <w:rsid w:val="00B25A53"/>
    <w:rsid w:val="00B25BB0"/>
    <w:rsid w:val="00B26227"/>
    <w:rsid w:val="00B264B7"/>
    <w:rsid w:val="00B26A9C"/>
    <w:rsid w:val="00B26D31"/>
    <w:rsid w:val="00B2740E"/>
    <w:rsid w:val="00B27463"/>
    <w:rsid w:val="00B300F5"/>
    <w:rsid w:val="00B3031A"/>
    <w:rsid w:val="00B30608"/>
    <w:rsid w:val="00B3060F"/>
    <w:rsid w:val="00B30978"/>
    <w:rsid w:val="00B309D8"/>
    <w:rsid w:val="00B30D44"/>
    <w:rsid w:val="00B30EC4"/>
    <w:rsid w:val="00B312DF"/>
    <w:rsid w:val="00B31C82"/>
    <w:rsid w:val="00B31DB8"/>
    <w:rsid w:val="00B31E2A"/>
    <w:rsid w:val="00B31F87"/>
    <w:rsid w:val="00B321A6"/>
    <w:rsid w:val="00B32585"/>
    <w:rsid w:val="00B32BA9"/>
    <w:rsid w:val="00B32E9D"/>
    <w:rsid w:val="00B32F25"/>
    <w:rsid w:val="00B3318C"/>
    <w:rsid w:val="00B33403"/>
    <w:rsid w:val="00B334C8"/>
    <w:rsid w:val="00B336CA"/>
    <w:rsid w:val="00B33BCC"/>
    <w:rsid w:val="00B341E6"/>
    <w:rsid w:val="00B342A0"/>
    <w:rsid w:val="00B34A4E"/>
    <w:rsid w:val="00B34B66"/>
    <w:rsid w:val="00B34C92"/>
    <w:rsid w:val="00B34ECA"/>
    <w:rsid w:val="00B34EEB"/>
    <w:rsid w:val="00B34F1F"/>
    <w:rsid w:val="00B35509"/>
    <w:rsid w:val="00B35927"/>
    <w:rsid w:val="00B35984"/>
    <w:rsid w:val="00B35BC7"/>
    <w:rsid w:val="00B36535"/>
    <w:rsid w:val="00B3670F"/>
    <w:rsid w:val="00B36E47"/>
    <w:rsid w:val="00B37407"/>
    <w:rsid w:val="00B37711"/>
    <w:rsid w:val="00B4038F"/>
    <w:rsid w:val="00B40706"/>
    <w:rsid w:val="00B40889"/>
    <w:rsid w:val="00B40949"/>
    <w:rsid w:val="00B40C80"/>
    <w:rsid w:val="00B40F28"/>
    <w:rsid w:val="00B411BA"/>
    <w:rsid w:val="00B418E8"/>
    <w:rsid w:val="00B41A8E"/>
    <w:rsid w:val="00B420BC"/>
    <w:rsid w:val="00B42150"/>
    <w:rsid w:val="00B42885"/>
    <w:rsid w:val="00B42A42"/>
    <w:rsid w:val="00B42D7B"/>
    <w:rsid w:val="00B4319F"/>
    <w:rsid w:val="00B433BE"/>
    <w:rsid w:val="00B437AA"/>
    <w:rsid w:val="00B43EFE"/>
    <w:rsid w:val="00B447F8"/>
    <w:rsid w:val="00B44822"/>
    <w:rsid w:val="00B44ED8"/>
    <w:rsid w:val="00B44F0F"/>
    <w:rsid w:val="00B44FEF"/>
    <w:rsid w:val="00B4542B"/>
    <w:rsid w:val="00B454CD"/>
    <w:rsid w:val="00B45A4C"/>
    <w:rsid w:val="00B45BB3"/>
    <w:rsid w:val="00B46042"/>
    <w:rsid w:val="00B46671"/>
    <w:rsid w:val="00B46817"/>
    <w:rsid w:val="00B47004"/>
    <w:rsid w:val="00B47425"/>
    <w:rsid w:val="00B47500"/>
    <w:rsid w:val="00B47DF4"/>
    <w:rsid w:val="00B50194"/>
    <w:rsid w:val="00B502E5"/>
    <w:rsid w:val="00B50495"/>
    <w:rsid w:val="00B5060E"/>
    <w:rsid w:val="00B506BC"/>
    <w:rsid w:val="00B50711"/>
    <w:rsid w:val="00B5075A"/>
    <w:rsid w:val="00B507DA"/>
    <w:rsid w:val="00B508A0"/>
    <w:rsid w:val="00B50989"/>
    <w:rsid w:val="00B50B08"/>
    <w:rsid w:val="00B50B8C"/>
    <w:rsid w:val="00B50BF9"/>
    <w:rsid w:val="00B5163C"/>
    <w:rsid w:val="00B51A6B"/>
    <w:rsid w:val="00B51F85"/>
    <w:rsid w:val="00B5267D"/>
    <w:rsid w:val="00B528FC"/>
    <w:rsid w:val="00B52EE4"/>
    <w:rsid w:val="00B53363"/>
    <w:rsid w:val="00B53698"/>
    <w:rsid w:val="00B53902"/>
    <w:rsid w:val="00B53A2C"/>
    <w:rsid w:val="00B53CEC"/>
    <w:rsid w:val="00B53F30"/>
    <w:rsid w:val="00B5450E"/>
    <w:rsid w:val="00B54A33"/>
    <w:rsid w:val="00B54B1D"/>
    <w:rsid w:val="00B54C88"/>
    <w:rsid w:val="00B54DCF"/>
    <w:rsid w:val="00B559F2"/>
    <w:rsid w:val="00B55F2E"/>
    <w:rsid w:val="00B55F5C"/>
    <w:rsid w:val="00B562E1"/>
    <w:rsid w:val="00B56529"/>
    <w:rsid w:val="00B56935"/>
    <w:rsid w:val="00B56CC2"/>
    <w:rsid w:val="00B57350"/>
    <w:rsid w:val="00B5743D"/>
    <w:rsid w:val="00B57531"/>
    <w:rsid w:val="00B57B4C"/>
    <w:rsid w:val="00B57D72"/>
    <w:rsid w:val="00B600E4"/>
    <w:rsid w:val="00B606F1"/>
    <w:rsid w:val="00B60731"/>
    <w:rsid w:val="00B60952"/>
    <w:rsid w:val="00B60AC9"/>
    <w:rsid w:val="00B6119F"/>
    <w:rsid w:val="00B6192F"/>
    <w:rsid w:val="00B62218"/>
    <w:rsid w:val="00B622D0"/>
    <w:rsid w:val="00B62BDA"/>
    <w:rsid w:val="00B62E0B"/>
    <w:rsid w:val="00B632EE"/>
    <w:rsid w:val="00B635AC"/>
    <w:rsid w:val="00B635B1"/>
    <w:rsid w:val="00B63613"/>
    <w:rsid w:val="00B6442C"/>
    <w:rsid w:val="00B64444"/>
    <w:rsid w:val="00B645BC"/>
    <w:rsid w:val="00B6497E"/>
    <w:rsid w:val="00B64CDF"/>
    <w:rsid w:val="00B65265"/>
    <w:rsid w:val="00B65A1C"/>
    <w:rsid w:val="00B65B4B"/>
    <w:rsid w:val="00B662F0"/>
    <w:rsid w:val="00B66485"/>
    <w:rsid w:val="00B66A3F"/>
    <w:rsid w:val="00B66B7B"/>
    <w:rsid w:val="00B67005"/>
    <w:rsid w:val="00B671C5"/>
    <w:rsid w:val="00B67234"/>
    <w:rsid w:val="00B67529"/>
    <w:rsid w:val="00B675D3"/>
    <w:rsid w:val="00B678A7"/>
    <w:rsid w:val="00B70068"/>
    <w:rsid w:val="00B704A9"/>
    <w:rsid w:val="00B704B3"/>
    <w:rsid w:val="00B70D64"/>
    <w:rsid w:val="00B710D7"/>
    <w:rsid w:val="00B711D6"/>
    <w:rsid w:val="00B71B22"/>
    <w:rsid w:val="00B71D77"/>
    <w:rsid w:val="00B71D97"/>
    <w:rsid w:val="00B72048"/>
    <w:rsid w:val="00B729C1"/>
    <w:rsid w:val="00B72E15"/>
    <w:rsid w:val="00B73596"/>
    <w:rsid w:val="00B738B2"/>
    <w:rsid w:val="00B73D54"/>
    <w:rsid w:val="00B73FF0"/>
    <w:rsid w:val="00B74040"/>
    <w:rsid w:val="00B740E1"/>
    <w:rsid w:val="00B74A6F"/>
    <w:rsid w:val="00B74B46"/>
    <w:rsid w:val="00B74EA7"/>
    <w:rsid w:val="00B7521A"/>
    <w:rsid w:val="00B755B5"/>
    <w:rsid w:val="00B75DBC"/>
    <w:rsid w:val="00B75E96"/>
    <w:rsid w:val="00B7608A"/>
    <w:rsid w:val="00B76252"/>
    <w:rsid w:val="00B767FD"/>
    <w:rsid w:val="00B76854"/>
    <w:rsid w:val="00B76861"/>
    <w:rsid w:val="00B76C03"/>
    <w:rsid w:val="00B77118"/>
    <w:rsid w:val="00B772B4"/>
    <w:rsid w:val="00B7730F"/>
    <w:rsid w:val="00B774B5"/>
    <w:rsid w:val="00B7778F"/>
    <w:rsid w:val="00B777C1"/>
    <w:rsid w:val="00B77ED5"/>
    <w:rsid w:val="00B80401"/>
    <w:rsid w:val="00B804C0"/>
    <w:rsid w:val="00B80600"/>
    <w:rsid w:val="00B80700"/>
    <w:rsid w:val="00B80A74"/>
    <w:rsid w:val="00B80CDE"/>
    <w:rsid w:val="00B80E96"/>
    <w:rsid w:val="00B81523"/>
    <w:rsid w:val="00B81727"/>
    <w:rsid w:val="00B81C74"/>
    <w:rsid w:val="00B82159"/>
    <w:rsid w:val="00B821A3"/>
    <w:rsid w:val="00B82320"/>
    <w:rsid w:val="00B824C8"/>
    <w:rsid w:val="00B827CA"/>
    <w:rsid w:val="00B82AF1"/>
    <w:rsid w:val="00B82AFE"/>
    <w:rsid w:val="00B82B3E"/>
    <w:rsid w:val="00B82B41"/>
    <w:rsid w:val="00B82C96"/>
    <w:rsid w:val="00B830F3"/>
    <w:rsid w:val="00B83B04"/>
    <w:rsid w:val="00B84943"/>
    <w:rsid w:val="00B84D0E"/>
    <w:rsid w:val="00B85B14"/>
    <w:rsid w:val="00B865DE"/>
    <w:rsid w:val="00B868B6"/>
    <w:rsid w:val="00B869EB"/>
    <w:rsid w:val="00B86F67"/>
    <w:rsid w:val="00B8717D"/>
    <w:rsid w:val="00B87BAA"/>
    <w:rsid w:val="00B87C4E"/>
    <w:rsid w:val="00B87DBE"/>
    <w:rsid w:val="00B87F09"/>
    <w:rsid w:val="00B87FE5"/>
    <w:rsid w:val="00B87FFB"/>
    <w:rsid w:val="00B90100"/>
    <w:rsid w:val="00B901F9"/>
    <w:rsid w:val="00B909E0"/>
    <w:rsid w:val="00B90A0C"/>
    <w:rsid w:val="00B90C27"/>
    <w:rsid w:val="00B91007"/>
    <w:rsid w:val="00B911A3"/>
    <w:rsid w:val="00B917DD"/>
    <w:rsid w:val="00B9180D"/>
    <w:rsid w:val="00B91F70"/>
    <w:rsid w:val="00B929B0"/>
    <w:rsid w:val="00B92E68"/>
    <w:rsid w:val="00B934D6"/>
    <w:rsid w:val="00B9469E"/>
    <w:rsid w:val="00B946D1"/>
    <w:rsid w:val="00B94F0B"/>
    <w:rsid w:val="00B95260"/>
    <w:rsid w:val="00B954AC"/>
    <w:rsid w:val="00B956BE"/>
    <w:rsid w:val="00B956F1"/>
    <w:rsid w:val="00B958D8"/>
    <w:rsid w:val="00B95955"/>
    <w:rsid w:val="00B95C5E"/>
    <w:rsid w:val="00B95E2C"/>
    <w:rsid w:val="00B95F44"/>
    <w:rsid w:val="00B963A9"/>
    <w:rsid w:val="00B9665F"/>
    <w:rsid w:val="00B96D50"/>
    <w:rsid w:val="00B9763D"/>
    <w:rsid w:val="00B979E1"/>
    <w:rsid w:val="00BA028A"/>
    <w:rsid w:val="00BA03EA"/>
    <w:rsid w:val="00BA0459"/>
    <w:rsid w:val="00BA0571"/>
    <w:rsid w:val="00BA07C5"/>
    <w:rsid w:val="00BA088E"/>
    <w:rsid w:val="00BA094A"/>
    <w:rsid w:val="00BA0E2E"/>
    <w:rsid w:val="00BA1187"/>
    <w:rsid w:val="00BA13A2"/>
    <w:rsid w:val="00BA15FE"/>
    <w:rsid w:val="00BA1C13"/>
    <w:rsid w:val="00BA2147"/>
    <w:rsid w:val="00BA253B"/>
    <w:rsid w:val="00BA2540"/>
    <w:rsid w:val="00BA2588"/>
    <w:rsid w:val="00BA2B0B"/>
    <w:rsid w:val="00BA2BB3"/>
    <w:rsid w:val="00BA3276"/>
    <w:rsid w:val="00BA398B"/>
    <w:rsid w:val="00BA39A0"/>
    <w:rsid w:val="00BA3B48"/>
    <w:rsid w:val="00BA4695"/>
    <w:rsid w:val="00BA530D"/>
    <w:rsid w:val="00BA56DE"/>
    <w:rsid w:val="00BA598D"/>
    <w:rsid w:val="00BA60CF"/>
    <w:rsid w:val="00BA61B9"/>
    <w:rsid w:val="00BA6325"/>
    <w:rsid w:val="00BA64A8"/>
    <w:rsid w:val="00BA69FE"/>
    <w:rsid w:val="00BA6DC6"/>
    <w:rsid w:val="00BA6FCD"/>
    <w:rsid w:val="00BA75A1"/>
    <w:rsid w:val="00BB00F6"/>
    <w:rsid w:val="00BB05FD"/>
    <w:rsid w:val="00BB0698"/>
    <w:rsid w:val="00BB07EE"/>
    <w:rsid w:val="00BB0A64"/>
    <w:rsid w:val="00BB0FFE"/>
    <w:rsid w:val="00BB1063"/>
    <w:rsid w:val="00BB1087"/>
    <w:rsid w:val="00BB1606"/>
    <w:rsid w:val="00BB166A"/>
    <w:rsid w:val="00BB1E96"/>
    <w:rsid w:val="00BB1FDB"/>
    <w:rsid w:val="00BB20D4"/>
    <w:rsid w:val="00BB22C9"/>
    <w:rsid w:val="00BB26CC"/>
    <w:rsid w:val="00BB28B8"/>
    <w:rsid w:val="00BB290A"/>
    <w:rsid w:val="00BB2DB7"/>
    <w:rsid w:val="00BB2EE1"/>
    <w:rsid w:val="00BB3C3F"/>
    <w:rsid w:val="00BB43A0"/>
    <w:rsid w:val="00BB538B"/>
    <w:rsid w:val="00BB548A"/>
    <w:rsid w:val="00BB550E"/>
    <w:rsid w:val="00BB56AF"/>
    <w:rsid w:val="00BB5BB1"/>
    <w:rsid w:val="00BB5E9F"/>
    <w:rsid w:val="00BB63FF"/>
    <w:rsid w:val="00BB644E"/>
    <w:rsid w:val="00BB6711"/>
    <w:rsid w:val="00BB6A1A"/>
    <w:rsid w:val="00BB6B89"/>
    <w:rsid w:val="00BB6BE6"/>
    <w:rsid w:val="00BB70F2"/>
    <w:rsid w:val="00BB725F"/>
    <w:rsid w:val="00BB74ED"/>
    <w:rsid w:val="00BB78C4"/>
    <w:rsid w:val="00BB7DE3"/>
    <w:rsid w:val="00BB7E1B"/>
    <w:rsid w:val="00BC01AE"/>
    <w:rsid w:val="00BC0898"/>
    <w:rsid w:val="00BC09DA"/>
    <w:rsid w:val="00BC0B26"/>
    <w:rsid w:val="00BC0BA2"/>
    <w:rsid w:val="00BC0D0D"/>
    <w:rsid w:val="00BC119B"/>
    <w:rsid w:val="00BC14BE"/>
    <w:rsid w:val="00BC1BA4"/>
    <w:rsid w:val="00BC1D3B"/>
    <w:rsid w:val="00BC2098"/>
    <w:rsid w:val="00BC2621"/>
    <w:rsid w:val="00BC2874"/>
    <w:rsid w:val="00BC29C4"/>
    <w:rsid w:val="00BC29FC"/>
    <w:rsid w:val="00BC2F99"/>
    <w:rsid w:val="00BC30BE"/>
    <w:rsid w:val="00BC3B64"/>
    <w:rsid w:val="00BC3F2F"/>
    <w:rsid w:val="00BC3F47"/>
    <w:rsid w:val="00BC4108"/>
    <w:rsid w:val="00BC4420"/>
    <w:rsid w:val="00BC468F"/>
    <w:rsid w:val="00BC4BA7"/>
    <w:rsid w:val="00BC4F0C"/>
    <w:rsid w:val="00BC5727"/>
    <w:rsid w:val="00BC5AF6"/>
    <w:rsid w:val="00BC5C72"/>
    <w:rsid w:val="00BC6207"/>
    <w:rsid w:val="00BC633A"/>
    <w:rsid w:val="00BC68AD"/>
    <w:rsid w:val="00BC691C"/>
    <w:rsid w:val="00BC6C0B"/>
    <w:rsid w:val="00BC6C57"/>
    <w:rsid w:val="00BC6DC0"/>
    <w:rsid w:val="00BC6F90"/>
    <w:rsid w:val="00BC7035"/>
    <w:rsid w:val="00BC7118"/>
    <w:rsid w:val="00BD0390"/>
    <w:rsid w:val="00BD0B5E"/>
    <w:rsid w:val="00BD0C00"/>
    <w:rsid w:val="00BD0C8D"/>
    <w:rsid w:val="00BD1CE3"/>
    <w:rsid w:val="00BD210E"/>
    <w:rsid w:val="00BD22DC"/>
    <w:rsid w:val="00BD22E1"/>
    <w:rsid w:val="00BD2A4A"/>
    <w:rsid w:val="00BD2A8B"/>
    <w:rsid w:val="00BD2F99"/>
    <w:rsid w:val="00BD32DA"/>
    <w:rsid w:val="00BD38EA"/>
    <w:rsid w:val="00BD3902"/>
    <w:rsid w:val="00BD3F9B"/>
    <w:rsid w:val="00BD4200"/>
    <w:rsid w:val="00BD4752"/>
    <w:rsid w:val="00BD481A"/>
    <w:rsid w:val="00BD4A9B"/>
    <w:rsid w:val="00BD4AA3"/>
    <w:rsid w:val="00BD4D6C"/>
    <w:rsid w:val="00BD511A"/>
    <w:rsid w:val="00BD5AFF"/>
    <w:rsid w:val="00BD5D13"/>
    <w:rsid w:val="00BD6063"/>
    <w:rsid w:val="00BD60B8"/>
    <w:rsid w:val="00BD6583"/>
    <w:rsid w:val="00BD661B"/>
    <w:rsid w:val="00BD6750"/>
    <w:rsid w:val="00BD69EA"/>
    <w:rsid w:val="00BD6C16"/>
    <w:rsid w:val="00BD6E9F"/>
    <w:rsid w:val="00BD7242"/>
    <w:rsid w:val="00BD7467"/>
    <w:rsid w:val="00BD75CD"/>
    <w:rsid w:val="00BD7E7E"/>
    <w:rsid w:val="00BE060C"/>
    <w:rsid w:val="00BE0610"/>
    <w:rsid w:val="00BE0C62"/>
    <w:rsid w:val="00BE0E3F"/>
    <w:rsid w:val="00BE0E79"/>
    <w:rsid w:val="00BE11D3"/>
    <w:rsid w:val="00BE17F4"/>
    <w:rsid w:val="00BE1A15"/>
    <w:rsid w:val="00BE1BD7"/>
    <w:rsid w:val="00BE1ECD"/>
    <w:rsid w:val="00BE2137"/>
    <w:rsid w:val="00BE2457"/>
    <w:rsid w:val="00BE28FC"/>
    <w:rsid w:val="00BE2B0D"/>
    <w:rsid w:val="00BE2E4C"/>
    <w:rsid w:val="00BE3212"/>
    <w:rsid w:val="00BE35A6"/>
    <w:rsid w:val="00BE35EA"/>
    <w:rsid w:val="00BE3A68"/>
    <w:rsid w:val="00BE43DC"/>
    <w:rsid w:val="00BE43E5"/>
    <w:rsid w:val="00BE501E"/>
    <w:rsid w:val="00BE5259"/>
    <w:rsid w:val="00BE53A7"/>
    <w:rsid w:val="00BE563E"/>
    <w:rsid w:val="00BE5AE2"/>
    <w:rsid w:val="00BE5CE1"/>
    <w:rsid w:val="00BE5D6C"/>
    <w:rsid w:val="00BE6952"/>
    <w:rsid w:val="00BE6CF0"/>
    <w:rsid w:val="00BE6E5E"/>
    <w:rsid w:val="00BE6FD6"/>
    <w:rsid w:val="00BE71BA"/>
    <w:rsid w:val="00BE78DC"/>
    <w:rsid w:val="00BE7969"/>
    <w:rsid w:val="00BF082C"/>
    <w:rsid w:val="00BF08EF"/>
    <w:rsid w:val="00BF0B4A"/>
    <w:rsid w:val="00BF0C3E"/>
    <w:rsid w:val="00BF0C46"/>
    <w:rsid w:val="00BF13D8"/>
    <w:rsid w:val="00BF1D33"/>
    <w:rsid w:val="00BF214F"/>
    <w:rsid w:val="00BF2164"/>
    <w:rsid w:val="00BF2531"/>
    <w:rsid w:val="00BF270C"/>
    <w:rsid w:val="00BF28CD"/>
    <w:rsid w:val="00BF2905"/>
    <w:rsid w:val="00BF2969"/>
    <w:rsid w:val="00BF296D"/>
    <w:rsid w:val="00BF2D18"/>
    <w:rsid w:val="00BF2DB7"/>
    <w:rsid w:val="00BF2EB6"/>
    <w:rsid w:val="00BF2FAB"/>
    <w:rsid w:val="00BF32C5"/>
    <w:rsid w:val="00BF3BBA"/>
    <w:rsid w:val="00BF3FEB"/>
    <w:rsid w:val="00BF4487"/>
    <w:rsid w:val="00BF4F85"/>
    <w:rsid w:val="00BF5158"/>
    <w:rsid w:val="00BF51CB"/>
    <w:rsid w:val="00BF5246"/>
    <w:rsid w:val="00BF5338"/>
    <w:rsid w:val="00BF56E4"/>
    <w:rsid w:val="00BF583F"/>
    <w:rsid w:val="00BF58F4"/>
    <w:rsid w:val="00BF5C01"/>
    <w:rsid w:val="00BF5C53"/>
    <w:rsid w:val="00BF65A3"/>
    <w:rsid w:val="00BF6812"/>
    <w:rsid w:val="00BF6930"/>
    <w:rsid w:val="00BF74FD"/>
    <w:rsid w:val="00BF7783"/>
    <w:rsid w:val="00BF7F3E"/>
    <w:rsid w:val="00C004D1"/>
    <w:rsid w:val="00C004FB"/>
    <w:rsid w:val="00C0057C"/>
    <w:rsid w:val="00C00672"/>
    <w:rsid w:val="00C009E0"/>
    <w:rsid w:val="00C00B6C"/>
    <w:rsid w:val="00C00C7A"/>
    <w:rsid w:val="00C01B54"/>
    <w:rsid w:val="00C01CD4"/>
    <w:rsid w:val="00C01E79"/>
    <w:rsid w:val="00C01F46"/>
    <w:rsid w:val="00C0239B"/>
    <w:rsid w:val="00C025F1"/>
    <w:rsid w:val="00C02701"/>
    <w:rsid w:val="00C02871"/>
    <w:rsid w:val="00C0360B"/>
    <w:rsid w:val="00C037E1"/>
    <w:rsid w:val="00C03A11"/>
    <w:rsid w:val="00C03F09"/>
    <w:rsid w:val="00C042BF"/>
    <w:rsid w:val="00C047F7"/>
    <w:rsid w:val="00C04A16"/>
    <w:rsid w:val="00C04A31"/>
    <w:rsid w:val="00C04DB3"/>
    <w:rsid w:val="00C04E39"/>
    <w:rsid w:val="00C04F00"/>
    <w:rsid w:val="00C05F2A"/>
    <w:rsid w:val="00C05F46"/>
    <w:rsid w:val="00C064EA"/>
    <w:rsid w:val="00C065BF"/>
    <w:rsid w:val="00C067C1"/>
    <w:rsid w:val="00C06939"/>
    <w:rsid w:val="00C06C42"/>
    <w:rsid w:val="00C0704B"/>
    <w:rsid w:val="00C07CDC"/>
    <w:rsid w:val="00C07D13"/>
    <w:rsid w:val="00C10AD4"/>
    <w:rsid w:val="00C10DEF"/>
    <w:rsid w:val="00C10F26"/>
    <w:rsid w:val="00C11414"/>
    <w:rsid w:val="00C11485"/>
    <w:rsid w:val="00C1175D"/>
    <w:rsid w:val="00C1178E"/>
    <w:rsid w:val="00C117E5"/>
    <w:rsid w:val="00C11DCC"/>
    <w:rsid w:val="00C122A2"/>
    <w:rsid w:val="00C12881"/>
    <w:rsid w:val="00C12899"/>
    <w:rsid w:val="00C130F9"/>
    <w:rsid w:val="00C131C8"/>
    <w:rsid w:val="00C1366E"/>
    <w:rsid w:val="00C136C1"/>
    <w:rsid w:val="00C13957"/>
    <w:rsid w:val="00C13EC1"/>
    <w:rsid w:val="00C1444D"/>
    <w:rsid w:val="00C144BB"/>
    <w:rsid w:val="00C1476F"/>
    <w:rsid w:val="00C1557A"/>
    <w:rsid w:val="00C15665"/>
    <w:rsid w:val="00C15CE1"/>
    <w:rsid w:val="00C1643A"/>
    <w:rsid w:val="00C1660A"/>
    <w:rsid w:val="00C168E7"/>
    <w:rsid w:val="00C16913"/>
    <w:rsid w:val="00C169F9"/>
    <w:rsid w:val="00C17484"/>
    <w:rsid w:val="00C1766D"/>
    <w:rsid w:val="00C1781E"/>
    <w:rsid w:val="00C17978"/>
    <w:rsid w:val="00C17AEA"/>
    <w:rsid w:val="00C17BD1"/>
    <w:rsid w:val="00C17E74"/>
    <w:rsid w:val="00C20333"/>
    <w:rsid w:val="00C2038A"/>
    <w:rsid w:val="00C205D8"/>
    <w:rsid w:val="00C2090F"/>
    <w:rsid w:val="00C209DF"/>
    <w:rsid w:val="00C20DF6"/>
    <w:rsid w:val="00C20E48"/>
    <w:rsid w:val="00C21280"/>
    <w:rsid w:val="00C21322"/>
    <w:rsid w:val="00C2141C"/>
    <w:rsid w:val="00C21466"/>
    <w:rsid w:val="00C2187E"/>
    <w:rsid w:val="00C2189F"/>
    <w:rsid w:val="00C218DB"/>
    <w:rsid w:val="00C21DF7"/>
    <w:rsid w:val="00C22166"/>
    <w:rsid w:val="00C22397"/>
    <w:rsid w:val="00C227FA"/>
    <w:rsid w:val="00C22CD5"/>
    <w:rsid w:val="00C23133"/>
    <w:rsid w:val="00C2348A"/>
    <w:rsid w:val="00C2379C"/>
    <w:rsid w:val="00C23861"/>
    <w:rsid w:val="00C2389E"/>
    <w:rsid w:val="00C2391B"/>
    <w:rsid w:val="00C24535"/>
    <w:rsid w:val="00C246CD"/>
    <w:rsid w:val="00C24C31"/>
    <w:rsid w:val="00C25064"/>
    <w:rsid w:val="00C258B5"/>
    <w:rsid w:val="00C25B98"/>
    <w:rsid w:val="00C26319"/>
    <w:rsid w:val="00C26564"/>
    <w:rsid w:val="00C26B32"/>
    <w:rsid w:val="00C26CF6"/>
    <w:rsid w:val="00C26E82"/>
    <w:rsid w:val="00C2716D"/>
    <w:rsid w:val="00C27988"/>
    <w:rsid w:val="00C27992"/>
    <w:rsid w:val="00C27ADA"/>
    <w:rsid w:val="00C27C27"/>
    <w:rsid w:val="00C27D3F"/>
    <w:rsid w:val="00C302FE"/>
    <w:rsid w:val="00C30381"/>
    <w:rsid w:val="00C307E8"/>
    <w:rsid w:val="00C30E18"/>
    <w:rsid w:val="00C314A7"/>
    <w:rsid w:val="00C31844"/>
    <w:rsid w:val="00C318E7"/>
    <w:rsid w:val="00C31C2F"/>
    <w:rsid w:val="00C31CDC"/>
    <w:rsid w:val="00C3263D"/>
    <w:rsid w:val="00C3283C"/>
    <w:rsid w:val="00C32A33"/>
    <w:rsid w:val="00C32EA9"/>
    <w:rsid w:val="00C32F85"/>
    <w:rsid w:val="00C33152"/>
    <w:rsid w:val="00C3321E"/>
    <w:rsid w:val="00C334D2"/>
    <w:rsid w:val="00C33656"/>
    <w:rsid w:val="00C3367C"/>
    <w:rsid w:val="00C3384B"/>
    <w:rsid w:val="00C33D99"/>
    <w:rsid w:val="00C3405D"/>
    <w:rsid w:val="00C34477"/>
    <w:rsid w:val="00C34AAC"/>
    <w:rsid w:val="00C34FA1"/>
    <w:rsid w:val="00C34FC7"/>
    <w:rsid w:val="00C35564"/>
    <w:rsid w:val="00C35731"/>
    <w:rsid w:val="00C3576E"/>
    <w:rsid w:val="00C358F1"/>
    <w:rsid w:val="00C35CA6"/>
    <w:rsid w:val="00C35D22"/>
    <w:rsid w:val="00C36285"/>
    <w:rsid w:val="00C36624"/>
    <w:rsid w:val="00C3696C"/>
    <w:rsid w:val="00C37088"/>
    <w:rsid w:val="00C371E1"/>
    <w:rsid w:val="00C375E5"/>
    <w:rsid w:val="00C37CDB"/>
    <w:rsid w:val="00C40618"/>
    <w:rsid w:val="00C406AC"/>
    <w:rsid w:val="00C40751"/>
    <w:rsid w:val="00C410E8"/>
    <w:rsid w:val="00C4125A"/>
    <w:rsid w:val="00C414C4"/>
    <w:rsid w:val="00C41C50"/>
    <w:rsid w:val="00C41CD4"/>
    <w:rsid w:val="00C41F1C"/>
    <w:rsid w:val="00C425E1"/>
    <w:rsid w:val="00C426E8"/>
    <w:rsid w:val="00C42955"/>
    <w:rsid w:val="00C42AFA"/>
    <w:rsid w:val="00C42D35"/>
    <w:rsid w:val="00C4336A"/>
    <w:rsid w:val="00C4337C"/>
    <w:rsid w:val="00C435FD"/>
    <w:rsid w:val="00C43AA1"/>
    <w:rsid w:val="00C43BDD"/>
    <w:rsid w:val="00C44930"/>
    <w:rsid w:val="00C44D05"/>
    <w:rsid w:val="00C44E71"/>
    <w:rsid w:val="00C453D9"/>
    <w:rsid w:val="00C454F3"/>
    <w:rsid w:val="00C45B99"/>
    <w:rsid w:val="00C46035"/>
    <w:rsid w:val="00C461D1"/>
    <w:rsid w:val="00C461DE"/>
    <w:rsid w:val="00C463BC"/>
    <w:rsid w:val="00C46746"/>
    <w:rsid w:val="00C46B42"/>
    <w:rsid w:val="00C46EF8"/>
    <w:rsid w:val="00C46FE5"/>
    <w:rsid w:val="00C472EC"/>
    <w:rsid w:val="00C47613"/>
    <w:rsid w:val="00C47649"/>
    <w:rsid w:val="00C47D84"/>
    <w:rsid w:val="00C47ECA"/>
    <w:rsid w:val="00C5010A"/>
    <w:rsid w:val="00C50283"/>
    <w:rsid w:val="00C5029F"/>
    <w:rsid w:val="00C51C8D"/>
    <w:rsid w:val="00C51CB8"/>
    <w:rsid w:val="00C521E5"/>
    <w:rsid w:val="00C524BD"/>
    <w:rsid w:val="00C526EF"/>
    <w:rsid w:val="00C52A88"/>
    <w:rsid w:val="00C530D7"/>
    <w:rsid w:val="00C531EE"/>
    <w:rsid w:val="00C53276"/>
    <w:rsid w:val="00C534C4"/>
    <w:rsid w:val="00C540A3"/>
    <w:rsid w:val="00C54113"/>
    <w:rsid w:val="00C5426D"/>
    <w:rsid w:val="00C5428A"/>
    <w:rsid w:val="00C5431A"/>
    <w:rsid w:val="00C5452A"/>
    <w:rsid w:val="00C5472C"/>
    <w:rsid w:val="00C54DDE"/>
    <w:rsid w:val="00C55EA1"/>
    <w:rsid w:val="00C56017"/>
    <w:rsid w:val="00C56718"/>
    <w:rsid w:val="00C56820"/>
    <w:rsid w:val="00C56988"/>
    <w:rsid w:val="00C56D53"/>
    <w:rsid w:val="00C575D7"/>
    <w:rsid w:val="00C5772C"/>
    <w:rsid w:val="00C57A39"/>
    <w:rsid w:val="00C57C86"/>
    <w:rsid w:val="00C57E96"/>
    <w:rsid w:val="00C605FE"/>
    <w:rsid w:val="00C60908"/>
    <w:rsid w:val="00C60B74"/>
    <w:rsid w:val="00C61834"/>
    <w:rsid w:val="00C61997"/>
    <w:rsid w:val="00C61AF8"/>
    <w:rsid w:val="00C61D29"/>
    <w:rsid w:val="00C62B7A"/>
    <w:rsid w:val="00C62F2F"/>
    <w:rsid w:val="00C634F4"/>
    <w:rsid w:val="00C639DF"/>
    <w:rsid w:val="00C65186"/>
    <w:rsid w:val="00C65308"/>
    <w:rsid w:val="00C654F5"/>
    <w:rsid w:val="00C6581C"/>
    <w:rsid w:val="00C65C6E"/>
    <w:rsid w:val="00C666C7"/>
    <w:rsid w:val="00C66A27"/>
    <w:rsid w:val="00C66DC1"/>
    <w:rsid w:val="00C6712C"/>
    <w:rsid w:val="00C67310"/>
    <w:rsid w:val="00C6749D"/>
    <w:rsid w:val="00C678A0"/>
    <w:rsid w:val="00C678AB"/>
    <w:rsid w:val="00C67D7D"/>
    <w:rsid w:val="00C70463"/>
    <w:rsid w:val="00C70707"/>
    <w:rsid w:val="00C70E72"/>
    <w:rsid w:val="00C712E8"/>
    <w:rsid w:val="00C71BAC"/>
    <w:rsid w:val="00C71F2E"/>
    <w:rsid w:val="00C7201F"/>
    <w:rsid w:val="00C720F3"/>
    <w:rsid w:val="00C72392"/>
    <w:rsid w:val="00C72BDA"/>
    <w:rsid w:val="00C73131"/>
    <w:rsid w:val="00C731CF"/>
    <w:rsid w:val="00C733F8"/>
    <w:rsid w:val="00C734D6"/>
    <w:rsid w:val="00C73A0E"/>
    <w:rsid w:val="00C73B97"/>
    <w:rsid w:val="00C74056"/>
    <w:rsid w:val="00C743BF"/>
    <w:rsid w:val="00C7473D"/>
    <w:rsid w:val="00C74C69"/>
    <w:rsid w:val="00C75071"/>
    <w:rsid w:val="00C75542"/>
    <w:rsid w:val="00C76AF8"/>
    <w:rsid w:val="00C77763"/>
    <w:rsid w:val="00C77AF5"/>
    <w:rsid w:val="00C77B07"/>
    <w:rsid w:val="00C77D54"/>
    <w:rsid w:val="00C77E37"/>
    <w:rsid w:val="00C77FD2"/>
    <w:rsid w:val="00C806B7"/>
    <w:rsid w:val="00C80917"/>
    <w:rsid w:val="00C809C5"/>
    <w:rsid w:val="00C80CD0"/>
    <w:rsid w:val="00C81AE0"/>
    <w:rsid w:val="00C81F07"/>
    <w:rsid w:val="00C82188"/>
    <w:rsid w:val="00C82316"/>
    <w:rsid w:val="00C82338"/>
    <w:rsid w:val="00C824C6"/>
    <w:rsid w:val="00C825AA"/>
    <w:rsid w:val="00C827F7"/>
    <w:rsid w:val="00C828E4"/>
    <w:rsid w:val="00C83238"/>
    <w:rsid w:val="00C83311"/>
    <w:rsid w:val="00C8349F"/>
    <w:rsid w:val="00C8371B"/>
    <w:rsid w:val="00C8387B"/>
    <w:rsid w:val="00C84527"/>
    <w:rsid w:val="00C84E2B"/>
    <w:rsid w:val="00C85162"/>
    <w:rsid w:val="00C857FF"/>
    <w:rsid w:val="00C859C7"/>
    <w:rsid w:val="00C85B96"/>
    <w:rsid w:val="00C85D8F"/>
    <w:rsid w:val="00C86094"/>
    <w:rsid w:val="00C877A9"/>
    <w:rsid w:val="00C87F5B"/>
    <w:rsid w:val="00C90DF7"/>
    <w:rsid w:val="00C90F43"/>
    <w:rsid w:val="00C9123F"/>
    <w:rsid w:val="00C9180F"/>
    <w:rsid w:val="00C91864"/>
    <w:rsid w:val="00C91BD3"/>
    <w:rsid w:val="00C92A98"/>
    <w:rsid w:val="00C93B39"/>
    <w:rsid w:val="00C94275"/>
    <w:rsid w:val="00C948B2"/>
    <w:rsid w:val="00C94A38"/>
    <w:rsid w:val="00C94C42"/>
    <w:rsid w:val="00C94DCC"/>
    <w:rsid w:val="00C94FA7"/>
    <w:rsid w:val="00C95113"/>
    <w:rsid w:val="00C95342"/>
    <w:rsid w:val="00C95347"/>
    <w:rsid w:val="00C958A0"/>
    <w:rsid w:val="00C959F7"/>
    <w:rsid w:val="00C95C03"/>
    <w:rsid w:val="00C96DEC"/>
    <w:rsid w:val="00C96DF3"/>
    <w:rsid w:val="00C96F36"/>
    <w:rsid w:val="00C96FA1"/>
    <w:rsid w:val="00C9705D"/>
    <w:rsid w:val="00C970CE"/>
    <w:rsid w:val="00C970E6"/>
    <w:rsid w:val="00C97705"/>
    <w:rsid w:val="00C97A28"/>
    <w:rsid w:val="00CA08AB"/>
    <w:rsid w:val="00CA0908"/>
    <w:rsid w:val="00CA0CFB"/>
    <w:rsid w:val="00CA1164"/>
    <w:rsid w:val="00CA1FDF"/>
    <w:rsid w:val="00CA2138"/>
    <w:rsid w:val="00CA2772"/>
    <w:rsid w:val="00CA2968"/>
    <w:rsid w:val="00CA328C"/>
    <w:rsid w:val="00CA3669"/>
    <w:rsid w:val="00CA38D3"/>
    <w:rsid w:val="00CA3CF9"/>
    <w:rsid w:val="00CA3DBF"/>
    <w:rsid w:val="00CA485E"/>
    <w:rsid w:val="00CA48D1"/>
    <w:rsid w:val="00CA4BE8"/>
    <w:rsid w:val="00CA511C"/>
    <w:rsid w:val="00CA5F69"/>
    <w:rsid w:val="00CA62DB"/>
    <w:rsid w:val="00CA632D"/>
    <w:rsid w:val="00CA6BA9"/>
    <w:rsid w:val="00CA6E60"/>
    <w:rsid w:val="00CA7333"/>
    <w:rsid w:val="00CA7527"/>
    <w:rsid w:val="00CA75F0"/>
    <w:rsid w:val="00CA75F9"/>
    <w:rsid w:val="00CA7BA1"/>
    <w:rsid w:val="00CB0F47"/>
    <w:rsid w:val="00CB0F84"/>
    <w:rsid w:val="00CB1392"/>
    <w:rsid w:val="00CB203F"/>
    <w:rsid w:val="00CB21F0"/>
    <w:rsid w:val="00CB2208"/>
    <w:rsid w:val="00CB2602"/>
    <w:rsid w:val="00CB3080"/>
    <w:rsid w:val="00CB3102"/>
    <w:rsid w:val="00CB3719"/>
    <w:rsid w:val="00CB40AA"/>
    <w:rsid w:val="00CB4143"/>
    <w:rsid w:val="00CB48FC"/>
    <w:rsid w:val="00CB57CF"/>
    <w:rsid w:val="00CB5D63"/>
    <w:rsid w:val="00CB5DD2"/>
    <w:rsid w:val="00CB60B0"/>
    <w:rsid w:val="00CB6837"/>
    <w:rsid w:val="00CB7831"/>
    <w:rsid w:val="00CB79D7"/>
    <w:rsid w:val="00CB7F49"/>
    <w:rsid w:val="00CB7F95"/>
    <w:rsid w:val="00CC0150"/>
    <w:rsid w:val="00CC0AE0"/>
    <w:rsid w:val="00CC1604"/>
    <w:rsid w:val="00CC19AC"/>
    <w:rsid w:val="00CC1E4C"/>
    <w:rsid w:val="00CC1E63"/>
    <w:rsid w:val="00CC22B6"/>
    <w:rsid w:val="00CC24F0"/>
    <w:rsid w:val="00CC2B0F"/>
    <w:rsid w:val="00CC2F3A"/>
    <w:rsid w:val="00CC2F93"/>
    <w:rsid w:val="00CC3317"/>
    <w:rsid w:val="00CC3B79"/>
    <w:rsid w:val="00CC3E5D"/>
    <w:rsid w:val="00CC4522"/>
    <w:rsid w:val="00CC4611"/>
    <w:rsid w:val="00CC4E3F"/>
    <w:rsid w:val="00CC4EAF"/>
    <w:rsid w:val="00CC511E"/>
    <w:rsid w:val="00CC5645"/>
    <w:rsid w:val="00CC6315"/>
    <w:rsid w:val="00CC697F"/>
    <w:rsid w:val="00CC6D6D"/>
    <w:rsid w:val="00CC71F0"/>
    <w:rsid w:val="00CC7467"/>
    <w:rsid w:val="00CC778D"/>
    <w:rsid w:val="00CC78CD"/>
    <w:rsid w:val="00CC7BAE"/>
    <w:rsid w:val="00CC7D67"/>
    <w:rsid w:val="00CD06C7"/>
    <w:rsid w:val="00CD0CE8"/>
    <w:rsid w:val="00CD1BB3"/>
    <w:rsid w:val="00CD2175"/>
    <w:rsid w:val="00CD24C0"/>
    <w:rsid w:val="00CD2DED"/>
    <w:rsid w:val="00CD3064"/>
    <w:rsid w:val="00CD35EF"/>
    <w:rsid w:val="00CD3B3F"/>
    <w:rsid w:val="00CD4343"/>
    <w:rsid w:val="00CD4866"/>
    <w:rsid w:val="00CD4F0B"/>
    <w:rsid w:val="00CD50C2"/>
    <w:rsid w:val="00CD540C"/>
    <w:rsid w:val="00CD5826"/>
    <w:rsid w:val="00CD5855"/>
    <w:rsid w:val="00CD5A5B"/>
    <w:rsid w:val="00CD5BC4"/>
    <w:rsid w:val="00CD61FA"/>
    <w:rsid w:val="00CD6714"/>
    <w:rsid w:val="00CD67E0"/>
    <w:rsid w:val="00CD6E0E"/>
    <w:rsid w:val="00CD72BC"/>
    <w:rsid w:val="00CD7B2F"/>
    <w:rsid w:val="00CE0229"/>
    <w:rsid w:val="00CE0813"/>
    <w:rsid w:val="00CE0DC4"/>
    <w:rsid w:val="00CE125F"/>
    <w:rsid w:val="00CE17AB"/>
    <w:rsid w:val="00CE191C"/>
    <w:rsid w:val="00CE1D25"/>
    <w:rsid w:val="00CE1F75"/>
    <w:rsid w:val="00CE1FA6"/>
    <w:rsid w:val="00CE2658"/>
    <w:rsid w:val="00CE2823"/>
    <w:rsid w:val="00CE2834"/>
    <w:rsid w:val="00CE28A8"/>
    <w:rsid w:val="00CE386C"/>
    <w:rsid w:val="00CE3B45"/>
    <w:rsid w:val="00CE3E93"/>
    <w:rsid w:val="00CE3F92"/>
    <w:rsid w:val="00CE4027"/>
    <w:rsid w:val="00CE4054"/>
    <w:rsid w:val="00CE4086"/>
    <w:rsid w:val="00CE49B5"/>
    <w:rsid w:val="00CE4BAA"/>
    <w:rsid w:val="00CE4E8B"/>
    <w:rsid w:val="00CE5016"/>
    <w:rsid w:val="00CE52A1"/>
    <w:rsid w:val="00CE62FA"/>
    <w:rsid w:val="00CE6307"/>
    <w:rsid w:val="00CE666E"/>
    <w:rsid w:val="00CE6C15"/>
    <w:rsid w:val="00CE6CE3"/>
    <w:rsid w:val="00CE7322"/>
    <w:rsid w:val="00CE7447"/>
    <w:rsid w:val="00CE758F"/>
    <w:rsid w:val="00CE77B6"/>
    <w:rsid w:val="00CE787D"/>
    <w:rsid w:val="00CE788E"/>
    <w:rsid w:val="00CE7AF8"/>
    <w:rsid w:val="00CE7B46"/>
    <w:rsid w:val="00CE7F1E"/>
    <w:rsid w:val="00CF0409"/>
    <w:rsid w:val="00CF05BB"/>
    <w:rsid w:val="00CF063F"/>
    <w:rsid w:val="00CF07BE"/>
    <w:rsid w:val="00CF0C17"/>
    <w:rsid w:val="00CF0C2B"/>
    <w:rsid w:val="00CF0F77"/>
    <w:rsid w:val="00CF277B"/>
    <w:rsid w:val="00CF2813"/>
    <w:rsid w:val="00CF2F9E"/>
    <w:rsid w:val="00CF3522"/>
    <w:rsid w:val="00CF3540"/>
    <w:rsid w:val="00CF3D63"/>
    <w:rsid w:val="00CF3FF8"/>
    <w:rsid w:val="00CF427F"/>
    <w:rsid w:val="00CF4B41"/>
    <w:rsid w:val="00CF4BDC"/>
    <w:rsid w:val="00CF4C89"/>
    <w:rsid w:val="00CF4DB0"/>
    <w:rsid w:val="00CF4EB3"/>
    <w:rsid w:val="00CF5356"/>
    <w:rsid w:val="00CF55FE"/>
    <w:rsid w:val="00CF5BAB"/>
    <w:rsid w:val="00CF5C7E"/>
    <w:rsid w:val="00CF5C9F"/>
    <w:rsid w:val="00CF6A9D"/>
    <w:rsid w:val="00CF6BF4"/>
    <w:rsid w:val="00CF6DC7"/>
    <w:rsid w:val="00CF6F46"/>
    <w:rsid w:val="00CF6F99"/>
    <w:rsid w:val="00CF7012"/>
    <w:rsid w:val="00CF7116"/>
    <w:rsid w:val="00CF72FF"/>
    <w:rsid w:val="00CF76E1"/>
    <w:rsid w:val="00CF77EC"/>
    <w:rsid w:val="00CF7815"/>
    <w:rsid w:val="00CF797E"/>
    <w:rsid w:val="00CF7F5F"/>
    <w:rsid w:val="00D00186"/>
    <w:rsid w:val="00D005B4"/>
    <w:rsid w:val="00D007ED"/>
    <w:rsid w:val="00D0085B"/>
    <w:rsid w:val="00D00969"/>
    <w:rsid w:val="00D00C67"/>
    <w:rsid w:val="00D00FD7"/>
    <w:rsid w:val="00D012BD"/>
    <w:rsid w:val="00D01457"/>
    <w:rsid w:val="00D01469"/>
    <w:rsid w:val="00D01529"/>
    <w:rsid w:val="00D0231E"/>
    <w:rsid w:val="00D024EA"/>
    <w:rsid w:val="00D02658"/>
    <w:rsid w:val="00D02688"/>
    <w:rsid w:val="00D02863"/>
    <w:rsid w:val="00D02D07"/>
    <w:rsid w:val="00D02ECA"/>
    <w:rsid w:val="00D03607"/>
    <w:rsid w:val="00D036DD"/>
    <w:rsid w:val="00D0372F"/>
    <w:rsid w:val="00D03D01"/>
    <w:rsid w:val="00D0434C"/>
    <w:rsid w:val="00D04490"/>
    <w:rsid w:val="00D04539"/>
    <w:rsid w:val="00D04A91"/>
    <w:rsid w:val="00D04AE7"/>
    <w:rsid w:val="00D05329"/>
    <w:rsid w:val="00D054F1"/>
    <w:rsid w:val="00D05543"/>
    <w:rsid w:val="00D055BC"/>
    <w:rsid w:val="00D05707"/>
    <w:rsid w:val="00D06204"/>
    <w:rsid w:val="00D063E4"/>
    <w:rsid w:val="00D0670E"/>
    <w:rsid w:val="00D06885"/>
    <w:rsid w:val="00D069AF"/>
    <w:rsid w:val="00D06C34"/>
    <w:rsid w:val="00D06C81"/>
    <w:rsid w:val="00D06E45"/>
    <w:rsid w:val="00D06F5C"/>
    <w:rsid w:val="00D0781A"/>
    <w:rsid w:val="00D07EC9"/>
    <w:rsid w:val="00D104BF"/>
    <w:rsid w:val="00D1069F"/>
    <w:rsid w:val="00D106A6"/>
    <w:rsid w:val="00D1075F"/>
    <w:rsid w:val="00D107CD"/>
    <w:rsid w:val="00D10A71"/>
    <w:rsid w:val="00D10E39"/>
    <w:rsid w:val="00D114C0"/>
    <w:rsid w:val="00D11608"/>
    <w:rsid w:val="00D11DC3"/>
    <w:rsid w:val="00D11FAA"/>
    <w:rsid w:val="00D11FF7"/>
    <w:rsid w:val="00D1202C"/>
    <w:rsid w:val="00D12163"/>
    <w:rsid w:val="00D12683"/>
    <w:rsid w:val="00D129DE"/>
    <w:rsid w:val="00D12A84"/>
    <w:rsid w:val="00D12D19"/>
    <w:rsid w:val="00D12DFE"/>
    <w:rsid w:val="00D13439"/>
    <w:rsid w:val="00D13F25"/>
    <w:rsid w:val="00D1425B"/>
    <w:rsid w:val="00D1540F"/>
    <w:rsid w:val="00D15A3F"/>
    <w:rsid w:val="00D15B3B"/>
    <w:rsid w:val="00D15CBA"/>
    <w:rsid w:val="00D16021"/>
    <w:rsid w:val="00D1603D"/>
    <w:rsid w:val="00D160FF"/>
    <w:rsid w:val="00D1618A"/>
    <w:rsid w:val="00D16634"/>
    <w:rsid w:val="00D1692F"/>
    <w:rsid w:val="00D1699D"/>
    <w:rsid w:val="00D16D53"/>
    <w:rsid w:val="00D16E16"/>
    <w:rsid w:val="00D171E0"/>
    <w:rsid w:val="00D17444"/>
    <w:rsid w:val="00D20296"/>
    <w:rsid w:val="00D2084C"/>
    <w:rsid w:val="00D20CB0"/>
    <w:rsid w:val="00D2112F"/>
    <w:rsid w:val="00D21B4F"/>
    <w:rsid w:val="00D21E68"/>
    <w:rsid w:val="00D21EE8"/>
    <w:rsid w:val="00D221CE"/>
    <w:rsid w:val="00D232F3"/>
    <w:rsid w:val="00D23472"/>
    <w:rsid w:val="00D2347B"/>
    <w:rsid w:val="00D2378E"/>
    <w:rsid w:val="00D24570"/>
    <w:rsid w:val="00D2494D"/>
    <w:rsid w:val="00D24C9C"/>
    <w:rsid w:val="00D255F8"/>
    <w:rsid w:val="00D2564F"/>
    <w:rsid w:val="00D25663"/>
    <w:rsid w:val="00D256B1"/>
    <w:rsid w:val="00D25B88"/>
    <w:rsid w:val="00D26116"/>
    <w:rsid w:val="00D2629A"/>
    <w:rsid w:val="00D264CC"/>
    <w:rsid w:val="00D264ED"/>
    <w:rsid w:val="00D26E1C"/>
    <w:rsid w:val="00D26EDC"/>
    <w:rsid w:val="00D27751"/>
    <w:rsid w:val="00D30884"/>
    <w:rsid w:val="00D30DE3"/>
    <w:rsid w:val="00D3118A"/>
    <w:rsid w:val="00D313DB"/>
    <w:rsid w:val="00D31680"/>
    <w:rsid w:val="00D31782"/>
    <w:rsid w:val="00D3218D"/>
    <w:rsid w:val="00D32882"/>
    <w:rsid w:val="00D32FFD"/>
    <w:rsid w:val="00D33024"/>
    <w:rsid w:val="00D330D8"/>
    <w:rsid w:val="00D33373"/>
    <w:rsid w:val="00D3368F"/>
    <w:rsid w:val="00D337BB"/>
    <w:rsid w:val="00D33E9B"/>
    <w:rsid w:val="00D347FA"/>
    <w:rsid w:val="00D34AA5"/>
    <w:rsid w:val="00D34AFA"/>
    <w:rsid w:val="00D34FF4"/>
    <w:rsid w:val="00D3519D"/>
    <w:rsid w:val="00D3594C"/>
    <w:rsid w:val="00D35B39"/>
    <w:rsid w:val="00D35BA4"/>
    <w:rsid w:val="00D363E0"/>
    <w:rsid w:val="00D3669A"/>
    <w:rsid w:val="00D36714"/>
    <w:rsid w:val="00D36BB2"/>
    <w:rsid w:val="00D36FB3"/>
    <w:rsid w:val="00D3719F"/>
    <w:rsid w:val="00D379F5"/>
    <w:rsid w:val="00D37C45"/>
    <w:rsid w:val="00D4023C"/>
    <w:rsid w:val="00D40301"/>
    <w:rsid w:val="00D40415"/>
    <w:rsid w:val="00D4080A"/>
    <w:rsid w:val="00D409DA"/>
    <w:rsid w:val="00D41342"/>
    <w:rsid w:val="00D41770"/>
    <w:rsid w:val="00D41C85"/>
    <w:rsid w:val="00D41EF1"/>
    <w:rsid w:val="00D420EE"/>
    <w:rsid w:val="00D425F5"/>
    <w:rsid w:val="00D4280A"/>
    <w:rsid w:val="00D428B4"/>
    <w:rsid w:val="00D42999"/>
    <w:rsid w:val="00D429DA"/>
    <w:rsid w:val="00D42AB0"/>
    <w:rsid w:val="00D4305D"/>
    <w:rsid w:val="00D433BC"/>
    <w:rsid w:val="00D43667"/>
    <w:rsid w:val="00D4379A"/>
    <w:rsid w:val="00D43A5C"/>
    <w:rsid w:val="00D43F65"/>
    <w:rsid w:val="00D440DE"/>
    <w:rsid w:val="00D44B66"/>
    <w:rsid w:val="00D44EEA"/>
    <w:rsid w:val="00D44F53"/>
    <w:rsid w:val="00D44F90"/>
    <w:rsid w:val="00D4501D"/>
    <w:rsid w:val="00D4594B"/>
    <w:rsid w:val="00D46083"/>
    <w:rsid w:val="00D466AC"/>
    <w:rsid w:val="00D46B13"/>
    <w:rsid w:val="00D46D06"/>
    <w:rsid w:val="00D477E6"/>
    <w:rsid w:val="00D47B15"/>
    <w:rsid w:val="00D47C20"/>
    <w:rsid w:val="00D50A86"/>
    <w:rsid w:val="00D50D54"/>
    <w:rsid w:val="00D50FE3"/>
    <w:rsid w:val="00D50FED"/>
    <w:rsid w:val="00D51352"/>
    <w:rsid w:val="00D518A9"/>
    <w:rsid w:val="00D51A39"/>
    <w:rsid w:val="00D51AD1"/>
    <w:rsid w:val="00D51E5B"/>
    <w:rsid w:val="00D52A34"/>
    <w:rsid w:val="00D52A68"/>
    <w:rsid w:val="00D52B9D"/>
    <w:rsid w:val="00D52CB2"/>
    <w:rsid w:val="00D52CC4"/>
    <w:rsid w:val="00D5313D"/>
    <w:rsid w:val="00D53723"/>
    <w:rsid w:val="00D53F64"/>
    <w:rsid w:val="00D54181"/>
    <w:rsid w:val="00D54ACC"/>
    <w:rsid w:val="00D557DE"/>
    <w:rsid w:val="00D55A08"/>
    <w:rsid w:val="00D55A27"/>
    <w:rsid w:val="00D55C3A"/>
    <w:rsid w:val="00D5611E"/>
    <w:rsid w:val="00D5643E"/>
    <w:rsid w:val="00D5645F"/>
    <w:rsid w:val="00D5649C"/>
    <w:rsid w:val="00D5656B"/>
    <w:rsid w:val="00D5659C"/>
    <w:rsid w:val="00D56AA8"/>
    <w:rsid w:val="00D56F98"/>
    <w:rsid w:val="00D5710D"/>
    <w:rsid w:val="00D57312"/>
    <w:rsid w:val="00D576A3"/>
    <w:rsid w:val="00D57A01"/>
    <w:rsid w:val="00D60364"/>
    <w:rsid w:val="00D6099C"/>
    <w:rsid w:val="00D61343"/>
    <w:rsid w:val="00D613FD"/>
    <w:rsid w:val="00D6171C"/>
    <w:rsid w:val="00D6205A"/>
    <w:rsid w:val="00D624CE"/>
    <w:rsid w:val="00D625D0"/>
    <w:rsid w:val="00D62628"/>
    <w:rsid w:val="00D62A58"/>
    <w:rsid w:val="00D62BCE"/>
    <w:rsid w:val="00D63060"/>
    <w:rsid w:val="00D632D5"/>
    <w:rsid w:val="00D6354F"/>
    <w:rsid w:val="00D63973"/>
    <w:rsid w:val="00D63D98"/>
    <w:rsid w:val="00D642A1"/>
    <w:rsid w:val="00D642D6"/>
    <w:rsid w:val="00D64444"/>
    <w:rsid w:val="00D64684"/>
    <w:rsid w:val="00D64B1C"/>
    <w:rsid w:val="00D658CE"/>
    <w:rsid w:val="00D65C9E"/>
    <w:rsid w:val="00D6622F"/>
    <w:rsid w:val="00D66359"/>
    <w:rsid w:val="00D6740A"/>
    <w:rsid w:val="00D67A79"/>
    <w:rsid w:val="00D67F98"/>
    <w:rsid w:val="00D70519"/>
    <w:rsid w:val="00D70B1B"/>
    <w:rsid w:val="00D70EDD"/>
    <w:rsid w:val="00D70F2D"/>
    <w:rsid w:val="00D71091"/>
    <w:rsid w:val="00D710FF"/>
    <w:rsid w:val="00D71688"/>
    <w:rsid w:val="00D71701"/>
    <w:rsid w:val="00D71FC8"/>
    <w:rsid w:val="00D72E77"/>
    <w:rsid w:val="00D72F19"/>
    <w:rsid w:val="00D732E5"/>
    <w:rsid w:val="00D73415"/>
    <w:rsid w:val="00D734D3"/>
    <w:rsid w:val="00D73723"/>
    <w:rsid w:val="00D7386B"/>
    <w:rsid w:val="00D73D02"/>
    <w:rsid w:val="00D73FE3"/>
    <w:rsid w:val="00D74363"/>
    <w:rsid w:val="00D744F5"/>
    <w:rsid w:val="00D74B1C"/>
    <w:rsid w:val="00D74B49"/>
    <w:rsid w:val="00D74C37"/>
    <w:rsid w:val="00D74F95"/>
    <w:rsid w:val="00D750AB"/>
    <w:rsid w:val="00D75448"/>
    <w:rsid w:val="00D75BEC"/>
    <w:rsid w:val="00D764D3"/>
    <w:rsid w:val="00D7674F"/>
    <w:rsid w:val="00D76EC5"/>
    <w:rsid w:val="00D76F3D"/>
    <w:rsid w:val="00D770DD"/>
    <w:rsid w:val="00D7718B"/>
    <w:rsid w:val="00D7779E"/>
    <w:rsid w:val="00D77908"/>
    <w:rsid w:val="00D77B04"/>
    <w:rsid w:val="00D77D8C"/>
    <w:rsid w:val="00D77F02"/>
    <w:rsid w:val="00D800C1"/>
    <w:rsid w:val="00D80164"/>
    <w:rsid w:val="00D801EC"/>
    <w:rsid w:val="00D80299"/>
    <w:rsid w:val="00D805C4"/>
    <w:rsid w:val="00D80EFF"/>
    <w:rsid w:val="00D81218"/>
    <w:rsid w:val="00D81488"/>
    <w:rsid w:val="00D816B1"/>
    <w:rsid w:val="00D816EA"/>
    <w:rsid w:val="00D817CF"/>
    <w:rsid w:val="00D81E34"/>
    <w:rsid w:val="00D823DB"/>
    <w:rsid w:val="00D82460"/>
    <w:rsid w:val="00D82D8D"/>
    <w:rsid w:val="00D82F47"/>
    <w:rsid w:val="00D831A9"/>
    <w:rsid w:val="00D83DD4"/>
    <w:rsid w:val="00D83F8E"/>
    <w:rsid w:val="00D840A9"/>
    <w:rsid w:val="00D84592"/>
    <w:rsid w:val="00D84DAE"/>
    <w:rsid w:val="00D84FE0"/>
    <w:rsid w:val="00D85139"/>
    <w:rsid w:val="00D8516D"/>
    <w:rsid w:val="00D8541E"/>
    <w:rsid w:val="00D8544F"/>
    <w:rsid w:val="00D854A4"/>
    <w:rsid w:val="00D85521"/>
    <w:rsid w:val="00D85A4D"/>
    <w:rsid w:val="00D861B1"/>
    <w:rsid w:val="00D86473"/>
    <w:rsid w:val="00D86576"/>
    <w:rsid w:val="00D868AF"/>
    <w:rsid w:val="00D86B2C"/>
    <w:rsid w:val="00D86B85"/>
    <w:rsid w:val="00D86C67"/>
    <w:rsid w:val="00D870DF"/>
    <w:rsid w:val="00D87294"/>
    <w:rsid w:val="00D8729A"/>
    <w:rsid w:val="00D87881"/>
    <w:rsid w:val="00D87C79"/>
    <w:rsid w:val="00D902D9"/>
    <w:rsid w:val="00D906C2"/>
    <w:rsid w:val="00D9084D"/>
    <w:rsid w:val="00D90861"/>
    <w:rsid w:val="00D911AC"/>
    <w:rsid w:val="00D919F9"/>
    <w:rsid w:val="00D91B57"/>
    <w:rsid w:val="00D91F41"/>
    <w:rsid w:val="00D9281C"/>
    <w:rsid w:val="00D92A91"/>
    <w:rsid w:val="00D92B4E"/>
    <w:rsid w:val="00D92D82"/>
    <w:rsid w:val="00D92F67"/>
    <w:rsid w:val="00D93536"/>
    <w:rsid w:val="00D9364E"/>
    <w:rsid w:val="00D93C2C"/>
    <w:rsid w:val="00D93ED0"/>
    <w:rsid w:val="00D950A5"/>
    <w:rsid w:val="00D9515D"/>
    <w:rsid w:val="00D95388"/>
    <w:rsid w:val="00D955AA"/>
    <w:rsid w:val="00D9577B"/>
    <w:rsid w:val="00D95F0B"/>
    <w:rsid w:val="00D96351"/>
    <w:rsid w:val="00D9637A"/>
    <w:rsid w:val="00D9652A"/>
    <w:rsid w:val="00D9657B"/>
    <w:rsid w:val="00D96B78"/>
    <w:rsid w:val="00D97B33"/>
    <w:rsid w:val="00D97DB8"/>
    <w:rsid w:val="00D97DEB"/>
    <w:rsid w:val="00D97EEC"/>
    <w:rsid w:val="00DA0199"/>
    <w:rsid w:val="00DA01BD"/>
    <w:rsid w:val="00DA027B"/>
    <w:rsid w:val="00DA0384"/>
    <w:rsid w:val="00DA0388"/>
    <w:rsid w:val="00DA0745"/>
    <w:rsid w:val="00DA0F8B"/>
    <w:rsid w:val="00DA1574"/>
    <w:rsid w:val="00DA1764"/>
    <w:rsid w:val="00DA1C8D"/>
    <w:rsid w:val="00DA1CFE"/>
    <w:rsid w:val="00DA1D0F"/>
    <w:rsid w:val="00DA21E9"/>
    <w:rsid w:val="00DA22A9"/>
    <w:rsid w:val="00DA24C7"/>
    <w:rsid w:val="00DA28EF"/>
    <w:rsid w:val="00DA3CE6"/>
    <w:rsid w:val="00DA4401"/>
    <w:rsid w:val="00DA4E92"/>
    <w:rsid w:val="00DA5478"/>
    <w:rsid w:val="00DA5511"/>
    <w:rsid w:val="00DA58CB"/>
    <w:rsid w:val="00DA592E"/>
    <w:rsid w:val="00DA5CEF"/>
    <w:rsid w:val="00DA62A4"/>
    <w:rsid w:val="00DA62BA"/>
    <w:rsid w:val="00DA67C1"/>
    <w:rsid w:val="00DA6B83"/>
    <w:rsid w:val="00DA6D0A"/>
    <w:rsid w:val="00DA7865"/>
    <w:rsid w:val="00DA79DC"/>
    <w:rsid w:val="00DA7F11"/>
    <w:rsid w:val="00DB011C"/>
    <w:rsid w:val="00DB017B"/>
    <w:rsid w:val="00DB049C"/>
    <w:rsid w:val="00DB110B"/>
    <w:rsid w:val="00DB18BF"/>
    <w:rsid w:val="00DB18F2"/>
    <w:rsid w:val="00DB20F4"/>
    <w:rsid w:val="00DB2426"/>
    <w:rsid w:val="00DB26AC"/>
    <w:rsid w:val="00DB2FB2"/>
    <w:rsid w:val="00DB33EE"/>
    <w:rsid w:val="00DB3A58"/>
    <w:rsid w:val="00DB4095"/>
    <w:rsid w:val="00DB4323"/>
    <w:rsid w:val="00DB4421"/>
    <w:rsid w:val="00DB46EB"/>
    <w:rsid w:val="00DB49FD"/>
    <w:rsid w:val="00DB4DAD"/>
    <w:rsid w:val="00DB5088"/>
    <w:rsid w:val="00DB57D7"/>
    <w:rsid w:val="00DB5EAF"/>
    <w:rsid w:val="00DB6215"/>
    <w:rsid w:val="00DB65E8"/>
    <w:rsid w:val="00DB6E26"/>
    <w:rsid w:val="00DB712C"/>
    <w:rsid w:val="00DB73D3"/>
    <w:rsid w:val="00DB7867"/>
    <w:rsid w:val="00DB790E"/>
    <w:rsid w:val="00DB7B2E"/>
    <w:rsid w:val="00DB7FBA"/>
    <w:rsid w:val="00DC0AC6"/>
    <w:rsid w:val="00DC0AE8"/>
    <w:rsid w:val="00DC115F"/>
    <w:rsid w:val="00DC187F"/>
    <w:rsid w:val="00DC1A8F"/>
    <w:rsid w:val="00DC1D3A"/>
    <w:rsid w:val="00DC1D6B"/>
    <w:rsid w:val="00DC200A"/>
    <w:rsid w:val="00DC2635"/>
    <w:rsid w:val="00DC2911"/>
    <w:rsid w:val="00DC2C4A"/>
    <w:rsid w:val="00DC2D8C"/>
    <w:rsid w:val="00DC311C"/>
    <w:rsid w:val="00DC32B3"/>
    <w:rsid w:val="00DC331B"/>
    <w:rsid w:val="00DC34F3"/>
    <w:rsid w:val="00DC3735"/>
    <w:rsid w:val="00DC3EAB"/>
    <w:rsid w:val="00DC3F80"/>
    <w:rsid w:val="00DC4145"/>
    <w:rsid w:val="00DC51BB"/>
    <w:rsid w:val="00DC5E76"/>
    <w:rsid w:val="00DC621B"/>
    <w:rsid w:val="00DC62D3"/>
    <w:rsid w:val="00DC631C"/>
    <w:rsid w:val="00DC6328"/>
    <w:rsid w:val="00DC690B"/>
    <w:rsid w:val="00DC6965"/>
    <w:rsid w:val="00DC6BC4"/>
    <w:rsid w:val="00DC6D90"/>
    <w:rsid w:val="00DC6F7F"/>
    <w:rsid w:val="00DC7021"/>
    <w:rsid w:val="00DC705B"/>
    <w:rsid w:val="00DC7A53"/>
    <w:rsid w:val="00DC7E82"/>
    <w:rsid w:val="00DD0304"/>
    <w:rsid w:val="00DD0AC6"/>
    <w:rsid w:val="00DD0CF4"/>
    <w:rsid w:val="00DD0F5C"/>
    <w:rsid w:val="00DD0FF9"/>
    <w:rsid w:val="00DD1100"/>
    <w:rsid w:val="00DD1264"/>
    <w:rsid w:val="00DD1679"/>
    <w:rsid w:val="00DD182B"/>
    <w:rsid w:val="00DD18E8"/>
    <w:rsid w:val="00DD19CB"/>
    <w:rsid w:val="00DD1D19"/>
    <w:rsid w:val="00DD1DED"/>
    <w:rsid w:val="00DD2059"/>
    <w:rsid w:val="00DD230B"/>
    <w:rsid w:val="00DD24A2"/>
    <w:rsid w:val="00DD2816"/>
    <w:rsid w:val="00DD2935"/>
    <w:rsid w:val="00DD2961"/>
    <w:rsid w:val="00DD4172"/>
    <w:rsid w:val="00DD452A"/>
    <w:rsid w:val="00DD455F"/>
    <w:rsid w:val="00DD4614"/>
    <w:rsid w:val="00DD4A1C"/>
    <w:rsid w:val="00DD4E73"/>
    <w:rsid w:val="00DD4EF9"/>
    <w:rsid w:val="00DD4F92"/>
    <w:rsid w:val="00DD546B"/>
    <w:rsid w:val="00DD5F9E"/>
    <w:rsid w:val="00DD6011"/>
    <w:rsid w:val="00DD6C79"/>
    <w:rsid w:val="00DD702C"/>
    <w:rsid w:val="00DD74AD"/>
    <w:rsid w:val="00DD774F"/>
    <w:rsid w:val="00DE0435"/>
    <w:rsid w:val="00DE078D"/>
    <w:rsid w:val="00DE0832"/>
    <w:rsid w:val="00DE0A2A"/>
    <w:rsid w:val="00DE0AAE"/>
    <w:rsid w:val="00DE0CEB"/>
    <w:rsid w:val="00DE1097"/>
    <w:rsid w:val="00DE245E"/>
    <w:rsid w:val="00DE2894"/>
    <w:rsid w:val="00DE2896"/>
    <w:rsid w:val="00DE297F"/>
    <w:rsid w:val="00DE2D2E"/>
    <w:rsid w:val="00DE2E3D"/>
    <w:rsid w:val="00DE2EAD"/>
    <w:rsid w:val="00DE3002"/>
    <w:rsid w:val="00DE30EF"/>
    <w:rsid w:val="00DE3196"/>
    <w:rsid w:val="00DE3436"/>
    <w:rsid w:val="00DE43AC"/>
    <w:rsid w:val="00DE4B86"/>
    <w:rsid w:val="00DE52C6"/>
    <w:rsid w:val="00DE550D"/>
    <w:rsid w:val="00DE5A85"/>
    <w:rsid w:val="00DE5B3F"/>
    <w:rsid w:val="00DE5BC6"/>
    <w:rsid w:val="00DE654D"/>
    <w:rsid w:val="00DE6989"/>
    <w:rsid w:val="00DE6D87"/>
    <w:rsid w:val="00DE7349"/>
    <w:rsid w:val="00DE7454"/>
    <w:rsid w:val="00DE74C4"/>
    <w:rsid w:val="00DE7935"/>
    <w:rsid w:val="00DE7AA9"/>
    <w:rsid w:val="00DE7CA6"/>
    <w:rsid w:val="00DE7E0B"/>
    <w:rsid w:val="00DE7E68"/>
    <w:rsid w:val="00DE7F3A"/>
    <w:rsid w:val="00DF008B"/>
    <w:rsid w:val="00DF0295"/>
    <w:rsid w:val="00DF0A6F"/>
    <w:rsid w:val="00DF0EF1"/>
    <w:rsid w:val="00DF11B0"/>
    <w:rsid w:val="00DF11EA"/>
    <w:rsid w:val="00DF188D"/>
    <w:rsid w:val="00DF1D66"/>
    <w:rsid w:val="00DF1F65"/>
    <w:rsid w:val="00DF282F"/>
    <w:rsid w:val="00DF2AD0"/>
    <w:rsid w:val="00DF3167"/>
    <w:rsid w:val="00DF3587"/>
    <w:rsid w:val="00DF4816"/>
    <w:rsid w:val="00DF4B52"/>
    <w:rsid w:val="00DF5042"/>
    <w:rsid w:val="00DF5065"/>
    <w:rsid w:val="00DF531A"/>
    <w:rsid w:val="00DF5F07"/>
    <w:rsid w:val="00DF628B"/>
    <w:rsid w:val="00DF65E6"/>
    <w:rsid w:val="00DF6679"/>
    <w:rsid w:val="00DF68D9"/>
    <w:rsid w:val="00DF6AD2"/>
    <w:rsid w:val="00DF6C46"/>
    <w:rsid w:val="00DF6DD7"/>
    <w:rsid w:val="00DF6E9F"/>
    <w:rsid w:val="00DF6F1B"/>
    <w:rsid w:val="00DF712C"/>
    <w:rsid w:val="00DF72BB"/>
    <w:rsid w:val="00DF75EA"/>
    <w:rsid w:val="00DF7702"/>
    <w:rsid w:val="00DF7A99"/>
    <w:rsid w:val="00DF7FD2"/>
    <w:rsid w:val="00E005FC"/>
    <w:rsid w:val="00E00676"/>
    <w:rsid w:val="00E00742"/>
    <w:rsid w:val="00E00847"/>
    <w:rsid w:val="00E00ABB"/>
    <w:rsid w:val="00E00B08"/>
    <w:rsid w:val="00E01854"/>
    <w:rsid w:val="00E01DEA"/>
    <w:rsid w:val="00E02011"/>
    <w:rsid w:val="00E030F4"/>
    <w:rsid w:val="00E03374"/>
    <w:rsid w:val="00E0442C"/>
    <w:rsid w:val="00E04484"/>
    <w:rsid w:val="00E048AF"/>
    <w:rsid w:val="00E049E5"/>
    <w:rsid w:val="00E04AC2"/>
    <w:rsid w:val="00E0539C"/>
    <w:rsid w:val="00E0551B"/>
    <w:rsid w:val="00E05DCB"/>
    <w:rsid w:val="00E063DD"/>
    <w:rsid w:val="00E067EF"/>
    <w:rsid w:val="00E06827"/>
    <w:rsid w:val="00E06AC8"/>
    <w:rsid w:val="00E06CCC"/>
    <w:rsid w:val="00E07A12"/>
    <w:rsid w:val="00E07E70"/>
    <w:rsid w:val="00E10B3C"/>
    <w:rsid w:val="00E110F2"/>
    <w:rsid w:val="00E11171"/>
    <w:rsid w:val="00E11419"/>
    <w:rsid w:val="00E11479"/>
    <w:rsid w:val="00E11689"/>
    <w:rsid w:val="00E126E8"/>
    <w:rsid w:val="00E129C9"/>
    <w:rsid w:val="00E12C04"/>
    <w:rsid w:val="00E13BA7"/>
    <w:rsid w:val="00E141AD"/>
    <w:rsid w:val="00E1442B"/>
    <w:rsid w:val="00E146A1"/>
    <w:rsid w:val="00E147DD"/>
    <w:rsid w:val="00E14C29"/>
    <w:rsid w:val="00E14DAE"/>
    <w:rsid w:val="00E15349"/>
    <w:rsid w:val="00E15BBE"/>
    <w:rsid w:val="00E15EC6"/>
    <w:rsid w:val="00E15F28"/>
    <w:rsid w:val="00E15F51"/>
    <w:rsid w:val="00E167A3"/>
    <w:rsid w:val="00E16925"/>
    <w:rsid w:val="00E172AA"/>
    <w:rsid w:val="00E174FC"/>
    <w:rsid w:val="00E1770C"/>
    <w:rsid w:val="00E17CDD"/>
    <w:rsid w:val="00E17F58"/>
    <w:rsid w:val="00E20172"/>
    <w:rsid w:val="00E201ED"/>
    <w:rsid w:val="00E20789"/>
    <w:rsid w:val="00E20D0D"/>
    <w:rsid w:val="00E20DFB"/>
    <w:rsid w:val="00E21173"/>
    <w:rsid w:val="00E212F4"/>
    <w:rsid w:val="00E2147C"/>
    <w:rsid w:val="00E21490"/>
    <w:rsid w:val="00E21816"/>
    <w:rsid w:val="00E21B40"/>
    <w:rsid w:val="00E21D78"/>
    <w:rsid w:val="00E21E33"/>
    <w:rsid w:val="00E220E5"/>
    <w:rsid w:val="00E2214E"/>
    <w:rsid w:val="00E22627"/>
    <w:rsid w:val="00E22762"/>
    <w:rsid w:val="00E22B66"/>
    <w:rsid w:val="00E22B7B"/>
    <w:rsid w:val="00E22DF0"/>
    <w:rsid w:val="00E232FE"/>
    <w:rsid w:val="00E2381A"/>
    <w:rsid w:val="00E23CFB"/>
    <w:rsid w:val="00E23DA3"/>
    <w:rsid w:val="00E23E45"/>
    <w:rsid w:val="00E2417A"/>
    <w:rsid w:val="00E2458F"/>
    <w:rsid w:val="00E246F6"/>
    <w:rsid w:val="00E253F0"/>
    <w:rsid w:val="00E25508"/>
    <w:rsid w:val="00E25CC9"/>
    <w:rsid w:val="00E264DA"/>
    <w:rsid w:val="00E26662"/>
    <w:rsid w:val="00E269BC"/>
    <w:rsid w:val="00E26AAC"/>
    <w:rsid w:val="00E26D86"/>
    <w:rsid w:val="00E27223"/>
    <w:rsid w:val="00E276F1"/>
    <w:rsid w:val="00E27709"/>
    <w:rsid w:val="00E27BAD"/>
    <w:rsid w:val="00E27ECE"/>
    <w:rsid w:val="00E300CD"/>
    <w:rsid w:val="00E30176"/>
    <w:rsid w:val="00E30ED6"/>
    <w:rsid w:val="00E314D8"/>
    <w:rsid w:val="00E31A5A"/>
    <w:rsid w:val="00E31CAF"/>
    <w:rsid w:val="00E31D40"/>
    <w:rsid w:val="00E31D52"/>
    <w:rsid w:val="00E32684"/>
    <w:rsid w:val="00E32D61"/>
    <w:rsid w:val="00E331D3"/>
    <w:rsid w:val="00E33355"/>
    <w:rsid w:val="00E33714"/>
    <w:rsid w:val="00E33738"/>
    <w:rsid w:val="00E33808"/>
    <w:rsid w:val="00E33E78"/>
    <w:rsid w:val="00E3489B"/>
    <w:rsid w:val="00E34A3F"/>
    <w:rsid w:val="00E34B50"/>
    <w:rsid w:val="00E3521D"/>
    <w:rsid w:val="00E3534B"/>
    <w:rsid w:val="00E35529"/>
    <w:rsid w:val="00E3559B"/>
    <w:rsid w:val="00E35C1C"/>
    <w:rsid w:val="00E360A6"/>
    <w:rsid w:val="00E3622D"/>
    <w:rsid w:val="00E36416"/>
    <w:rsid w:val="00E36545"/>
    <w:rsid w:val="00E37271"/>
    <w:rsid w:val="00E3746D"/>
    <w:rsid w:val="00E375D2"/>
    <w:rsid w:val="00E377BD"/>
    <w:rsid w:val="00E37E3E"/>
    <w:rsid w:val="00E37EFA"/>
    <w:rsid w:val="00E406E9"/>
    <w:rsid w:val="00E407BA"/>
    <w:rsid w:val="00E408A5"/>
    <w:rsid w:val="00E40A5D"/>
    <w:rsid w:val="00E40BF2"/>
    <w:rsid w:val="00E41115"/>
    <w:rsid w:val="00E413E0"/>
    <w:rsid w:val="00E41BB6"/>
    <w:rsid w:val="00E4225C"/>
    <w:rsid w:val="00E42CE2"/>
    <w:rsid w:val="00E43A8D"/>
    <w:rsid w:val="00E43B19"/>
    <w:rsid w:val="00E43EAE"/>
    <w:rsid w:val="00E43F8A"/>
    <w:rsid w:val="00E44012"/>
    <w:rsid w:val="00E45046"/>
    <w:rsid w:val="00E45250"/>
    <w:rsid w:val="00E4538C"/>
    <w:rsid w:val="00E45932"/>
    <w:rsid w:val="00E46197"/>
    <w:rsid w:val="00E462B0"/>
    <w:rsid w:val="00E46E3D"/>
    <w:rsid w:val="00E47829"/>
    <w:rsid w:val="00E47946"/>
    <w:rsid w:val="00E47F62"/>
    <w:rsid w:val="00E50351"/>
    <w:rsid w:val="00E5062A"/>
    <w:rsid w:val="00E507C2"/>
    <w:rsid w:val="00E508B4"/>
    <w:rsid w:val="00E5092D"/>
    <w:rsid w:val="00E50A99"/>
    <w:rsid w:val="00E50DC4"/>
    <w:rsid w:val="00E50E7A"/>
    <w:rsid w:val="00E510B7"/>
    <w:rsid w:val="00E5130E"/>
    <w:rsid w:val="00E51779"/>
    <w:rsid w:val="00E522B1"/>
    <w:rsid w:val="00E52357"/>
    <w:rsid w:val="00E528A2"/>
    <w:rsid w:val="00E52D84"/>
    <w:rsid w:val="00E52E25"/>
    <w:rsid w:val="00E52F03"/>
    <w:rsid w:val="00E53208"/>
    <w:rsid w:val="00E5369D"/>
    <w:rsid w:val="00E538C0"/>
    <w:rsid w:val="00E53D76"/>
    <w:rsid w:val="00E53E38"/>
    <w:rsid w:val="00E53FA9"/>
    <w:rsid w:val="00E5403D"/>
    <w:rsid w:val="00E545E1"/>
    <w:rsid w:val="00E545E7"/>
    <w:rsid w:val="00E54B17"/>
    <w:rsid w:val="00E54DC5"/>
    <w:rsid w:val="00E55658"/>
    <w:rsid w:val="00E558E4"/>
    <w:rsid w:val="00E559F9"/>
    <w:rsid w:val="00E563B1"/>
    <w:rsid w:val="00E56464"/>
    <w:rsid w:val="00E56E45"/>
    <w:rsid w:val="00E571AD"/>
    <w:rsid w:val="00E573A4"/>
    <w:rsid w:val="00E5744A"/>
    <w:rsid w:val="00E5761C"/>
    <w:rsid w:val="00E5784A"/>
    <w:rsid w:val="00E57EA7"/>
    <w:rsid w:val="00E57FCF"/>
    <w:rsid w:val="00E6013A"/>
    <w:rsid w:val="00E6033A"/>
    <w:rsid w:val="00E6095F"/>
    <w:rsid w:val="00E60AD8"/>
    <w:rsid w:val="00E6194A"/>
    <w:rsid w:val="00E61E17"/>
    <w:rsid w:val="00E61EB7"/>
    <w:rsid w:val="00E62106"/>
    <w:rsid w:val="00E6218B"/>
    <w:rsid w:val="00E626B5"/>
    <w:rsid w:val="00E635BC"/>
    <w:rsid w:val="00E63682"/>
    <w:rsid w:val="00E639CE"/>
    <w:rsid w:val="00E63A41"/>
    <w:rsid w:val="00E63CE5"/>
    <w:rsid w:val="00E63D44"/>
    <w:rsid w:val="00E63DAB"/>
    <w:rsid w:val="00E63F9F"/>
    <w:rsid w:val="00E644AB"/>
    <w:rsid w:val="00E64E27"/>
    <w:rsid w:val="00E65762"/>
    <w:rsid w:val="00E65A78"/>
    <w:rsid w:val="00E65D7E"/>
    <w:rsid w:val="00E67138"/>
    <w:rsid w:val="00E673E3"/>
    <w:rsid w:val="00E676F8"/>
    <w:rsid w:val="00E67CB4"/>
    <w:rsid w:val="00E67E7E"/>
    <w:rsid w:val="00E7008F"/>
    <w:rsid w:val="00E70139"/>
    <w:rsid w:val="00E7024F"/>
    <w:rsid w:val="00E7072A"/>
    <w:rsid w:val="00E710BA"/>
    <w:rsid w:val="00E7190F"/>
    <w:rsid w:val="00E71C51"/>
    <w:rsid w:val="00E71F3F"/>
    <w:rsid w:val="00E722E1"/>
    <w:rsid w:val="00E725EA"/>
    <w:rsid w:val="00E73464"/>
    <w:rsid w:val="00E73477"/>
    <w:rsid w:val="00E73F55"/>
    <w:rsid w:val="00E74308"/>
    <w:rsid w:val="00E74CAC"/>
    <w:rsid w:val="00E74D1B"/>
    <w:rsid w:val="00E74D7E"/>
    <w:rsid w:val="00E74DC9"/>
    <w:rsid w:val="00E74EB0"/>
    <w:rsid w:val="00E750E5"/>
    <w:rsid w:val="00E75CDC"/>
    <w:rsid w:val="00E76014"/>
    <w:rsid w:val="00E7672E"/>
    <w:rsid w:val="00E7680B"/>
    <w:rsid w:val="00E76EE4"/>
    <w:rsid w:val="00E77334"/>
    <w:rsid w:val="00E7736D"/>
    <w:rsid w:val="00E776C5"/>
    <w:rsid w:val="00E77A1E"/>
    <w:rsid w:val="00E77C22"/>
    <w:rsid w:val="00E8014C"/>
    <w:rsid w:val="00E8078F"/>
    <w:rsid w:val="00E809B7"/>
    <w:rsid w:val="00E80A83"/>
    <w:rsid w:val="00E81534"/>
    <w:rsid w:val="00E81CB4"/>
    <w:rsid w:val="00E81D9F"/>
    <w:rsid w:val="00E81FD8"/>
    <w:rsid w:val="00E82611"/>
    <w:rsid w:val="00E82616"/>
    <w:rsid w:val="00E8270A"/>
    <w:rsid w:val="00E82871"/>
    <w:rsid w:val="00E82895"/>
    <w:rsid w:val="00E82A59"/>
    <w:rsid w:val="00E82A86"/>
    <w:rsid w:val="00E82F07"/>
    <w:rsid w:val="00E82F43"/>
    <w:rsid w:val="00E833E3"/>
    <w:rsid w:val="00E83629"/>
    <w:rsid w:val="00E83720"/>
    <w:rsid w:val="00E83AC3"/>
    <w:rsid w:val="00E83E18"/>
    <w:rsid w:val="00E83F4C"/>
    <w:rsid w:val="00E84139"/>
    <w:rsid w:val="00E84504"/>
    <w:rsid w:val="00E84558"/>
    <w:rsid w:val="00E8462C"/>
    <w:rsid w:val="00E85359"/>
    <w:rsid w:val="00E854C9"/>
    <w:rsid w:val="00E85CF7"/>
    <w:rsid w:val="00E85E67"/>
    <w:rsid w:val="00E862CA"/>
    <w:rsid w:val="00E8654F"/>
    <w:rsid w:val="00E86643"/>
    <w:rsid w:val="00E866A5"/>
    <w:rsid w:val="00E8698D"/>
    <w:rsid w:val="00E8757C"/>
    <w:rsid w:val="00E8764A"/>
    <w:rsid w:val="00E876C0"/>
    <w:rsid w:val="00E909CF"/>
    <w:rsid w:val="00E9129C"/>
    <w:rsid w:val="00E91557"/>
    <w:rsid w:val="00E91585"/>
    <w:rsid w:val="00E91E1A"/>
    <w:rsid w:val="00E920D4"/>
    <w:rsid w:val="00E925F8"/>
    <w:rsid w:val="00E9268A"/>
    <w:rsid w:val="00E927DD"/>
    <w:rsid w:val="00E92A8B"/>
    <w:rsid w:val="00E92FAB"/>
    <w:rsid w:val="00E9306B"/>
    <w:rsid w:val="00E93075"/>
    <w:rsid w:val="00E94145"/>
    <w:rsid w:val="00E948E1"/>
    <w:rsid w:val="00E949C3"/>
    <w:rsid w:val="00E9520E"/>
    <w:rsid w:val="00E9526E"/>
    <w:rsid w:val="00E95464"/>
    <w:rsid w:val="00E95E92"/>
    <w:rsid w:val="00E96481"/>
    <w:rsid w:val="00E9660D"/>
    <w:rsid w:val="00E96723"/>
    <w:rsid w:val="00E96F82"/>
    <w:rsid w:val="00E9704A"/>
    <w:rsid w:val="00E97541"/>
    <w:rsid w:val="00E97CA0"/>
    <w:rsid w:val="00EA01B7"/>
    <w:rsid w:val="00EA0AFB"/>
    <w:rsid w:val="00EA103F"/>
    <w:rsid w:val="00EA154B"/>
    <w:rsid w:val="00EA189B"/>
    <w:rsid w:val="00EA19BF"/>
    <w:rsid w:val="00EA259A"/>
    <w:rsid w:val="00EA2B79"/>
    <w:rsid w:val="00EA2C63"/>
    <w:rsid w:val="00EA2E49"/>
    <w:rsid w:val="00EA2F1D"/>
    <w:rsid w:val="00EA33CF"/>
    <w:rsid w:val="00EA340F"/>
    <w:rsid w:val="00EA4583"/>
    <w:rsid w:val="00EA4A63"/>
    <w:rsid w:val="00EA4D28"/>
    <w:rsid w:val="00EA4F83"/>
    <w:rsid w:val="00EA5407"/>
    <w:rsid w:val="00EA5436"/>
    <w:rsid w:val="00EA55BD"/>
    <w:rsid w:val="00EA55E0"/>
    <w:rsid w:val="00EA57F6"/>
    <w:rsid w:val="00EA580E"/>
    <w:rsid w:val="00EA6352"/>
    <w:rsid w:val="00EA6D21"/>
    <w:rsid w:val="00EA706A"/>
    <w:rsid w:val="00EA7276"/>
    <w:rsid w:val="00EA732C"/>
    <w:rsid w:val="00EA7396"/>
    <w:rsid w:val="00EA7819"/>
    <w:rsid w:val="00EA796B"/>
    <w:rsid w:val="00EA79E5"/>
    <w:rsid w:val="00EA7C0E"/>
    <w:rsid w:val="00EB0EC8"/>
    <w:rsid w:val="00EB1042"/>
    <w:rsid w:val="00EB1335"/>
    <w:rsid w:val="00EB148F"/>
    <w:rsid w:val="00EB18C8"/>
    <w:rsid w:val="00EB1A2B"/>
    <w:rsid w:val="00EB2041"/>
    <w:rsid w:val="00EB23EC"/>
    <w:rsid w:val="00EB2470"/>
    <w:rsid w:val="00EB2CF2"/>
    <w:rsid w:val="00EB2F0E"/>
    <w:rsid w:val="00EB3572"/>
    <w:rsid w:val="00EB39F9"/>
    <w:rsid w:val="00EB3B91"/>
    <w:rsid w:val="00EB44EE"/>
    <w:rsid w:val="00EB4812"/>
    <w:rsid w:val="00EB48B1"/>
    <w:rsid w:val="00EB49DF"/>
    <w:rsid w:val="00EB5986"/>
    <w:rsid w:val="00EB5B30"/>
    <w:rsid w:val="00EB5D46"/>
    <w:rsid w:val="00EB5FE5"/>
    <w:rsid w:val="00EB608A"/>
    <w:rsid w:val="00EB615F"/>
    <w:rsid w:val="00EB6A76"/>
    <w:rsid w:val="00EB6F1E"/>
    <w:rsid w:val="00EB72E1"/>
    <w:rsid w:val="00EB741D"/>
    <w:rsid w:val="00EB784B"/>
    <w:rsid w:val="00EC005A"/>
    <w:rsid w:val="00EC01F8"/>
    <w:rsid w:val="00EC0847"/>
    <w:rsid w:val="00EC0B10"/>
    <w:rsid w:val="00EC0C5F"/>
    <w:rsid w:val="00EC19F3"/>
    <w:rsid w:val="00EC232E"/>
    <w:rsid w:val="00EC271E"/>
    <w:rsid w:val="00EC29D9"/>
    <w:rsid w:val="00EC32BD"/>
    <w:rsid w:val="00EC3B51"/>
    <w:rsid w:val="00EC3E7C"/>
    <w:rsid w:val="00EC44C8"/>
    <w:rsid w:val="00EC4BA8"/>
    <w:rsid w:val="00EC4FC2"/>
    <w:rsid w:val="00EC5128"/>
    <w:rsid w:val="00EC5796"/>
    <w:rsid w:val="00EC6662"/>
    <w:rsid w:val="00EC6893"/>
    <w:rsid w:val="00EC6B8A"/>
    <w:rsid w:val="00EC6F68"/>
    <w:rsid w:val="00EC78C7"/>
    <w:rsid w:val="00EC7EA2"/>
    <w:rsid w:val="00EC7FD6"/>
    <w:rsid w:val="00ED0091"/>
    <w:rsid w:val="00ED07D4"/>
    <w:rsid w:val="00ED0804"/>
    <w:rsid w:val="00ED0ABB"/>
    <w:rsid w:val="00ED1C36"/>
    <w:rsid w:val="00ED1EA4"/>
    <w:rsid w:val="00ED22FC"/>
    <w:rsid w:val="00ED23C9"/>
    <w:rsid w:val="00ED23D5"/>
    <w:rsid w:val="00ED27EC"/>
    <w:rsid w:val="00ED2899"/>
    <w:rsid w:val="00ED28AE"/>
    <w:rsid w:val="00ED2A2B"/>
    <w:rsid w:val="00ED2B37"/>
    <w:rsid w:val="00ED2B68"/>
    <w:rsid w:val="00ED3467"/>
    <w:rsid w:val="00ED34AF"/>
    <w:rsid w:val="00ED3764"/>
    <w:rsid w:val="00ED3CB5"/>
    <w:rsid w:val="00ED3ECB"/>
    <w:rsid w:val="00ED4185"/>
    <w:rsid w:val="00ED46D7"/>
    <w:rsid w:val="00ED4C1C"/>
    <w:rsid w:val="00ED4E99"/>
    <w:rsid w:val="00ED4F31"/>
    <w:rsid w:val="00ED55E9"/>
    <w:rsid w:val="00ED55F8"/>
    <w:rsid w:val="00ED56D0"/>
    <w:rsid w:val="00ED59C2"/>
    <w:rsid w:val="00ED5A76"/>
    <w:rsid w:val="00ED5BE4"/>
    <w:rsid w:val="00ED5C99"/>
    <w:rsid w:val="00ED5D60"/>
    <w:rsid w:val="00ED6010"/>
    <w:rsid w:val="00ED62A9"/>
    <w:rsid w:val="00ED6768"/>
    <w:rsid w:val="00ED6862"/>
    <w:rsid w:val="00ED7674"/>
    <w:rsid w:val="00ED7812"/>
    <w:rsid w:val="00ED7C64"/>
    <w:rsid w:val="00ED7E3C"/>
    <w:rsid w:val="00ED7F21"/>
    <w:rsid w:val="00EE074C"/>
    <w:rsid w:val="00EE10BD"/>
    <w:rsid w:val="00EE15ED"/>
    <w:rsid w:val="00EE1A6F"/>
    <w:rsid w:val="00EE2317"/>
    <w:rsid w:val="00EE2555"/>
    <w:rsid w:val="00EE2A2A"/>
    <w:rsid w:val="00EE2B27"/>
    <w:rsid w:val="00EE34A8"/>
    <w:rsid w:val="00EE34ED"/>
    <w:rsid w:val="00EE3570"/>
    <w:rsid w:val="00EE3B8F"/>
    <w:rsid w:val="00EE3E01"/>
    <w:rsid w:val="00EE3EF0"/>
    <w:rsid w:val="00EE4A7E"/>
    <w:rsid w:val="00EE4BEE"/>
    <w:rsid w:val="00EE4E71"/>
    <w:rsid w:val="00EE50A8"/>
    <w:rsid w:val="00EE5308"/>
    <w:rsid w:val="00EE5539"/>
    <w:rsid w:val="00EE5903"/>
    <w:rsid w:val="00EE5E7B"/>
    <w:rsid w:val="00EE68FF"/>
    <w:rsid w:val="00EE6CEA"/>
    <w:rsid w:val="00EE6D85"/>
    <w:rsid w:val="00EE6EFA"/>
    <w:rsid w:val="00EE722E"/>
    <w:rsid w:val="00EE7824"/>
    <w:rsid w:val="00EE78A1"/>
    <w:rsid w:val="00EF0044"/>
    <w:rsid w:val="00EF06D9"/>
    <w:rsid w:val="00EF0971"/>
    <w:rsid w:val="00EF0D97"/>
    <w:rsid w:val="00EF0FA2"/>
    <w:rsid w:val="00EF1D57"/>
    <w:rsid w:val="00EF1FDE"/>
    <w:rsid w:val="00EF2366"/>
    <w:rsid w:val="00EF23BA"/>
    <w:rsid w:val="00EF25E7"/>
    <w:rsid w:val="00EF2D19"/>
    <w:rsid w:val="00EF2D3A"/>
    <w:rsid w:val="00EF3297"/>
    <w:rsid w:val="00EF34E3"/>
    <w:rsid w:val="00EF3543"/>
    <w:rsid w:val="00EF35AD"/>
    <w:rsid w:val="00EF3656"/>
    <w:rsid w:val="00EF39DE"/>
    <w:rsid w:val="00EF3D9C"/>
    <w:rsid w:val="00EF42DF"/>
    <w:rsid w:val="00EF435A"/>
    <w:rsid w:val="00EF44E5"/>
    <w:rsid w:val="00EF453D"/>
    <w:rsid w:val="00EF462D"/>
    <w:rsid w:val="00EF4857"/>
    <w:rsid w:val="00EF4D48"/>
    <w:rsid w:val="00EF5057"/>
    <w:rsid w:val="00EF54A8"/>
    <w:rsid w:val="00EF5628"/>
    <w:rsid w:val="00EF5779"/>
    <w:rsid w:val="00EF5E2D"/>
    <w:rsid w:val="00EF5F3A"/>
    <w:rsid w:val="00EF604F"/>
    <w:rsid w:val="00EF6162"/>
    <w:rsid w:val="00EF675E"/>
    <w:rsid w:val="00EF6BFD"/>
    <w:rsid w:val="00EF6F5A"/>
    <w:rsid w:val="00EF72D2"/>
    <w:rsid w:val="00EF7463"/>
    <w:rsid w:val="00EF7A11"/>
    <w:rsid w:val="00EF7EC2"/>
    <w:rsid w:val="00F00269"/>
    <w:rsid w:val="00F0043D"/>
    <w:rsid w:val="00F005DF"/>
    <w:rsid w:val="00F00B20"/>
    <w:rsid w:val="00F010C3"/>
    <w:rsid w:val="00F013A6"/>
    <w:rsid w:val="00F01673"/>
    <w:rsid w:val="00F01710"/>
    <w:rsid w:val="00F01B3B"/>
    <w:rsid w:val="00F02076"/>
    <w:rsid w:val="00F021B6"/>
    <w:rsid w:val="00F0241A"/>
    <w:rsid w:val="00F02CE0"/>
    <w:rsid w:val="00F03086"/>
    <w:rsid w:val="00F03B7B"/>
    <w:rsid w:val="00F03B7F"/>
    <w:rsid w:val="00F03C46"/>
    <w:rsid w:val="00F03E95"/>
    <w:rsid w:val="00F04750"/>
    <w:rsid w:val="00F04AF9"/>
    <w:rsid w:val="00F04EFC"/>
    <w:rsid w:val="00F058B0"/>
    <w:rsid w:val="00F05B01"/>
    <w:rsid w:val="00F05D55"/>
    <w:rsid w:val="00F061D6"/>
    <w:rsid w:val="00F06636"/>
    <w:rsid w:val="00F0671A"/>
    <w:rsid w:val="00F0739E"/>
    <w:rsid w:val="00F075B7"/>
    <w:rsid w:val="00F07AB2"/>
    <w:rsid w:val="00F10080"/>
    <w:rsid w:val="00F1016F"/>
    <w:rsid w:val="00F105E7"/>
    <w:rsid w:val="00F10701"/>
    <w:rsid w:val="00F10F7A"/>
    <w:rsid w:val="00F111B6"/>
    <w:rsid w:val="00F116EA"/>
    <w:rsid w:val="00F11D64"/>
    <w:rsid w:val="00F11D66"/>
    <w:rsid w:val="00F11E74"/>
    <w:rsid w:val="00F124A9"/>
    <w:rsid w:val="00F125BF"/>
    <w:rsid w:val="00F12FFF"/>
    <w:rsid w:val="00F1301B"/>
    <w:rsid w:val="00F1312D"/>
    <w:rsid w:val="00F135ED"/>
    <w:rsid w:val="00F138F7"/>
    <w:rsid w:val="00F13AD0"/>
    <w:rsid w:val="00F13D18"/>
    <w:rsid w:val="00F13F8D"/>
    <w:rsid w:val="00F13FAC"/>
    <w:rsid w:val="00F1437D"/>
    <w:rsid w:val="00F145CF"/>
    <w:rsid w:val="00F14F6E"/>
    <w:rsid w:val="00F15237"/>
    <w:rsid w:val="00F15678"/>
    <w:rsid w:val="00F1569F"/>
    <w:rsid w:val="00F1587C"/>
    <w:rsid w:val="00F15E73"/>
    <w:rsid w:val="00F1632C"/>
    <w:rsid w:val="00F1648D"/>
    <w:rsid w:val="00F16AC4"/>
    <w:rsid w:val="00F178EB"/>
    <w:rsid w:val="00F17B13"/>
    <w:rsid w:val="00F17B1E"/>
    <w:rsid w:val="00F17DCC"/>
    <w:rsid w:val="00F17EA3"/>
    <w:rsid w:val="00F20181"/>
    <w:rsid w:val="00F203A2"/>
    <w:rsid w:val="00F20467"/>
    <w:rsid w:val="00F2068F"/>
    <w:rsid w:val="00F20F7C"/>
    <w:rsid w:val="00F21070"/>
    <w:rsid w:val="00F213AD"/>
    <w:rsid w:val="00F214BB"/>
    <w:rsid w:val="00F214DB"/>
    <w:rsid w:val="00F2152D"/>
    <w:rsid w:val="00F21D1C"/>
    <w:rsid w:val="00F21F17"/>
    <w:rsid w:val="00F220D3"/>
    <w:rsid w:val="00F222A6"/>
    <w:rsid w:val="00F22C68"/>
    <w:rsid w:val="00F22CDC"/>
    <w:rsid w:val="00F23042"/>
    <w:rsid w:val="00F231F7"/>
    <w:rsid w:val="00F23267"/>
    <w:rsid w:val="00F234C8"/>
    <w:rsid w:val="00F236E6"/>
    <w:rsid w:val="00F23D44"/>
    <w:rsid w:val="00F23E74"/>
    <w:rsid w:val="00F249D0"/>
    <w:rsid w:val="00F24DB9"/>
    <w:rsid w:val="00F24E65"/>
    <w:rsid w:val="00F257AB"/>
    <w:rsid w:val="00F26872"/>
    <w:rsid w:val="00F26AF2"/>
    <w:rsid w:val="00F26BC6"/>
    <w:rsid w:val="00F26FC6"/>
    <w:rsid w:val="00F273DE"/>
    <w:rsid w:val="00F2763D"/>
    <w:rsid w:val="00F27C4D"/>
    <w:rsid w:val="00F27C69"/>
    <w:rsid w:val="00F27E8E"/>
    <w:rsid w:val="00F3036F"/>
    <w:rsid w:val="00F3079C"/>
    <w:rsid w:val="00F30E8E"/>
    <w:rsid w:val="00F310F2"/>
    <w:rsid w:val="00F31369"/>
    <w:rsid w:val="00F314E6"/>
    <w:rsid w:val="00F31BBF"/>
    <w:rsid w:val="00F320B9"/>
    <w:rsid w:val="00F320BF"/>
    <w:rsid w:val="00F3218F"/>
    <w:rsid w:val="00F3249C"/>
    <w:rsid w:val="00F32F60"/>
    <w:rsid w:val="00F3312F"/>
    <w:rsid w:val="00F332B9"/>
    <w:rsid w:val="00F333A9"/>
    <w:rsid w:val="00F333DD"/>
    <w:rsid w:val="00F33835"/>
    <w:rsid w:val="00F33AEE"/>
    <w:rsid w:val="00F33E6D"/>
    <w:rsid w:val="00F33F4C"/>
    <w:rsid w:val="00F34086"/>
    <w:rsid w:val="00F340B5"/>
    <w:rsid w:val="00F34155"/>
    <w:rsid w:val="00F3422D"/>
    <w:rsid w:val="00F34E59"/>
    <w:rsid w:val="00F357FF"/>
    <w:rsid w:val="00F358AC"/>
    <w:rsid w:val="00F35951"/>
    <w:rsid w:val="00F35AEA"/>
    <w:rsid w:val="00F35D12"/>
    <w:rsid w:val="00F35DEE"/>
    <w:rsid w:val="00F36740"/>
    <w:rsid w:val="00F36ADE"/>
    <w:rsid w:val="00F37371"/>
    <w:rsid w:val="00F37404"/>
    <w:rsid w:val="00F375C9"/>
    <w:rsid w:val="00F37939"/>
    <w:rsid w:val="00F37BE8"/>
    <w:rsid w:val="00F37E08"/>
    <w:rsid w:val="00F37E9C"/>
    <w:rsid w:val="00F40B31"/>
    <w:rsid w:val="00F418B2"/>
    <w:rsid w:val="00F41B35"/>
    <w:rsid w:val="00F4264F"/>
    <w:rsid w:val="00F42889"/>
    <w:rsid w:val="00F42898"/>
    <w:rsid w:val="00F42C49"/>
    <w:rsid w:val="00F42EDA"/>
    <w:rsid w:val="00F43AC3"/>
    <w:rsid w:val="00F4430B"/>
    <w:rsid w:val="00F44470"/>
    <w:rsid w:val="00F44846"/>
    <w:rsid w:val="00F44D9D"/>
    <w:rsid w:val="00F44FAF"/>
    <w:rsid w:val="00F453B0"/>
    <w:rsid w:val="00F45525"/>
    <w:rsid w:val="00F45CB5"/>
    <w:rsid w:val="00F45F94"/>
    <w:rsid w:val="00F4660D"/>
    <w:rsid w:val="00F46B90"/>
    <w:rsid w:val="00F46EC7"/>
    <w:rsid w:val="00F4757A"/>
    <w:rsid w:val="00F47DEE"/>
    <w:rsid w:val="00F5022B"/>
    <w:rsid w:val="00F50682"/>
    <w:rsid w:val="00F506C3"/>
    <w:rsid w:val="00F50CE5"/>
    <w:rsid w:val="00F51255"/>
    <w:rsid w:val="00F5161D"/>
    <w:rsid w:val="00F51823"/>
    <w:rsid w:val="00F51A13"/>
    <w:rsid w:val="00F51F3A"/>
    <w:rsid w:val="00F5212D"/>
    <w:rsid w:val="00F52245"/>
    <w:rsid w:val="00F5264B"/>
    <w:rsid w:val="00F528F7"/>
    <w:rsid w:val="00F529E7"/>
    <w:rsid w:val="00F52D87"/>
    <w:rsid w:val="00F534E3"/>
    <w:rsid w:val="00F53AA5"/>
    <w:rsid w:val="00F540D5"/>
    <w:rsid w:val="00F54276"/>
    <w:rsid w:val="00F54342"/>
    <w:rsid w:val="00F545EF"/>
    <w:rsid w:val="00F547EF"/>
    <w:rsid w:val="00F55CCD"/>
    <w:rsid w:val="00F55F13"/>
    <w:rsid w:val="00F55FAD"/>
    <w:rsid w:val="00F56039"/>
    <w:rsid w:val="00F5619F"/>
    <w:rsid w:val="00F562EF"/>
    <w:rsid w:val="00F56369"/>
    <w:rsid w:val="00F565B3"/>
    <w:rsid w:val="00F566B5"/>
    <w:rsid w:val="00F56EAE"/>
    <w:rsid w:val="00F57642"/>
    <w:rsid w:val="00F5767A"/>
    <w:rsid w:val="00F57A3E"/>
    <w:rsid w:val="00F57F03"/>
    <w:rsid w:val="00F60185"/>
    <w:rsid w:val="00F602E8"/>
    <w:rsid w:val="00F60368"/>
    <w:rsid w:val="00F6059F"/>
    <w:rsid w:val="00F60F0E"/>
    <w:rsid w:val="00F61088"/>
    <w:rsid w:val="00F61103"/>
    <w:rsid w:val="00F611B2"/>
    <w:rsid w:val="00F61541"/>
    <w:rsid w:val="00F6197D"/>
    <w:rsid w:val="00F6250E"/>
    <w:rsid w:val="00F62614"/>
    <w:rsid w:val="00F62700"/>
    <w:rsid w:val="00F62934"/>
    <w:rsid w:val="00F629B2"/>
    <w:rsid w:val="00F639C3"/>
    <w:rsid w:val="00F63CB1"/>
    <w:rsid w:val="00F6409E"/>
    <w:rsid w:val="00F641FA"/>
    <w:rsid w:val="00F649C0"/>
    <w:rsid w:val="00F64A1F"/>
    <w:rsid w:val="00F64DF6"/>
    <w:rsid w:val="00F64F91"/>
    <w:rsid w:val="00F64FA4"/>
    <w:rsid w:val="00F65403"/>
    <w:rsid w:val="00F657A7"/>
    <w:rsid w:val="00F65B95"/>
    <w:rsid w:val="00F65C48"/>
    <w:rsid w:val="00F65C6F"/>
    <w:rsid w:val="00F66136"/>
    <w:rsid w:val="00F66718"/>
    <w:rsid w:val="00F668C8"/>
    <w:rsid w:val="00F66A49"/>
    <w:rsid w:val="00F66C15"/>
    <w:rsid w:val="00F6747D"/>
    <w:rsid w:val="00F67A8A"/>
    <w:rsid w:val="00F67F24"/>
    <w:rsid w:val="00F70095"/>
    <w:rsid w:val="00F7083E"/>
    <w:rsid w:val="00F70A31"/>
    <w:rsid w:val="00F71022"/>
    <w:rsid w:val="00F711F6"/>
    <w:rsid w:val="00F712F5"/>
    <w:rsid w:val="00F7178F"/>
    <w:rsid w:val="00F7193A"/>
    <w:rsid w:val="00F71B7C"/>
    <w:rsid w:val="00F71C32"/>
    <w:rsid w:val="00F71D13"/>
    <w:rsid w:val="00F71F0B"/>
    <w:rsid w:val="00F7298C"/>
    <w:rsid w:val="00F72C7D"/>
    <w:rsid w:val="00F72EBA"/>
    <w:rsid w:val="00F73124"/>
    <w:rsid w:val="00F732B3"/>
    <w:rsid w:val="00F73353"/>
    <w:rsid w:val="00F733C0"/>
    <w:rsid w:val="00F7352F"/>
    <w:rsid w:val="00F73946"/>
    <w:rsid w:val="00F7427D"/>
    <w:rsid w:val="00F74291"/>
    <w:rsid w:val="00F74878"/>
    <w:rsid w:val="00F74925"/>
    <w:rsid w:val="00F749F0"/>
    <w:rsid w:val="00F74FD5"/>
    <w:rsid w:val="00F753D7"/>
    <w:rsid w:val="00F75BC0"/>
    <w:rsid w:val="00F75C2A"/>
    <w:rsid w:val="00F761C2"/>
    <w:rsid w:val="00F76331"/>
    <w:rsid w:val="00F767C1"/>
    <w:rsid w:val="00F767EB"/>
    <w:rsid w:val="00F76A89"/>
    <w:rsid w:val="00F76DC6"/>
    <w:rsid w:val="00F770B9"/>
    <w:rsid w:val="00F772CE"/>
    <w:rsid w:val="00F779AA"/>
    <w:rsid w:val="00F77C6A"/>
    <w:rsid w:val="00F77E81"/>
    <w:rsid w:val="00F8000F"/>
    <w:rsid w:val="00F80093"/>
    <w:rsid w:val="00F802D3"/>
    <w:rsid w:val="00F80584"/>
    <w:rsid w:val="00F816F9"/>
    <w:rsid w:val="00F817A6"/>
    <w:rsid w:val="00F8189B"/>
    <w:rsid w:val="00F81E9F"/>
    <w:rsid w:val="00F81F4C"/>
    <w:rsid w:val="00F82D92"/>
    <w:rsid w:val="00F8319B"/>
    <w:rsid w:val="00F8327F"/>
    <w:rsid w:val="00F83466"/>
    <w:rsid w:val="00F835DA"/>
    <w:rsid w:val="00F83794"/>
    <w:rsid w:val="00F838A8"/>
    <w:rsid w:val="00F83939"/>
    <w:rsid w:val="00F83DDC"/>
    <w:rsid w:val="00F83EFD"/>
    <w:rsid w:val="00F8416E"/>
    <w:rsid w:val="00F846DC"/>
    <w:rsid w:val="00F84937"/>
    <w:rsid w:val="00F84FC2"/>
    <w:rsid w:val="00F84FF5"/>
    <w:rsid w:val="00F852F0"/>
    <w:rsid w:val="00F8542D"/>
    <w:rsid w:val="00F85771"/>
    <w:rsid w:val="00F85FBF"/>
    <w:rsid w:val="00F86290"/>
    <w:rsid w:val="00F8654C"/>
    <w:rsid w:val="00F86C23"/>
    <w:rsid w:val="00F86F84"/>
    <w:rsid w:val="00F87085"/>
    <w:rsid w:val="00F871AC"/>
    <w:rsid w:val="00F8743E"/>
    <w:rsid w:val="00F8754D"/>
    <w:rsid w:val="00F8786E"/>
    <w:rsid w:val="00F87FC5"/>
    <w:rsid w:val="00F907F7"/>
    <w:rsid w:val="00F90913"/>
    <w:rsid w:val="00F90DC6"/>
    <w:rsid w:val="00F90E0E"/>
    <w:rsid w:val="00F9106D"/>
    <w:rsid w:val="00F911E1"/>
    <w:rsid w:val="00F916DD"/>
    <w:rsid w:val="00F918A9"/>
    <w:rsid w:val="00F91A59"/>
    <w:rsid w:val="00F91F33"/>
    <w:rsid w:val="00F93169"/>
    <w:rsid w:val="00F93285"/>
    <w:rsid w:val="00F93340"/>
    <w:rsid w:val="00F9378D"/>
    <w:rsid w:val="00F9382C"/>
    <w:rsid w:val="00F93EBC"/>
    <w:rsid w:val="00F946A8"/>
    <w:rsid w:val="00F94B87"/>
    <w:rsid w:val="00F94C73"/>
    <w:rsid w:val="00F9519E"/>
    <w:rsid w:val="00F951BE"/>
    <w:rsid w:val="00F956C2"/>
    <w:rsid w:val="00F95767"/>
    <w:rsid w:val="00F96125"/>
    <w:rsid w:val="00F961AD"/>
    <w:rsid w:val="00F963BA"/>
    <w:rsid w:val="00F965C8"/>
    <w:rsid w:val="00F9669B"/>
    <w:rsid w:val="00F96C2F"/>
    <w:rsid w:val="00F97249"/>
    <w:rsid w:val="00F97714"/>
    <w:rsid w:val="00F97813"/>
    <w:rsid w:val="00F97B59"/>
    <w:rsid w:val="00F97DCC"/>
    <w:rsid w:val="00FA0859"/>
    <w:rsid w:val="00FA0916"/>
    <w:rsid w:val="00FA0B02"/>
    <w:rsid w:val="00FA0B4A"/>
    <w:rsid w:val="00FA0C01"/>
    <w:rsid w:val="00FA0D88"/>
    <w:rsid w:val="00FA1421"/>
    <w:rsid w:val="00FA14A2"/>
    <w:rsid w:val="00FA1711"/>
    <w:rsid w:val="00FA1715"/>
    <w:rsid w:val="00FA1B99"/>
    <w:rsid w:val="00FA27F6"/>
    <w:rsid w:val="00FA2839"/>
    <w:rsid w:val="00FA3DC0"/>
    <w:rsid w:val="00FA3F7D"/>
    <w:rsid w:val="00FA4280"/>
    <w:rsid w:val="00FA4625"/>
    <w:rsid w:val="00FA4B8C"/>
    <w:rsid w:val="00FA515E"/>
    <w:rsid w:val="00FA5504"/>
    <w:rsid w:val="00FA57A7"/>
    <w:rsid w:val="00FA5F94"/>
    <w:rsid w:val="00FA607B"/>
    <w:rsid w:val="00FA630D"/>
    <w:rsid w:val="00FA630F"/>
    <w:rsid w:val="00FA65E0"/>
    <w:rsid w:val="00FA6A3E"/>
    <w:rsid w:val="00FA6A48"/>
    <w:rsid w:val="00FA6E56"/>
    <w:rsid w:val="00FA6F8A"/>
    <w:rsid w:val="00FA7127"/>
    <w:rsid w:val="00FA7293"/>
    <w:rsid w:val="00FA7595"/>
    <w:rsid w:val="00FA7A5E"/>
    <w:rsid w:val="00FB00BD"/>
    <w:rsid w:val="00FB00E7"/>
    <w:rsid w:val="00FB0A36"/>
    <w:rsid w:val="00FB0C7C"/>
    <w:rsid w:val="00FB1061"/>
    <w:rsid w:val="00FB1337"/>
    <w:rsid w:val="00FB134C"/>
    <w:rsid w:val="00FB138C"/>
    <w:rsid w:val="00FB1E15"/>
    <w:rsid w:val="00FB1E17"/>
    <w:rsid w:val="00FB1FEA"/>
    <w:rsid w:val="00FB22EA"/>
    <w:rsid w:val="00FB2303"/>
    <w:rsid w:val="00FB25BD"/>
    <w:rsid w:val="00FB28B2"/>
    <w:rsid w:val="00FB2C16"/>
    <w:rsid w:val="00FB3273"/>
    <w:rsid w:val="00FB3E12"/>
    <w:rsid w:val="00FB452C"/>
    <w:rsid w:val="00FB4702"/>
    <w:rsid w:val="00FB4A36"/>
    <w:rsid w:val="00FB4B7E"/>
    <w:rsid w:val="00FB4D07"/>
    <w:rsid w:val="00FB4EAC"/>
    <w:rsid w:val="00FB4F44"/>
    <w:rsid w:val="00FB514C"/>
    <w:rsid w:val="00FB5695"/>
    <w:rsid w:val="00FB5844"/>
    <w:rsid w:val="00FB5A50"/>
    <w:rsid w:val="00FB5D66"/>
    <w:rsid w:val="00FB64A6"/>
    <w:rsid w:val="00FB6526"/>
    <w:rsid w:val="00FB67C3"/>
    <w:rsid w:val="00FB69D0"/>
    <w:rsid w:val="00FB6A05"/>
    <w:rsid w:val="00FB6D76"/>
    <w:rsid w:val="00FB6E05"/>
    <w:rsid w:val="00FB70D9"/>
    <w:rsid w:val="00FB73C5"/>
    <w:rsid w:val="00FB7402"/>
    <w:rsid w:val="00FB740B"/>
    <w:rsid w:val="00FB74E6"/>
    <w:rsid w:val="00FB7588"/>
    <w:rsid w:val="00FB7A60"/>
    <w:rsid w:val="00FB7CB0"/>
    <w:rsid w:val="00FB7F60"/>
    <w:rsid w:val="00FC044F"/>
    <w:rsid w:val="00FC0C30"/>
    <w:rsid w:val="00FC0E59"/>
    <w:rsid w:val="00FC0EA5"/>
    <w:rsid w:val="00FC0F39"/>
    <w:rsid w:val="00FC1726"/>
    <w:rsid w:val="00FC186D"/>
    <w:rsid w:val="00FC1DB9"/>
    <w:rsid w:val="00FC22B2"/>
    <w:rsid w:val="00FC2597"/>
    <w:rsid w:val="00FC2B9C"/>
    <w:rsid w:val="00FC3320"/>
    <w:rsid w:val="00FC366D"/>
    <w:rsid w:val="00FC3B61"/>
    <w:rsid w:val="00FC411F"/>
    <w:rsid w:val="00FC45BA"/>
    <w:rsid w:val="00FC4716"/>
    <w:rsid w:val="00FC49D6"/>
    <w:rsid w:val="00FC49F9"/>
    <w:rsid w:val="00FC54A1"/>
    <w:rsid w:val="00FC58BC"/>
    <w:rsid w:val="00FC5A3C"/>
    <w:rsid w:val="00FC5C1F"/>
    <w:rsid w:val="00FC5F67"/>
    <w:rsid w:val="00FC6331"/>
    <w:rsid w:val="00FC647F"/>
    <w:rsid w:val="00FC64C8"/>
    <w:rsid w:val="00FC64DA"/>
    <w:rsid w:val="00FC67B3"/>
    <w:rsid w:val="00FC6883"/>
    <w:rsid w:val="00FC6A5E"/>
    <w:rsid w:val="00FC6CFB"/>
    <w:rsid w:val="00FC6E13"/>
    <w:rsid w:val="00FC6F77"/>
    <w:rsid w:val="00FC718B"/>
    <w:rsid w:val="00FC75FC"/>
    <w:rsid w:val="00FC76BD"/>
    <w:rsid w:val="00FC7745"/>
    <w:rsid w:val="00FC78B9"/>
    <w:rsid w:val="00FC7932"/>
    <w:rsid w:val="00FC7C4D"/>
    <w:rsid w:val="00FC7E57"/>
    <w:rsid w:val="00FC7F9B"/>
    <w:rsid w:val="00FD038D"/>
    <w:rsid w:val="00FD073F"/>
    <w:rsid w:val="00FD0823"/>
    <w:rsid w:val="00FD0B02"/>
    <w:rsid w:val="00FD0CB2"/>
    <w:rsid w:val="00FD0CE9"/>
    <w:rsid w:val="00FD103E"/>
    <w:rsid w:val="00FD1041"/>
    <w:rsid w:val="00FD133E"/>
    <w:rsid w:val="00FD1639"/>
    <w:rsid w:val="00FD16E1"/>
    <w:rsid w:val="00FD181A"/>
    <w:rsid w:val="00FD1BFA"/>
    <w:rsid w:val="00FD1C49"/>
    <w:rsid w:val="00FD1D1C"/>
    <w:rsid w:val="00FD1E44"/>
    <w:rsid w:val="00FD21E0"/>
    <w:rsid w:val="00FD2463"/>
    <w:rsid w:val="00FD27E8"/>
    <w:rsid w:val="00FD29D2"/>
    <w:rsid w:val="00FD2A6D"/>
    <w:rsid w:val="00FD2A8A"/>
    <w:rsid w:val="00FD2E1E"/>
    <w:rsid w:val="00FD2F0C"/>
    <w:rsid w:val="00FD300C"/>
    <w:rsid w:val="00FD34E8"/>
    <w:rsid w:val="00FD3A66"/>
    <w:rsid w:val="00FD42C1"/>
    <w:rsid w:val="00FD4406"/>
    <w:rsid w:val="00FD4412"/>
    <w:rsid w:val="00FD4498"/>
    <w:rsid w:val="00FD4D5C"/>
    <w:rsid w:val="00FD56B3"/>
    <w:rsid w:val="00FD5AF1"/>
    <w:rsid w:val="00FD5C97"/>
    <w:rsid w:val="00FD5F1E"/>
    <w:rsid w:val="00FD5F82"/>
    <w:rsid w:val="00FD642B"/>
    <w:rsid w:val="00FD64B3"/>
    <w:rsid w:val="00FD65EF"/>
    <w:rsid w:val="00FD6707"/>
    <w:rsid w:val="00FD67BC"/>
    <w:rsid w:val="00FD67F1"/>
    <w:rsid w:val="00FD6BE2"/>
    <w:rsid w:val="00FD6E8D"/>
    <w:rsid w:val="00FD7145"/>
    <w:rsid w:val="00FD74F9"/>
    <w:rsid w:val="00FE0137"/>
    <w:rsid w:val="00FE0558"/>
    <w:rsid w:val="00FE0CA4"/>
    <w:rsid w:val="00FE0DA5"/>
    <w:rsid w:val="00FE0E52"/>
    <w:rsid w:val="00FE0F48"/>
    <w:rsid w:val="00FE10C7"/>
    <w:rsid w:val="00FE1E27"/>
    <w:rsid w:val="00FE1EBF"/>
    <w:rsid w:val="00FE242C"/>
    <w:rsid w:val="00FE24CA"/>
    <w:rsid w:val="00FE2969"/>
    <w:rsid w:val="00FE2F0C"/>
    <w:rsid w:val="00FE3843"/>
    <w:rsid w:val="00FE3F3C"/>
    <w:rsid w:val="00FE4EF5"/>
    <w:rsid w:val="00FE54EC"/>
    <w:rsid w:val="00FE5512"/>
    <w:rsid w:val="00FE5802"/>
    <w:rsid w:val="00FE5E1C"/>
    <w:rsid w:val="00FE5EE2"/>
    <w:rsid w:val="00FE6648"/>
    <w:rsid w:val="00FE6C64"/>
    <w:rsid w:val="00FE6CAC"/>
    <w:rsid w:val="00FE6D42"/>
    <w:rsid w:val="00FE7133"/>
    <w:rsid w:val="00FE7174"/>
    <w:rsid w:val="00FE7D11"/>
    <w:rsid w:val="00FF00C7"/>
    <w:rsid w:val="00FF022E"/>
    <w:rsid w:val="00FF047E"/>
    <w:rsid w:val="00FF05E5"/>
    <w:rsid w:val="00FF080D"/>
    <w:rsid w:val="00FF119E"/>
    <w:rsid w:val="00FF1316"/>
    <w:rsid w:val="00FF1C13"/>
    <w:rsid w:val="00FF1CA7"/>
    <w:rsid w:val="00FF22A0"/>
    <w:rsid w:val="00FF27E3"/>
    <w:rsid w:val="00FF2F6C"/>
    <w:rsid w:val="00FF307D"/>
    <w:rsid w:val="00FF3133"/>
    <w:rsid w:val="00FF33C7"/>
    <w:rsid w:val="00FF348E"/>
    <w:rsid w:val="00FF3572"/>
    <w:rsid w:val="00FF35D4"/>
    <w:rsid w:val="00FF36FF"/>
    <w:rsid w:val="00FF3AB0"/>
    <w:rsid w:val="00FF3B07"/>
    <w:rsid w:val="00FF3C45"/>
    <w:rsid w:val="00FF44D8"/>
    <w:rsid w:val="00FF456C"/>
    <w:rsid w:val="00FF4648"/>
    <w:rsid w:val="00FF4674"/>
    <w:rsid w:val="00FF4B07"/>
    <w:rsid w:val="00FF5296"/>
    <w:rsid w:val="00FF5917"/>
    <w:rsid w:val="00FF6083"/>
    <w:rsid w:val="00FF65AE"/>
    <w:rsid w:val="00FF6934"/>
    <w:rsid w:val="00FF6C2B"/>
    <w:rsid w:val="00FF7155"/>
    <w:rsid w:val="00FF7946"/>
    <w:rsid w:val="00FF7995"/>
    <w:rsid w:val="00FF7CDE"/>
    <w:rsid w:val="00FF7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1871E9DC"/>
  <w15:docId w15:val="{B34CFBCA-39BD-464F-9DE7-79CC7E80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74B"/>
    <w:pPr>
      <w:spacing w:line="360" w:lineRule="auto"/>
      <w:ind w:firstLine="567"/>
      <w:jc w:val="both"/>
    </w:pPr>
    <w:rPr>
      <w:rFonts w:ascii="GHEA Grapalat" w:hAnsi="GHEA Grapalat" w:cs="Times Unicode"/>
      <w:sz w:val="22"/>
      <w:szCs w:val="22"/>
      <w:lang w:val="hy-AM"/>
    </w:rPr>
  </w:style>
  <w:style w:type="paragraph" w:styleId="Heading1">
    <w:name w:val="heading 1"/>
    <w:basedOn w:val="Normal"/>
    <w:next w:val="Normal"/>
    <w:link w:val="Heading1Char"/>
    <w:uiPriority w:val="99"/>
    <w:qFormat/>
    <w:rsid w:val="005D2662"/>
    <w:pPr>
      <w:keepNext/>
      <w:numPr>
        <w:numId w:val="16"/>
      </w:numPr>
      <w:spacing w:before="120" w:after="240"/>
      <w:outlineLvl w:val="0"/>
    </w:pPr>
    <w:rPr>
      <w:b/>
      <w:bCs/>
      <w:color w:val="002060"/>
      <w:kern w:val="32"/>
      <w:sz w:val="28"/>
    </w:rPr>
  </w:style>
  <w:style w:type="paragraph" w:styleId="Heading2">
    <w:name w:val="heading 2"/>
    <w:aliases w:val="(Chapter),Paranum,Text"/>
    <w:basedOn w:val="Normal"/>
    <w:next w:val="BodyText"/>
    <w:link w:val="Heading2Char"/>
    <w:autoRedefine/>
    <w:qFormat/>
    <w:rsid w:val="004C04CF"/>
    <w:pPr>
      <w:keepNext/>
      <w:widowControl w:val="0"/>
      <w:numPr>
        <w:ilvl w:val="1"/>
        <w:numId w:val="16"/>
      </w:numPr>
      <w:tabs>
        <w:tab w:val="left" w:pos="993"/>
        <w:tab w:val="right" w:pos="10208"/>
      </w:tabs>
      <w:spacing w:after="240" w:line="240" w:lineRule="auto"/>
      <w:contextualSpacing/>
      <w:jc w:val="left"/>
      <w:outlineLvl w:val="1"/>
    </w:pPr>
    <w:rPr>
      <w:b/>
      <w:kern w:val="16"/>
      <w:sz w:val="26"/>
      <w:lang w:val="af-ZA" w:eastAsia="x-none"/>
    </w:rPr>
  </w:style>
  <w:style w:type="paragraph" w:styleId="Heading3">
    <w:name w:val="heading 3"/>
    <w:aliases w:val="(Sub-Chapter),Centered,(text),Heading 3 Char Char Char Char Char Char"/>
    <w:basedOn w:val="Normal"/>
    <w:next w:val="BodyText"/>
    <w:link w:val="Heading3Char1"/>
    <w:autoRedefine/>
    <w:uiPriority w:val="9"/>
    <w:qFormat/>
    <w:rsid w:val="00E9129C"/>
    <w:pPr>
      <w:keepNext/>
      <w:widowControl w:val="0"/>
      <w:numPr>
        <w:ilvl w:val="1"/>
        <w:numId w:val="15"/>
      </w:numPr>
      <w:tabs>
        <w:tab w:val="left" w:pos="624"/>
      </w:tabs>
      <w:spacing w:before="120"/>
      <w:ind w:right="301"/>
      <w:outlineLvl w:val="2"/>
    </w:pPr>
    <w:rPr>
      <w:b/>
      <w:bCs/>
      <w:color w:val="000000"/>
      <w:lang w:val="es-ES" w:eastAsia="x-none"/>
    </w:rPr>
  </w:style>
  <w:style w:type="paragraph" w:styleId="Heading4">
    <w:name w:val="heading 4"/>
    <w:aliases w:val="Centred"/>
    <w:basedOn w:val="Normal"/>
    <w:next w:val="Normal"/>
    <w:link w:val="Heading4Char2"/>
    <w:autoRedefine/>
    <w:qFormat/>
    <w:rsid w:val="009027D1"/>
    <w:pPr>
      <w:keepNext/>
      <w:numPr>
        <w:ilvl w:val="2"/>
        <w:numId w:val="15"/>
      </w:numPr>
      <w:spacing w:before="240" w:after="60"/>
      <w:outlineLvl w:val="3"/>
    </w:pPr>
    <w:rPr>
      <w:b/>
      <w:bCs/>
      <w:lang w:val="af-ZA" w:eastAsia="x-none"/>
    </w:rPr>
  </w:style>
  <w:style w:type="paragraph" w:styleId="Heading5">
    <w:name w:val="heading 5"/>
    <w:aliases w:val="Side"/>
    <w:basedOn w:val="Normal"/>
    <w:next w:val="Normal"/>
    <w:link w:val="Heading5Char1"/>
    <w:qFormat/>
    <w:rsid w:val="00C9180F"/>
    <w:pPr>
      <w:spacing w:before="240" w:after="60"/>
      <w:outlineLvl w:val="4"/>
    </w:pPr>
    <w:rPr>
      <w:b/>
      <w:bCs/>
      <w:i/>
      <w:iCs/>
      <w:sz w:val="26"/>
      <w:szCs w:val="26"/>
    </w:rPr>
  </w:style>
  <w:style w:type="paragraph" w:styleId="Heading6">
    <w:name w:val="heading 6"/>
    <w:basedOn w:val="Normal"/>
    <w:next w:val="BodyText"/>
    <w:link w:val="Heading6Char1"/>
    <w:qFormat/>
    <w:rsid w:val="00C9180F"/>
    <w:pPr>
      <w:keepNext/>
      <w:widowControl w:val="0"/>
      <w:numPr>
        <w:ilvl w:val="5"/>
        <w:numId w:val="2"/>
      </w:numPr>
      <w:tabs>
        <w:tab w:val="left" w:pos="1247"/>
      </w:tabs>
      <w:spacing w:before="120" w:after="120"/>
      <w:outlineLvl w:val="5"/>
    </w:pPr>
    <w:rPr>
      <w:rFonts w:ascii="Arial Armenian" w:hAnsi="Arial Armenian"/>
      <w:i/>
      <w:szCs w:val="20"/>
      <w:u w:val="single"/>
      <w:lang w:val="en-GB" w:eastAsia="x-none"/>
    </w:rPr>
  </w:style>
  <w:style w:type="paragraph" w:styleId="Heading7">
    <w:name w:val="heading 7"/>
    <w:basedOn w:val="Normal"/>
    <w:next w:val="BodyText"/>
    <w:link w:val="Heading7Char1"/>
    <w:qFormat/>
    <w:rsid w:val="00C9180F"/>
    <w:pPr>
      <w:framePr w:w="3780" w:hSpace="240" w:wrap="auto" w:vAnchor="text" w:hAnchor="page" w:x="1489" w:y="1"/>
      <w:widowControl w:val="0"/>
      <w:numPr>
        <w:ilvl w:val="6"/>
        <w:numId w:val="2"/>
      </w:numPr>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szCs w:val="20"/>
      <w:lang w:val="en-GB" w:eastAsia="x-none"/>
    </w:rPr>
  </w:style>
  <w:style w:type="paragraph" w:styleId="Heading8">
    <w:name w:val="heading 8"/>
    <w:basedOn w:val="Normal"/>
    <w:next w:val="BodyText"/>
    <w:link w:val="Heading8Char1"/>
    <w:qFormat/>
    <w:rsid w:val="00C9180F"/>
    <w:pPr>
      <w:keepNext/>
      <w:framePr w:w="1860" w:wrap="auto" w:vAnchor="text" w:hAnchor="page" w:x="1201" w:y="1"/>
      <w:widowControl w:val="0"/>
      <w:numPr>
        <w:ilvl w:val="7"/>
        <w:numId w:val="2"/>
      </w:numPr>
      <w:pBdr>
        <w:top w:val="single" w:sz="24" w:space="0" w:color="auto"/>
        <w:bottom w:val="single" w:sz="6" w:space="0" w:color="auto"/>
      </w:pBdr>
      <w:spacing w:before="60" w:line="320" w:lineRule="exact"/>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1"/>
    <w:qFormat/>
    <w:rsid w:val="00C9180F"/>
    <w:pPr>
      <w:keepNext/>
      <w:widowControl w:val="0"/>
      <w:numPr>
        <w:ilvl w:val="8"/>
        <w:numId w:val="2"/>
      </w:numPr>
      <w:spacing w:before="80" w:after="60"/>
      <w:outlineLvl w:val="8"/>
    </w:pPr>
    <w:rPr>
      <w:rFonts w:ascii="Garamond" w:hAnsi="Garamond"/>
      <w:b/>
      <w:i/>
      <w:kern w:val="28"/>
      <w:sz w:val="2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D2662"/>
    <w:rPr>
      <w:rFonts w:ascii="GHEA Grapalat" w:hAnsi="GHEA Grapalat" w:cs="Times Unicode"/>
      <w:b/>
      <w:bCs/>
      <w:color w:val="002060"/>
      <w:kern w:val="32"/>
      <w:sz w:val="28"/>
      <w:szCs w:val="22"/>
      <w:lang w:val="hy-AM"/>
    </w:rPr>
  </w:style>
  <w:style w:type="paragraph" w:styleId="BodyText">
    <w:name w:val="Body Text"/>
    <w:aliases w:val="(Main Text),date,Body Text (Main text)"/>
    <w:basedOn w:val="Normal"/>
    <w:link w:val="BodyTextChar1"/>
    <w:rsid w:val="00D40301"/>
    <w:pPr>
      <w:spacing w:after="120"/>
    </w:pPr>
    <w:rPr>
      <w:lang w:val="x-none" w:eastAsia="x-none"/>
    </w:rPr>
  </w:style>
  <w:style w:type="character" w:customStyle="1" w:styleId="BodyTextChar1">
    <w:name w:val="Body Text Char1"/>
    <w:aliases w:val="(Main Text) Char,date Char,Body Text (Main text) Char1"/>
    <w:link w:val="BodyText"/>
    <w:rsid w:val="00CC2B0F"/>
    <w:rPr>
      <w:sz w:val="24"/>
      <w:szCs w:val="24"/>
    </w:rPr>
  </w:style>
  <w:style w:type="character" w:customStyle="1" w:styleId="Heading2Char">
    <w:name w:val="Heading 2 Char"/>
    <w:aliases w:val="(Chapter) Char,Paranum Char,Text Char"/>
    <w:link w:val="Heading2"/>
    <w:rsid w:val="004C04CF"/>
    <w:rPr>
      <w:rFonts w:ascii="GHEA Grapalat" w:hAnsi="GHEA Grapalat" w:cs="Times Unicode"/>
      <w:b/>
      <w:kern w:val="16"/>
      <w:sz w:val="26"/>
      <w:szCs w:val="22"/>
      <w:lang w:val="af-ZA" w:eastAsia="x-none"/>
    </w:rPr>
  </w:style>
  <w:style w:type="character" w:customStyle="1" w:styleId="Heading3Char1">
    <w:name w:val="Heading 3 Char1"/>
    <w:aliases w:val="(Sub-Chapter) Char,Centered Char,(text) Char,Heading 3 Char Char Char Char Char Char Char1"/>
    <w:link w:val="Heading3"/>
    <w:uiPriority w:val="9"/>
    <w:rsid w:val="00E9129C"/>
    <w:rPr>
      <w:rFonts w:ascii="GHEA Grapalat" w:hAnsi="GHEA Grapalat" w:cs="Times Unicode"/>
      <w:b/>
      <w:bCs/>
      <w:color w:val="000000"/>
      <w:sz w:val="22"/>
      <w:szCs w:val="22"/>
      <w:lang w:val="es-ES" w:eastAsia="x-none"/>
    </w:rPr>
  </w:style>
  <w:style w:type="character" w:customStyle="1" w:styleId="Heading4Char2">
    <w:name w:val="Heading 4 Char2"/>
    <w:aliases w:val="Centred Char1"/>
    <w:link w:val="Heading4"/>
    <w:rsid w:val="009027D1"/>
    <w:rPr>
      <w:rFonts w:ascii="GHEA Grapalat" w:hAnsi="GHEA Grapalat" w:cs="Times Unicode"/>
      <w:b/>
      <w:bCs/>
      <w:sz w:val="22"/>
      <w:szCs w:val="22"/>
      <w:lang w:val="af-ZA" w:eastAsia="x-none"/>
    </w:rPr>
  </w:style>
  <w:style w:type="character" w:customStyle="1" w:styleId="Heading5Char1">
    <w:name w:val="Heading 5 Char1"/>
    <w:aliases w:val="Side Char1"/>
    <w:link w:val="Heading5"/>
    <w:rsid w:val="0029274A"/>
    <w:rPr>
      <w:b/>
      <w:bCs/>
      <w:i/>
      <w:iCs/>
      <w:sz w:val="26"/>
      <w:szCs w:val="26"/>
      <w:lang w:val="en-US" w:eastAsia="en-US" w:bidi="ar-SA"/>
    </w:rPr>
  </w:style>
  <w:style w:type="character" w:customStyle="1" w:styleId="Heading6Char1">
    <w:name w:val="Heading 6 Char1"/>
    <w:link w:val="Heading6"/>
    <w:rsid w:val="0029274A"/>
    <w:rPr>
      <w:rFonts w:ascii="Arial Armenian" w:hAnsi="Arial Armenian" w:cs="Times Unicode"/>
      <w:i/>
      <w:sz w:val="22"/>
      <w:u w:val="single"/>
      <w:lang w:val="en-GB" w:eastAsia="x-none"/>
    </w:rPr>
  </w:style>
  <w:style w:type="character" w:customStyle="1" w:styleId="Heading7Char1">
    <w:name w:val="Heading 7 Char1"/>
    <w:link w:val="Heading7"/>
    <w:rsid w:val="0029274A"/>
    <w:rPr>
      <w:rFonts w:ascii="Garamond" w:hAnsi="Garamond" w:cs="Times Unicode"/>
      <w:i/>
      <w:spacing w:val="-5"/>
      <w:sz w:val="28"/>
      <w:shd w:val="pct5" w:color="auto" w:fill="auto"/>
      <w:lang w:val="en-GB" w:eastAsia="x-none"/>
    </w:rPr>
  </w:style>
  <w:style w:type="character" w:customStyle="1" w:styleId="Heading8Char1">
    <w:name w:val="Heading 8 Char1"/>
    <w:link w:val="Heading8"/>
    <w:rsid w:val="0029274A"/>
    <w:rPr>
      <w:rFonts w:ascii="Arial Black" w:hAnsi="Arial Black" w:cs="Times Unicode"/>
      <w:caps/>
      <w:spacing w:val="60"/>
      <w:position w:val="4"/>
      <w:sz w:val="14"/>
      <w:lang w:val="en-GB" w:eastAsia="x-none"/>
    </w:rPr>
  </w:style>
  <w:style w:type="character" w:customStyle="1" w:styleId="Heading9Char1">
    <w:name w:val="Heading 9 Char1"/>
    <w:link w:val="Heading9"/>
    <w:rsid w:val="0029274A"/>
    <w:rPr>
      <w:rFonts w:ascii="Garamond" w:hAnsi="Garamond" w:cs="Times Unicode"/>
      <w:b/>
      <w:i/>
      <w:kern w:val="28"/>
      <w:lang w:val="en-GB" w:eastAsia="x-none"/>
    </w:rPr>
  </w:style>
  <w:style w:type="paragraph" w:customStyle="1" w:styleId="Head4">
    <w:name w:val="Head 4"/>
    <w:basedOn w:val="Heading4"/>
    <w:autoRedefine/>
    <w:rsid w:val="007B4E6F"/>
    <w:pPr>
      <w:widowControl w:val="0"/>
      <w:tabs>
        <w:tab w:val="left" w:pos="567"/>
      </w:tabs>
      <w:spacing w:before="0" w:after="0" w:line="240" w:lineRule="auto"/>
      <w:ind w:left="397"/>
    </w:pPr>
    <w:rPr>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autoRedefine/>
    <w:uiPriority w:val="35"/>
    <w:qFormat/>
    <w:rsid w:val="008912F5"/>
    <w:pPr>
      <w:keepNext/>
      <w:keepLines/>
      <w:widowControl w:val="0"/>
    </w:pPr>
    <w:rPr>
      <w:rFonts w:cs="Arial"/>
      <w:sz w:val="20"/>
      <w:szCs w:val="20"/>
      <w:lang w:val="fr-FR"/>
    </w:rPr>
  </w:style>
  <w:style w:type="paragraph" w:styleId="BodyTextIndent3">
    <w:name w:val="Body Text Indent 3"/>
    <w:basedOn w:val="Normal"/>
    <w:link w:val="BodyTextIndent3Char"/>
    <w:rsid w:val="00D40301"/>
    <w:rPr>
      <w:rFonts w:ascii="Arial Armenian" w:hAnsi="Arial Armenian"/>
      <w:noProof/>
      <w:sz w:val="20"/>
      <w:szCs w:val="20"/>
    </w:rPr>
  </w:style>
  <w:style w:type="character" w:customStyle="1" w:styleId="BodyTextIndent3Char">
    <w:name w:val="Body Text Indent 3 Char"/>
    <w:link w:val="BodyTextIndent3"/>
    <w:rsid w:val="0029274A"/>
    <w:rPr>
      <w:rFonts w:ascii="Arial Armenian" w:hAnsi="Arial Armenian"/>
      <w:noProof/>
      <w:lang w:val="en-US" w:eastAsia="en-US" w:bidi="ar-SA"/>
    </w:rPr>
  </w:style>
  <w:style w:type="paragraph" w:customStyle="1" w:styleId="xl24">
    <w:name w:val="xl24"/>
    <w:basedOn w:val="Normal"/>
    <w:rsid w:val="00D40301"/>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D40301"/>
    <w:pPr>
      <w:spacing w:before="60" w:after="60"/>
      <w:jc w:val="right"/>
    </w:pPr>
    <w:rPr>
      <w:rFonts w:ascii="Arial Armenian" w:hAnsi="Arial Armenian"/>
      <w:sz w:val="16"/>
      <w:szCs w:val="20"/>
      <w:lang w:val="en-GB"/>
    </w:rPr>
  </w:style>
  <w:style w:type="paragraph" w:styleId="BodyTextIndent2">
    <w:name w:val="Body Text Indent 2"/>
    <w:basedOn w:val="Normal"/>
    <w:link w:val="BodyTextIndent2Char1"/>
    <w:rsid w:val="00D40301"/>
    <w:pPr>
      <w:widowControl w:val="0"/>
      <w:spacing w:after="120" w:line="312" w:lineRule="auto"/>
      <w:ind w:left="720" w:firstLine="720"/>
    </w:pPr>
    <w:rPr>
      <w:rFonts w:ascii="Arial Armenian" w:hAnsi="Arial Armenian"/>
      <w:sz w:val="20"/>
      <w:szCs w:val="20"/>
      <w:lang w:val="en-GB"/>
    </w:rPr>
  </w:style>
  <w:style w:type="character" w:customStyle="1" w:styleId="BodyTextIndent2Char1">
    <w:name w:val="Body Text Indent 2 Char1"/>
    <w:link w:val="BodyTextIndent2"/>
    <w:rsid w:val="0029274A"/>
    <w:rPr>
      <w:rFonts w:ascii="Arial Armenian" w:hAnsi="Arial Armenian"/>
      <w:lang w:val="en-GB" w:eastAsia="en-US" w:bidi="ar-SA"/>
    </w:rPr>
  </w:style>
  <w:style w:type="paragraph" w:styleId="BodyTextIndent">
    <w:name w:val="Body Text Indent"/>
    <w:aliases w:val="(Table Source), (Table Source),(Table Source) Char,Body Text Indent Char,(Table Source)1"/>
    <w:basedOn w:val="BodyText"/>
    <w:next w:val="Normal"/>
    <w:link w:val="BodyTextIndentChar1"/>
    <w:rsid w:val="00D40301"/>
    <w:pPr>
      <w:widowControl w:val="0"/>
      <w:spacing w:before="60" w:after="60"/>
      <w:ind w:firstLine="652"/>
    </w:pPr>
    <w:rPr>
      <w:rFonts w:ascii="Arial Armenian" w:hAnsi="Arial Armenian"/>
      <w:i/>
      <w:sz w:val="16"/>
      <w:szCs w:val="20"/>
      <w:lang w:val="en-GB" w:eastAsia="en-US"/>
    </w:rPr>
  </w:style>
  <w:style w:type="character" w:customStyle="1" w:styleId="BodyTextIndentChar1">
    <w:name w:val="Body Text Indent Char1"/>
    <w:aliases w:val="(Table Source) Char1, (Table Source) Char,(Table Source) Char Char,Body Text Indent Char Char,(Table Source)1 Char"/>
    <w:link w:val="BodyTextIndent"/>
    <w:rsid w:val="0029274A"/>
    <w:rPr>
      <w:rFonts w:ascii="Arial Armenian" w:hAnsi="Arial Armenian"/>
      <w:i/>
      <w:sz w:val="16"/>
      <w:lang w:val="en-GB" w:eastAsia="en-US" w:bidi="ar-SA"/>
    </w:rPr>
  </w:style>
  <w:style w:type="paragraph" w:customStyle="1" w:styleId="Specialnormal">
    <w:name w:val="Special normal"/>
    <w:basedOn w:val="Normal"/>
    <w:rsid w:val="00D40301"/>
    <w:pPr>
      <w:overflowPunct w:val="0"/>
      <w:autoSpaceDE w:val="0"/>
      <w:autoSpaceDN w:val="0"/>
      <w:adjustRightInd w:val="0"/>
      <w:jc w:val="center"/>
      <w:textAlignment w:val="baseline"/>
    </w:pPr>
    <w:rPr>
      <w:sz w:val="20"/>
      <w:szCs w:val="20"/>
      <w:lang w:val="en-GB"/>
    </w:rPr>
  </w:style>
  <w:style w:type="paragraph" w:styleId="CommentText">
    <w:name w:val="annotation text"/>
    <w:basedOn w:val="Normal"/>
    <w:link w:val="CommentTextChar"/>
    <w:uiPriority w:val="99"/>
    <w:rsid w:val="003F3353"/>
    <w:rPr>
      <w:color w:val="0070C0"/>
      <w:sz w:val="28"/>
      <w:szCs w:val="20"/>
      <w:lang w:val="ru-RU" w:eastAsia="ru-RU"/>
    </w:rPr>
  </w:style>
  <w:style w:type="character" w:customStyle="1" w:styleId="CommentTextChar">
    <w:name w:val="Comment Text Char"/>
    <w:link w:val="CommentText"/>
    <w:uiPriority w:val="99"/>
    <w:rsid w:val="003F3353"/>
    <w:rPr>
      <w:rFonts w:ascii="GHEA Grapalat" w:hAnsi="GHEA Grapalat" w:cs="Times Unicode"/>
      <w:color w:val="0070C0"/>
      <w:sz w:val="28"/>
      <w:lang w:val="ru-RU" w:eastAsia="ru-RU"/>
    </w:rPr>
  </w:style>
  <w:style w:type="paragraph" w:customStyle="1" w:styleId="a0">
    <w:name w:val="???????? ????? ? ????????"/>
    <w:basedOn w:val="Normal"/>
    <w:rsid w:val="00D40301"/>
    <w:pPr>
      <w:ind w:left="360" w:hanging="360"/>
    </w:pPr>
    <w:rPr>
      <w:rFonts w:ascii="Times Armenian" w:hAnsi="Times Armenian"/>
      <w:szCs w:val="20"/>
      <w:lang w:eastAsia="ru-RU"/>
    </w:rPr>
  </w:style>
  <w:style w:type="paragraph" w:customStyle="1" w:styleId="a1">
    <w:name w:val="???????"/>
    <w:link w:val="Char"/>
    <w:rsid w:val="00D40301"/>
    <w:rPr>
      <w:lang w:val="ru-RU" w:eastAsia="ru-RU"/>
    </w:rPr>
  </w:style>
  <w:style w:type="character" w:customStyle="1" w:styleId="Char">
    <w:name w:val="??????? Char"/>
    <w:link w:val="a1"/>
    <w:rsid w:val="00644ED9"/>
    <w:rPr>
      <w:lang w:val="ru-RU" w:eastAsia="ru-RU" w:bidi="ar-SA"/>
    </w:rPr>
  </w:style>
  <w:style w:type="paragraph" w:customStyle="1" w:styleId="2">
    <w:name w:val="???????2"/>
    <w:rsid w:val="00D40301"/>
    <w:rPr>
      <w:rFonts w:ascii="Times Armenian" w:hAnsi="Times Armenian"/>
      <w:sz w:val="24"/>
      <w:lang w:eastAsia="ru-RU"/>
    </w:rPr>
  </w:style>
  <w:style w:type="paragraph" w:customStyle="1" w:styleId="a2">
    <w:name w:val="???????? ?????"/>
    <w:basedOn w:val="a1"/>
    <w:rsid w:val="00D40301"/>
    <w:pPr>
      <w:jc w:val="center"/>
    </w:pPr>
    <w:rPr>
      <w:rFonts w:ascii="Times Armenian" w:hAnsi="Times Armenian"/>
      <w:i/>
      <w:sz w:val="32"/>
      <w:lang w:val="en-US"/>
    </w:rPr>
  </w:style>
  <w:style w:type="paragraph" w:customStyle="1" w:styleId="31">
    <w:name w:val="???????? ????? ? ???????? 31"/>
    <w:basedOn w:val="2"/>
    <w:rsid w:val="00D40301"/>
    <w:pPr>
      <w:spacing w:line="360" w:lineRule="auto"/>
      <w:ind w:firstLine="360"/>
      <w:jc w:val="both"/>
    </w:pPr>
  </w:style>
  <w:style w:type="paragraph" w:customStyle="1" w:styleId="a3">
    <w:name w:val="??????"/>
    <w:basedOn w:val="2"/>
    <w:rsid w:val="00D40301"/>
    <w:pPr>
      <w:spacing w:line="360" w:lineRule="auto"/>
      <w:ind w:left="-426" w:right="-619" w:firstLine="710"/>
      <w:jc w:val="both"/>
    </w:pPr>
    <w:rPr>
      <w:rFonts w:ascii="Arial LatArm" w:hAnsi="Arial LatArm"/>
      <w:i/>
      <w:lang w:val="en-AU"/>
    </w:rPr>
  </w:style>
  <w:style w:type="paragraph" w:customStyle="1" w:styleId="3">
    <w:name w:val="???????? ????? 3"/>
    <w:basedOn w:val="Normal"/>
    <w:rsid w:val="00D40301"/>
    <w:rPr>
      <w:rFonts w:ascii="Times Armenian" w:hAnsi="Times Armenian"/>
      <w:szCs w:val="20"/>
      <w:lang w:val="ru-RU" w:eastAsia="ru-RU"/>
    </w:rPr>
  </w:style>
  <w:style w:type="paragraph" w:customStyle="1" w:styleId="20">
    <w:name w:val="???????? ????? ? ????????2"/>
    <w:basedOn w:val="2"/>
    <w:rsid w:val="00D40301"/>
    <w:pPr>
      <w:spacing w:line="360" w:lineRule="auto"/>
      <w:ind w:firstLine="720"/>
      <w:jc w:val="both"/>
    </w:pPr>
    <w:rPr>
      <w:sz w:val="28"/>
    </w:rPr>
  </w:style>
  <w:style w:type="paragraph" w:customStyle="1" w:styleId="11">
    <w:name w:val="????????? 11"/>
    <w:basedOn w:val="2"/>
    <w:next w:val="2"/>
    <w:rsid w:val="00D40301"/>
    <w:pPr>
      <w:keepNext/>
      <w:spacing w:line="360" w:lineRule="auto"/>
      <w:outlineLvl w:val="0"/>
    </w:pPr>
    <w:rPr>
      <w:rFonts w:ascii="Times LatArm" w:hAnsi="Times LatArm"/>
    </w:rPr>
  </w:style>
  <w:style w:type="paragraph" w:customStyle="1" w:styleId="1">
    <w:name w:val="????????1"/>
    <w:basedOn w:val="a1"/>
    <w:rsid w:val="00CC19AC"/>
    <w:pPr>
      <w:jc w:val="center"/>
    </w:pPr>
    <w:rPr>
      <w:rFonts w:ascii="Times Armenian" w:hAnsi="Times Armenian"/>
      <w:i/>
      <w:sz w:val="28"/>
      <w:lang w:val="en-US"/>
    </w:rPr>
  </w:style>
  <w:style w:type="paragraph" w:customStyle="1" w:styleId="21">
    <w:name w:val="???????? ????? ? ???????? 2"/>
    <w:basedOn w:val="a1"/>
    <w:rsid w:val="00CC19AC"/>
    <w:pPr>
      <w:ind w:right="-141" w:firstLine="567"/>
      <w:jc w:val="both"/>
    </w:pPr>
    <w:rPr>
      <w:rFonts w:ascii="Times Armenian" w:hAnsi="Times Armenian"/>
      <w:sz w:val="24"/>
    </w:rPr>
  </w:style>
  <w:style w:type="paragraph" w:customStyle="1" w:styleId="22">
    <w:name w:val="???????? ????? 2"/>
    <w:basedOn w:val="a1"/>
    <w:rsid w:val="00D74B1C"/>
    <w:pPr>
      <w:spacing w:line="360" w:lineRule="auto"/>
      <w:jc w:val="both"/>
    </w:pPr>
    <w:rPr>
      <w:rFonts w:ascii="Times LatArm" w:hAnsi="Times LatArm"/>
      <w:b/>
      <w:i/>
      <w:sz w:val="28"/>
      <w:lang w:val="en-US"/>
    </w:rPr>
  </w:style>
  <w:style w:type="paragraph" w:customStyle="1" w:styleId="10">
    <w:name w:val="???????1"/>
    <w:rsid w:val="00D15CBA"/>
    <w:rPr>
      <w:lang w:val="ru-RU" w:eastAsia="ru-RU"/>
    </w:rPr>
  </w:style>
  <w:style w:type="paragraph" w:customStyle="1" w:styleId="30">
    <w:name w:val="???????? ????? ? ????????3"/>
    <w:basedOn w:val="a1"/>
    <w:rsid w:val="006C08D3"/>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7A59F7"/>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5531A9"/>
    <w:pPr>
      <w:keepNext/>
      <w:widowControl w:val="0"/>
      <w:spacing w:after="240"/>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5531A9"/>
    <w:pPr>
      <w:widowControl w:val="0"/>
      <w:spacing w:after="120"/>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FC67B3"/>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7A59F7"/>
    <w:rPr>
      <w:rFonts w:ascii="GHEA Grapalat" w:hAnsi="GHEA Grapalat" w:cs="Arial"/>
      <w:b/>
      <w:iCs/>
      <w:sz w:val="22"/>
      <w:szCs w:val="22"/>
      <w:lang w:val="af-ZA" w:eastAsia="ru-RU"/>
    </w:rPr>
  </w:style>
  <w:style w:type="paragraph" w:customStyle="1" w:styleId="8">
    <w:name w:val="????????? 8"/>
    <w:basedOn w:val="a1"/>
    <w:next w:val="a1"/>
    <w:rsid w:val="0089375B"/>
    <w:pPr>
      <w:keepNext/>
      <w:ind w:firstLine="426"/>
      <w:outlineLvl w:val="7"/>
    </w:pPr>
    <w:rPr>
      <w:rFonts w:ascii="Times Armenian" w:hAnsi="Times Armenian"/>
      <w:b/>
      <w:sz w:val="24"/>
      <w:lang w:val="en-US"/>
    </w:rPr>
  </w:style>
  <w:style w:type="paragraph" w:customStyle="1" w:styleId="210">
    <w:name w:val="???????? ????? ? ???????? 21"/>
    <w:basedOn w:val="2"/>
    <w:rsid w:val="00077B04"/>
    <w:pPr>
      <w:spacing w:line="360" w:lineRule="auto"/>
      <w:ind w:firstLine="840"/>
      <w:jc w:val="both"/>
    </w:pPr>
    <w:rPr>
      <w:rFonts w:ascii="Arial LatArm" w:hAnsi="Arial LatArm"/>
    </w:rPr>
  </w:style>
  <w:style w:type="paragraph" w:styleId="BodyText2">
    <w:name w:val="Body Text 2"/>
    <w:basedOn w:val="Normal"/>
    <w:link w:val="BodyText2Char1"/>
    <w:rsid w:val="003B57EA"/>
    <w:pPr>
      <w:spacing w:after="120" w:line="480" w:lineRule="auto"/>
    </w:pPr>
    <w:rPr>
      <w:sz w:val="20"/>
      <w:szCs w:val="20"/>
      <w:lang w:val="ru-RU" w:eastAsia="ru-RU"/>
    </w:rPr>
  </w:style>
  <w:style w:type="character" w:customStyle="1" w:styleId="BodyText2Char1">
    <w:name w:val="Body Text 2 Char1"/>
    <w:link w:val="BodyText2"/>
    <w:rsid w:val="0029274A"/>
    <w:rPr>
      <w:lang w:val="ru-RU" w:eastAsia="ru-RU" w:bidi="ar-SA"/>
    </w:rPr>
  </w:style>
  <w:style w:type="paragraph" w:styleId="BodyText3">
    <w:name w:val="Body Text 3"/>
    <w:basedOn w:val="Normal"/>
    <w:link w:val="BodyText3Char1"/>
    <w:rsid w:val="006732F2"/>
    <w:pPr>
      <w:spacing w:after="120"/>
    </w:pPr>
    <w:rPr>
      <w:sz w:val="16"/>
      <w:szCs w:val="16"/>
      <w:lang w:val="ru-RU" w:eastAsia="ru-RU"/>
    </w:rPr>
  </w:style>
  <w:style w:type="character" w:customStyle="1" w:styleId="BodyText3Char1">
    <w:name w:val="Body Text 3 Char1"/>
    <w:link w:val="BodyText3"/>
    <w:rsid w:val="0029274A"/>
    <w:rPr>
      <w:sz w:val="16"/>
      <w:szCs w:val="16"/>
      <w:lang w:val="ru-RU" w:eastAsia="ru-RU" w:bidi="ar-SA"/>
    </w:rPr>
  </w:style>
  <w:style w:type="paragraph" w:customStyle="1" w:styleId="Bullet">
    <w:name w:val="Bullet"/>
    <w:aliases w:val="bl,Bullet L1,bl1"/>
    <w:basedOn w:val="Normal"/>
    <w:rsid w:val="00C9180F"/>
    <w:pPr>
      <w:numPr>
        <w:numId w:val="1"/>
      </w:numPr>
      <w:tabs>
        <w:tab w:val="clear" w:pos="720"/>
        <w:tab w:val="num" w:pos="360"/>
      </w:tabs>
      <w:overflowPunct w:val="0"/>
      <w:autoSpaceDE w:val="0"/>
      <w:autoSpaceDN w:val="0"/>
      <w:adjustRightInd w:val="0"/>
      <w:spacing w:after="130"/>
      <w:ind w:left="360"/>
      <w:textAlignment w:val="baseline"/>
    </w:pPr>
    <w:rPr>
      <w:lang w:val="en-GB"/>
    </w:rPr>
  </w:style>
  <w:style w:type="paragraph" w:styleId="ListBullet">
    <w:name w:val="List Bullet"/>
    <w:basedOn w:val="Normal"/>
    <w:autoRedefine/>
    <w:qFormat/>
    <w:rsid w:val="00C9180F"/>
    <w:pPr>
      <w:tabs>
        <w:tab w:val="num" w:pos="360"/>
      </w:tabs>
      <w:overflowPunct w:val="0"/>
      <w:autoSpaceDE w:val="0"/>
      <w:autoSpaceDN w:val="0"/>
      <w:adjustRightInd w:val="0"/>
      <w:spacing w:before="130"/>
      <w:ind w:left="360" w:hanging="360"/>
      <w:textAlignment w:val="baseline"/>
    </w:pPr>
    <w:rPr>
      <w:lang w:val="en-GB"/>
    </w:rPr>
  </w:style>
  <w:style w:type="paragraph" w:customStyle="1" w:styleId="BSAPtext">
    <w:name w:val="BSAP text"/>
    <w:basedOn w:val="Normal"/>
    <w:rsid w:val="00C9180F"/>
    <w:pPr>
      <w:spacing w:line="312" w:lineRule="auto"/>
    </w:pPr>
    <w:rPr>
      <w:rFonts w:ascii="Bookman Old Style" w:hAnsi="Bookman Old Style"/>
    </w:rPr>
  </w:style>
  <w:style w:type="paragraph" w:styleId="EndnoteText">
    <w:name w:val="endnote text"/>
    <w:basedOn w:val="Normal"/>
    <w:link w:val="EndnoteTextChar"/>
    <w:rsid w:val="00C9180F"/>
    <w:rPr>
      <w:sz w:val="20"/>
      <w:szCs w:val="20"/>
      <w:lang w:val="en-GB"/>
    </w:rPr>
  </w:style>
  <w:style w:type="character" w:customStyle="1" w:styleId="EndnoteTextChar">
    <w:name w:val="Endnote Text Char"/>
    <w:link w:val="EndnoteText"/>
    <w:rsid w:val="0029274A"/>
    <w:rPr>
      <w:lang w:val="en-GB" w:eastAsia="en-US" w:bidi="ar-SA"/>
    </w:rPr>
  </w:style>
  <w:style w:type="character" w:styleId="PageNumber">
    <w:name w:val="page number"/>
    <w:basedOn w:val="DefaultParagraphFont"/>
    <w:rsid w:val="00C9180F"/>
  </w:style>
  <w:style w:type="paragraph" w:styleId="Footer">
    <w:name w:val="footer"/>
    <w:basedOn w:val="Normal"/>
    <w:next w:val="Normal"/>
    <w:link w:val="FooterChar2"/>
    <w:uiPriority w:val="99"/>
    <w:rsid w:val="00C9180F"/>
    <w:pPr>
      <w:tabs>
        <w:tab w:val="center" w:pos="4819"/>
        <w:tab w:val="right" w:pos="9071"/>
      </w:tabs>
      <w:overflowPunct w:val="0"/>
      <w:autoSpaceDE w:val="0"/>
      <w:autoSpaceDN w:val="0"/>
      <w:adjustRightInd w:val="0"/>
      <w:textAlignment w:val="baseline"/>
    </w:pPr>
    <w:rPr>
      <w:lang w:val="en-GB" w:eastAsia="x-none"/>
    </w:rPr>
  </w:style>
  <w:style w:type="character" w:customStyle="1" w:styleId="FooterChar2">
    <w:name w:val="Footer Char2"/>
    <w:link w:val="Footer"/>
    <w:rsid w:val="003E5F3D"/>
    <w:rPr>
      <w:sz w:val="22"/>
      <w:szCs w:val="22"/>
      <w:lang w:val="en-GB"/>
    </w:rPr>
  </w:style>
  <w:style w:type="paragraph" w:customStyle="1" w:styleId="xl32">
    <w:name w:val="xl32"/>
    <w:basedOn w:val="Normal"/>
    <w:rsid w:val="00C91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character" w:styleId="Hyperlink">
    <w:name w:val="Hyperlink"/>
    <w:uiPriority w:val="99"/>
    <w:rsid w:val="00C9180F"/>
    <w:rPr>
      <w:color w:val="0000FF"/>
      <w:u w:val="single"/>
    </w:rPr>
  </w:style>
  <w:style w:type="character" w:styleId="FollowedHyperlink">
    <w:name w:val="FollowedHyperlink"/>
    <w:rsid w:val="00C9180F"/>
    <w:rPr>
      <w:color w:val="800080"/>
      <w:u w:val="single"/>
    </w:rPr>
  </w:style>
  <w:style w:type="paragraph" w:customStyle="1" w:styleId="CaptionSubtitle">
    <w:name w:val="Caption: Subtitle"/>
    <w:rsid w:val="008E4C9D"/>
    <w:rPr>
      <w:rFonts w:ascii="Arial" w:hAnsi="Arial"/>
      <w:noProof/>
      <w:sz w:val="18"/>
    </w:rPr>
  </w:style>
  <w:style w:type="paragraph" w:styleId="FootnoteText">
    <w:name w:val="footnote text"/>
    <w:aliases w:val="fn,ADB,single space,footnote text Char,Footnote Text Char,fn Char,ADB Char,single space Char Char,footnote text,FOOTNOTES Char,FOOTNOTES Char Char Char,FOOTNOTES,Footnote Text Char2 Char,Footnote Text Char1 Char Char,f,WB-Fußnotentext,ft"/>
    <w:basedOn w:val="Normal"/>
    <w:link w:val="FootnoteTextChar1"/>
    <w:autoRedefine/>
    <w:qFormat/>
    <w:rsid w:val="006812E8"/>
    <w:pPr>
      <w:spacing w:line="240" w:lineRule="auto"/>
    </w:pPr>
    <w:rPr>
      <w:sz w:val="16"/>
      <w:szCs w:val="20"/>
    </w:r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link w:val="FootnoteText"/>
    <w:rsid w:val="006812E8"/>
    <w:rPr>
      <w:rFonts w:ascii="GHEA Grapalat" w:hAnsi="GHEA Grapalat" w:cs="Times Unicode"/>
      <w:sz w:val="16"/>
      <w:lang w:val="hy-AM"/>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600144"/>
    <w:rPr>
      <w:vertAlign w:val="superscript"/>
    </w:rPr>
  </w:style>
  <w:style w:type="table" w:styleId="TableGrid">
    <w:name w:val="Table Grid"/>
    <w:basedOn w:val="TableNormal"/>
    <w:uiPriority w:val="39"/>
    <w:rsid w:val="00600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602C73"/>
    <w:pPr>
      <w:overflowPunct w:val="0"/>
      <w:autoSpaceDE w:val="0"/>
      <w:autoSpaceDN w:val="0"/>
      <w:adjustRightInd w:val="0"/>
      <w:ind w:left="153" w:hanging="153"/>
      <w:textAlignment w:val="baseline"/>
    </w:pPr>
    <w:rPr>
      <w:sz w:val="18"/>
      <w:szCs w:val="20"/>
      <w:lang w:val="en-GB"/>
    </w:rPr>
  </w:style>
  <w:style w:type="paragraph" w:styleId="BlockText">
    <w:name w:val="Block Text"/>
    <w:basedOn w:val="Normal"/>
    <w:rsid w:val="00602C73"/>
    <w:pPr>
      <w:ind w:left="-709" w:right="-483"/>
    </w:pPr>
    <w:rPr>
      <w:rFonts w:ascii="Times Armenian" w:hAnsi="Times Armenian"/>
      <w:szCs w:val="20"/>
    </w:rPr>
  </w:style>
  <w:style w:type="paragraph" w:customStyle="1" w:styleId="CaptionTable">
    <w:name w:val="Caption_Table"/>
    <w:basedOn w:val="Caption"/>
    <w:rsid w:val="005531A9"/>
    <w:pPr>
      <w:keepLines w:val="0"/>
      <w:ind w:left="1325" w:hanging="1325"/>
      <w:jc w:val="left"/>
    </w:pPr>
    <w:rPr>
      <w:rFonts w:ascii="Arial Armenian" w:hAnsi="Arial Armenian"/>
      <w:bCs/>
      <w:lang w:val="en-GB"/>
    </w:rPr>
  </w:style>
  <w:style w:type="paragraph" w:customStyle="1" w:styleId="xl34">
    <w:name w:val="xl34"/>
    <w:basedOn w:val="Normal"/>
    <w:rsid w:val="005531A9"/>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5531A9"/>
    <w:pPr>
      <w:spacing w:before="60" w:after="60"/>
    </w:pPr>
    <w:rPr>
      <w:rFonts w:ascii="Arial Armenian" w:hAnsi="Arial Armenian"/>
      <w:sz w:val="16"/>
      <w:szCs w:val="20"/>
      <w:lang w:val="en-GB"/>
    </w:rPr>
  </w:style>
  <w:style w:type="paragraph" w:customStyle="1" w:styleId="xl25">
    <w:name w:val="xl25"/>
    <w:basedOn w:val="Normal"/>
    <w:rsid w:val="005531A9"/>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5531A9"/>
    <w:pPr>
      <w:spacing w:before="60" w:after="60" w:line="240" w:lineRule="auto"/>
    </w:pPr>
    <w:rPr>
      <w:i/>
      <w:sz w:val="16"/>
    </w:rPr>
  </w:style>
  <w:style w:type="paragraph" w:customStyle="1" w:styleId="Tablefirstrow">
    <w:name w:val="Table_first row"/>
    <w:basedOn w:val="Normal"/>
    <w:rsid w:val="005531A9"/>
    <w:pPr>
      <w:widowControl w:val="0"/>
      <w:spacing w:before="60" w:after="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5531A9"/>
    <w:pPr>
      <w:spacing w:after="60"/>
    </w:pPr>
    <w:rPr>
      <w:rFonts w:ascii="Arial Armenian" w:hAnsi="Arial Armenian"/>
      <w:i/>
      <w:sz w:val="18"/>
      <w:lang w:val="en-GB"/>
    </w:rPr>
  </w:style>
  <w:style w:type="paragraph" w:styleId="BalloonText">
    <w:name w:val="Balloon Text"/>
    <w:basedOn w:val="Normal"/>
    <w:link w:val="BalloonTextChar"/>
    <w:uiPriority w:val="99"/>
    <w:rsid w:val="004C4D8B"/>
    <w:rPr>
      <w:rFonts w:ascii="Tahoma" w:hAnsi="Tahoma"/>
      <w:sz w:val="16"/>
      <w:szCs w:val="16"/>
      <w:lang w:val="x-none" w:eastAsia="x-none"/>
    </w:rPr>
  </w:style>
  <w:style w:type="character" w:customStyle="1" w:styleId="BalloonTextChar">
    <w:name w:val="Balloon Text Char"/>
    <w:link w:val="BalloonText"/>
    <w:uiPriority w:val="99"/>
    <w:rsid w:val="004C4D8B"/>
    <w:rPr>
      <w:rFonts w:ascii="Tahoma" w:hAnsi="Tahoma" w:cs="Tahoma"/>
      <w:sz w:val="16"/>
      <w:szCs w:val="16"/>
    </w:rPr>
  </w:style>
  <w:style w:type="paragraph" w:customStyle="1" w:styleId="ListParagraph1">
    <w:name w:val="List Paragraph1"/>
    <w:aliases w:val="Akapit z listą BS,List Paragraph 1,List_Paragraph,Multilevel para_II,Bullet1,Bullets,References,List Paragraph (numbered (a)),IBL List Paragraph,List Paragraph nowy,Numbered List Paragraph,List Paragraph-ExecSummary,List Paragraph3,Ha"/>
    <w:basedOn w:val="Normal"/>
    <w:link w:val="ListParagraphChar"/>
    <w:uiPriority w:val="34"/>
    <w:qFormat/>
    <w:rsid w:val="00CC1E4C"/>
    <w:pPr>
      <w:ind w:left="720"/>
      <w:contextualSpacing/>
    </w:pPr>
  </w:style>
  <w:style w:type="paragraph" w:styleId="TOC2">
    <w:name w:val="toc 2"/>
    <w:basedOn w:val="Normal"/>
    <w:next w:val="Normal"/>
    <w:autoRedefine/>
    <w:uiPriority w:val="39"/>
    <w:qFormat/>
    <w:rsid w:val="003D28DA"/>
    <w:pPr>
      <w:tabs>
        <w:tab w:val="left" w:pos="426"/>
        <w:tab w:val="right" w:leader="dot" w:pos="10206"/>
      </w:tabs>
      <w:spacing w:after="100" w:line="240" w:lineRule="auto"/>
      <w:ind w:left="851" w:hanging="567"/>
      <w:jc w:val="left"/>
    </w:pPr>
    <w:rPr>
      <w:b/>
      <w:noProof/>
      <w:color w:val="0070C0"/>
    </w:rPr>
  </w:style>
  <w:style w:type="paragraph" w:styleId="TOC3">
    <w:name w:val="toc 3"/>
    <w:basedOn w:val="Normal"/>
    <w:next w:val="Normal"/>
    <w:autoRedefine/>
    <w:uiPriority w:val="39"/>
    <w:qFormat/>
    <w:rsid w:val="00957E4C"/>
    <w:pPr>
      <w:tabs>
        <w:tab w:val="right" w:leader="dot" w:pos="10200"/>
      </w:tabs>
      <w:spacing w:after="100"/>
      <w:ind w:left="142"/>
    </w:pPr>
    <w:rPr>
      <w:b/>
      <w:sz w:val="20"/>
    </w:rPr>
  </w:style>
  <w:style w:type="paragraph" w:styleId="TOC4">
    <w:name w:val="toc 4"/>
    <w:basedOn w:val="Normal"/>
    <w:next w:val="Normal"/>
    <w:autoRedefine/>
    <w:uiPriority w:val="39"/>
    <w:rsid w:val="00503895"/>
    <w:pPr>
      <w:tabs>
        <w:tab w:val="right" w:leader="dot" w:pos="9072"/>
      </w:tabs>
      <w:spacing w:after="100"/>
      <w:ind w:left="284"/>
    </w:pPr>
    <w:rPr>
      <w:rFonts w:ascii="Times Armenian" w:hAnsi="Times Armenian"/>
      <w:sz w:val="18"/>
    </w:rPr>
  </w:style>
  <w:style w:type="paragraph" w:styleId="Header">
    <w:name w:val="header"/>
    <w:aliases w:val="Header Char Char Char Char Char Char Char Char Char Char,Header Char Char Char Char Char Char Char Char Char Char Char Char,h"/>
    <w:basedOn w:val="Normal"/>
    <w:link w:val="HeaderChar1"/>
    <w:uiPriority w:val="99"/>
    <w:rsid w:val="00D92D82"/>
    <w:pPr>
      <w:tabs>
        <w:tab w:val="center" w:pos="4844"/>
        <w:tab w:val="right" w:pos="9689"/>
      </w:tabs>
    </w:pPr>
    <w:rPr>
      <w:lang w:val="x-none" w:eastAsia="x-none"/>
    </w:r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D92D82"/>
    <w:rPr>
      <w:sz w:val="24"/>
      <w:szCs w:val="24"/>
    </w:rPr>
  </w:style>
  <w:style w:type="paragraph" w:styleId="TOC1">
    <w:name w:val="toc 1"/>
    <w:basedOn w:val="Normal"/>
    <w:next w:val="Normal"/>
    <w:autoRedefine/>
    <w:uiPriority w:val="39"/>
    <w:qFormat/>
    <w:rsid w:val="003D28DA"/>
    <w:pPr>
      <w:tabs>
        <w:tab w:val="left" w:pos="284"/>
        <w:tab w:val="right" w:leader="dot" w:pos="10200"/>
      </w:tabs>
      <w:spacing w:before="240" w:after="120" w:line="240" w:lineRule="auto"/>
      <w:ind w:left="284" w:hanging="284"/>
      <w:jc w:val="left"/>
    </w:pPr>
    <w:rPr>
      <w:b/>
      <w:noProof/>
      <w:color w:val="0070C0"/>
    </w:rPr>
  </w:style>
  <w:style w:type="paragraph" w:styleId="TOC5">
    <w:name w:val="toc 5"/>
    <w:basedOn w:val="Normal"/>
    <w:next w:val="Normal"/>
    <w:autoRedefine/>
    <w:uiPriority w:val="39"/>
    <w:rsid w:val="0093413C"/>
    <w:pPr>
      <w:tabs>
        <w:tab w:val="right" w:leader="dot" w:pos="9072"/>
      </w:tabs>
      <w:spacing w:after="100"/>
      <w:ind w:left="851"/>
    </w:pPr>
    <w:rPr>
      <w:rFonts w:ascii="Times Armenian" w:hAnsi="Times Armenian"/>
      <w:b/>
      <w:sz w:val="18"/>
    </w:rPr>
  </w:style>
  <w:style w:type="paragraph" w:customStyle="1" w:styleId="H1-intro">
    <w:name w:val="H1-intro"/>
    <w:basedOn w:val="Heading1"/>
    <w:autoRedefine/>
    <w:rsid w:val="00A844DE"/>
    <w:pPr>
      <w:widowControl w:val="0"/>
      <w:tabs>
        <w:tab w:val="left" w:pos="-284"/>
      </w:tabs>
      <w:spacing w:before="0" w:after="0"/>
      <w:ind w:right="-51"/>
      <w:jc w:val="center"/>
    </w:pPr>
    <w:rPr>
      <w:rFonts w:ascii="Times Armenian" w:hAnsi="Times Armenian" w:cs="Times New Roman"/>
      <w:bCs w:val="0"/>
      <w:iCs/>
      <w:spacing w:val="60"/>
      <w:kern w:val="28"/>
      <w:szCs w:val="28"/>
      <w:lang w:val="es-ES"/>
    </w:rPr>
  </w:style>
  <w:style w:type="paragraph" w:styleId="Title">
    <w:name w:val="Title"/>
    <w:basedOn w:val="Normal"/>
    <w:link w:val="TitleChar1"/>
    <w:qFormat/>
    <w:rsid w:val="00C41C50"/>
    <w:pPr>
      <w:jc w:val="center"/>
    </w:pPr>
    <w:rPr>
      <w:rFonts w:ascii="Arial Armenian" w:hAnsi="Arial Armenian"/>
      <w:b/>
      <w:color w:val="1F497D"/>
      <w:sz w:val="32"/>
      <w:szCs w:val="32"/>
    </w:rPr>
  </w:style>
  <w:style w:type="character" w:customStyle="1" w:styleId="TitleChar1">
    <w:name w:val="Title Char1"/>
    <w:link w:val="Title"/>
    <w:rsid w:val="00C41C50"/>
    <w:rPr>
      <w:rFonts w:ascii="Arial Armenian" w:hAnsi="Arial Armenian"/>
      <w:b/>
      <w:color w:val="1F497D"/>
      <w:sz w:val="32"/>
      <w:szCs w:val="32"/>
      <w:lang w:val="hy-AM"/>
    </w:rPr>
  </w:style>
  <w:style w:type="paragraph" w:customStyle="1" w:styleId="CaptionGraph">
    <w:name w:val="Caption_Graph"/>
    <w:basedOn w:val="Caption"/>
    <w:rsid w:val="00AF5441"/>
    <w:pPr>
      <w:spacing w:before="120"/>
      <w:ind w:left="1325" w:hanging="1325"/>
    </w:pPr>
    <w:rPr>
      <w:lang w:val="it-IT"/>
    </w:rPr>
  </w:style>
  <w:style w:type="paragraph" w:customStyle="1" w:styleId="graphtable">
    <w:name w:val="graph&amp;table"/>
    <w:basedOn w:val="BodyText"/>
    <w:next w:val="BodyTextIndent"/>
    <w:rsid w:val="00AF5441"/>
    <w:pPr>
      <w:widowControl w:val="0"/>
      <w:spacing w:before="60" w:after="60"/>
    </w:pPr>
    <w:rPr>
      <w:rFonts w:ascii="Arial Armenian" w:hAnsi="Arial Armenian"/>
      <w:sz w:val="20"/>
      <w:szCs w:val="20"/>
      <w:lang w:val="en-GB"/>
    </w:rPr>
  </w:style>
  <w:style w:type="paragraph" w:customStyle="1" w:styleId="BodyTextdate">
    <w:name w:val="Body Text.date"/>
    <w:basedOn w:val="Normal"/>
    <w:rsid w:val="00AF5441"/>
    <w:pPr>
      <w:widowControl w:val="0"/>
      <w:spacing w:after="120"/>
    </w:pPr>
    <w:rPr>
      <w:rFonts w:ascii="Arial Armenian" w:hAnsi="Arial Armenian"/>
      <w:spacing w:val="-5"/>
      <w:sz w:val="20"/>
      <w:szCs w:val="20"/>
      <w:lang w:val="en-GB"/>
    </w:rPr>
  </w:style>
  <w:style w:type="character" w:customStyle="1" w:styleId="CaptionGraphChar">
    <w:name w:val="Caption_Graph Char"/>
    <w:rsid w:val="00AF5441"/>
    <w:rPr>
      <w:rFonts w:ascii="Arial Armenian" w:hAnsi="Arial Armenian"/>
      <w:b/>
      <w:sz w:val="20"/>
    </w:rPr>
  </w:style>
  <w:style w:type="paragraph" w:customStyle="1" w:styleId="CoverSubTitle">
    <w:name w:val="Cover SubTitle"/>
    <w:basedOn w:val="Normal"/>
    <w:rsid w:val="00AF5441"/>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AF5441"/>
    <w:pPr>
      <w:keepNext/>
      <w:outlineLvl w:val="4"/>
    </w:pPr>
    <w:rPr>
      <w:rFonts w:ascii="Times LatArm" w:hAnsi="Times LatArm"/>
      <w:szCs w:val="20"/>
      <w:lang w:val="en-NZ"/>
    </w:rPr>
  </w:style>
  <w:style w:type="paragraph" w:customStyle="1" w:styleId="23">
    <w:name w:val="çàãîëîâîê 2"/>
    <w:basedOn w:val="Normal"/>
    <w:next w:val="Normal"/>
    <w:rsid w:val="00AF5441"/>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AF5441"/>
    <w:pPr>
      <w:jc w:val="center"/>
    </w:pPr>
    <w:rPr>
      <w:rFonts w:ascii="Times LatArm" w:hAnsi="Times LatArm"/>
      <w:b/>
      <w:i/>
      <w:sz w:val="28"/>
      <w:szCs w:val="20"/>
    </w:rPr>
  </w:style>
  <w:style w:type="paragraph" w:customStyle="1" w:styleId="CaptionAnnexedTable">
    <w:name w:val="Caption_Annexed Table"/>
    <w:basedOn w:val="Caption"/>
    <w:rsid w:val="00AF5441"/>
    <w:pPr>
      <w:spacing w:before="120"/>
      <w:ind w:left="1325" w:hanging="1325"/>
    </w:pPr>
    <w:rPr>
      <w:lang w:val="en-US"/>
    </w:rPr>
  </w:style>
  <w:style w:type="paragraph" w:customStyle="1" w:styleId="xl28">
    <w:name w:val="xl28"/>
    <w:basedOn w:val="Normal"/>
    <w:rsid w:val="00AF544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AF5441"/>
    <w:pPr>
      <w:pBdr>
        <w:bottom w:val="single" w:sz="4" w:space="0" w:color="auto"/>
        <w:right w:val="single" w:sz="4" w:space="0" w:color="auto"/>
      </w:pBdr>
      <w:spacing w:before="100" w:after="100"/>
    </w:pPr>
    <w:rPr>
      <w:rFonts w:ascii="Times Armenian" w:eastAsia="Arial Unicode MS" w:hAnsi="Times Armenian"/>
      <w:sz w:val="16"/>
      <w:szCs w:val="20"/>
    </w:rPr>
  </w:style>
  <w:style w:type="paragraph" w:styleId="PlainText">
    <w:name w:val="Plain Text"/>
    <w:basedOn w:val="Normal"/>
    <w:link w:val="PlainTextChar"/>
    <w:rsid w:val="00AF5441"/>
    <w:pPr>
      <w:spacing w:before="120"/>
    </w:pPr>
    <w:rPr>
      <w:rFonts w:ascii="Courier New" w:hAnsi="Courier New"/>
      <w:sz w:val="20"/>
      <w:szCs w:val="20"/>
      <w:lang w:val="x-none" w:eastAsia="x-none"/>
    </w:rPr>
  </w:style>
  <w:style w:type="character" w:customStyle="1" w:styleId="PlainTextChar">
    <w:name w:val="Plain Text Char"/>
    <w:link w:val="PlainText"/>
    <w:rsid w:val="00AF5441"/>
    <w:rPr>
      <w:rFonts w:ascii="Courier New" w:hAnsi="Courier New"/>
    </w:rPr>
  </w:style>
  <w:style w:type="paragraph" w:customStyle="1" w:styleId="Armenian">
    <w:name w:val="Armenian"/>
    <w:basedOn w:val="Normal"/>
    <w:rsid w:val="00AF5441"/>
    <w:pPr>
      <w:autoSpaceDE w:val="0"/>
      <w:autoSpaceDN w:val="0"/>
    </w:pPr>
    <w:rPr>
      <w:rFonts w:ascii="Times LatArm" w:hAnsi="Times LatArm"/>
      <w:sz w:val="20"/>
    </w:rPr>
  </w:style>
  <w:style w:type="paragraph" w:customStyle="1" w:styleId="Vernagir">
    <w:name w:val="Vernagir"/>
    <w:basedOn w:val="Normal"/>
    <w:next w:val="Normal"/>
    <w:rsid w:val="00AF5441"/>
    <w:pPr>
      <w:autoSpaceDE w:val="0"/>
      <w:autoSpaceDN w:val="0"/>
      <w:spacing w:before="240" w:after="120"/>
      <w:jc w:val="center"/>
    </w:pPr>
    <w:rPr>
      <w:rFonts w:ascii="Times Armenian" w:hAnsi="Times Armenian"/>
      <w:b/>
      <w:bCs/>
      <w:sz w:val="20"/>
    </w:rPr>
  </w:style>
  <w:style w:type="paragraph" w:customStyle="1" w:styleId="xl44">
    <w:name w:val="xl44"/>
    <w:basedOn w:val="Normal"/>
    <w:rsid w:val="00AF5441"/>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AF5441"/>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AF5441"/>
    <w:pPr>
      <w:spacing w:before="60" w:after="120"/>
      <w:ind w:left="1325" w:hanging="1325"/>
    </w:pPr>
  </w:style>
  <w:style w:type="paragraph" w:styleId="TOC6">
    <w:name w:val="toc 6"/>
    <w:basedOn w:val="Normal"/>
    <w:next w:val="Normal"/>
    <w:autoRedefine/>
    <w:uiPriority w:val="39"/>
    <w:rsid w:val="00AF5441"/>
    <w:pPr>
      <w:ind w:left="1200"/>
    </w:pPr>
  </w:style>
  <w:style w:type="paragraph" w:styleId="TOC7">
    <w:name w:val="toc 7"/>
    <w:basedOn w:val="Normal"/>
    <w:next w:val="Normal"/>
    <w:autoRedefine/>
    <w:uiPriority w:val="39"/>
    <w:rsid w:val="00AF5441"/>
    <w:pPr>
      <w:ind w:left="1440"/>
    </w:pPr>
  </w:style>
  <w:style w:type="paragraph" w:styleId="TOC8">
    <w:name w:val="toc 8"/>
    <w:basedOn w:val="Normal"/>
    <w:next w:val="Normal"/>
    <w:autoRedefine/>
    <w:uiPriority w:val="39"/>
    <w:rsid w:val="00AF5441"/>
    <w:pPr>
      <w:ind w:left="1680"/>
    </w:pPr>
  </w:style>
  <w:style w:type="paragraph" w:styleId="TOC9">
    <w:name w:val="toc 9"/>
    <w:basedOn w:val="Normal"/>
    <w:next w:val="Normal"/>
    <w:autoRedefine/>
    <w:uiPriority w:val="39"/>
    <w:rsid w:val="00AF5441"/>
    <w:pPr>
      <w:ind w:left="1920"/>
    </w:pPr>
  </w:style>
  <w:style w:type="table" w:styleId="TableList7">
    <w:name w:val="Table List 7"/>
    <w:basedOn w:val="TableNormal"/>
    <w:rsid w:val="00AF54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AF54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AF544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bleofFigures">
    <w:name w:val="table of figures"/>
    <w:basedOn w:val="Normal"/>
    <w:next w:val="Normal"/>
    <w:rsid w:val="000F0242"/>
    <w:pPr>
      <w:ind w:left="480" w:hanging="480"/>
    </w:pPr>
    <w:rPr>
      <w:sz w:val="20"/>
    </w:rPr>
  </w:style>
  <w:style w:type="paragraph" w:customStyle="1" w:styleId="TOCBase">
    <w:name w:val="TOC Base"/>
    <w:basedOn w:val="Normal"/>
    <w:rsid w:val="000F0242"/>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0F0242"/>
    <w:pPr>
      <w:tabs>
        <w:tab w:val="num" w:pos="360"/>
      </w:tabs>
      <w:ind w:left="357" w:hanging="357"/>
    </w:pPr>
    <w:rPr>
      <w:rFonts w:ascii="Times Armenian" w:hAnsi="Times Armenian"/>
      <w:sz w:val="20"/>
      <w:szCs w:val="20"/>
    </w:rPr>
  </w:style>
  <w:style w:type="paragraph" w:customStyle="1" w:styleId="Numbering">
    <w:name w:val="Numbering"/>
    <w:basedOn w:val="Normal"/>
    <w:next w:val="Normal"/>
    <w:rsid w:val="000F0242"/>
    <w:pPr>
      <w:tabs>
        <w:tab w:val="num" w:pos="360"/>
      </w:tabs>
      <w:ind w:left="360" w:hanging="360"/>
    </w:pPr>
    <w:rPr>
      <w:rFonts w:ascii="Times Armenian" w:hAnsi="Times Armenian"/>
      <w:sz w:val="20"/>
      <w:szCs w:val="20"/>
    </w:rPr>
  </w:style>
  <w:style w:type="paragraph" w:customStyle="1" w:styleId="Bulet-2">
    <w:name w:val="Bulet-2"/>
    <w:basedOn w:val="Normal"/>
    <w:rsid w:val="000F0242"/>
    <w:pPr>
      <w:tabs>
        <w:tab w:val="num" w:pos="454"/>
      </w:tabs>
      <w:ind w:left="454" w:hanging="454"/>
    </w:pPr>
    <w:rPr>
      <w:rFonts w:ascii="Times Armenian" w:hAnsi="Times Armenian"/>
    </w:rPr>
  </w:style>
  <w:style w:type="character" w:styleId="Strong">
    <w:name w:val="Strong"/>
    <w:uiPriority w:val="22"/>
    <w:qFormat/>
    <w:rsid w:val="000F0242"/>
    <w:rPr>
      <w: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F0242"/>
    <w:pPr>
      <w:spacing w:after="120"/>
      <w:ind w:left="360"/>
    </w:pPr>
    <w:rPr>
      <w:sz w:val="20"/>
    </w:rPr>
  </w:style>
  <w:style w:type="paragraph" w:customStyle="1" w:styleId="StyleHeading120pt">
    <w:name w:val="Style Heading 1 + 20 pt"/>
    <w:basedOn w:val="Heading1"/>
    <w:rsid w:val="00CE0229"/>
    <w:pPr>
      <w:spacing w:before="0" w:after="0"/>
    </w:pPr>
    <w:rPr>
      <w:rFonts w:ascii="Times Armenian" w:hAnsi="Times Armenian" w:cs="Times New Roman"/>
      <w:b w:val="0"/>
      <w:bCs w:val="0"/>
      <w:kern w:val="0"/>
      <w:sz w:val="40"/>
      <w:szCs w:val="24"/>
    </w:rPr>
  </w:style>
  <w:style w:type="paragraph" w:customStyle="1" w:styleId="StyleHeading216ptBoldLightBlueLeft025">
    <w:name w:val="Style Heading 2 + 16 pt Bold Light Blue Left:  0.25&quot;"/>
    <w:basedOn w:val="Heading2"/>
    <w:rsid w:val="00CE0229"/>
    <w:pPr>
      <w:widowControl/>
      <w:ind w:left="360"/>
    </w:pPr>
    <w:rPr>
      <w:color w:val="3366FF"/>
      <w:spacing w:val="24"/>
      <w:sz w:val="32"/>
      <w:lang w:val="en-US"/>
    </w:rPr>
  </w:style>
  <w:style w:type="paragraph" w:styleId="Subtitle">
    <w:name w:val="Subtitle"/>
    <w:basedOn w:val="Normal"/>
    <w:link w:val="SubtitleChar"/>
    <w:qFormat/>
    <w:rsid w:val="005D2662"/>
    <w:pPr>
      <w:spacing w:before="120" w:after="240"/>
    </w:pPr>
    <w:rPr>
      <w:b/>
      <w:color w:val="002060"/>
      <w:sz w:val="28"/>
      <w:lang w:val="x-none" w:eastAsia="ru-RU"/>
    </w:rPr>
  </w:style>
  <w:style w:type="character" w:customStyle="1" w:styleId="SubtitleChar">
    <w:name w:val="Subtitle Char"/>
    <w:link w:val="Subtitle"/>
    <w:rsid w:val="005D2662"/>
    <w:rPr>
      <w:rFonts w:ascii="GHEA Grapalat" w:hAnsi="GHEA Grapalat"/>
      <w:b/>
      <w:color w:val="002060"/>
      <w:sz w:val="28"/>
      <w:szCs w:val="24"/>
      <w:lang w:val="x-none" w:eastAsia="ru-RU"/>
    </w:rPr>
  </w:style>
  <w:style w:type="character" w:styleId="EndnoteReference">
    <w:name w:val="endnote reference"/>
    <w:rsid w:val="00CE0229"/>
    <w:rPr>
      <w:vertAlign w:val="superscript"/>
    </w:rPr>
  </w:style>
  <w:style w:type="paragraph" w:styleId="Index1">
    <w:name w:val="index 1"/>
    <w:basedOn w:val="Normal"/>
    <w:next w:val="Normal"/>
    <w:autoRedefine/>
    <w:rsid w:val="00CE0229"/>
    <w:pPr>
      <w:ind w:left="240" w:hanging="240"/>
    </w:pPr>
  </w:style>
  <w:style w:type="paragraph" w:styleId="Index2">
    <w:name w:val="index 2"/>
    <w:basedOn w:val="Normal"/>
    <w:next w:val="Normal"/>
    <w:autoRedefine/>
    <w:rsid w:val="00CE0229"/>
    <w:pPr>
      <w:ind w:left="480" w:hanging="240"/>
    </w:pPr>
  </w:style>
  <w:style w:type="paragraph" w:styleId="Index3">
    <w:name w:val="index 3"/>
    <w:basedOn w:val="Normal"/>
    <w:next w:val="Normal"/>
    <w:autoRedefine/>
    <w:rsid w:val="00CE0229"/>
    <w:pPr>
      <w:ind w:left="720" w:hanging="240"/>
    </w:pPr>
  </w:style>
  <w:style w:type="paragraph" w:styleId="Index4">
    <w:name w:val="index 4"/>
    <w:basedOn w:val="Normal"/>
    <w:next w:val="Normal"/>
    <w:autoRedefine/>
    <w:rsid w:val="00CE0229"/>
    <w:pPr>
      <w:ind w:left="960" w:hanging="240"/>
    </w:pPr>
  </w:style>
  <w:style w:type="paragraph" w:styleId="Index5">
    <w:name w:val="index 5"/>
    <w:basedOn w:val="Normal"/>
    <w:next w:val="Normal"/>
    <w:autoRedefine/>
    <w:rsid w:val="00CE0229"/>
    <w:pPr>
      <w:ind w:left="1200" w:hanging="240"/>
    </w:pPr>
  </w:style>
  <w:style w:type="paragraph" w:styleId="Index6">
    <w:name w:val="index 6"/>
    <w:basedOn w:val="Normal"/>
    <w:next w:val="Normal"/>
    <w:autoRedefine/>
    <w:rsid w:val="00CE0229"/>
    <w:pPr>
      <w:ind w:left="1440" w:hanging="240"/>
    </w:pPr>
  </w:style>
  <w:style w:type="paragraph" w:styleId="Index7">
    <w:name w:val="index 7"/>
    <w:basedOn w:val="Normal"/>
    <w:next w:val="Normal"/>
    <w:autoRedefine/>
    <w:rsid w:val="00CE0229"/>
    <w:pPr>
      <w:ind w:left="1680" w:hanging="240"/>
    </w:pPr>
  </w:style>
  <w:style w:type="paragraph" w:styleId="Index8">
    <w:name w:val="index 8"/>
    <w:basedOn w:val="Normal"/>
    <w:next w:val="Normal"/>
    <w:autoRedefine/>
    <w:rsid w:val="00CE0229"/>
    <w:pPr>
      <w:ind w:left="1920" w:hanging="240"/>
    </w:pPr>
  </w:style>
  <w:style w:type="paragraph" w:styleId="Index9">
    <w:name w:val="index 9"/>
    <w:basedOn w:val="Normal"/>
    <w:next w:val="Normal"/>
    <w:autoRedefine/>
    <w:rsid w:val="00CE0229"/>
    <w:pPr>
      <w:ind w:left="2160" w:hanging="240"/>
    </w:pPr>
  </w:style>
  <w:style w:type="paragraph" w:styleId="IndexHeading">
    <w:name w:val="index heading"/>
    <w:basedOn w:val="Normal"/>
    <w:next w:val="Index1"/>
    <w:rsid w:val="00CE0229"/>
  </w:style>
  <w:style w:type="paragraph" w:customStyle="1" w:styleId="BodyTextIndentTableSource">
    <w:name w:val="Body Text Indent.(Table Source)"/>
    <w:basedOn w:val="Normal"/>
    <w:rsid w:val="00CE0229"/>
    <w:pPr>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CE0229"/>
    <w:rPr>
      <w:rFonts w:ascii="Arial Armenian" w:hAnsi="Arial Armenian"/>
      <w:b/>
      <w:noProof w:val="0"/>
      <w:lang w:val="en-GB" w:eastAsia="en-US" w:bidi="ar-SA"/>
    </w:rPr>
  </w:style>
  <w:style w:type="paragraph" w:customStyle="1" w:styleId="xl26">
    <w:name w:val="xl26"/>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CE0229"/>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ind w:firstLine="652"/>
      <w:suppressOverlap/>
    </w:pPr>
    <w:rPr>
      <w:rFonts w:ascii="Arial Armenian" w:hAnsi="Arial Armenian"/>
      <w:noProof/>
      <w:sz w:val="20"/>
      <w:szCs w:val="20"/>
      <w:lang w:val="it-IT"/>
    </w:rPr>
  </w:style>
  <w:style w:type="paragraph" w:customStyle="1" w:styleId="BulletAB1">
    <w:name w:val="Bullet AB1"/>
    <w:basedOn w:val="Normal"/>
    <w:rsid w:val="00CE0229"/>
    <w:pPr>
      <w:tabs>
        <w:tab w:val="num" w:pos="360"/>
        <w:tab w:val="left" w:pos="1008"/>
      </w:tabs>
      <w:spacing w:after="60"/>
      <w:ind w:left="360" w:hanging="360"/>
    </w:pPr>
    <w:rPr>
      <w:sz w:val="21"/>
      <w:szCs w:val="20"/>
      <w:lang w:val="en-GB"/>
    </w:rPr>
  </w:style>
  <w:style w:type="paragraph" w:customStyle="1" w:styleId="Style1">
    <w:name w:val="Style1"/>
    <w:basedOn w:val="BodyText"/>
    <w:rsid w:val="00CE0229"/>
    <w:pPr>
      <w:tabs>
        <w:tab w:val="left" w:pos="360"/>
        <w:tab w:val="num" w:pos="720"/>
        <w:tab w:val="left" w:pos="900"/>
        <w:tab w:val="left" w:pos="9029"/>
      </w:tabs>
      <w:spacing w:after="0"/>
      <w:ind w:left="720" w:hanging="360"/>
    </w:pPr>
    <w:rPr>
      <w:rFonts w:ascii="Arial Armenian" w:hAnsi="Arial Armenian"/>
      <w:i/>
      <w:szCs w:val="20"/>
      <w:lang w:val="af-ZA"/>
    </w:rPr>
  </w:style>
  <w:style w:type="paragraph" w:customStyle="1" w:styleId="Tables">
    <w:name w:val="Tables"/>
    <w:basedOn w:val="BodyText2"/>
    <w:rsid w:val="00CE0229"/>
    <w:pPr>
      <w:spacing w:after="0" w:line="240" w:lineRule="auto"/>
    </w:pPr>
    <w:rPr>
      <w:b/>
      <w:bCs/>
      <w:iCs/>
      <w:sz w:val="22"/>
      <w:szCs w:val="24"/>
      <w:lang w:val="en-US" w:eastAsia="en-US"/>
    </w:rPr>
  </w:style>
  <w:style w:type="paragraph" w:customStyle="1" w:styleId="wolort">
    <w:name w:val="wolort"/>
    <w:basedOn w:val="Normal"/>
    <w:rsid w:val="00CE0229"/>
    <w:pPr>
      <w:jc w:val="center"/>
    </w:pPr>
    <w:rPr>
      <w:rFonts w:ascii="Arial Armenian" w:hAnsi="Arial Armenian"/>
      <w:b/>
    </w:rPr>
  </w:style>
  <w:style w:type="character" w:customStyle="1" w:styleId="CentredChar">
    <w:name w:val="Centred Char"/>
    <w:aliases w:val="Heading 42,Heading 4 Char1,Heading 4 Char"/>
    <w:rsid w:val="00CE0229"/>
    <w:rPr>
      <w:rFonts w:ascii="Times Armenian" w:hAnsi="Times Armenian"/>
      <w:b/>
      <w:noProof w:val="0"/>
      <w:spacing w:val="-5"/>
      <w:sz w:val="22"/>
      <w:lang w:val="en-GB" w:eastAsia="en-US" w:bidi="ar-SA"/>
    </w:rPr>
  </w:style>
  <w:style w:type="paragraph" w:customStyle="1" w:styleId="Tabletext0">
    <w:name w:val="Table text"/>
    <w:basedOn w:val="Normal"/>
    <w:rsid w:val="00CE0229"/>
    <w:pPr>
      <w:overflowPunct w:val="0"/>
      <w:autoSpaceDE w:val="0"/>
      <w:autoSpaceDN w:val="0"/>
      <w:adjustRightInd w:val="0"/>
      <w:spacing w:before="60" w:after="60" w:line="240" w:lineRule="atLeast"/>
      <w:textAlignment w:val="baseline"/>
    </w:pPr>
    <w:rPr>
      <w:sz w:val="18"/>
      <w:szCs w:val="20"/>
      <w:lang w:val="en-GB"/>
    </w:rPr>
  </w:style>
  <w:style w:type="paragraph" w:customStyle="1" w:styleId="MessageText">
    <w:name w:val="Message Text"/>
    <w:basedOn w:val="BodyText"/>
    <w:rsid w:val="00CE0229"/>
    <w:pPr>
      <w:widowControl w:val="0"/>
      <w:ind w:firstLine="652"/>
    </w:pPr>
    <w:rPr>
      <w:rFonts w:ascii="Arial Armenian" w:hAnsi="Arial Armenian"/>
      <w:szCs w:val="20"/>
      <w:lang w:val="en-GB"/>
    </w:rPr>
  </w:style>
  <w:style w:type="paragraph" w:customStyle="1" w:styleId="Heading41">
    <w:name w:val="Heading 41"/>
    <w:aliases w:val="Centred1"/>
    <w:basedOn w:val="Normal"/>
    <w:rsid w:val="00CE0229"/>
    <w:pPr>
      <w:widowControl w:val="0"/>
      <w:tabs>
        <w:tab w:val="num" w:pos="1080"/>
      </w:tabs>
      <w:ind w:left="737" w:hanging="737"/>
    </w:pPr>
    <w:rPr>
      <w:rFonts w:ascii="Arial Armenian" w:hAnsi="Arial Armenian"/>
      <w:sz w:val="20"/>
      <w:szCs w:val="20"/>
      <w:lang w:val="en-GB"/>
    </w:rPr>
  </w:style>
  <w:style w:type="paragraph" w:customStyle="1" w:styleId="PRAMO">
    <w:name w:val="PRAMO"/>
    <w:basedOn w:val="Normal"/>
    <w:rsid w:val="00CE0229"/>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CE0229"/>
    <w:pPr>
      <w:tabs>
        <w:tab w:val="clear" w:pos="1134"/>
        <w:tab w:val="clear" w:pos="1701"/>
        <w:tab w:val="left" w:pos="1418"/>
      </w:tabs>
      <w:ind w:left="0"/>
      <w:jc w:val="left"/>
    </w:pPr>
  </w:style>
  <w:style w:type="paragraph" w:styleId="NormalIndent">
    <w:name w:val="Normal Indent"/>
    <w:basedOn w:val="Normal"/>
    <w:rsid w:val="00CE0229"/>
    <w:pPr>
      <w:tabs>
        <w:tab w:val="left" w:pos="1134"/>
        <w:tab w:val="left" w:pos="1701"/>
        <w:tab w:val="left" w:pos="2835"/>
        <w:tab w:val="left" w:pos="5103"/>
        <w:tab w:val="left" w:pos="7371"/>
        <w:tab w:val="right" w:pos="9639"/>
      </w:tabs>
      <w:ind w:left="1134"/>
    </w:pPr>
    <w:rPr>
      <w:lang w:val="en-GB"/>
    </w:rPr>
  </w:style>
  <w:style w:type="paragraph" w:customStyle="1" w:styleId="a4">
    <w:name w:val="????????"/>
    <w:basedOn w:val="Normal"/>
    <w:rsid w:val="00CE0229"/>
    <w:pPr>
      <w:jc w:val="center"/>
    </w:pPr>
    <w:rPr>
      <w:rFonts w:ascii="Times Armenian" w:hAnsi="Times Armenian"/>
      <w:i/>
      <w:sz w:val="28"/>
      <w:szCs w:val="20"/>
      <w:lang w:eastAsia="ru-RU"/>
    </w:rPr>
  </w:style>
  <w:style w:type="paragraph" w:customStyle="1" w:styleId="12">
    <w:name w:val="???????? ????? ? ????????1"/>
    <w:basedOn w:val="2"/>
    <w:rsid w:val="00CE0229"/>
    <w:pPr>
      <w:spacing w:line="360" w:lineRule="auto"/>
      <w:ind w:firstLine="720"/>
      <w:jc w:val="both"/>
    </w:pPr>
    <w:rPr>
      <w:sz w:val="28"/>
    </w:rPr>
  </w:style>
  <w:style w:type="paragraph" w:customStyle="1" w:styleId="BodyTextIndentTableSource1">
    <w:name w:val="Body Text Indent.(Table Source)1"/>
    <w:basedOn w:val="Normal"/>
    <w:rsid w:val="00CE0229"/>
    <w:pPr>
      <w:ind w:firstLine="3"/>
    </w:pPr>
    <w:rPr>
      <w:rFonts w:ascii="Times Armenian" w:hAnsi="Times Armenian"/>
      <w:szCs w:val="20"/>
      <w:lang w:val="fr-FR"/>
    </w:rPr>
  </w:style>
  <w:style w:type="paragraph" w:customStyle="1" w:styleId="xl33">
    <w:name w:val="xl33"/>
    <w:basedOn w:val="Normal"/>
    <w:rsid w:val="00CE0229"/>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CE0229"/>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CE0229"/>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CE0229"/>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CE0229"/>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rsid w:val="00CE0229"/>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CE0229"/>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CE0229"/>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CE0229"/>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CE0229"/>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CE0229"/>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CE0229"/>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CE0229"/>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CE0229"/>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CE0229"/>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CE0229"/>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CE02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CE0229"/>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CE0229"/>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CE0229"/>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CE0229"/>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CE0229"/>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CE0229"/>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CE0229"/>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CE0229"/>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CE022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CE022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CE0229"/>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CE02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rsid w:val="003A0BBB"/>
    <w:rPr>
      <w:rFonts w:ascii="Sylfaen" w:hAnsi="Sylfaen" w:cs="Arial"/>
      <w:b/>
      <w:bCs/>
      <w:sz w:val="24"/>
      <w:szCs w:val="26"/>
      <w:lang w:val="en-GB" w:eastAsia="en-US" w:bidi="ar-SA"/>
    </w:rPr>
  </w:style>
  <w:style w:type="paragraph" w:customStyle="1" w:styleId="KLegalHeading3">
    <w:name w:val="KLegal Heading 3"/>
    <w:basedOn w:val="Normal"/>
    <w:next w:val="Heading2"/>
    <w:rsid w:val="00CE0229"/>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CE0229"/>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CE0229"/>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CE0229"/>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CE0229"/>
    <w:rPr>
      <w:rFonts w:ascii="Arial" w:hAnsi="Arial"/>
      <w:sz w:val="24"/>
      <w:szCs w:val="24"/>
    </w:rPr>
  </w:style>
  <w:style w:type="paragraph" w:customStyle="1" w:styleId="BulletblBulletL1bl1">
    <w:name w:val="Bullet.bl.Bullet L1.bl1"/>
    <w:basedOn w:val="Normal"/>
    <w:rsid w:val="00CE0229"/>
    <w:pPr>
      <w:tabs>
        <w:tab w:val="num"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CE0229"/>
    <w:pPr>
      <w:keepNext/>
      <w:autoSpaceDE w:val="0"/>
      <w:autoSpaceDN w:val="0"/>
      <w:spacing w:after="220"/>
      <w:outlineLvl w:val="2"/>
    </w:pPr>
    <w:rPr>
      <w:rFonts w:ascii="Times Armenian" w:hAnsi="Times Armenian"/>
      <w:b/>
      <w:bCs/>
      <w:lang w:val="en-GB" w:eastAsia="ru-RU"/>
    </w:rPr>
  </w:style>
  <w:style w:type="paragraph" w:customStyle="1" w:styleId="13">
    <w:name w:val="çàãîëîâîê 1"/>
    <w:basedOn w:val="Normal"/>
    <w:next w:val="Normal"/>
    <w:rsid w:val="00CE0229"/>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CE0229"/>
    <w:pPr>
      <w:ind w:left="2157" w:hanging="180"/>
    </w:pPr>
    <w:rPr>
      <w:rFonts w:ascii="Tahoma" w:hAnsi="Tahoma" w:cs="Tahoma"/>
      <w:sz w:val="16"/>
      <w:szCs w:val="16"/>
    </w:rPr>
  </w:style>
  <w:style w:type="character" w:customStyle="1" w:styleId="Heading3CharCharCharCharCharCharChar">
    <w:name w:val="Heading 3 Char Char Char Char Char Char Char"/>
    <w:rsid w:val="00CE0229"/>
    <w:rPr>
      <w:rFonts w:ascii="Times Armenian" w:hAnsi="Times Armenian"/>
      <w:b/>
      <w:bCs/>
      <w:sz w:val="24"/>
      <w:szCs w:val="24"/>
      <w:lang w:val="en-GB" w:eastAsia="en-US" w:bidi="ar-SA"/>
    </w:rPr>
  </w:style>
  <w:style w:type="paragraph" w:customStyle="1" w:styleId="WW-BodyText3">
    <w:name w:val="WW-Body Text 3"/>
    <w:basedOn w:val="Normal"/>
    <w:rsid w:val="00CE0229"/>
    <w:pPr>
      <w:suppressAutoHyphens/>
    </w:pPr>
    <w:rPr>
      <w:rFonts w:ascii="Times Armenian" w:hAnsi="Times Armenian"/>
      <w:lang w:eastAsia="ar-SA"/>
    </w:rPr>
  </w:style>
  <w:style w:type="paragraph" w:customStyle="1" w:styleId="WW-BodyTextIndent2">
    <w:name w:val="WW-Body Text Indent 2"/>
    <w:basedOn w:val="Normal"/>
    <w:rsid w:val="00CE0229"/>
    <w:pPr>
      <w:suppressAutoHyphens/>
      <w:ind w:firstLine="720"/>
    </w:pPr>
    <w:rPr>
      <w:rFonts w:ascii="Times LatArm" w:hAnsi="Times LatArm"/>
      <w:i/>
      <w:iCs/>
      <w:lang w:eastAsia="ar-SA"/>
    </w:rPr>
  </w:style>
  <w:style w:type="paragraph" w:customStyle="1" w:styleId="BalloonText1">
    <w:name w:val="Balloon Text1"/>
    <w:basedOn w:val="Normal"/>
    <w:semiHidden/>
    <w:rsid w:val="00CE0229"/>
    <w:rPr>
      <w:rFonts w:ascii="Tahoma" w:hAnsi="Tahoma" w:cs="Tahoma"/>
      <w:sz w:val="16"/>
      <w:szCs w:val="16"/>
    </w:rPr>
  </w:style>
  <w:style w:type="paragraph" w:customStyle="1" w:styleId="BalloonText3">
    <w:name w:val="Balloon Text3"/>
    <w:basedOn w:val="Normal"/>
    <w:semiHidden/>
    <w:rsid w:val="00CE0229"/>
    <w:rPr>
      <w:rFonts w:ascii="Tahoma" w:hAnsi="Tahoma" w:cs="Tahoma"/>
      <w:sz w:val="16"/>
      <w:szCs w:val="16"/>
    </w:rPr>
  </w:style>
  <w:style w:type="paragraph" w:customStyle="1" w:styleId="xl116">
    <w:name w:val="xl116"/>
    <w:basedOn w:val="Normal"/>
    <w:rsid w:val="00CE0229"/>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CE0229"/>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CE0229"/>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CE0229"/>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CE0229"/>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CE022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CE0229"/>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CE0229"/>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CE0229"/>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CE0229"/>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CE0229"/>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CE0229"/>
    <w:pPr>
      <w:keepNext/>
      <w:widowControl w:val="0"/>
      <w:tabs>
        <w:tab w:val="left" w:pos="1021"/>
      </w:tabs>
      <w:spacing w:before="0" w:after="120"/>
    </w:pPr>
    <w:rPr>
      <w:rFonts w:ascii="Times Armenian" w:hAnsi="Times Armenian"/>
      <w:bCs w:val="0"/>
      <w:sz w:val="20"/>
      <w:szCs w:val="20"/>
      <w:u w:val="single"/>
      <w:lang w:val="en-GB"/>
    </w:rPr>
  </w:style>
  <w:style w:type="character" w:styleId="CommentReference">
    <w:name w:val="annotation reference"/>
    <w:uiPriority w:val="99"/>
    <w:rsid w:val="009E1455"/>
    <w:rPr>
      <w:sz w:val="16"/>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basedOn w:val="Normal"/>
    <w:link w:val="NormalWebChar"/>
    <w:uiPriority w:val="99"/>
    <w:qFormat/>
    <w:rsid w:val="009E1455"/>
    <w:pPr>
      <w:spacing w:before="100" w:after="100"/>
    </w:pPr>
    <w:rPr>
      <w:szCs w:val="20"/>
      <w:lang w:val="x-none" w:eastAsia="x-none"/>
    </w:rPr>
  </w:style>
  <w:style w:type="paragraph" w:customStyle="1" w:styleId="CaptionTableTitle">
    <w:name w:val="Caption.(Table Title)"/>
    <w:basedOn w:val="Normal"/>
    <w:next w:val="Normal"/>
    <w:rsid w:val="009E1455"/>
    <w:pPr>
      <w:keepNext/>
      <w:keepLines/>
      <w:spacing w:before="130" w:after="130"/>
    </w:pPr>
    <w:rPr>
      <w:b/>
      <w:szCs w:val="20"/>
      <w:lang w:val="en-GB"/>
    </w:rPr>
  </w:style>
  <w:style w:type="paragraph" w:styleId="NoSpacing">
    <w:name w:val="No Spacing"/>
    <w:link w:val="NoSpacingChar"/>
    <w:qFormat/>
    <w:rsid w:val="000F2396"/>
    <w:rPr>
      <w:rFonts w:ascii="Calibri" w:hAnsi="Calibri"/>
      <w:sz w:val="22"/>
      <w:szCs w:val="22"/>
    </w:rPr>
  </w:style>
  <w:style w:type="character" w:customStyle="1" w:styleId="NoSpacingChar">
    <w:name w:val="No Spacing Char"/>
    <w:link w:val="NoSpacing"/>
    <w:rsid w:val="000F2396"/>
    <w:rPr>
      <w:rFonts w:ascii="Calibri" w:hAnsi="Calibri"/>
      <w:sz w:val="22"/>
      <w:szCs w:val="22"/>
      <w:lang w:val="en-US" w:eastAsia="en-US" w:bidi="ar-SA"/>
    </w:rPr>
  </w:style>
  <w:style w:type="paragraph" w:customStyle="1" w:styleId="StyleHeading2ChapterParanumText10pt">
    <w:name w:val="Style Heading 2(Chapter)ParanumText + 10 pt"/>
    <w:basedOn w:val="Heading2"/>
    <w:rsid w:val="004A6E4A"/>
  </w:style>
  <w:style w:type="paragraph" w:customStyle="1" w:styleId="CharChar">
    <w:name w:val="Char Char"/>
    <w:basedOn w:val="Normal"/>
    <w:rsid w:val="00A9107F"/>
    <w:pPr>
      <w:spacing w:after="160" w:line="240" w:lineRule="exact"/>
    </w:pPr>
    <w:rPr>
      <w:rFonts w:ascii="Arial" w:hAnsi="Arial" w:cs="Arial"/>
      <w:sz w:val="20"/>
      <w:szCs w:val="20"/>
    </w:rPr>
  </w:style>
  <w:style w:type="paragraph" w:customStyle="1" w:styleId="CharCharChar">
    <w:name w:val="Char Char Char"/>
    <w:basedOn w:val="Normal"/>
    <w:rsid w:val="009B2442"/>
    <w:pPr>
      <w:spacing w:after="160" w:line="240" w:lineRule="exact"/>
    </w:pPr>
    <w:rPr>
      <w:rFonts w:ascii="Arial" w:hAnsi="Arial" w:cs="Arial"/>
      <w:sz w:val="20"/>
      <w:szCs w:val="20"/>
    </w:rPr>
  </w:style>
  <w:style w:type="paragraph" w:customStyle="1" w:styleId="BodyText1">
    <w:name w:val="Body Text1"/>
    <w:basedOn w:val="Normal"/>
    <w:rsid w:val="009B2442"/>
    <w:pPr>
      <w:numPr>
        <w:numId w:val="3"/>
      </w:numPr>
      <w:spacing w:after="240"/>
    </w:pPr>
    <w:rPr>
      <w:rFonts w:ascii="Times Armenian" w:hAnsi="Times Armenian"/>
      <w:lang w:eastAsia="ru-RU"/>
    </w:rPr>
  </w:style>
  <w:style w:type="paragraph" w:customStyle="1" w:styleId="Char0">
    <w:name w:val="Char"/>
    <w:basedOn w:val="Normal"/>
    <w:next w:val="Normal"/>
    <w:rsid w:val="003C1BB8"/>
    <w:pPr>
      <w:spacing w:after="160" w:line="240" w:lineRule="exact"/>
    </w:pPr>
    <w:rPr>
      <w:rFonts w:ascii="Tahoma" w:hAnsi="Tahoma"/>
      <w:szCs w:val="20"/>
    </w:rPr>
  </w:style>
  <w:style w:type="table" w:styleId="TableWeb2">
    <w:name w:val="Table Web 2"/>
    <w:basedOn w:val="TableNormal"/>
    <w:rsid w:val="00D861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D861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8E52F5"/>
    <w:pPr>
      <w:keepLines w:val="0"/>
      <w:widowControl/>
      <w:spacing w:after="60" w:line="240" w:lineRule="auto"/>
      <w:jc w:val="left"/>
    </w:pPr>
    <w:rPr>
      <w:bCs/>
      <w:sz w:val="22"/>
      <w:lang w:val="en-US" w:eastAsia="ru-RU"/>
    </w:rPr>
  </w:style>
  <w:style w:type="paragraph" w:customStyle="1" w:styleId="ConsNonformat">
    <w:name w:val="ConsNonformat"/>
    <w:rsid w:val="006A5F43"/>
    <w:pPr>
      <w:widowControl w:val="0"/>
      <w:autoSpaceDE w:val="0"/>
      <w:autoSpaceDN w:val="0"/>
      <w:adjustRightInd w:val="0"/>
    </w:pPr>
    <w:rPr>
      <w:rFonts w:ascii="Courier New" w:hAnsi="Courier New"/>
      <w:lang w:val="ru-RU"/>
    </w:rPr>
  </w:style>
  <w:style w:type="paragraph" w:customStyle="1" w:styleId="Znak">
    <w:name w:val="Znak"/>
    <w:basedOn w:val="Normal"/>
    <w:rsid w:val="00C21466"/>
    <w:pPr>
      <w:tabs>
        <w:tab w:val="left" w:pos="709"/>
      </w:tabs>
    </w:pPr>
    <w:rPr>
      <w:rFonts w:ascii="Tahoma" w:hAnsi="Tahoma"/>
      <w:lang w:val="pl-PL" w:eastAsia="pl-PL"/>
    </w:rPr>
  </w:style>
  <w:style w:type="character" w:customStyle="1" w:styleId="BodyTextChar">
    <w:name w:val="Body Text Char"/>
    <w:aliases w:val="Body Text (Main text) Char"/>
    <w:rsid w:val="00481CAA"/>
    <w:rPr>
      <w:rFonts w:ascii="Times Armenian" w:hAnsi="Times Armenian"/>
      <w:sz w:val="24"/>
      <w:lang w:val="en-AU" w:eastAsia="en-US" w:bidi="ar-SA"/>
    </w:rPr>
  </w:style>
  <w:style w:type="paragraph" w:customStyle="1" w:styleId="Char1">
    <w:name w:val="Char"/>
    <w:basedOn w:val="Normal"/>
    <w:rsid w:val="00481CAA"/>
    <w:pPr>
      <w:spacing w:after="160" w:line="240" w:lineRule="exact"/>
    </w:pPr>
    <w:rPr>
      <w:rFonts w:ascii="Arial" w:hAnsi="Arial" w:cs="Arial"/>
      <w:sz w:val="20"/>
      <w:szCs w:val="20"/>
    </w:rPr>
  </w:style>
  <w:style w:type="paragraph" w:customStyle="1" w:styleId="a5">
    <w:name w:val="Знак Знак"/>
    <w:basedOn w:val="Normal"/>
    <w:link w:val="Char2"/>
    <w:rsid w:val="00481CAA"/>
    <w:pPr>
      <w:spacing w:after="160" w:line="240" w:lineRule="exact"/>
    </w:pPr>
    <w:rPr>
      <w:rFonts w:ascii="Arial" w:hAnsi="Arial" w:cs="Arial"/>
      <w:sz w:val="20"/>
      <w:szCs w:val="20"/>
      <w:lang w:val="en-GB"/>
    </w:rPr>
  </w:style>
  <w:style w:type="character" w:customStyle="1" w:styleId="Char2">
    <w:name w:val="Знак Знак Char"/>
    <w:link w:val="a5"/>
    <w:locked/>
    <w:rsid w:val="004E3CFA"/>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81CAA"/>
    <w:pPr>
      <w:spacing w:after="160" w:line="240" w:lineRule="exact"/>
    </w:pPr>
    <w:rPr>
      <w:rFonts w:ascii="Arial" w:hAnsi="Arial" w:cs="Arial"/>
      <w:sz w:val="20"/>
      <w:szCs w:val="20"/>
    </w:rPr>
  </w:style>
  <w:style w:type="character" w:customStyle="1" w:styleId="ParanumCharChar">
    <w:name w:val="Paranum Char Char"/>
    <w:rsid w:val="005500EA"/>
    <w:rPr>
      <w:rFonts w:ascii="Arial" w:hAnsi="Arial" w:cs="Arial"/>
      <w:b/>
      <w:bCs/>
      <w:i/>
      <w:iCs/>
      <w:sz w:val="28"/>
      <w:szCs w:val="28"/>
      <w:lang w:val="en-US" w:eastAsia="en-US" w:bidi="ar-SA"/>
    </w:rPr>
  </w:style>
  <w:style w:type="character" w:customStyle="1" w:styleId="textinfo1">
    <w:name w:val="textinfo1"/>
    <w:rsid w:val="005500EA"/>
    <w:rPr>
      <w:rFonts w:ascii="Arial AM" w:hAnsi="Arial AM" w:hint="default"/>
      <w:color w:val="000000"/>
      <w:sz w:val="18"/>
      <w:szCs w:val="18"/>
    </w:rPr>
  </w:style>
  <w:style w:type="paragraph" w:customStyle="1" w:styleId="CharCharCharCharCharCharCharChar">
    <w:name w:val="Char Char Char Char Char Char Char Char"/>
    <w:basedOn w:val="Normal"/>
    <w:rsid w:val="005500EA"/>
    <w:pPr>
      <w:spacing w:after="160"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rsid w:val="005500EA"/>
    <w:pPr>
      <w:tabs>
        <w:tab w:val="left" w:pos="709"/>
      </w:tabs>
    </w:pPr>
    <w:rPr>
      <w:rFonts w:ascii="Tahoma" w:hAnsi="Tahoma"/>
      <w:lang w:val="pl-PL" w:eastAsia="pl-PL"/>
    </w:rPr>
  </w:style>
  <w:style w:type="paragraph" w:customStyle="1" w:styleId="Report-Title">
    <w:name w:val="Report-Title"/>
    <w:rsid w:val="005500EA"/>
    <w:pPr>
      <w:spacing w:after="240"/>
    </w:pPr>
    <w:rPr>
      <w:rFonts w:ascii="Arial" w:eastAsia="MS Mincho" w:hAnsi="Arial" w:cs="Arial"/>
      <w:b/>
      <w:bCs/>
      <w:sz w:val="36"/>
      <w:szCs w:val="36"/>
    </w:rPr>
  </w:style>
  <w:style w:type="paragraph" w:customStyle="1" w:styleId="msonormalcxspmiddle">
    <w:name w:val="msonormalcxspmiddle"/>
    <w:basedOn w:val="Normal"/>
    <w:rsid w:val="005500EA"/>
    <w:pPr>
      <w:spacing w:before="100" w:beforeAutospacing="1" w:after="100" w:afterAutospacing="1"/>
    </w:pPr>
  </w:style>
  <w:style w:type="paragraph" w:customStyle="1" w:styleId="BodyText21">
    <w:name w:val="Body Text 21"/>
    <w:basedOn w:val="Normal"/>
    <w:rsid w:val="005500EA"/>
    <w:pPr>
      <w:overflowPunct w:val="0"/>
      <w:autoSpaceDE w:val="0"/>
      <w:autoSpaceDN w:val="0"/>
      <w:adjustRightInd w:val="0"/>
      <w:ind w:firstLine="720"/>
      <w:textAlignment w:val="baseline"/>
    </w:pPr>
    <w:rPr>
      <w:rFonts w:ascii="Times Armenian" w:hAnsi="Times Armenian"/>
    </w:rPr>
  </w:style>
  <w:style w:type="paragraph" w:customStyle="1" w:styleId="a">
    <w:name w:val="Стиль"/>
    <w:rsid w:val="005500EA"/>
    <w:pPr>
      <w:numPr>
        <w:numId w:val="7"/>
      </w:numPr>
      <w:tabs>
        <w:tab w:val="clear" w:pos="360"/>
      </w:tabs>
    </w:pPr>
    <w:rPr>
      <w:rFonts w:ascii="Baltica" w:hAnsi="Baltica"/>
      <w:lang w:eastAsia="ru-RU"/>
    </w:rPr>
  </w:style>
  <w:style w:type="paragraph" w:customStyle="1" w:styleId="ConsNormal">
    <w:name w:val="ConsNormal"/>
    <w:rsid w:val="005500EA"/>
    <w:pPr>
      <w:widowControl w:val="0"/>
      <w:autoSpaceDE w:val="0"/>
      <w:autoSpaceDN w:val="0"/>
      <w:adjustRightInd w:val="0"/>
      <w:ind w:firstLine="720"/>
    </w:pPr>
    <w:rPr>
      <w:rFonts w:ascii="Arial" w:hAnsi="Arial"/>
      <w:lang w:val="ru-RU"/>
    </w:rPr>
  </w:style>
  <w:style w:type="paragraph" w:customStyle="1" w:styleId="ListDash">
    <w:name w:val="List Dash"/>
    <w:basedOn w:val="Normal"/>
    <w:rsid w:val="005500EA"/>
    <w:pPr>
      <w:numPr>
        <w:numId w:val="5"/>
      </w:numPr>
      <w:spacing w:before="120" w:after="120"/>
    </w:pPr>
    <w:rPr>
      <w:szCs w:val="20"/>
      <w:lang w:val="en-GB"/>
    </w:rPr>
  </w:style>
  <w:style w:type="paragraph" w:customStyle="1" w:styleId="CharCharCharCharCharCharChar">
    <w:name w:val="Char Char Char Char Char Char Char"/>
    <w:basedOn w:val="Normal"/>
    <w:rsid w:val="005500EA"/>
    <w:pPr>
      <w:spacing w:after="160" w:line="240" w:lineRule="exact"/>
    </w:pPr>
    <w:rPr>
      <w:rFonts w:ascii="Arial" w:hAnsi="Arial" w:cs="Arial"/>
      <w:sz w:val="20"/>
      <w:szCs w:val="20"/>
    </w:rPr>
  </w:style>
  <w:style w:type="paragraph" w:customStyle="1" w:styleId="Default">
    <w:name w:val="Default"/>
    <w:rsid w:val="005500EA"/>
    <w:pPr>
      <w:widowControl w:val="0"/>
      <w:autoSpaceDE w:val="0"/>
      <w:autoSpaceDN w:val="0"/>
      <w:adjustRightInd w:val="0"/>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5500EA"/>
    <w:pPr>
      <w:numPr>
        <w:numId w:val="8"/>
      </w:numPr>
      <w:tabs>
        <w:tab w:val="clear" w:pos="643"/>
      </w:tabs>
      <w:ind w:left="0" w:firstLine="0"/>
    </w:pPr>
    <w:rPr>
      <w:rFonts w:ascii="Univers" w:hAnsi="Univers"/>
      <w:bCs/>
      <w:sz w:val="28"/>
      <w:szCs w:val="20"/>
      <w:lang w:val="en-GB"/>
    </w:rPr>
  </w:style>
  <w:style w:type="paragraph" w:styleId="ListBullet2">
    <w:name w:val="List Bullet 2"/>
    <w:basedOn w:val="Normal"/>
    <w:autoRedefine/>
    <w:rsid w:val="005500EA"/>
    <w:pPr>
      <w:numPr>
        <w:numId w:val="6"/>
      </w:numPr>
    </w:pPr>
  </w:style>
  <w:style w:type="paragraph" w:styleId="BodyTextFirstIndent">
    <w:name w:val="Body Text First Indent"/>
    <w:basedOn w:val="BodyText"/>
    <w:link w:val="BodyTextFirstIndentChar2"/>
    <w:rsid w:val="005500EA"/>
    <w:pPr>
      <w:ind w:firstLine="210"/>
    </w:pPr>
    <w:rPr>
      <w:lang w:val="ru-RU" w:eastAsia="ru-RU"/>
    </w:rPr>
  </w:style>
  <w:style w:type="character" w:customStyle="1" w:styleId="BodyTextFirstIndentChar2">
    <w:name w:val="Body Text First Indent Char2"/>
    <w:link w:val="BodyTextFirstIndent"/>
    <w:rsid w:val="005500EA"/>
    <w:rPr>
      <w:sz w:val="24"/>
      <w:szCs w:val="24"/>
      <w:lang w:val="ru-RU" w:eastAsia="ru-RU" w:bidi="ar-SA"/>
    </w:rPr>
  </w:style>
  <w:style w:type="paragraph" w:styleId="CommentSubject">
    <w:name w:val="annotation subject"/>
    <w:basedOn w:val="CommentText"/>
    <w:next w:val="CommentText"/>
    <w:link w:val="CommentSubjectChar2"/>
    <w:rsid w:val="005500EA"/>
    <w:rPr>
      <w:rFonts w:ascii="Courier New" w:hAnsi="Courier New"/>
      <w:b/>
      <w:bCs/>
      <w:lang w:val="en-US" w:eastAsia="en-US"/>
    </w:rPr>
  </w:style>
  <w:style w:type="character" w:customStyle="1" w:styleId="CommentSubjectChar2">
    <w:name w:val="Comment Subject Char2"/>
    <w:link w:val="CommentSubject"/>
    <w:rsid w:val="005500EA"/>
    <w:rPr>
      <w:rFonts w:ascii="Courier New" w:hAnsi="Courier New"/>
      <w:b/>
      <w:bCs/>
      <w:lang w:val="en-US" w:eastAsia="en-US" w:bidi="ar-SA"/>
    </w:rPr>
  </w:style>
  <w:style w:type="table" w:styleId="TableGrid8">
    <w:name w:val="Table Grid 8"/>
    <w:basedOn w:val="TableNormal"/>
    <w:rsid w:val="000540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540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basedOn w:val="DefaultParagraphFont"/>
    <w:rsid w:val="004A76FF"/>
  </w:style>
  <w:style w:type="paragraph" w:customStyle="1" w:styleId="CharCharCharChar">
    <w:name w:val="Char Char Char Char"/>
    <w:basedOn w:val="Normal"/>
    <w:rsid w:val="004A76FF"/>
    <w:pPr>
      <w:tabs>
        <w:tab w:val="num" w:pos="840"/>
      </w:tabs>
      <w:spacing w:after="160" w:line="240" w:lineRule="exact"/>
      <w:ind w:left="840" w:hanging="360"/>
    </w:pPr>
    <w:rPr>
      <w:rFonts w:ascii="Verdana" w:hAnsi="Verdana"/>
      <w:sz w:val="20"/>
      <w:szCs w:val="20"/>
      <w:lang w:val="ru-RU"/>
    </w:rPr>
  </w:style>
  <w:style w:type="paragraph" w:customStyle="1" w:styleId="a6">
    <w:name w:val="Знак Знак"/>
    <w:basedOn w:val="Normal"/>
    <w:link w:val="Char3"/>
    <w:rsid w:val="008E55EF"/>
    <w:pPr>
      <w:spacing w:after="160" w:line="240" w:lineRule="exact"/>
    </w:pPr>
    <w:rPr>
      <w:rFonts w:ascii="Arial" w:hAnsi="Arial" w:cs="Arial"/>
      <w:sz w:val="20"/>
      <w:szCs w:val="20"/>
      <w:lang w:val="en-GB"/>
    </w:rPr>
  </w:style>
  <w:style w:type="character" w:customStyle="1" w:styleId="Char3">
    <w:name w:val="Знак Знак Char"/>
    <w:link w:val="a6"/>
    <w:rsid w:val="00C35731"/>
    <w:rPr>
      <w:rFonts w:ascii="Arial" w:hAnsi="Arial" w:cs="Arial"/>
      <w:lang w:val="en-GB" w:eastAsia="en-US" w:bidi="ar-SA"/>
    </w:rPr>
  </w:style>
  <w:style w:type="paragraph" w:customStyle="1" w:styleId="a7">
    <w:name w:val="Заголовок таблицы"/>
    <w:basedOn w:val="a8"/>
    <w:rsid w:val="008E55EF"/>
    <w:pPr>
      <w:jc w:val="center"/>
    </w:pPr>
    <w:rPr>
      <w:b/>
    </w:rPr>
  </w:style>
  <w:style w:type="paragraph" w:customStyle="1" w:styleId="a8">
    <w:name w:val="Содержимое таблицы"/>
    <w:basedOn w:val="Normal"/>
    <w:rsid w:val="008E55EF"/>
    <w:pPr>
      <w:suppressLineNumbers/>
      <w:suppressAutoHyphens/>
    </w:pPr>
    <w:rPr>
      <w:szCs w:val="20"/>
    </w:rPr>
  </w:style>
  <w:style w:type="paragraph" w:customStyle="1" w:styleId="norm">
    <w:name w:val="norm"/>
    <w:basedOn w:val="Normal"/>
    <w:link w:val="normChar"/>
    <w:rsid w:val="008E55EF"/>
    <w:pPr>
      <w:spacing w:line="480" w:lineRule="auto"/>
      <w:ind w:firstLine="709"/>
    </w:pPr>
    <w:rPr>
      <w:rFonts w:ascii="Arial Armenian" w:hAnsi="Arial Armenian"/>
      <w:szCs w:val="20"/>
      <w:lang w:eastAsia="ru-RU"/>
    </w:rPr>
  </w:style>
  <w:style w:type="character" w:customStyle="1" w:styleId="normChar">
    <w:name w:val="norm Char"/>
    <w:link w:val="norm"/>
    <w:rsid w:val="008E55EF"/>
    <w:rPr>
      <w:rFonts w:ascii="Arial Armenian" w:hAnsi="Arial Armenian"/>
      <w:sz w:val="22"/>
      <w:lang w:val="en-US" w:eastAsia="ru-RU" w:bidi="ar-SA"/>
    </w:rPr>
  </w:style>
  <w:style w:type="paragraph" w:customStyle="1" w:styleId="a9">
    <w:name w:val="??????? ??????????"/>
    <w:basedOn w:val="a1"/>
    <w:rsid w:val="0029274A"/>
    <w:pPr>
      <w:tabs>
        <w:tab w:val="center" w:pos="4320"/>
        <w:tab w:val="right" w:pos="8640"/>
      </w:tabs>
    </w:pPr>
    <w:rPr>
      <w:rFonts w:ascii="Times Armenian" w:hAnsi="Times Armenian"/>
      <w:sz w:val="24"/>
      <w:lang w:val="en-US"/>
    </w:rPr>
  </w:style>
  <w:style w:type="paragraph" w:customStyle="1" w:styleId="BodyText22">
    <w:name w:val="Body Text 22"/>
    <w:basedOn w:val="Normal"/>
    <w:rsid w:val="0029274A"/>
    <w:pPr>
      <w:overflowPunct w:val="0"/>
      <w:autoSpaceDE w:val="0"/>
      <w:autoSpaceDN w:val="0"/>
      <w:adjustRightInd w:val="0"/>
      <w:textAlignment w:val="baseline"/>
    </w:pPr>
    <w:rPr>
      <w:rFonts w:ascii="Times LatArm" w:hAnsi="Times LatArm"/>
      <w:szCs w:val="20"/>
      <w:lang w:val="en-GB" w:eastAsia="ru-RU"/>
    </w:rPr>
  </w:style>
  <w:style w:type="paragraph" w:styleId="DocumentMap">
    <w:name w:val="Document Map"/>
    <w:basedOn w:val="Normal"/>
    <w:link w:val="DocumentMapChar1"/>
    <w:uiPriority w:val="99"/>
    <w:rsid w:val="0029274A"/>
    <w:pPr>
      <w:shd w:val="clear" w:color="auto" w:fill="000080"/>
      <w:overflowPunct w:val="0"/>
      <w:autoSpaceDE w:val="0"/>
      <w:autoSpaceDN w:val="0"/>
      <w:adjustRightInd w:val="0"/>
      <w:textAlignment w:val="baseline"/>
    </w:pPr>
    <w:rPr>
      <w:rFonts w:ascii="Tahoma" w:hAnsi="Tahoma"/>
      <w:szCs w:val="20"/>
      <w:lang w:val="en-GB" w:eastAsia="ru-RU"/>
    </w:rPr>
  </w:style>
  <w:style w:type="paragraph" w:customStyle="1" w:styleId="CharCharChar0">
    <w:name w:val="Char Char Char Знак Знак"/>
    <w:basedOn w:val="Normal"/>
    <w:rsid w:val="0029274A"/>
    <w:pPr>
      <w:spacing w:after="160" w:line="240" w:lineRule="exact"/>
    </w:pPr>
    <w:rPr>
      <w:rFonts w:ascii="Arial" w:hAnsi="Arial" w:cs="Arial"/>
      <w:sz w:val="20"/>
      <w:szCs w:val="20"/>
    </w:rPr>
  </w:style>
  <w:style w:type="paragraph" w:customStyle="1" w:styleId="CharChar0">
    <w:name w:val="Char Char"/>
    <w:basedOn w:val="Normal"/>
    <w:rsid w:val="0029274A"/>
    <w:pPr>
      <w:spacing w:after="160" w:line="240" w:lineRule="exact"/>
    </w:pPr>
    <w:rPr>
      <w:rFonts w:ascii="Arial" w:hAnsi="Arial" w:cs="Arial"/>
      <w:sz w:val="20"/>
      <w:szCs w:val="20"/>
    </w:rPr>
  </w:style>
  <w:style w:type="paragraph" w:customStyle="1" w:styleId="CharCharChar1">
    <w:name w:val="Char Char Char"/>
    <w:basedOn w:val="Normal"/>
    <w:rsid w:val="0029274A"/>
    <w:pPr>
      <w:spacing w:after="160" w:line="240" w:lineRule="exact"/>
    </w:pPr>
    <w:rPr>
      <w:rFonts w:ascii="Arial" w:hAnsi="Arial" w:cs="Arial"/>
      <w:sz w:val="20"/>
      <w:szCs w:val="20"/>
    </w:rPr>
  </w:style>
  <w:style w:type="paragraph" w:customStyle="1" w:styleId="Znak0">
    <w:name w:val="Znak"/>
    <w:basedOn w:val="Normal"/>
    <w:rsid w:val="0029274A"/>
    <w:pPr>
      <w:tabs>
        <w:tab w:val="left" w:pos="709"/>
      </w:tabs>
    </w:pPr>
    <w:rPr>
      <w:rFonts w:ascii="Tahoma" w:hAnsi="Tahoma"/>
      <w:lang w:val="pl-PL" w:eastAsia="pl-PL"/>
    </w:rPr>
  </w:style>
  <w:style w:type="paragraph" w:customStyle="1" w:styleId="CM31">
    <w:name w:val="CM31"/>
    <w:basedOn w:val="Default"/>
    <w:next w:val="Default"/>
    <w:rsid w:val="00B777C1"/>
    <w:pPr>
      <w:numPr>
        <w:numId w:val="4"/>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CC24F0"/>
    <w:pPr>
      <w:keepNext w:val="0"/>
      <w:keepLines w:val="0"/>
      <w:widowControl/>
      <w:overflowPunct w:val="0"/>
      <w:autoSpaceDE w:val="0"/>
      <w:autoSpaceDN w:val="0"/>
      <w:adjustRightInd w:val="0"/>
      <w:spacing w:after="120" w:line="240" w:lineRule="auto"/>
      <w:jc w:val="left"/>
      <w:textAlignment w:val="baseline"/>
    </w:pPr>
    <w:rPr>
      <w:rFonts w:ascii="Arial Armenian" w:hAnsi="Arial Armenian" w:cs="Times New Roman"/>
      <w:b/>
      <w:bCs/>
      <w:sz w:val="26"/>
      <w:szCs w:val="26"/>
      <w:lang w:val="en-US"/>
    </w:rPr>
  </w:style>
  <w:style w:type="character" w:customStyle="1" w:styleId="StyleCaptionTimesArmenian11ptChar">
    <w:name w:val="Style Caption + Times Armenian 11 pt Char"/>
    <w:link w:val="StyleCaptionTimesArmenian11pt"/>
    <w:rsid w:val="00CC24F0"/>
    <w:rPr>
      <w:rFonts w:ascii="Arial Armenian" w:hAnsi="Arial Armenian"/>
      <w:b/>
      <w:bCs/>
      <w:sz w:val="26"/>
      <w:szCs w:val="26"/>
      <w:lang w:val="en-US" w:eastAsia="en-US" w:bidi="ar-SA"/>
    </w:rPr>
  </w:style>
  <w:style w:type="paragraph" w:customStyle="1" w:styleId="StyleHeading120ptBlue">
    <w:name w:val="Style Heading 1 + 20 pt Blue"/>
    <w:basedOn w:val="Heading1"/>
    <w:rsid w:val="009E53F4"/>
    <w:pPr>
      <w:ind w:firstLine="720"/>
    </w:pPr>
    <w:rPr>
      <w:sz w:val="40"/>
      <w:szCs w:val="40"/>
      <w:lang w:val="en-GB"/>
    </w:rPr>
  </w:style>
  <w:style w:type="paragraph" w:customStyle="1" w:styleId="StyleHeading1TimesArmenian10ptNotBoldUnderline1">
    <w:name w:val="Style Heading 1 + Times Armenian 10 pt Not Bold Underline1"/>
    <w:basedOn w:val="Heading1"/>
    <w:autoRedefine/>
    <w:rsid w:val="001505CB"/>
    <w:pPr>
      <w:tabs>
        <w:tab w:val="center" w:pos="-180"/>
        <w:tab w:val="left" w:pos="450"/>
      </w:tabs>
    </w:pPr>
    <w:rPr>
      <w:rFonts w:cs="Sylfaen"/>
      <w:b w:val="0"/>
      <w:bCs w:val="0"/>
      <w:kern w:val="0"/>
      <w:sz w:val="24"/>
      <w:szCs w:val="24"/>
    </w:rPr>
  </w:style>
  <w:style w:type="paragraph" w:customStyle="1" w:styleId="CharCharCharCharCharCharCharCharCharChar">
    <w:name w:val="Char Char Char Char Char Char Char Char Char Char"/>
    <w:basedOn w:val="Normal"/>
    <w:rsid w:val="009E53F4"/>
    <w:pPr>
      <w:spacing w:after="160" w:line="240" w:lineRule="exact"/>
    </w:pPr>
    <w:rPr>
      <w:rFonts w:ascii="Arial" w:hAnsi="Arial" w:cs="Arial"/>
      <w:sz w:val="20"/>
      <w:szCs w:val="20"/>
    </w:rPr>
  </w:style>
  <w:style w:type="paragraph" w:customStyle="1" w:styleId="Titlechart">
    <w:name w:val="Title_chart"/>
    <w:basedOn w:val="Caption"/>
    <w:rsid w:val="004F7042"/>
    <w:pPr>
      <w:keepLines w:val="0"/>
      <w:widowControl/>
      <w:spacing w:after="60" w:line="240" w:lineRule="auto"/>
      <w:jc w:val="left"/>
    </w:pPr>
    <w:rPr>
      <w:bCs/>
      <w:sz w:val="22"/>
      <w:lang w:val="en-US" w:eastAsia="ru-RU"/>
    </w:rPr>
  </w:style>
  <w:style w:type="paragraph" w:customStyle="1" w:styleId="CharCharCharCharCharCharCharCharCharCharCharCharChar">
    <w:name w:val="Char Char Char Char Char Char Char Char Char Char Char Char Char"/>
    <w:basedOn w:val="Normal"/>
    <w:rsid w:val="004F7042"/>
    <w:pPr>
      <w:spacing w:after="160"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3B3657"/>
    <w:pPr>
      <w:spacing w:before="0" w:after="0"/>
    </w:pPr>
    <w:rPr>
      <w:rFonts w:cs="Times New Roman"/>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3B3657"/>
    <w:rPr>
      <w:rFonts w:ascii="GHEA Grapalat" w:hAnsi="GHEA Grapalat"/>
      <w:b/>
      <w:bCs/>
      <w:color w:val="002060"/>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278B1"/>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278B1"/>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autoRedefine/>
    <w:rsid w:val="004F0A98"/>
    <w:pPr>
      <w:spacing w:after="120"/>
      <w:ind w:right="302" w:firstLine="567"/>
    </w:pPr>
    <w:rPr>
      <w:bCs w:val="0"/>
      <w:color w:val="auto"/>
      <w:lang w:val="af-ZA" w:eastAsia="en-U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A57DA1"/>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A57DA1"/>
    <w:rPr>
      <w:rFonts w:ascii="GHEA Grapalat" w:hAnsi="GHEA Grapalat"/>
      <w:b/>
      <w:bCs/>
      <w:color w:val="002060"/>
      <w:kern w:val="32"/>
      <w:sz w:val="28"/>
      <w:szCs w:val="28"/>
      <w:lang w:val="es-ES" w:eastAsia="x-none"/>
    </w:rPr>
  </w:style>
  <w:style w:type="paragraph" w:customStyle="1" w:styleId="211">
    <w:name w:val="???????? ????? 21"/>
    <w:basedOn w:val="2"/>
    <w:rsid w:val="009E5A59"/>
    <w:pPr>
      <w:jc w:val="center"/>
    </w:pPr>
    <w:rPr>
      <w:b/>
      <w:sz w:val="28"/>
    </w:rPr>
  </w:style>
  <w:style w:type="paragraph" w:customStyle="1" w:styleId="aa">
    <w:name w:val="Абзац списка"/>
    <w:basedOn w:val="Normal"/>
    <w:qFormat/>
    <w:rsid w:val="00C35731"/>
    <w:pPr>
      <w:spacing w:after="200" w:line="276" w:lineRule="auto"/>
      <w:ind w:left="720"/>
      <w:contextualSpacing/>
    </w:pPr>
    <w:rPr>
      <w:rFonts w:ascii="Calibri" w:hAnsi="Calibri"/>
      <w:lang w:val="ru-RU" w:eastAsia="ru-RU"/>
    </w:rPr>
  </w:style>
  <w:style w:type="character" w:customStyle="1" w:styleId="apple-style-span">
    <w:name w:val="apple-style-span"/>
    <w:basedOn w:val="DefaultParagraphFont"/>
    <w:rsid w:val="00C35731"/>
  </w:style>
  <w:style w:type="paragraph" w:customStyle="1" w:styleId="mechtex">
    <w:name w:val="mechtex"/>
    <w:basedOn w:val="Normal"/>
    <w:link w:val="mechtexChar"/>
    <w:rsid w:val="00C35731"/>
    <w:pPr>
      <w:jc w:val="center"/>
    </w:pPr>
  </w:style>
  <w:style w:type="character" w:customStyle="1" w:styleId="mechtexChar">
    <w:name w:val="mechtex Char"/>
    <w:link w:val="mechtex"/>
    <w:locked/>
    <w:rsid w:val="00C35731"/>
    <w:rPr>
      <w:sz w:val="22"/>
      <w:szCs w:val="24"/>
      <w:lang w:val="en-US" w:eastAsia="en-US" w:bidi="ar-SA"/>
    </w:rPr>
  </w:style>
  <w:style w:type="paragraph" w:customStyle="1" w:styleId="Style15">
    <w:name w:val="Style1.5"/>
    <w:basedOn w:val="Normal"/>
    <w:rsid w:val="00C35731"/>
    <w:pPr>
      <w:ind w:firstLine="709"/>
    </w:pPr>
    <w:rPr>
      <w:rFonts w:ascii="Arial Armenian" w:hAnsi="Arial Armenian"/>
    </w:rPr>
  </w:style>
  <w:style w:type="paragraph" w:customStyle="1" w:styleId="russtyle">
    <w:name w:val="russtyle"/>
    <w:basedOn w:val="Normal"/>
    <w:rsid w:val="00C35731"/>
    <w:rPr>
      <w:rFonts w:ascii="Russian Baltica" w:hAnsi="Russian Baltica"/>
    </w:rPr>
  </w:style>
  <w:style w:type="paragraph" w:customStyle="1" w:styleId="Style2">
    <w:name w:val="Style2"/>
    <w:basedOn w:val="mechtex"/>
    <w:rsid w:val="00C35731"/>
    <w:rPr>
      <w:w w:val="90"/>
    </w:rPr>
  </w:style>
  <w:style w:type="paragraph" w:customStyle="1" w:styleId="Style3">
    <w:name w:val="Style3"/>
    <w:basedOn w:val="mechtex"/>
    <w:rsid w:val="00C35731"/>
    <w:rPr>
      <w:w w:val="90"/>
    </w:rPr>
  </w:style>
  <w:style w:type="paragraph" w:customStyle="1" w:styleId="Style6">
    <w:name w:val="Style6"/>
    <w:basedOn w:val="mechtex"/>
    <w:rsid w:val="00C35731"/>
  </w:style>
  <w:style w:type="paragraph" w:customStyle="1" w:styleId="1CharChar">
    <w:name w:val="Знак Знак1 Char Char Знак Знак"/>
    <w:basedOn w:val="Normal"/>
    <w:rsid w:val="00C35731"/>
    <w:pPr>
      <w:tabs>
        <w:tab w:val="num" w:pos="840"/>
      </w:tabs>
      <w:spacing w:after="160"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autoRedefine/>
    <w:rsid w:val="00C35731"/>
    <w:pPr>
      <w:spacing w:after="160" w:line="240" w:lineRule="exact"/>
    </w:pPr>
    <w:rPr>
      <w:sz w:val="28"/>
      <w:szCs w:val="20"/>
    </w:rPr>
  </w:style>
  <w:style w:type="paragraph" w:customStyle="1" w:styleId="CharCharCharCharCharCharCharCharCharCharCharCharChar0">
    <w:name w:val="Char Char Char Char Char Char Char Char Char Char Char Char Char"/>
    <w:basedOn w:val="Normal"/>
    <w:rsid w:val="00C35731"/>
    <w:pPr>
      <w:spacing w:after="160" w:line="240" w:lineRule="exact"/>
    </w:pPr>
    <w:rPr>
      <w:rFonts w:ascii="Arial" w:hAnsi="Arial" w:cs="Arial"/>
      <w:sz w:val="20"/>
      <w:szCs w:val="20"/>
    </w:rPr>
  </w:style>
  <w:style w:type="paragraph" w:customStyle="1" w:styleId="ab">
    <w:name w:val="Обычный"/>
    <w:rsid w:val="00C35731"/>
    <w:pPr>
      <w:autoSpaceDE w:val="0"/>
      <w:autoSpaceDN w:val="0"/>
    </w:pPr>
    <w:rPr>
      <w:lang w:val="ru-RU" w:eastAsia="ru-RU"/>
    </w:rPr>
  </w:style>
  <w:style w:type="paragraph" w:customStyle="1" w:styleId="Char4">
    <w:name w:val="Знак Знак Знак Знак Знак Знак Знак Знак Знак Знак Знак Знак Знак Знак Знак Знак Знак Знак Char Знак Знак"/>
    <w:basedOn w:val="Normal"/>
    <w:autoRedefine/>
    <w:rsid w:val="00C35731"/>
    <w:pPr>
      <w:spacing w:after="160" w:line="240" w:lineRule="exact"/>
    </w:pPr>
    <w:rPr>
      <w:sz w:val="28"/>
      <w:szCs w:val="20"/>
    </w:rPr>
  </w:style>
  <w:style w:type="paragraph" w:customStyle="1" w:styleId="TitlePageHeader">
    <w:name w:val="TitlePage_Header"/>
    <w:basedOn w:val="Normal"/>
    <w:rsid w:val="00C35731"/>
    <w:pPr>
      <w:spacing w:before="240" w:after="240" w:line="288" w:lineRule="auto"/>
      <w:ind w:left="3240"/>
    </w:pPr>
    <w:rPr>
      <w:rFonts w:ascii="Verdana" w:hAnsi="Verdana"/>
      <w:b/>
      <w:sz w:val="32"/>
      <w:szCs w:val="20"/>
      <w:lang w:eastAsia="fr-FR"/>
    </w:rPr>
  </w:style>
  <w:style w:type="character" w:customStyle="1" w:styleId="t101">
    <w:name w:val="t101"/>
    <w:rsid w:val="00C35731"/>
    <w:rPr>
      <w:b/>
      <w:bCs/>
      <w:color w:val="0000FF"/>
    </w:rPr>
  </w:style>
  <w:style w:type="paragraph" w:customStyle="1" w:styleId="Char5">
    <w:name w:val="Знак Знак Знак Знак Знак Знак Знак Знак Знак Знак Знак Знак Знак Знак Знак Знак Знак Знак Char Знак Знак"/>
    <w:basedOn w:val="Normal"/>
    <w:autoRedefine/>
    <w:rsid w:val="00C35731"/>
    <w:pPr>
      <w:spacing w:after="160" w:line="240" w:lineRule="exact"/>
    </w:pPr>
    <w:rPr>
      <w:sz w:val="28"/>
      <w:szCs w:val="20"/>
    </w:rPr>
  </w:style>
  <w:style w:type="paragraph" w:customStyle="1" w:styleId="Char1CharCharCharCharCharCharCharCharCharCharCharChar">
    <w:name w:val="Char1 Char Char Char Char Char Char Char Char Char Char Char Char"/>
    <w:basedOn w:val="Normal"/>
    <w:rsid w:val="00C35731"/>
    <w:pPr>
      <w:widowControl w:val="0"/>
      <w:autoSpaceDE w:val="0"/>
      <w:autoSpaceDN w:val="0"/>
      <w:adjustRightInd w:val="0"/>
      <w:spacing w:after="160"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C35731"/>
    <w:pPr>
      <w:spacing w:after="160" w:line="240" w:lineRule="exact"/>
    </w:pPr>
    <w:rPr>
      <w:rFonts w:ascii="Arial" w:hAnsi="Arial" w:cs="Arial"/>
      <w:sz w:val="20"/>
      <w:szCs w:val="20"/>
    </w:rPr>
  </w:style>
  <w:style w:type="paragraph" w:customStyle="1" w:styleId="Style4">
    <w:name w:val="Style 4"/>
    <w:basedOn w:val="Normal"/>
    <w:rsid w:val="00C35731"/>
    <w:pPr>
      <w:numPr>
        <w:numId w:val="2"/>
      </w:numPr>
      <w:spacing w:after="240" w:line="240" w:lineRule="atLeast"/>
    </w:pPr>
    <w:rPr>
      <w:rFonts w:ascii="Garamond" w:hAnsi="Garamond"/>
      <w:szCs w:val="20"/>
    </w:rPr>
  </w:style>
  <w:style w:type="paragraph" w:customStyle="1" w:styleId="NormalWeb1">
    <w:name w:val="Normal (Web)1"/>
    <w:basedOn w:val="Normal"/>
    <w:rsid w:val="00C35731"/>
    <w:pPr>
      <w:spacing w:before="100" w:beforeAutospacing="1" w:after="100" w:afterAutospacing="1"/>
    </w:pPr>
    <w:rPr>
      <w:lang w:val="ru-RU" w:eastAsia="ru-RU"/>
    </w:rPr>
  </w:style>
  <w:style w:type="paragraph" w:customStyle="1" w:styleId="CharCharChar2">
    <w:name w:val="Char Char Char Знак"/>
    <w:basedOn w:val="Normal"/>
    <w:next w:val="Normal"/>
    <w:rsid w:val="00C35731"/>
    <w:pPr>
      <w:spacing w:after="160" w:line="240" w:lineRule="exact"/>
    </w:pPr>
    <w:rPr>
      <w:rFonts w:ascii="Tahoma" w:hAnsi="Tahoma"/>
      <w:szCs w:val="20"/>
    </w:rPr>
  </w:style>
  <w:style w:type="paragraph" w:customStyle="1" w:styleId="CharCharChar1Char">
    <w:name w:val="Char Char Char1 Char"/>
    <w:basedOn w:val="Normal"/>
    <w:rsid w:val="00C35731"/>
    <w:pPr>
      <w:spacing w:after="160" w:line="240" w:lineRule="exact"/>
    </w:pPr>
    <w:rPr>
      <w:rFonts w:ascii="Arial" w:hAnsi="Arial" w:cs="Arial"/>
      <w:sz w:val="20"/>
      <w:szCs w:val="20"/>
    </w:rPr>
  </w:style>
  <w:style w:type="paragraph" w:customStyle="1" w:styleId="CharCharChar3">
    <w:name w:val="Char Char Char Знак"/>
    <w:basedOn w:val="Normal"/>
    <w:next w:val="Normal"/>
    <w:rsid w:val="00C35731"/>
    <w:pPr>
      <w:spacing w:after="160" w:line="240" w:lineRule="exact"/>
    </w:pPr>
    <w:rPr>
      <w:rFonts w:ascii="Tahoma" w:hAnsi="Tahoma"/>
      <w:szCs w:val="20"/>
    </w:rPr>
  </w:style>
  <w:style w:type="paragraph" w:customStyle="1" w:styleId="14">
    <w:name w:val="Знак Знак1"/>
    <w:basedOn w:val="Normal"/>
    <w:rsid w:val="00C35731"/>
    <w:pPr>
      <w:spacing w:after="160" w:line="240" w:lineRule="exact"/>
    </w:pPr>
    <w:rPr>
      <w:rFonts w:ascii="Arial" w:eastAsia="MS Mincho" w:hAnsi="Arial" w:cs="Arial"/>
      <w:sz w:val="20"/>
      <w:szCs w:val="20"/>
    </w:rPr>
  </w:style>
  <w:style w:type="paragraph" w:customStyle="1" w:styleId="Graphic">
    <w:name w:val="Graphic"/>
    <w:basedOn w:val="Heading2"/>
    <w:rsid w:val="00CE3E93"/>
    <w:pPr>
      <w:widowControl/>
      <w:tabs>
        <w:tab w:val="clear" w:pos="993"/>
      </w:tabs>
      <w:overflowPunct w:val="0"/>
      <w:autoSpaceDE w:val="0"/>
      <w:autoSpaceDN w:val="0"/>
      <w:adjustRightInd w:val="0"/>
      <w:spacing w:after="130"/>
      <w:ind w:firstLine="0"/>
      <w:contextualSpacing w:val="0"/>
      <w:jc w:val="center"/>
      <w:textAlignment w:val="baseline"/>
      <w:outlineLvl w:val="9"/>
    </w:pPr>
    <w:rPr>
      <w:rFonts w:ascii="Times New Roman" w:hAnsi="Times New Roman" w:cs="Times New Roman"/>
      <w:bCs/>
      <w:iCs/>
      <w:sz w:val="22"/>
      <w:lang w:val="en-GB" w:eastAsia="en-US"/>
    </w:rPr>
  </w:style>
  <w:style w:type="paragraph" w:styleId="ListContinue2">
    <w:name w:val="List Continue 2"/>
    <w:basedOn w:val="Normal"/>
    <w:rsid w:val="00CE3E93"/>
    <w:pPr>
      <w:spacing w:after="120"/>
      <w:ind w:left="720"/>
    </w:pPr>
  </w:style>
  <w:style w:type="paragraph" w:customStyle="1" w:styleId="GlossaryHeader">
    <w:name w:val="Glossary Header"/>
    <w:next w:val="Normal"/>
    <w:rsid w:val="00CE3E93"/>
    <w:pPr>
      <w:pageBreakBefore/>
      <w:overflowPunct w:val="0"/>
      <w:autoSpaceDE w:val="0"/>
      <w:autoSpaceDN w:val="0"/>
      <w:adjustRightInd w:val="0"/>
      <w:textAlignment w:val="baseline"/>
    </w:pPr>
    <w:rPr>
      <w:noProof/>
      <w:sz w:val="36"/>
      <w:lang w:val="en-GB"/>
    </w:rPr>
  </w:style>
  <w:style w:type="paragraph" w:customStyle="1" w:styleId="font5">
    <w:name w:val="font5"/>
    <w:basedOn w:val="Normal"/>
    <w:rsid w:val="00CE3E93"/>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CE3E93"/>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CE3E93"/>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CE3E93"/>
    <w:pPr>
      <w:spacing w:before="100" w:beforeAutospacing="1" w:after="100" w:afterAutospacing="1"/>
    </w:pPr>
    <w:rPr>
      <w:rFonts w:ascii="Times Armenian" w:hAnsi="Times Armenian"/>
      <w:color w:val="000000"/>
    </w:rPr>
  </w:style>
  <w:style w:type="paragraph" w:customStyle="1" w:styleId="font10">
    <w:name w:val="font10"/>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CE3E93"/>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CE3E93"/>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CE3E93"/>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CE3E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CE3E93"/>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CE3E93"/>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CE3E93"/>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CE3E93"/>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CE3E93"/>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CE3E93"/>
    <w:pPr>
      <w:spacing w:before="100" w:beforeAutospacing="1" w:after="100" w:afterAutospacing="1"/>
      <w:jc w:val="center"/>
      <w:textAlignment w:val="center"/>
    </w:pPr>
    <w:rPr>
      <w:rFonts w:ascii="Calibri" w:hAnsi="Calibri"/>
    </w:rPr>
  </w:style>
  <w:style w:type="paragraph" w:customStyle="1" w:styleId="xl155">
    <w:name w:val="xl155"/>
    <w:basedOn w:val="Normal"/>
    <w:rsid w:val="00CE3E93"/>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CE3E93"/>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CE3E93"/>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CE3E93"/>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CE3E93"/>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CE3E93"/>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CE3E93"/>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CE3E93"/>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CE3E93"/>
    <w:pPr>
      <w:spacing w:after="240"/>
    </w:pPr>
    <w:rPr>
      <w:rFonts w:ascii="Arial AM" w:hAnsi="Arial AM"/>
      <w:spacing w:val="-5"/>
      <w:szCs w:val="20"/>
      <w:lang w:val="en-GB"/>
    </w:rPr>
  </w:style>
  <w:style w:type="character" w:customStyle="1" w:styleId="FooterChar">
    <w:name w:val="Footer Char"/>
    <w:uiPriority w:val="99"/>
    <w:rsid w:val="00CE3E93"/>
    <w:rPr>
      <w:sz w:val="24"/>
      <w:szCs w:val="24"/>
    </w:rPr>
  </w:style>
  <w:style w:type="paragraph" w:customStyle="1" w:styleId="CharCharCharCharChar">
    <w:name w:val="Char Char Char Char Char Знак Знак"/>
    <w:basedOn w:val="Normal"/>
    <w:rsid w:val="00CE3E93"/>
    <w:pPr>
      <w:spacing w:after="160" w:line="240" w:lineRule="exact"/>
    </w:pPr>
    <w:rPr>
      <w:rFonts w:ascii="Arial" w:hAnsi="Arial" w:cs="Arial"/>
      <w:sz w:val="20"/>
      <w:szCs w:val="20"/>
    </w:rPr>
  </w:style>
  <w:style w:type="paragraph" w:customStyle="1" w:styleId="CharChar1CharCharChar1Char">
    <w:name w:val="Char Char1 Char Char Char1 Char"/>
    <w:basedOn w:val="Normal"/>
    <w:autoRedefine/>
    <w:rsid w:val="00CE3E93"/>
    <w:rPr>
      <w:rFonts w:eastAsia="SimSun"/>
      <w:sz w:val="20"/>
      <w:szCs w:val="20"/>
      <w:lang w:eastAsia="ru-RU"/>
    </w:rPr>
  </w:style>
  <w:style w:type="character" w:styleId="Emphasis">
    <w:name w:val="Emphasis"/>
    <w:qFormat/>
    <w:rsid w:val="00CE3E93"/>
    <w:rPr>
      <w:i/>
      <w:iCs/>
    </w:rPr>
  </w:style>
  <w:style w:type="paragraph" w:customStyle="1" w:styleId="4">
    <w:name w:val="Знак Знак4"/>
    <w:basedOn w:val="Normal"/>
    <w:rsid w:val="00CE3E93"/>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011E91"/>
    <w:pPr>
      <w:spacing w:after="160" w:line="240" w:lineRule="exact"/>
    </w:pPr>
    <w:rPr>
      <w:rFonts w:ascii="Arial" w:hAnsi="Arial" w:cs="Arial"/>
      <w:sz w:val="20"/>
      <w:szCs w:val="20"/>
    </w:rPr>
  </w:style>
  <w:style w:type="character" w:customStyle="1" w:styleId="BodyTextFirstIndentChar">
    <w:name w:val="Body Text First Indent Char"/>
    <w:rsid w:val="00011E91"/>
    <w:rPr>
      <w:rFonts w:ascii="Times Armenian" w:hAnsi="Times Armenian"/>
      <w:sz w:val="24"/>
      <w:szCs w:val="24"/>
      <w:lang w:val="ru-RU" w:eastAsia="ru-RU" w:bidi="ar-SA"/>
    </w:rPr>
  </w:style>
  <w:style w:type="character" w:customStyle="1" w:styleId="CommentSubjectChar">
    <w:name w:val="Comment Subject Char"/>
    <w:uiPriority w:val="99"/>
    <w:rsid w:val="00011E91"/>
    <w:rPr>
      <w:rFonts w:ascii="Courier New" w:hAnsi="Courier New"/>
      <w:b/>
      <w:bCs/>
      <w:sz w:val="24"/>
      <w:szCs w:val="24"/>
      <w:lang w:val="en-US" w:eastAsia="en-US" w:bidi="ar-SA"/>
    </w:rPr>
  </w:style>
  <w:style w:type="paragraph" w:customStyle="1" w:styleId="Char6">
    <w:name w:val="Знак Char Знак"/>
    <w:basedOn w:val="Normal"/>
    <w:rsid w:val="00011E91"/>
    <w:pPr>
      <w:spacing w:after="160"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autoRedefine/>
    <w:rsid w:val="00011E91"/>
    <w:pPr>
      <w:spacing w:after="160" w:line="240" w:lineRule="exact"/>
    </w:pPr>
    <w:rPr>
      <w:sz w:val="28"/>
      <w:szCs w:val="20"/>
    </w:rPr>
  </w:style>
  <w:style w:type="character" w:customStyle="1" w:styleId="longtext">
    <w:name w:val="long_text"/>
    <w:basedOn w:val="DefaultParagraphFont"/>
    <w:rsid w:val="00201348"/>
  </w:style>
  <w:style w:type="paragraph" w:customStyle="1" w:styleId="hodvats">
    <w:name w:val="hodvats"/>
    <w:basedOn w:val="Normal"/>
    <w:rsid w:val="00201348"/>
    <w:pPr>
      <w:tabs>
        <w:tab w:val="left" w:pos="993"/>
        <w:tab w:val="left" w:pos="1985"/>
      </w:tabs>
      <w:spacing w:before="113" w:after="57" w:line="220" w:lineRule="exact"/>
      <w:ind w:firstLine="397"/>
    </w:pPr>
    <w:rPr>
      <w:rFonts w:ascii="Dallak Helv" w:hAnsi="Dallak Helv"/>
      <w:b/>
      <w:noProof/>
      <w:sz w:val="18"/>
      <w:szCs w:val="20"/>
    </w:rPr>
  </w:style>
  <w:style w:type="character" w:customStyle="1" w:styleId="FooterChar1">
    <w:name w:val="Footer Char1"/>
    <w:locked/>
    <w:rsid w:val="00201348"/>
    <w:rPr>
      <w:sz w:val="22"/>
      <w:lang w:val="en-GB" w:eastAsia="en-US" w:bidi="ar-SA"/>
    </w:rPr>
  </w:style>
  <w:style w:type="character" w:customStyle="1" w:styleId="CharChar15">
    <w:name w:val="Char Char15"/>
    <w:locked/>
    <w:rsid w:val="00201348"/>
    <w:rPr>
      <w:rFonts w:ascii="Cambria" w:hAnsi="Cambria"/>
      <w:b/>
      <w:bCs/>
      <w:kern w:val="32"/>
      <w:sz w:val="32"/>
      <w:szCs w:val="32"/>
      <w:lang w:val="fr-FR" w:eastAsia="en-US" w:bidi="ar-SA"/>
    </w:rPr>
  </w:style>
  <w:style w:type="paragraph" w:customStyle="1" w:styleId="24">
    <w:name w:val="Знак Знак2"/>
    <w:basedOn w:val="Normal"/>
    <w:rsid w:val="00201348"/>
    <w:pPr>
      <w:spacing w:after="160" w:line="240" w:lineRule="exact"/>
    </w:pPr>
    <w:rPr>
      <w:rFonts w:ascii="Arial" w:hAnsi="Arial" w:cs="Arial"/>
      <w:sz w:val="20"/>
      <w:szCs w:val="20"/>
    </w:rPr>
  </w:style>
  <w:style w:type="paragraph" w:customStyle="1" w:styleId="CharCharCharCharChar0">
    <w:name w:val="Char Char Char Char Char"/>
    <w:basedOn w:val="Normal"/>
    <w:rsid w:val="00201348"/>
    <w:pPr>
      <w:spacing w:after="160"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C32F85"/>
    <w:pPr>
      <w:spacing w:after="160" w:line="240" w:lineRule="exact"/>
    </w:pPr>
    <w:rPr>
      <w:rFonts w:ascii="Arial" w:hAnsi="Arial" w:cs="Arial"/>
      <w:sz w:val="20"/>
      <w:szCs w:val="20"/>
    </w:rPr>
  </w:style>
  <w:style w:type="character" w:customStyle="1" w:styleId="CharChar10">
    <w:name w:val="Char Char10"/>
    <w:locked/>
    <w:rsid w:val="00EA5436"/>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autoRedefine/>
    <w:rsid w:val="00D868AF"/>
    <w:pPr>
      <w:spacing w:before="120" w:after="120"/>
    </w:pPr>
    <w:rPr>
      <w:rFonts w:ascii="Arial Unicode" w:hAnsi="Arial Unicode"/>
      <w:lang w:eastAsia="en-US"/>
    </w:rPr>
  </w:style>
  <w:style w:type="character" w:customStyle="1" w:styleId="StyleHeading4CentredArialUnicode105ptChar">
    <w:name w:val="Style Heading 4Centred + Arial Unicode 10.5 pt Char"/>
    <w:link w:val="StyleHeading4CentredArialUnicode105pt"/>
    <w:rsid w:val="00D868AF"/>
    <w:rPr>
      <w:rFonts w:ascii="Arial Unicode" w:hAnsi="Arial Unicode" w:cs="Times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C85162"/>
    <w:pPr>
      <w:tabs>
        <w:tab w:val="clear" w:pos="624"/>
        <w:tab w:val="left" w:pos="360"/>
      </w:tabs>
      <w:spacing w:before="240" w:after="240"/>
      <w:ind w:right="0"/>
    </w:pPr>
    <w:rPr>
      <w:rFonts w:cs="Times New Roman"/>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BA094A"/>
    <w:pPr>
      <w:spacing w:before="120"/>
    </w:pPr>
    <w:rPr>
      <w:bCs/>
      <w:iCs w:val="0"/>
      <w:spacing w:val="24"/>
      <w:kern w:val="28"/>
      <w:sz w:val="24"/>
      <w:szCs w:val="24"/>
      <w:lang w:eastAsia="x-none"/>
    </w:rPr>
  </w:style>
  <w:style w:type="character" w:customStyle="1" w:styleId="StyleStyleHeading2ChapterParanumTextSylfaen1ArialUniChar">
    <w:name w:val="Style Style Heading 2.(Chapter).Paranum.Text + Sylfaen1 + Arial Uni... Char"/>
    <w:link w:val="StyleStyleHeading2ChapterParanumTextSylfaen1ArialUni"/>
    <w:rsid w:val="00BA094A"/>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D868AF"/>
  </w:style>
  <w:style w:type="paragraph" w:customStyle="1" w:styleId="StyleStyleHeading2ChapterParanumTextSylfaen1ArialUni1">
    <w:name w:val="Style Style Heading 2.(Chapter).Paranum.Text + Sylfaen1 + Arial Uni...1"/>
    <w:basedOn w:val="StyleHeading2ChapterParanumTextSylfaen1"/>
    <w:autoRedefine/>
    <w:rsid w:val="00A46D7C"/>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C2389E"/>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E927DD"/>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E927DD"/>
    <w:rPr>
      <w:rFonts w:ascii="GHEA Grapalat" w:hAnsi="GHEA Grapalat"/>
      <w:b/>
      <w:bCs/>
      <w:spacing w:val="24"/>
      <w:kern w:val="28"/>
      <w:sz w:val="22"/>
      <w:szCs w:val="22"/>
      <w:lang w:val="pt-BR" w:eastAsia="en-US" w:bidi="ar-SA"/>
    </w:rPr>
  </w:style>
  <w:style w:type="character" w:customStyle="1" w:styleId="CharChar18">
    <w:name w:val="Char Char18"/>
    <w:rsid w:val="009027D1"/>
    <w:rPr>
      <w:rFonts w:ascii="Arial Armenian" w:eastAsia="Times New Roman" w:hAnsi="Arial Armenian"/>
      <w:i/>
      <w:sz w:val="22"/>
      <w:u w:val="single"/>
      <w:lang w:val="en-GB"/>
    </w:rPr>
  </w:style>
  <w:style w:type="character" w:customStyle="1" w:styleId="FontStyle29">
    <w:name w:val="Font Style29"/>
    <w:rsid w:val="009027D1"/>
    <w:rPr>
      <w:rFonts w:ascii="Tahoma" w:hAnsi="Tahoma" w:cs="Tahoma"/>
      <w:color w:val="000000"/>
      <w:sz w:val="16"/>
      <w:szCs w:val="16"/>
    </w:rPr>
  </w:style>
  <w:style w:type="character" w:customStyle="1" w:styleId="CharChar19">
    <w:name w:val="Char Char19"/>
    <w:rsid w:val="00DE74C4"/>
    <w:rPr>
      <w:b/>
      <w:sz w:val="32"/>
      <w:lang w:val="en-GB" w:eastAsia="en-US" w:bidi="ar-SA"/>
    </w:rPr>
  </w:style>
  <w:style w:type="paragraph" w:customStyle="1" w:styleId="rmcptlkhmsonormal">
    <w:name w:val="rmcptlkh msonormal"/>
    <w:basedOn w:val="Normal"/>
    <w:rsid w:val="00DE74C4"/>
    <w:pPr>
      <w:spacing w:before="100" w:beforeAutospacing="1" w:after="100" w:afterAutospacing="1"/>
    </w:pPr>
    <w:rPr>
      <w:rFonts w:eastAsia="Batang"/>
      <w:lang w:val="ru-RU" w:eastAsia="ko-KR"/>
    </w:rPr>
  </w:style>
  <w:style w:type="character" w:customStyle="1" w:styleId="CharChar21">
    <w:name w:val="Char Char21"/>
    <w:rsid w:val="00DE74C4"/>
    <w:rPr>
      <w:rFonts w:ascii="Arial Armenian" w:hAnsi="Arial Armenian"/>
      <w:i/>
      <w:sz w:val="22"/>
      <w:u w:val="single"/>
      <w:lang w:val="en-GB" w:eastAsia="en-US" w:bidi="ar-SA"/>
    </w:rPr>
  </w:style>
  <w:style w:type="character" w:customStyle="1" w:styleId="CharChar20">
    <w:name w:val="Char Char20"/>
    <w:rsid w:val="00DE74C4"/>
    <w:rPr>
      <w:rFonts w:ascii="Garamond" w:hAnsi="Garamond"/>
      <w:i/>
      <w:spacing w:val="-5"/>
      <w:sz w:val="28"/>
      <w:lang w:val="en-GB" w:eastAsia="en-US" w:bidi="ar-SA"/>
    </w:rPr>
  </w:style>
  <w:style w:type="paragraph" w:styleId="Revision">
    <w:name w:val="Revision"/>
    <w:hidden/>
    <w:uiPriority w:val="99"/>
    <w:semiHidden/>
    <w:rsid w:val="00A6758D"/>
    <w:rPr>
      <w:rFonts w:ascii="Arial Armenian" w:hAnsi="Arial Armenian" w:cs="Sylfaen"/>
      <w:sz w:val="24"/>
      <w:szCs w:val="24"/>
      <w:lang w:val="ru-RU" w:eastAsia="ru-RU"/>
    </w:rPr>
  </w:style>
  <w:style w:type="paragraph" w:customStyle="1" w:styleId="CM33">
    <w:name w:val="CM33"/>
    <w:basedOn w:val="Normal"/>
    <w:next w:val="Normal"/>
    <w:rsid w:val="00A6758D"/>
    <w:pPr>
      <w:widowControl w:val="0"/>
      <w:autoSpaceDE w:val="0"/>
      <w:autoSpaceDN w:val="0"/>
      <w:adjustRightInd w:val="0"/>
      <w:spacing w:after="343"/>
    </w:pPr>
    <w:rPr>
      <w:rFonts w:ascii="Arial Armenian" w:hAnsi="Arial Armenian" w:cs="Arial Armenian"/>
    </w:rPr>
  </w:style>
  <w:style w:type="paragraph" w:customStyle="1" w:styleId="CharCharCharCharCharCharCharChar0">
    <w:name w:val="Char Char Char Char Char Char Char Char"/>
    <w:basedOn w:val="Normal"/>
    <w:rsid w:val="004E3CFA"/>
    <w:pPr>
      <w:spacing w:after="160" w:line="240" w:lineRule="exact"/>
    </w:pPr>
    <w:rPr>
      <w:rFonts w:ascii="Arial" w:hAnsi="Arial" w:cs="Arial"/>
      <w:sz w:val="20"/>
      <w:szCs w:val="20"/>
    </w:rPr>
  </w:style>
  <w:style w:type="paragraph" w:customStyle="1" w:styleId="CharCharCharCharCharCharCharCharCharCharCharCharCharCharChar0">
    <w:name w:val="Char Char Char Char Знак Char Знак Char Char Char Char Char Char Char Char Char Char"/>
    <w:basedOn w:val="Normal"/>
    <w:rsid w:val="004E3CFA"/>
    <w:pPr>
      <w:tabs>
        <w:tab w:val="left" w:pos="709"/>
      </w:tabs>
    </w:pPr>
    <w:rPr>
      <w:rFonts w:ascii="Tahoma" w:hAnsi="Tahoma"/>
      <w:lang w:val="pl-PL" w:eastAsia="pl-PL"/>
    </w:rPr>
  </w:style>
  <w:style w:type="paragraph" w:customStyle="1" w:styleId="CharCharCharCharCharCharChar0">
    <w:name w:val="Char Char Char Char Char Char Char"/>
    <w:basedOn w:val="Normal"/>
    <w:rsid w:val="004E3CFA"/>
    <w:pPr>
      <w:spacing w:after="160" w:line="240" w:lineRule="exact"/>
    </w:pPr>
    <w:rPr>
      <w:rFonts w:ascii="Arial" w:hAnsi="Arial" w:cs="Arial"/>
      <w:sz w:val="20"/>
      <w:szCs w:val="20"/>
    </w:rPr>
  </w:style>
  <w:style w:type="paragraph" w:customStyle="1" w:styleId="CharCharChar4">
    <w:name w:val="Char Char Char Знак Знак"/>
    <w:basedOn w:val="Normal"/>
    <w:rsid w:val="004E3CFA"/>
    <w:pPr>
      <w:spacing w:after="160" w:line="240" w:lineRule="exact"/>
    </w:pPr>
    <w:rPr>
      <w:rFonts w:ascii="Arial" w:hAnsi="Arial" w:cs="Arial"/>
      <w:sz w:val="20"/>
      <w:szCs w:val="20"/>
    </w:rPr>
  </w:style>
  <w:style w:type="paragraph" w:customStyle="1" w:styleId="CharCharCharCharCharCharCharCharCharChar0">
    <w:name w:val="Char Char Char Char Char Char Char Char Char Char"/>
    <w:basedOn w:val="Normal"/>
    <w:rsid w:val="004E3CFA"/>
    <w:pPr>
      <w:spacing w:after="160" w:line="240" w:lineRule="exact"/>
    </w:pPr>
    <w:rPr>
      <w:rFonts w:ascii="Arial" w:hAnsi="Arial" w:cs="Arial"/>
      <w:sz w:val="20"/>
      <w:szCs w:val="20"/>
    </w:rPr>
  </w:style>
  <w:style w:type="paragraph" w:customStyle="1" w:styleId="1CharChar0">
    <w:name w:val="Знак Знак1 Char Char Знак Знак"/>
    <w:basedOn w:val="Normal"/>
    <w:rsid w:val="004E3CFA"/>
    <w:pPr>
      <w:tabs>
        <w:tab w:val="num" w:pos="840"/>
      </w:tabs>
      <w:spacing w:after="160" w:line="240" w:lineRule="exact"/>
      <w:ind w:left="840" w:hanging="360"/>
    </w:pPr>
    <w:rPr>
      <w:rFonts w:ascii="Verdana" w:hAnsi="Verdana"/>
      <w:sz w:val="20"/>
      <w:szCs w:val="20"/>
      <w:lang w:val="ru-RU"/>
    </w:rPr>
  </w:style>
  <w:style w:type="paragraph" w:customStyle="1" w:styleId="CharCharCharChar1">
    <w:name w:val="Знак Знак Char Char Знак Знак Char Char Знак Знак"/>
    <w:basedOn w:val="Normal"/>
    <w:autoRedefine/>
    <w:rsid w:val="004E3CFA"/>
    <w:pPr>
      <w:spacing w:after="160" w:line="240" w:lineRule="exact"/>
    </w:pPr>
    <w:rPr>
      <w:sz w:val="28"/>
      <w:szCs w:val="20"/>
    </w:rPr>
  </w:style>
  <w:style w:type="paragraph" w:customStyle="1" w:styleId="CharCharChar1Char0">
    <w:name w:val="Char Char Char1 Char"/>
    <w:basedOn w:val="Normal"/>
    <w:rsid w:val="004E3CFA"/>
    <w:pPr>
      <w:spacing w:after="160" w:line="240" w:lineRule="exact"/>
    </w:pPr>
    <w:rPr>
      <w:rFonts w:ascii="Arial" w:hAnsi="Arial" w:cs="Arial"/>
      <w:sz w:val="20"/>
      <w:szCs w:val="20"/>
    </w:rPr>
  </w:style>
  <w:style w:type="paragraph" w:customStyle="1" w:styleId="15">
    <w:name w:val="Знак Знак1"/>
    <w:basedOn w:val="Normal"/>
    <w:rsid w:val="004E3CFA"/>
    <w:pPr>
      <w:spacing w:after="160" w:line="240" w:lineRule="exact"/>
    </w:pPr>
    <w:rPr>
      <w:rFonts w:ascii="Arial" w:eastAsia="MS Mincho" w:hAnsi="Arial" w:cs="Arial"/>
      <w:sz w:val="20"/>
      <w:szCs w:val="20"/>
    </w:rPr>
  </w:style>
  <w:style w:type="paragraph" w:customStyle="1" w:styleId="CharCharCharCharChar1">
    <w:name w:val="Char Char Char Char Char Знак Знак"/>
    <w:basedOn w:val="Normal"/>
    <w:rsid w:val="004E3CFA"/>
    <w:pPr>
      <w:spacing w:after="160" w:line="240" w:lineRule="exact"/>
    </w:pPr>
    <w:rPr>
      <w:rFonts w:ascii="Arial" w:hAnsi="Arial" w:cs="Arial"/>
      <w:sz w:val="20"/>
      <w:szCs w:val="20"/>
    </w:rPr>
  </w:style>
  <w:style w:type="paragraph" w:customStyle="1" w:styleId="CharChar1CharCharChar1Char0">
    <w:name w:val="Char Char1 Char Char Char1 Char"/>
    <w:basedOn w:val="Normal"/>
    <w:autoRedefine/>
    <w:rsid w:val="004E3CFA"/>
    <w:rPr>
      <w:rFonts w:eastAsia="SimSun"/>
      <w:sz w:val="20"/>
      <w:szCs w:val="20"/>
      <w:lang w:eastAsia="ru-RU"/>
    </w:rPr>
  </w:style>
  <w:style w:type="paragraph" w:customStyle="1" w:styleId="40">
    <w:name w:val="Знак Знак4"/>
    <w:basedOn w:val="Normal"/>
    <w:rsid w:val="004E3CFA"/>
    <w:pPr>
      <w:tabs>
        <w:tab w:val="left" w:pos="709"/>
      </w:tabs>
    </w:pPr>
    <w:rPr>
      <w:rFonts w:ascii="Tahoma" w:hAnsi="Tahoma"/>
      <w:lang w:val="pl-PL" w:eastAsia="pl-PL"/>
    </w:rPr>
  </w:style>
  <w:style w:type="paragraph" w:customStyle="1" w:styleId="Char7">
    <w:name w:val="Знак Char Знак"/>
    <w:basedOn w:val="Normal"/>
    <w:rsid w:val="004E3CFA"/>
    <w:pPr>
      <w:spacing w:after="160" w:line="240" w:lineRule="exact"/>
    </w:pPr>
    <w:rPr>
      <w:rFonts w:ascii="Arial" w:eastAsia="Batang" w:hAnsi="Arial" w:cs="Arial"/>
      <w:sz w:val="20"/>
      <w:szCs w:val="20"/>
    </w:rPr>
  </w:style>
  <w:style w:type="paragraph" w:customStyle="1" w:styleId="CharCharCharCharCharChar0">
    <w:name w:val="Знак Знак Char Char Знак Знак Char Char Знак Знак Char Char"/>
    <w:basedOn w:val="Normal"/>
    <w:autoRedefine/>
    <w:rsid w:val="004E3CFA"/>
    <w:pPr>
      <w:spacing w:after="160" w:line="240" w:lineRule="exact"/>
    </w:pPr>
    <w:rPr>
      <w:sz w:val="28"/>
      <w:szCs w:val="20"/>
    </w:rPr>
  </w:style>
  <w:style w:type="paragraph" w:customStyle="1" w:styleId="25">
    <w:name w:val="Знак Знак2"/>
    <w:basedOn w:val="Normal"/>
    <w:rsid w:val="004E3CFA"/>
    <w:pPr>
      <w:spacing w:after="160" w:line="240" w:lineRule="exact"/>
    </w:pPr>
    <w:rPr>
      <w:rFonts w:ascii="Arial" w:hAnsi="Arial" w:cs="Arial"/>
      <w:sz w:val="20"/>
      <w:szCs w:val="20"/>
    </w:rPr>
  </w:style>
  <w:style w:type="paragraph" w:customStyle="1" w:styleId="CharCharCharCharChar2">
    <w:name w:val="Char Char Char Char Char"/>
    <w:basedOn w:val="Normal"/>
    <w:rsid w:val="004E3CFA"/>
    <w:pPr>
      <w:spacing w:after="160" w:line="240" w:lineRule="exact"/>
    </w:pPr>
    <w:rPr>
      <w:rFonts w:ascii="Arial" w:hAnsi="Arial" w:cs="Arial"/>
      <w:sz w:val="20"/>
      <w:szCs w:val="20"/>
    </w:rPr>
  </w:style>
  <w:style w:type="paragraph" w:customStyle="1" w:styleId="listparagraphcxspmiddle">
    <w:name w:val="listparagraphcxspmiddle"/>
    <w:basedOn w:val="Normal"/>
    <w:rsid w:val="004E3CFA"/>
    <w:pPr>
      <w:spacing w:before="100" w:beforeAutospacing="1" w:after="100" w:afterAutospacing="1"/>
    </w:pPr>
  </w:style>
  <w:style w:type="paragraph" w:customStyle="1" w:styleId="listparagraphcxsplast">
    <w:name w:val="listparagraphcxsplast"/>
    <w:basedOn w:val="Normal"/>
    <w:rsid w:val="004E3CFA"/>
    <w:pPr>
      <w:spacing w:before="100" w:beforeAutospacing="1" w:after="100" w:afterAutospacing="1"/>
    </w:pPr>
  </w:style>
  <w:style w:type="paragraph" w:customStyle="1" w:styleId="CharCharCharCharChar3">
    <w:name w:val="Знак Char Char Знак Char Char Char"/>
    <w:aliases w:val=" Знак Char Char Знак Char Char1 Знак"/>
    <w:basedOn w:val="Normal"/>
    <w:next w:val="Normal"/>
    <w:semiHidden/>
    <w:rsid w:val="00D90861"/>
    <w:pPr>
      <w:spacing w:after="160" w:line="240" w:lineRule="exact"/>
    </w:pPr>
    <w:rPr>
      <w:rFonts w:ascii="Arial" w:hAnsi="Arial" w:cs="Arial"/>
      <w:b/>
      <w:sz w:val="20"/>
      <w:szCs w:val="20"/>
      <w:lang w:val="en-GB"/>
    </w:rPr>
  </w:style>
  <w:style w:type="character" w:customStyle="1" w:styleId="BodyTextFirstIndentChar1">
    <w:name w:val="Body Text First Indent Char1"/>
    <w:rsid w:val="00D90861"/>
    <w:rPr>
      <w:rFonts w:ascii="Times Armenian" w:hAnsi="Times Armenian"/>
      <w:sz w:val="24"/>
      <w:szCs w:val="24"/>
      <w:lang w:val="ru-RU" w:eastAsia="ru-RU" w:bidi="ar-SA"/>
    </w:rPr>
  </w:style>
  <w:style w:type="character" w:customStyle="1" w:styleId="CommentSubjectChar1">
    <w:name w:val="Comment Subject Char1"/>
    <w:rsid w:val="00D90861"/>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D90861"/>
    <w:pPr>
      <w:spacing w:after="160" w:line="240" w:lineRule="exact"/>
    </w:pPr>
    <w:rPr>
      <w:rFonts w:ascii="Verdana" w:eastAsia="MS Mincho" w:hAnsi="Verdana"/>
      <w:sz w:val="20"/>
      <w:szCs w:val="20"/>
      <w:lang w:val="en-GB"/>
    </w:rPr>
  </w:style>
  <w:style w:type="numbering" w:customStyle="1" w:styleId="NoList1">
    <w:name w:val="No List1"/>
    <w:next w:val="NoList"/>
    <w:semiHidden/>
    <w:unhideWhenUsed/>
    <w:rsid w:val="00D90861"/>
  </w:style>
  <w:style w:type="character" w:customStyle="1" w:styleId="apple-converted-space">
    <w:name w:val="apple-converted-space"/>
    <w:rsid w:val="00D90861"/>
  </w:style>
  <w:style w:type="paragraph" w:customStyle="1" w:styleId="ListParagraph10">
    <w:name w:val="List Paragraph1"/>
    <w:aliases w:val="OBC Bullet,Normal numbered,List Paragraph12"/>
    <w:basedOn w:val="Normal"/>
    <w:uiPriority w:val="34"/>
    <w:qFormat/>
    <w:rsid w:val="00D90861"/>
    <w:pPr>
      <w:ind w:left="720" w:right="201" w:firstLine="900"/>
      <w:contextualSpacing/>
    </w:pPr>
    <w:rPr>
      <w:rFonts w:ascii="Times Armenian" w:hAnsi="Times Armenian"/>
      <w:sz w:val="28"/>
      <w:szCs w:val="28"/>
      <w:lang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
    <w:link w:val="ListParagraph1"/>
    <w:uiPriority w:val="34"/>
    <w:qFormat/>
    <w:rsid w:val="00D90861"/>
    <w:rPr>
      <w:sz w:val="24"/>
      <w:szCs w:val="24"/>
      <w:lang w:val="en-US" w:eastAsia="en-US" w:bidi="ar-SA"/>
    </w:rPr>
  </w:style>
  <w:style w:type="numbering" w:customStyle="1" w:styleId="NoList2">
    <w:name w:val="No List2"/>
    <w:next w:val="NoList"/>
    <w:semiHidden/>
    <w:unhideWhenUsed/>
    <w:rsid w:val="00D90861"/>
  </w:style>
  <w:style w:type="numbering" w:customStyle="1" w:styleId="NoList3">
    <w:name w:val="No List3"/>
    <w:next w:val="NoList"/>
    <w:semiHidden/>
    <w:unhideWhenUsed/>
    <w:rsid w:val="00D90861"/>
  </w:style>
  <w:style w:type="character" w:customStyle="1" w:styleId="textexposedshow">
    <w:name w:val="text_exposed_show"/>
    <w:rsid w:val="00D90861"/>
    <w:rPr>
      <w:rFonts w:cs="Times New Roman"/>
    </w:rPr>
  </w:style>
  <w:style w:type="paragraph" w:customStyle="1" w:styleId="formtext">
    <w:name w:val="formtext"/>
    <w:basedOn w:val="Normal"/>
    <w:rsid w:val="00D90861"/>
    <w:pPr>
      <w:spacing w:before="120" w:after="120" w:line="240" w:lineRule="exact"/>
    </w:pPr>
    <w:rPr>
      <w:rFonts w:ascii="Arial" w:eastAsia="SimSun" w:hAnsi="Arial"/>
      <w:lang w:eastAsia="fr-FR"/>
    </w:rPr>
  </w:style>
  <w:style w:type="paragraph" w:customStyle="1" w:styleId="italic">
    <w:name w:val="italic"/>
    <w:basedOn w:val="Normal"/>
    <w:rsid w:val="00D90861"/>
    <w:pPr>
      <w:spacing w:before="100" w:beforeAutospacing="1" w:after="100" w:afterAutospacing="1"/>
    </w:pPr>
    <w:rPr>
      <w:rFonts w:ascii="Calibri" w:hAnsi="Calibri" w:cs="Calibri"/>
    </w:rPr>
  </w:style>
  <w:style w:type="paragraph" w:customStyle="1" w:styleId="ecxmsonormal">
    <w:name w:val="ecxmsonormal"/>
    <w:basedOn w:val="Normal"/>
    <w:rsid w:val="00D90861"/>
    <w:pPr>
      <w:spacing w:before="100" w:beforeAutospacing="1" w:after="100" w:afterAutospacing="1"/>
    </w:pPr>
    <w:rPr>
      <w:rFonts w:ascii="Calibri" w:hAnsi="Calibri" w:cs="Calibri"/>
    </w:rPr>
  </w:style>
  <w:style w:type="paragraph" w:customStyle="1" w:styleId="CharCharChar5">
    <w:name w:val="Char Char Char Знак Знак Знак Знак Знак"/>
    <w:basedOn w:val="Normal"/>
    <w:rsid w:val="00D90861"/>
    <w:pPr>
      <w:spacing w:after="160" w:line="240" w:lineRule="exact"/>
    </w:pPr>
    <w:rPr>
      <w:rFonts w:ascii="Arial" w:hAnsi="Arial" w:cs="Arial"/>
      <w:color w:val="000000"/>
      <w:sz w:val="20"/>
      <w:szCs w:val="20"/>
      <w:lang w:val="en-GB"/>
    </w:rPr>
  </w:style>
  <w:style w:type="character" w:customStyle="1" w:styleId="title1">
    <w:name w:val="title1"/>
    <w:rsid w:val="00D90861"/>
    <w:rPr>
      <w:rFonts w:ascii="Verdana" w:hAnsi="Verdana"/>
      <w:b/>
      <w:color w:val="000000"/>
      <w:sz w:val="12"/>
      <w:u w:val="none"/>
      <w:effect w:val="none"/>
    </w:rPr>
  </w:style>
  <w:style w:type="character" w:customStyle="1" w:styleId="hps">
    <w:name w:val="hps"/>
    <w:rsid w:val="00D90861"/>
    <w:rPr>
      <w:rFonts w:cs="Times New Roman"/>
    </w:rPr>
  </w:style>
  <w:style w:type="character" w:customStyle="1" w:styleId="st">
    <w:name w:val="st"/>
    <w:rsid w:val="00D90861"/>
    <w:rPr>
      <w:rFonts w:cs="Times New Roman"/>
    </w:rPr>
  </w:style>
  <w:style w:type="paragraph" w:customStyle="1" w:styleId="bodytext0">
    <w:name w:val="bodytext"/>
    <w:basedOn w:val="Normal"/>
    <w:rsid w:val="00D90861"/>
    <w:pPr>
      <w:spacing w:before="100" w:beforeAutospacing="1" w:after="100" w:afterAutospacing="1"/>
    </w:pPr>
    <w:rPr>
      <w:rFonts w:ascii="Calibri" w:hAnsi="Calibri" w:cs="Calibri"/>
    </w:rPr>
  </w:style>
  <w:style w:type="character" w:customStyle="1" w:styleId="CharChar4">
    <w:name w:val="Char Char4"/>
    <w:rsid w:val="00D90861"/>
    <w:rPr>
      <w:rFonts w:ascii="Cambria" w:hAnsi="Cambria" w:cs="Cambria"/>
      <w:b/>
      <w:bCs/>
      <w:sz w:val="26"/>
      <w:szCs w:val="26"/>
    </w:rPr>
  </w:style>
  <w:style w:type="character" w:customStyle="1" w:styleId="CharChar2">
    <w:name w:val="Char Char2"/>
    <w:rsid w:val="00D90861"/>
    <w:rPr>
      <w:rFonts w:ascii="Calibri" w:hAnsi="Calibri" w:cs="Calibri"/>
      <w:sz w:val="22"/>
      <w:szCs w:val="22"/>
      <w:lang w:val="en-US" w:eastAsia="en-US"/>
    </w:rPr>
  </w:style>
  <w:style w:type="character" w:customStyle="1" w:styleId="CharChar1">
    <w:name w:val="Char Char1"/>
    <w:rsid w:val="00D90861"/>
    <w:rPr>
      <w:rFonts w:ascii="Calibri" w:hAnsi="Calibri" w:cs="Calibri"/>
      <w:sz w:val="22"/>
      <w:szCs w:val="22"/>
      <w:lang w:val="en-US" w:eastAsia="en-US"/>
    </w:rPr>
  </w:style>
  <w:style w:type="paragraph" w:customStyle="1" w:styleId="num02">
    <w:name w:val="Énum02"/>
    <w:basedOn w:val="Normal"/>
    <w:rsid w:val="00D90861"/>
    <w:pPr>
      <w:numPr>
        <w:numId w:val="9"/>
      </w:numPr>
      <w:spacing w:after="120" w:line="260" w:lineRule="exact"/>
    </w:pPr>
    <w:rPr>
      <w:rFonts w:ascii="Arial" w:hAnsi="Arial" w:cs="Arial"/>
      <w:lang w:eastAsia="fr-FR"/>
    </w:rPr>
  </w:style>
  <w:style w:type="character" w:customStyle="1" w:styleId="arg">
    <w:name w:val="arg"/>
    <w:rsid w:val="00D90861"/>
    <w:rPr>
      <w:rFonts w:cs="Times New Roman"/>
    </w:rPr>
  </w:style>
  <w:style w:type="character" w:customStyle="1" w:styleId="fulltext">
    <w:name w:val="fulltext"/>
    <w:rsid w:val="00D90861"/>
    <w:rPr>
      <w:rFonts w:cs="Times New Roman"/>
    </w:rPr>
  </w:style>
  <w:style w:type="paragraph" w:customStyle="1" w:styleId="innewsdate">
    <w:name w:val="in_news_date"/>
    <w:basedOn w:val="Normal"/>
    <w:rsid w:val="00D90861"/>
    <w:pPr>
      <w:spacing w:before="100" w:beforeAutospacing="1" w:after="100" w:afterAutospacing="1"/>
    </w:pPr>
  </w:style>
  <w:style w:type="character" w:customStyle="1" w:styleId="gr">
    <w:name w:val="gr"/>
    <w:rsid w:val="00D90861"/>
    <w:rPr>
      <w:rFonts w:cs="Times New Roman"/>
    </w:rPr>
  </w:style>
  <w:style w:type="character" w:customStyle="1" w:styleId="opennewstext">
    <w:name w:val="opennewstext"/>
    <w:rsid w:val="00D90861"/>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D90861"/>
    <w:pPr>
      <w:tabs>
        <w:tab w:val="left" w:pos="709"/>
      </w:tabs>
    </w:pPr>
    <w:rPr>
      <w:rFonts w:ascii="Tahoma" w:hAnsi="Tahoma" w:cs="Tahoma"/>
      <w:lang w:val="pl-PL" w:eastAsia="pl-PL"/>
    </w:rPr>
  </w:style>
  <w:style w:type="character" w:customStyle="1" w:styleId="fulltext0">
    <w:name w:val="full_text"/>
    <w:rsid w:val="00D90861"/>
    <w:rPr>
      <w:rFonts w:cs="Times New Roman"/>
    </w:rPr>
  </w:style>
  <w:style w:type="character" w:customStyle="1" w:styleId="wrc116">
    <w:name w:val="wrc116"/>
    <w:rsid w:val="00D90861"/>
    <w:rPr>
      <w:rFonts w:cs="Times New Roman"/>
      <w:vanish/>
    </w:rPr>
  </w:style>
  <w:style w:type="character" w:customStyle="1" w:styleId="editsection">
    <w:name w:val="editsection"/>
    <w:rsid w:val="00D90861"/>
    <w:rPr>
      <w:rFonts w:cs="Times New Roman"/>
    </w:rPr>
  </w:style>
  <w:style w:type="character" w:customStyle="1" w:styleId="mw-headline">
    <w:name w:val="mw-headline"/>
    <w:rsid w:val="00D90861"/>
    <w:rPr>
      <w:rFonts w:cs="Times New Roman"/>
    </w:rPr>
  </w:style>
  <w:style w:type="paragraph" w:styleId="ListNumber">
    <w:name w:val="List Number"/>
    <w:basedOn w:val="Normal"/>
    <w:rsid w:val="00763A57"/>
    <w:pPr>
      <w:numPr>
        <w:numId w:val="11"/>
      </w:numPr>
    </w:pPr>
  </w:style>
  <w:style w:type="character" w:customStyle="1" w:styleId="il">
    <w:name w:val="il"/>
    <w:basedOn w:val="DefaultParagraphFont"/>
    <w:rsid w:val="00763A57"/>
  </w:style>
  <w:style w:type="character" w:customStyle="1" w:styleId="Heading5Char">
    <w:name w:val="Heading 5 Char"/>
    <w:aliases w:val="Side Char"/>
    <w:locked/>
    <w:rsid w:val="00763A57"/>
    <w:rPr>
      <w:sz w:val="22"/>
      <w:lang w:val="en-GB" w:eastAsia="en-US" w:bidi="ar-SA"/>
    </w:rPr>
  </w:style>
  <w:style w:type="character" w:customStyle="1" w:styleId="Heading6Char">
    <w:name w:val="Heading 6 Char"/>
    <w:locked/>
    <w:rsid w:val="00763A57"/>
    <w:rPr>
      <w:sz w:val="36"/>
      <w:lang w:val="en-GB" w:eastAsia="en-US" w:bidi="ar-SA"/>
    </w:rPr>
  </w:style>
  <w:style w:type="character" w:customStyle="1" w:styleId="Heading7Char">
    <w:name w:val="Heading 7 Char"/>
    <w:locked/>
    <w:rsid w:val="00763A57"/>
    <w:rPr>
      <w:sz w:val="22"/>
      <w:lang w:val="en-GB" w:eastAsia="en-US" w:bidi="ar-SA"/>
    </w:rPr>
  </w:style>
  <w:style w:type="character" w:customStyle="1" w:styleId="Heading8Char">
    <w:name w:val="Heading 8 Char"/>
    <w:locked/>
    <w:rsid w:val="00763A57"/>
    <w:rPr>
      <w:sz w:val="22"/>
      <w:lang w:val="en-GB" w:eastAsia="en-US" w:bidi="ar-SA"/>
    </w:rPr>
  </w:style>
  <w:style w:type="character" w:customStyle="1" w:styleId="Heading9Char">
    <w:name w:val="Heading 9 Char"/>
    <w:locked/>
    <w:rsid w:val="00763A57"/>
    <w:rPr>
      <w:sz w:val="22"/>
      <w:lang w:val="en-GB" w:eastAsia="en-US" w:bidi="ar-SA"/>
    </w:rPr>
  </w:style>
  <w:style w:type="character" w:customStyle="1" w:styleId="BodyText2Char">
    <w:name w:val="Body Text 2 Char"/>
    <w:uiPriority w:val="99"/>
    <w:locked/>
    <w:rsid w:val="00763A57"/>
    <w:rPr>
      <w:rFonts w:ascii="Times Armenian" w:hAnsi="Times Armenian" w:cs="Times New Roman"/>
      <w:b/>
      <w:sz w:val="24"/>
      <w:lang w:val="fr-FR" w:eastAsia="x-none"/>
    </w:rPr>
  </w:style>
  <w:style w:type="character" w:customStyle="1" w:styleId="BodyTextIndent2Char">
    <w:name w:val="Body Text Indent 2 Char"/>
    <w:locked/>
    <w:rsid w:val="00763A57"/>
    <w:rPr>
      <w:rFonts w:ascii="Times LatArm" w:hAnsi="Times LatArm" w:cs="Times New Roman"/>
      <w:sz w:val="22"/>
      <w:lang w:val="fr-FR" w:eastAsia="x-none"/>
    </w:rPr>
  </w:style>
  <w:style w:type="character" w:customStyle="1" w:styleId="HeaderChar">
    <w:name w:val="Header Char"/>
    <w:aliases w:val="Header Char Char Char Char Char Char Char Char Char Char Char1,Header Char Char Char Char Char Char Char Char Char Char Char Char Char1"/>
    <w:uiPriority w:val="99"/>
    <w:locked/>
    <w:rsid w:val="00763A57"/>
    <w:rPr>
      <w:rFonts w:cs="Times New Roman"/>
      <w:sz w:val="22"/>
      <w:lang w:val="en-GB" w:eastAsia="x-none"/>
    </w:rPr>
  </w:style>
  <w:style w:type="character" w:customStyle="1" w:styleId="TitleChar">
    <w:name w:val="Title Char"/>
    <w:locked/>
    <w:rsid w:val="00763A57"/>
    <w:rPr>
      <w:rFonts w:ascii="Cambria" w:hAnsi="Cambria" w:cs="Times New Roman"/>
      <w:b/>
      <w:bCs/>
      <w:kern w:val="28"/>
      <w:sz w:val="32"/>
      <w:szCs w:val="32"/>
    </w:rPr>
  </w:style>
  <w:style w:type="character" w:customStyle="1" w:styleId="BodyText3Char">
    <w:name w:val="Body Text 3 Char"/>
    <w:uiPriority w:val="99"/>
    <w:locked/>
    <w:rsid w:val="00763A57"/>
    <w:rPr>
      <w:rFonts w:ascii="Times Armenian" w:hAnsi="Times Armenian" w:cs="Times New Roman"/>
      <w:sz w:val="24"/>
      <w:lang w:val="it-IT" w:eastAsia="x-none"/>
    </w:rPr>
  </w:style>
  <w:style w:type="paragraph" w:customStyle="1" w:styleId="Listenabsatz">
    <w:name w:val="Listenabsatz"/>
    <w:basedOn w:val="Normal"/>
    <w:rsid w:val="00763A57"/>
    <w:pPr>
      <w:ind w:left="720"/>
      <w:contextualSpacing/>
    </w:pPr>
    <w:rPr>
      <w:rFonts w:ascii="Cambria" w:hAnsi="Cambria"/>
      <w:lang w:val="de-DE"/>
    </w:rPr>
  </w:style>
  <w:style w:type="paragraph" w:customStyle="1" w:styleId="Style40">
    <w:name w:val="Style4"/>
    <w:basedOn w:val="TOC3"/>
    <w:autoRedefine/>
    <w:rsid w:val="00E37271"/>
    <w:rPr>
      <w:bCs/>
      <w:noProof/>
      <w:color w:val="000000"/>
      <w:lang w:val="es-ES"/>
    </w:rPr>
  </w:style>
  <w:style w:type="paragraph" w:customStyle="1" w:styleId="Style5">
    <w:name w:val="Style5"/>
    <w:basedOn w:val="TOC3"/>
    <w:autoRedefine/>
    <w:rsid w:val="00E37271"/>
    <w:rPr>
      <w:rFonts w:cs="Sylfaen"/>
      <w:noProof/>
    </w:rPr>
  </w:style>
  <w:style w:type="paragraph" w:customStyle="1" w:styleId="Style7">
    <w:name w:val="Style7"/>
    <w:basedOn w:val="TOC3"/>
    <w:autoRedefine/>
    <w:rsid w:val="00E37271"/>
    <w:rPr>
      <w:rFonts w:cs="Sylfaen"/>
      <w:noProof/>
    </w:rPr>
  </w:style>
  <w:style w:type="paragraph" w:customStyle="1" w:styleId="Style8">
    <w:name w:val="Style8"/>
    <w:basedOn w:val="TOC1"/>
    <w:autoRedefine/>
    <w:rsid w:val="00E37271"/>
    <w:rPr>
      <w:i/>
    </w:rPr>
  </w:style>
  <w:style w:type="paragraph" w:customStyle="1" w:styleId="Style9">
    <w:name w:val="Style9"/>
    <w:basedOn w:val="TOC1"/>
    <w:autoRedefine/>
    <w:rsid w:val="00E37271"/>
  </w:style>
  <w:style w:type="character" w:customStyle="1" w:styleId="CharChar14">
    <w:name w:val="Char Char14"/>
    <w:rsid w:val="00B142B8"/>
    <w:rPr>
      <w:sz w:val="36"/>
      <w:lang w:val="en-GB"/>
    </w:rPr>
  </w:style>
  <w:style w:type="character" w:customStyle="1" w:styleId="CharChar5">
    <w:name w:val="Char Char5"/>
    <w:rsid w:val="00B142B8"/>
    <w:rPr>
      <w:rFonts w:ascii="Arial Armenian" w:hAnsi="Arial Armenian" w:cs="Sylfaen"/>
      <w:sz w:val="24"/>
      <w:szCs w:val="24"/>
      <w:lang w:val="ru-RU" w:eastAsia="ru-RU"/>
    </w:rPr>
  </w:style>
  <w:style w:type="character" w:customStyle="1" w:styleId="CharChar16">
    <w:name w:val="Char Char16"/>
    <w:rsid w:val="00B142B8"/>
    <w:rPr>
      <w:rFonts w:ascii="Times New Roman" w:hAnsi="Times New Roman"/>
      <w:b/>
      <w:sz w:val="32"/>
      <w:lang w:val="en-GB"/>
    </w:rPr>
  </w:style>
  <w:style w:type="character" w:customStyle="1" w:styleId="CharChar17">
    <w:name w:val="Char Char17"/>
    <w:rsid w:val="00B142B8"/>
    <w:rPr>
      <w:rFonts w:ascii="Arial Armenian" w:hAnsi="Arial Armenian"/>
      <w:i/>
      <w:sz w:val="22"/>
      <w:u w:val="single"/>
      <w:lang w:val="en-GB" w:eastAsia="en-US" w:bidi="ar-SA"/>
    </w:rPr>
  </w:style>
  <w:style w:type="paragraph" w:customStyle="1" w:styleId="text">
    <w:name w:val="text"/>
    <w:basedOn w:val="Normal"/>
    <w:link w:val="textChar"/>
    <w:rsid w:val="00B142B8"/>
    <w:pPr>
      <w:ind w:firstLine="454"/>
    </w:pPr>
    <w:rPr>
      <w:rFonts w:ascii="GHEA Mariam" w:hAnsi="GHEA Mariam"/>
      <w:sz w:val="20"/>
      <w:szCs w:val="20"/>
      <w:lang w:val="en-GB" w:eastAsia="ru-RU"/>
    </w:rPr>
  </w:style>
  <w:style w:type="character" w:customStyle="1" w:styleId="textChar">
    <w:name w:val="text Char"/>
    <w:link w:val="text"/>
    <w:rsid w:val="00B142B8"/>
    <w:rPr>
      <w:rFonts w:ascii="GHEA Mariam" w:hAnsi="GHEA Mariam" w:cs="GHEA Mariam"/>
      <w:lang w:val="en-GB" w:eastAsia="ru-RU"/>
    </w:rPr>
  </w:style>
  <w:style w:type="paragraph" w:customStyle="1" w:styleId="Char40">
    <w:name w:val="Char4"/>
    <w:basedOn w:val="Normal"/>
    <w:rsid w:val="00B142B8"/>
    <w:pPr>
      <w:spacing w:after="160" w:line="240" w:lineRule="exact"/>
    </w:pPr>
    <w:rPr>
      <w:rFonts w:ascii="Arial" w:eastAsia="Calibri" w:hAnsi="Arial" w:cs="Arial"/>
      <w:sz w:val="20"/>
      <w:szCs w:val="20"/>
    </w:rPr>
  </w:style>
  <w:style w:type="paragraph" w:customStyle="1" w:styleId="p2">
    <w:name w:val="p2"/>
    <w:basedOn w:val="Normal"/>
    <w:rsid w:val="00B142B8"/>
    <w:pPr>
      <w:spacing w:before="100" w:beforeAutospacing="1" w:after="100" w:afterAutospacing="1"/>
    </w:pPr>
    <w:rPr>
      <w:rFonts w:eastAsia="Calibri"/>
    </w:rPr>
  </w:style>
  <w:style w:type="paragraph" w:customStyle="1" w:styleId="Char30">
    <w:name w:val="Char3"/>
    <w:basedOn w:val="Normal"/>
    <w:rsid w:val="00B142B8"/>
    <w:pPr>
      <w:spacing w:after="160" w:line="240" w:lineRule="exact"/>
    </w:pPr>
    <w:rPr>
      <w:rFonts w:ascii="Arial" w:eastAsia="Calibri" w:hAnsi="Arial" w:cs="Arial"/>
      <w:sz w:val="20"/>
      <w:szCs w:val="20"/>
    </w:rPr>
  </w:style>
  <w:style w:type="paragraph" w:customStyle="1" w:styleId="Char20">
    <w:name w:val="Char2"/>
    <w:basedOn w:val="Normal"/>
    <w:rsid w:val="00B142B8"/>
    <w:pPr>
      <w:spacing w:after="160" w:line="240" w:lineRule="exact"/>
    </w:pPr>
    <w:rPr>
      <w:rFonts w:ascii="Arial" w:eastAsia="Calibri" w:hAnsi="Arial" w:cs="Arial"/>
      <w:sz w:val="20"/>
      <w:szCs w:val="20"/>
    </w:rPr>
  </w:style>
  <w:style w:type="paragraph" w:customStyle="1" w:styleId="Char10">
    <w:name w:val="Char1"/>
    <w:basedOn w:val="Normal"/>
    <w:uiPriority w:val="99"/>
    <w:rsid w:val="00B142B8"/>
    <w:pPr>
      <w:spacing w:after="160" w:line="240" w:lineRule="exact"/>
    </w:pPr>
    <w:rPr>
      <w:rFonts w:ascii="Arial" w:eastAsia="Calibri" w:hAnsi="Arial" w:cs="Arial"/>
      <w:sz w:val="20"/>
      <w:szCs w:val="20"/>
    </w:rPr>
  </w:style>
  <w:style w:type="character" w:customStyle="1" w:styleId="32ptExact">
    <w:name w:val="Основной текст (3) + Интервал 2 pt Exact"/>
    <w:rsid w:val="00B142B8"/>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B142B8"/>
    <w:pPr>
      <w:spacing w:after="160" w:line="240" w:lineRule="exact"/>
    </w:pPr>
    <w:rPr>
      <w:rFonts w:ascii="Arial" w:hAnsi="Arial" w:cs="Arial"/>
      <w:sz w:val="20"/>
      <w:szCs w:val="20"/>
    </w:rPr>
  </w:style>
  <w:style w:type="paragraph" w:customStyle="1" w:styleId="CharCharCharCharCharChar1">
    <w:name w:val="Char Char Char Char Char Char"/>
    <w:basedOn w:val="Normal"/>
    <w:rsid w:val="00B142B8"/>
    <w:pPr>
      <w:spacing w:after="160" w:line="240" w:lineRule="exact"/>
    </w:pPr>
    <w:rPr>
      <w:rFonts w:ascii="Arial" w:hAnsi="Arial" w:cs="Arial"/>
      <w:sz w:val="20"/>
      <w:szCs w:val="20"/>
    </w:rPr>
  </w:style>
  <w:style w:type="paragraph" w:customStyle="1" w:styleId="CharChar11">
    <w:name w:val="Char Char1"/>
    <w:basedOn w:val="Normal"/>
    <w:rsid w:val="00B142B8"/>
    <w:pPr>
      <w:spacing w:after="160"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794E72"/>
    <w:rPr>
      <w:rFonts w:ascii="Arial" w:hAnsi="Arial"/>
      <w:b/>
      <w:kern w:val="32"/>
      <w:sz w:val="32"/>
    </w:rPr>
  </w:style>
  <w:style w:type="character" w:customStyle="1" w:styleId="BodyTextIndent3Char1">
    <w:name w:val="Body Text Indent 3 Char1"/>
    <w:uiPriority w:val="99"/>
    <w:locked/>
    <w:rsid w:val="00794E72"/>
    <w:rPr>
      <w:rFonts w:ascii="Times New Roman" w:hAnsi="Times New Roman"/>
      <w:sz w:val="16"/>
    </w:rPr>
  </w:style>
  <w:style w:type="character" w:customStyle="1" w:styleId="PlainTextChar1">
    <w:name w:val="Plain Text Char1"/>
    <w:uiPriority w:val="99"/>
    <w:locked/>
    <w:rsid w:val="00794E72"/>
    <w:rPr>
      <w:rFonts w:ascii="Courier New" w:hAnsi="Courier New"/>
      <w:sz w:val="20"/>
    </w:rPr>
  </w:style>
  <w:style w:type="character" w:customStyle="1" w:styleId="CommentTextChar1">
    <w:name w:val="Comment Text Char1"/>
    <w:uiPriority w:val="99"/>
    <w:locked/>
    <w:rsid w:val="00794E72"/>
    <w:rPr>
      <w:rFonts w:ascii="Times New Roman" w:hAnsi="Times New Roman"/>
      <w:sz w:val="20"/>
      <w:lang w:val="en-GB"/>
    </w:rPr>
  </w:style>
  <w:style w:type="character" w:customStyle="1" w:styleId="SubtitleChar1">
    <w:name w:val="Subtitle Char1"/>
    <w:uiPriority w:val="99"/>
    <w:locked/>
    <w:rsid w:val="00794E72"/>
    <w:rPr>
      <w:rFonts w:ascii="Times LatArm" w:hAnsi="Times LatArm"/>
      <w:b/>
      <w:sz w:val="24"/>
    </w:rPr>
  </w:style>
  <w:style w:type="character" w:customStyle="1" w:styleId="BalloonTextChar1">
    <w:name w:val="Balloon Text Char1"/>
    <w:uiPriority w:val="99"/>
    <w:locked/>
    <w:rsid w:val="00794E72"/>
    <w:rPr>
      <w:rFonts w:ascii="Tahoma" w:hAnsi="Tahoma"/>
      <w:sz w:val="16"/>
    </w:rPr>
  </w:style>
  <w:style w:type="character" w:customStyle="1" w:styleId="CharChar160">
    <w:name w:val="Char Char16"/>
    <w:uiPriority w:val="99"/>
    <w:rsid w:val="00794E72"/>
    <w:rPr>
      <w:rFonts w:ascii="Times New Roman" w:hAnsi="Times New Roman"/>
      <w:b/>
      <w:sz w:val="20"/>
      <w:lang w:val="en-GB"/>
    </w:rPr>
  </w:style>
  <w:style w:type="character" w:customStyle="1" w:styleId="CharChar140">
    <w:name w:val="Char Char14"/>
    <w:uiPriority w:val="99"/>
    <w:rsid w:val="00794E72"/>
    <w:rPr>
      <w:rFonts w:ascii="Times New Roman" w:hAnsi="Times New Roman"/>
      <w:sz w:val="20"/>
      <w:lang w:val="en-GB"/>
    </w:rPr>
  </w:style>
  <w:style w:type="character" w:customStyle="1" w:styleId="CharChar50">
    <w:name w:val="Char Char5"/>
    <w:uiPriority w:val="99"/>
    <w:rsid w:val="00794E72"/>
    <w:rPr>
      <w:rFonts w:ascii="Times New Roman" w:hAnsi="Times New Roman"/>
      <w:sz w:val="20"/>
      <w:lang w:val="en-GB"/>
    </w:rPr>
  </w:style>
  <w:style w:type="character" w:customStyle="1" w:styleId="EndnoteTextChar1">
    <w:name w:val="Endnote Text Char1"/>
    <w:uiPriority w:val="99"/>
    <w:semiHidden/>
    <w:locked/>
    <w:rsid w:val="00794E72"/>
    <w:rPr>
      <w:rFonts w:ascii="Times New Roman" w:hAnsi="Times New Roman"/>
      <w:sz w:val="20"/>
      <w:lang w:val="en-GB"/>
    </w:rPr>
  </w:style>
  <w:style w:type="character" w:customStyle="1" w:styleId="estilo2">
    <w:name w:val="estilo2"/>
    <w:uiPriority w:val="99"/>
    <w:rsid w:val="00794E72"/>
  </w:style>
  <w:style w:type="character" w:customStyle="1" w:styleId="CharChar3">
    <w:name w:val="Char Char3"/>
    <w:uiPriority w:val="99"/>
    <w:locked/>
    <w:rsid w:val="00794E72"/>
    <w:rPr>
      <w:rFonts w:cs="Times New Roman"/>
      <w:sz w:val="22"/>
      <w:lang w:val="en-GB" w:eastAsia="en-US" w:bidi="ar-SA"/>
    </w:rPr>
  </w:style>
  <w:style w:type="character" w:customStyle="1" w:styleId="CharChar110">
    <w:name w:val="Char Char11"/>
    <w:uiPriority w:val="99"/>
    <w:locked/>
    <w:rsid w:val="00794E72"/>
    <w:rPr>
      <w:rFonts w:ascii="Times Armenian" w:hAnsi="Times Armenian" w:cs="Times New Roman"/>
      <w:b/>
      <w:bCs/>
      <w:sz w:val="24"/>
      <w:szCs w:val="24"/>
      <w:lang w:val="en-US" w:eastAsia="en-US" w:bidi="ar-SA"/>
    </w:rPr>
  </w:style>
  <w:style w:type="character" w:customStyle="1" w:styleId="CharChar51">
    <w:name w:val="Char Char51"/>
    <w:uiPriority w:val="99"/>
    <w:locked/>
    <w:rsid w:val="00794E72"/>
    <w:rPr>
      <w:sz w:val="22"/>
      <w:lang w:val="en-GB" w:eastAsia="en-US"/>
    </w:rPr>
  </w:style>
  <w:style w:type="paragraph" w:customStyle="1" w:styleId="Numberedtext">
    <w:name w:val="Numbered text"/>
    <w:basedOn w:val="BodyText"/>
    <w:uiPriority w:val="99"/>
    <w:rsid w:val="00794E72"/>
    <w:pPr>
      <w:numPr>
        <w:numId w:val="12"/>
      </w:numPr>
      <w:tabs>
        <w:tab w:val="clear" w:pos="1004"/>
        <w:tab w:val="num" w:pos="360"/>
      </w:tabs>
      <w:ind w:left="0" w:firstLine="0"/>
    </w:pPr>
    <w:rPr>
      <w:rFonts w:ascii="Calibri" w:hAnsi="Calibri" w:cs="Calibri"/>
      <w:lang w:eastAsia="en-NZ"/>
    </w:rPr>
  </w:style>
  <w:style w:type="character" w:customStyle="1" w:styleId="DocumentMapChar">
    <w:name w:val="Document Map Char"/>
    <w:rsid w:val="00794E72"/>
    <w:rPr>
      <w:rFonts w:ascii="Times New Roman" w:eastAsia="Times New Roman" w:hAnsi="Times New Roman"/>
      <w:sz w:val="0"/>
      <w:szCs w:val="0"/>
    </w:rPr>
  </w:style>
  <w:style w:type="character" w:customStyle="1" w:styleId="DocumentMapChar1">
    <w:name w:val="Document Map Char1"/>
    <w:link w:val="DocumentMap"/>
    <w:uiPriority w:val="99"/>
    <w:locked/>
    <w:rsid w:val="00794E72"/>
    <w:rPr>
      <w:rFonts w:ascii="Tahoma" w:hAnsi="Tahoma"/>
      <w:sz w:val="24"/>
      <w:shd w:val="clear" w:color="auto" w:fill="000080"/>
      <w:lang w:val="en-GB" w:eastAsia="ru-RU"/>
    </w:rPr>
  </w:style>
  <w:style w:type="paragraph" w:styleId="TOCHeading">
    <w:name w:val="TOC Heading"/>
    <w:basedOn w:val="Heading1"/>
    <w:next w:val="Normal"/>
    <w:uiPriority w:val="39"/>
    <w:qFormat/>
    <w:rsid w:val="009E276C"/>
    <w:pPr>
      <w:keepLines/>
      <w:spacing w:before="480" w:after="0" w:line="276" w:lineRule="auto"/>
      <w:outlineLvl w:val="9"/>
    </w:pPr>
    <w:rPr>
      <w:rFonts w:ascii="Cambria" w:hAnsi="Cambria" w:cs="Times New Roman"/>
      <w:color w:val="365F91"/>
      <w:kern w:val="0"/>
      <w:szCs w:val="28"/>
    </w:rPr>
  </w:style>
  <w:style w:type="character" w:customStyle="1" w:styleId="StyleGHEAGrapalatJustifiedBefore12ptChar">
    <w:name w:val="Style GHEA Grapalat Justified Before:  12 pt Char"/>
    <w:link w:val="StyleGHEAGrapalatJustifiedBefore12pt"/>
    <w:locked/>
    <w:rsid w:val="00F6409E"/>
    <w:rPr>
      <w:rFonts w:ascii="GHEA Grapalat" w:hAnsi="GHEA Grapalat" w:cs="Times Unicode"/>
      <w:sz w:val="22"/>
      <w:lang w:val="ru-RU" w:eastAsia="ru-RU"/>
    </w:rPr>
  </w:style>
  <w:style w:type="paragraph" w:customStyle="1" w:styleId="StyleGHEAGrapalatJustifiedBefore12pt">
    <w:name w:val="Style GHEA Grapalat Justified Before:  12 pt"/>
    <w:basedOn w:val="Normal"/>
    <w:link w:val="StyleGHEAGrapalatJustifiedBefore12ptChar"/>
    <w:rsid w:val="00F6409E"/>
    <w:pPr>
      <w:numPr>
        <w:numId w:val="13"/>
      </w:numPr>
      <w:spacing w:before="240" w:after="240"/>
    </w:pPr>
    <w:rPr>
      <w:szCs w:val="20"/>
      <w:lang w:val="ru-RU" w:eastAsia="ru-RU"/>
    </w:rPr>
  </w:style>
  <w:style w:type="character" w:customStyle="1" w:styleId="FontStyle32">
    <w:name w:val="Font Style32"/>
    <w:uiPriority w:val="99"/>
    <w:rsid w:val="00F6409E"/>
    <w:rPr>
      <w:rFonts w:ascii="Tahoma" w:hAnsi="Tahoma" w:cs="Tahoma"/>
      <w:sz w:val="20"/>
      <w:szCs w:val="20"/>
    </w:rPr>
  </w:style>
  <w:style w:type="paragraph" w:customStyle="1" w:styleId="Text2">
    <w:name w:val="Text 2"/>
    <w:basedOn w:val="Normal"/>
    <w:rsid w:val="00F6409E"/>
    <w:pPr>
      <w:spacing w:before="120" w:after="120"/>
      <w:ind w:left="850"/>
    </w:pPr>
    <w:rPr>
      <w:lang w:val="en-GB" w:eastAsia="zh-CN"/>
    </w:rPr>
  </w:style>
  <w:style w:type="character" w:customStyle="1" w:styleId="fnChar2">
    <w:name w:val="fn Char2"/>
    <w:aliases w:val="ADB Char2,single space Char1,footnote text Char Char1,fn Char Char1,ADB Char Char1,single space Char Char Char1,footnote text Char2,FOOTNOTES Char Char1,FOOTNOTES Char Char Char Char1,FOOTNOTES Char2,Footnote Text Char2,fn Char3,ADB Char3"/>
    <w:uiPriority w:val="99"/>
    <w:locked/>
    <w:rsid w:val="00F6409E"/>
    <w:rPr>
      <w:lang w:val="ru-RU" w:eastAsia="ru-RU"/>
    </w:rPr>
  </w:style>
  <w:style w:type="paragraph" w:customStyle="1" w:styleId="article-type">
    <w:name w:val="article-type"/>
    <w:basedOn w:val="Normal"/>
    <w:rsid w:val="00F6409E"/>
    <w:pPr>
      <w:spacing w:before="100" w:beforeAutospacing="1" w:after="100" w:afterAutospacing="1"/>
    </w:pPr>
    <w:rPr>
      <w:lang w:val="ru-RU" w:eastAsia="ru-RU"/>
    </w:rPr>
  </w:style>
  <w:style w:type="paragraph" w:customStyle="1" w:styleId="wpn-byline">
    <w:name w:val="wpn-byline"/>
    <w:basedOn w:val="Normal"/>
    <w:rsid w:val="00F6409E"/>
    <w:pPr>
      <w:spacing w:before="100" w:beforeAutospacing="1" w:after="100" w:afterAutospacing="1"/>
    </w:pPr>
    <w:rPr>
      <w:lang w:val="ru-RU" w:eastAsia="ru-RU"/>
    </w:rPr>
  </w:style>
  <w:style w:type="paragraph" w:customStyle="1" w:styleId="headline10margin-bottom-20">
    <w:name w:val="headline10 margin-bottom-20"/>
    <w:basedOn w:val="Normal"/>
    <w:rsid w:val="00F6409E"/>
    <w:pPr>
      <w:spacing w:before="100" w:beforeAutospacing="1" w:after="100" w:afterAutospacing="1"/>
    </w:pPr>
    <w:rPr>
      <w:lang w:val="ru-RU" w:eastAsia="ru-RU"/>
    </w:rPr>
  </w:style>
  <w:style w:type="character" w:customStyle="1" w:styleId="published">
    <w:name w:val="published"/>
    <w:rsid w:val="00F6409E"/>
  </w:style>
  <w:style w:type="character" w:customStyle="1" w:styleId="divider">
    <w:name w:val="divider"/>
    <w:rsid w:val="00F6409E"/>
  </w:style>
  <w:style w:type="character" w:customStyle="1" w:styleId="authorvcard">
    <w:name w:val="author vcard"/>
    <w:rsid w:val="00F6409E"/>
  </w:style>
  <w:style w:type="character" w:customStyle="1" w:styleId="category">
    <w:name w:val="category"/>
    <w:rsid w:val="00F6409E"/>
  </w:style>
  <w:style w:type="character" w:customStyle="1" w:styleId="before">
    <w:name w:val="before"/>
    <w:rsid w:val="00F6409E"/>
  </w:style>
  <w:style w:type="character" w:customStyle="1" w:styleId="aqj">
    <w:name w:val="aqj"/>
    <w:rsid w:val="00F6409E"/>
  </w:style>
  <w:style w:type="character" w:customStyle="1" w:styleId="gd">
    <w:name w:val="gd"/>
    <w:rsid w:val="00F6409E"/>
  </w:style>
  <w:style w:type="character" w:customStyle="1" w:styleId="g3">
    <w:name w:val="g3"/>
    <w:rsid w:val="00F6409E"/>
  </w:style>
  <w:style w:type="character" w:customStyle="1" w:styleId="goa1h">
    <w:name w:val="go a1h"/>
    <w:rsid w:val="00F6409E"/>
  </w:style>
  <w:style w:type="character" w:customStyle="1" w:styleId="hb">
    <w:name w:val="hb"/>
    <w:rsid w:val="00F6409E"/>
  </w:style>
  <w:style w:type="character" w:customStyle="1" w:styleId="g2">
    <w:name w:val="g2"/>
    <w:rsid w:val="00F6409E"/>
  </w:style>
  <w:style w:type="character" w:customStyle="1" w:styleId="sizzle">
    <w:name w:val="sizzle"/>
    <w:basedOn w:val="DefaultParagraphFont"/>
    <w:rsid w:val="00DA22A9"/>
  </w:style>
  <w:style w:type="paragraph" w:customStyle="1" w:styleId="16">
    <w:name w:val="Абзац списка1"/>
    <w:basedOn w:val="Normal"/>
    <w:qFormat/>
    <w:rsid w:val="00DA22A9"/>
    <w:pPr>
      <w:ind w:left="720"/>
    </w:pPr>
  </w:style>
  <w:style w:type="character" w:customStyle="1" w:styleId="CharChar111">
    <w:name w:val="Char Char11"/>
    <w:rsid w:val="00DA22A9"/>
    <w:rPr>
      <w:rFonts w:ascii="Arial Armenian" w:hAnsi="Arial Armenian"/>
      <w:lang w:val="ru-RU" w:eastAsia="ru-RU" w:bidi="ar-SA"/>
    </w:rPr>
  </w:style>
  <w:style w:type="paragraph" w:customStyle="1" w:styleId="ac">
    <w:name w:val="Знак"/>
    <w:basedOn w:val="Normal"/>
    <w:rsid w:val="00DA22A9"/>
    <w:pPr>
      <w:spacing w:after="160"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2911BC"/>
    <w:pPr>
      <w:numPr>
        <w:numId w:val="14"/>
      </w:numPr>
      <w:spacing w:before="240" w:after="240"/>
    </w:pPr>
    <w:rPr>
      <w:szCs w:val="20"/>
      <w:lang w:eastAsia="ru-RU"/>
    </w:rPr>
  </w:style>
  <w:style w:type="paragraph" w:customStyle="1" w:styleId="StyleStyleHeading2ChapterParanumTextSylfaenGHEAGrapa">
    <w:name w:val="Style Style Heading 2.(Chapter).Paranum.Text + Sylfaen + GHEA Grapa..."/>
    <w:basedOn w:val="StyleHeading2ChapterParanumTextSylfaen"/>
    <w:qFormat/>
    <w:rsid w:val="008A4855"/>
    <w:rPr>
      <w:rFonts w:ascii="GHEA Grapalat" w:hAnsi="GHEA Grapalat"/>
    </w:rPr>
  </w:style>
  <w:style w:type="paragraph" w:customStyle="1" w:styleId="ad">
    <w:name w:val="Без интервала"/>
    <w:link w:val="ae"/>
    <w:uiPriority w:val="1"/>
    <w:qFormat/>
    <w:rsid w:val="00E46197"/>
    <w:rPr>
      <w:rFonts w:ascii="Calibri" w:hAnsi="Calibri"/>
      <w:sz w:val="22"/>
      <w:szCs w:val="22"/>
    </w:rPr>
  </w:style>
  <w:style w:type="character" w:customStyle="1" w:styleId="ae">
    <w:name w:val="Без интервала Знак"/>
    <w:link w:val="ad"/>
    <w:uiPriority w:val="1"/>
    <w:rsid w:val="00E46197"/>
    <w:rPr>
      <w:rFonts w:ascii="Calibri" w:hAnsi="Calibri"/>
      <w:sz w:val="22"/>
      <w:szCs w:val="22"/>
      <w:lang w:bidi="ar-SA"/>
    </w:rPr>
  </w:style>
  <w:style w:type="paragraph" w:customStyle="1" w:styleId="17">
    <w:name w:val="Обычный1"/>
    <w:rsid w:val="00E46197"/>
    <w:pPr>
      <w:autoSpaceDE w:val="0"/>
      <w:autoSpaceDN w:val="0"/>
    </w:pPr>
    <w:rPr>
      <w:lang w:val="ru-RU" w:eastAsia="ru-RU"/>
    </w:rPr>
  </w:style>
  <w:style w:type="paragraph" w:customStyle="1" w:styleId="af">
    <w:name w:val="Рецензия"/>
    <w:hidden/>
    <w:semiHidden/>
    <w:rsid w:val="00E46197"/>
    <w:rPr>
      <w:rFonts w:ascii="Arial Armenian" w:hAnsi="Arial Armenian" w:cs="Sylfaen"/>
      <w:sz w:val="24"/>
      <w:szCs w:val="24"/>
      <w:lang w:val="ru-RU" w:eastAsia="ru-RU"/>
    </w:rPr>
  </w:style>
  <w:style w:type="paragraph" w:customStyle="1" w:styleId="32">
    <w:name w:val="???????? ????? ? ???????? 3"/>
    <w:basedOn w:val="a1"/>
    <w:uiPriority w:val="99"/>
    <w:rsid w:val="00F32F60"/>
    <w:pPr>
      <w:ind w:firstLine="360"/>
      <w:jc w:val="both"/>
    </w:pPr>
    <w:rPr>
      <w:rFonts w:ascii="Times Armenian" w:hAnsi="Times Armenian"/>
      <w:sz w:val="24"/>
      <w:lang w:val="af-ZA"/>
    </w:rPr>
  </w:style>
  <w:style w:type="paragraph" w:customStyle="1" w:styleId="6">
    <w:name w:val="????????? 6"/>
    <w:basedOn w:val="a1"/>
    <w:next w:val="a1"/>
    <w:uiPriority w:val="99"/>
    <w:rsid w:val="00F32F60"/>
    <w:pPr>
      <w:keepNext/>
      <w:jc w:val="center"/>
      <w:outlineLvl w:val="5"/>
    </w:pPr>
    <w:rPr>
      <w:rFonts w:ascii="Times Armenian" w:hAnsi="Times Armenian"/>
      <w:i/>
      <w:lang w:val="en-US"/>
    </w:rPr>
  </w:style>
  <w:style w:type="paragraph" w:customStyle="1" w:styleId="310">
    <w:name w:val="???????? ????? 31"/>
    <w:basedOn w:val="a1"/>
    <w:uiPriority w:val="99"/>
    <w:rsid w:val="00F32F60"/>
    <w:pPr>
      <w:jc w:val="center"/>
    </w:pPr>
    <w:rPr>
      <w:rFonts w:ascii="Arial Armenian" w:hAnsi="Arial Armenian"/>
      <w:sz w:val="24"/>
      <w:lang w:val="en-AU"/>
    </w:rPr>
  </w:style>
  <w:style w:type="paragraph" w:customStyle="1" w:styleId="26">
    <w:name w:val="????????? 2"/>
    <w:basedOn w:val="a1"/>
    <w:next w:val="a1"/>
    <w:uiPriority w:val="99"/>
    <w:rsid w:val="00F32F60"/>
    <w:pPr>
      <w:keepNext/>
      <w:ind w:firstLine="720"/>
      <w:outlineLvl w:val="1"/>
    </w:pPr>
    <w:rPr>
      <w:rFonts w:ascii="Times LatArm" w:hAnsi="Times LatArm"/>
      <w:b/>
      <w:i/>
      <w:sz w:val="28"/>
      <w:lang w:val="en-US"/>
    </w:rPr>
  </w:style>
  <w:style w:type="paragraph" w:customStyle="1" w:styleId="41">
    <w:name w:val="????????? 4"/>
    <w:basedOn w:val="a1"/>
    <w:next w:val="a1"/>
    <w:uiPriority w:val="99"/>
    <w:rsid w:val="00F32F60"/>
    <w:pPr>
      <w:keepNext/>
      <w:spacing w:line="360" w:lineRule="auto"/>
      <w:ind w:firstLine="360"/>
      <w:jc w:val="both"/>
      <w:outlineLvl w:val="3"/>
    </w:pPr>
    <w:rPr>
      <w:rFonts w:ascii="Times LatArm" w:hAnsi="Times LatArm"/>
      <w:i/>
      <w:noProof/>
      <w:sz w:val="24"/>
    </w:rPr>
  </w:style>
  <w:style w:type="paragraph" w:customStyle="1" w:styleId="18">
    <w:name w:val="????????? 1"/>
    <w:basedOn w:val="Normal"/>
    <w:next w:val="Normal"/>
    <w:rsid w:val="00F32F60"/>
    <w:pPr>
      <w:keepNext/>
      <w:outlineLvl w:val="0"/>
    </w:pPr>
    <w:rPr>
      <w:rFonts w:ascii="Times Armenian" w:hAnsi="Times Armenian"/>
      <w:i/>
      <w:szCs w:val="20"/>
      <w:lang w:eastAsia="ru-RU"/>
    </w:rPr>
  </w:style>
  <w:style w:type="paragraph" w:customStyle="1" w:styleId="CharChar6">
    <w:name w:val="Знак Знак Char Char"/>
    <w:basedOn w:val="Normal"/>
    <w:rsid w:val="00F32F60"/>
    <w:pPr>
      <w:spacing w:after="160" w:line="240" w:lineRule="exact"/>
    </w:pPr>
    <w:rPr>
      <w:rFonts w:ascii="Arial" w:hAnsi="Arial" w:cs="Arial"/>
      <w:sz w:val="20"/>
      <w:szCs w:val="20"/>
    </w:rPr>
  </w:style>
  <w:style w:type="paragraph" w:customStyle="1" w:styleId="CharChar7">
    <w:name w:val="Знак Знак Char Char Знак Знак"/>
    <w:basedOn w:val="Normal"/>
    <w:rsid w:val="00F32F60"/>
    <w:pPr>
      <w:spacing w:after="160" w:line="240" w:lineRule="exact"/>
    </w:pPr>
    <w:rPr>
      <w:rFonts w:ascii="Arial" w:hAnsi="Arial" w:cs="Arial"/>
      <w:sz w:val="20"/>
      <w:szCs w:val="20"/>
    </w:rPr>
  </w:style>
  <w:style w:type="paragraph" w:customStyle="1" w:styleId="Para">
    <w:name w:val="Para"/>
    <w:basedOn w:val="Normal"/>
    <w:autoRedefine/>
    <w:rsid w:val="00F32F60"/>
    <w:pPr>
      <w:suppressAutoHyphens/>
    </w:pPr>
    <w:rPr>
      <w:rFonts w:eastAsia="Calibri" w:cs="Sylfaen"/>
      <w:bCs/>
      <w:kern w:val="1"/>
    </w:rPr>
  </w:style>
  <w:style w:type="paragraph" w:customStyle="1" w:styleId="ModelNrmlSingle">
    <w:name w:val="ModelNrmlSingle"/>
    <w:basedOn w:val="Normal"/>
    <w:rsid w:val="00F32F60"/>
    <w:pPr>
      <w:spacing w:after="240"/>
      <w:ind w:firstLine="720"/>
    </w:pPr>
    <w:rPr>
      <w:szCs w:val="20"/>
    </w:rPr>
  </w:style>
  <w:style w:type="paragraph" w:customStyle="1" w:styleId="Char50">
    <w:name w:val="Char5"/>
    <w:basedOn w:val="Normal"/>
    <w:rsid w:val="008568FE"/>
    <w:pPr>
      <w:spacing w:after="160" w:line="240" w:lineRule="exact"/>
    </w:pPr>
    <w:rPr>
      <w:rFonts w:ascii="Arial" w:eastAsia="Calibri" w:hAnsi="Arial" w:cs="Arial"/>
      <w:sz w:val="20"/>
      <w:szCs w:val="20"/>
    </w:rPr>
  </w:style>
  <w:style w:type="paragraph" w:customStyle="1" w:styleId="33">
    <w:name w:val="Знак Знак3"/>
    <w:basedOn w:val="Normal"/>
    <w:link w:val="Char11"/>
    <w:rsid w:val="008568FE"/>
    <w:pPr>
      <w:spacing w:after="160" w:line="240" w:lineRule="exact"/>
    </w:pPr>
    <w:rPr>
      <w:rFonts w:ascii="Arial" w:eastAsia="Calibri" w:hAnsi="Arial"/>
      <w:sz w:val="20"/>
      <w:szCs w:val="20"/>
      <w:lang w:val="en-GB" w:eastAsia="x-none"/>
    </w:rPr>
  </w:style>
  <w:style w:type="character" w:customStyle="1" w:styleId="Char11">
    <w:name w:val="Знак Знак Char1"/>
    <w:link w:val="33"/>
    <w:locked/>
    <w:rsid w:val="008568FE"/>
    <w:rPr>
      <w:rFonts w:ascii="Arial" w:eastAsia="Calibri" w:hAnsi="Arial"/>
      <w:lang w:val="en-GB"/>
    </w:rPr>
  </w:style>
  <w:style w:type="paragraph" w:customStyle="1" w:styleId="CharChar60">
    <w:name w:val="Char Char6"/>
    <w:basedOn w:val="Normal"/>
    <w:rsid w:val="008568FE"/>
    <w:pPr>
      <w:spacing w:after="160" w:line="240" w:lineRule="exact"/>
    </w:pPr>
    <w:rPr>
      <w:rFonts w:ascii="Arial" w:eastAsia="Calibri" w:hAnsi="Arial" w:cs="Arial"/>
      <w:sz w:val="20"/>
      <w:szCs w:val="20"/>
    </w:rPr>
  </w:style>
  <w:style w:type="paragraph" w:customStyle="1" w:styleId="CharCharChar10">
    <w:name w:val="Char Char Char1"/>
    <w:basedOn w:val="Normal"/>
    <w:rsid w:val="008568FE"/>
    <w:pPr>
      <w:spacing w:after="160" w:line="240" w:lineRule="exact"/>
    </w:pPr>
    <w:rPr>
      <w:rFonts w:ascii="Arial" w:eastAsia="Calibri" w:hAnsi="Arial" w:cs="Arial"/>
      <w:sz w:val="20"/>
      <w:szCs w:val="20"/>
    </w:rPr>
  </w:style>
  <w:style w:type="paragraph" w:customStyle="1" w:styleId="Znak1">
    <w:name w:val="Znak1"/>
    <w:basedOn w:val="Normal"/>
    <w:rsid w:val="008568F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8568FE"/>
    <w:pPr>
      <w:spacing w:after="160"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8568FE"/>
    <w:pPr>
      <w:spacing w:after="160" w:line="240" w:lineRule="exact"/>
    </w:pPr>
    <w:rPr>
      <w:rFonts w:eastAsia="Calibri"/>
      <w:sz w:val="28"/>
      <w:szCs w:val="20"/>
    </w:rPr>
  </w:style>
  <w:style w:type="paragraph" w:customStyle="1" w:styleId="CharCharChar11">
    <w:name w:val="Char Char Char Знак1"/>
    <w:basedOn w:val="Normal"/>
    <w:next w:val="Normal"/>
    <w:rsid w:val="008568FE"/>
    <w:pPr>
      <w:spacing w:after="160" w:line="240" w:lineRule="exact"/>
    </w:pPr>
    <w:rPr>
      <w:rFonts w:ascii="Tahoma" w:eastAsia="Calibri" w:hAnsi="Tahoma"/>
      <w:szCs w:val="20"/>
    </w:rPr>
  </w:style>
  <w:style w:type="paragraph" w:customStyle="1" w:styleId="CharCharCharCharCharCharCharChar1">
    <w:name w:val="Char Char Char Char Char Char Char Char1"/>
    <w:basedOn w:val="Normal"/>
    <w:rsid w:val="008568FE"/>
    <w:pPr>
      <w:spacing w:after="160"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8568F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8568FE"/>
    <w:pPr>
      <w:spacing w:after="160" w:line="240" w:lineRule="exact"/>
    </w:pPr>
    <w:rPr>
      <w:rFonts w:ascii="Arial" w:eastAsia="Calibri" w:hAnsi="Arial" w:cs="Arial"/>
      <w:sz w:val="20"/>
      <w:szCs w:val="20"/>
    </w:rPr>
  </w:style>
  <w:style w:type="paragraph" w:customStyle="1" w:styleId="CharCharChar12">
    <w:name w:val="Char Char Char Знак Знак1"/>
    <w:basedOn w:val="Normal"/>
    <w:rsid w:val="008568FE"/>
    <w:pPr>
      <w:spacing w:after="160"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8568FE"/>
    <w:pPr>
      <w:spacing w:after="160" w:line="240" w:lineRule="exact"/>
    </w:pPr>
    <w:rPr>
      <w:rFonts w:ascii="Arial" w:eastAsia="Calibri" w:hAnsi="Arial" w:cs="Arial"/>
      <w:sz w:val="20"/>
      <w:szCs w:val="20"/>
    </w:rPr>
  </w:style>
  <w:style w:type="paragraph" w:customStyle="1" w:styleId="1CharChar1">
    <w:name w:val="Знак Знак1 Char Char Знак Знак1"/>
    <w:basedOn w:val="Normal"/>
    <w:rsid w:val="008568FE"/>
    <w:pPr>
      <w:tabs>
        <w:tab w:val="num" w:pos="840"/>
      </w:tabs>
      <w:spacing w:after="160" w:line="240" w:lineRule="exact"/>
      <w:ind w:left="840" w:hanging="360"/>
    </w:pPr>
    <w:rPr>
      <w:rFonts w:ascii="Verdana" w:eastAsia="Calibri" w:hAnsi="Verdana"/>
      <w:sz w:val="20"/>
      <w:szCs w:val="20"/>
      <w:lang w:val="ru-RU"/>
    </w:rPr>
  </w:style>
  <w:style w:type="paragraph" w:customStyle="1" w:styleId="CharCharCharChar10">
    <w:name w:val="Знак Знак Char Char Знак Знак Char Char Знак Знак1"/>
    <w:basedOn w:val="Normal"/>
    <w:autoRedefine/>
    <w:rsid w:val="008568FE"/>
    <w:pPr>
      <w:spacing w:after="160" w:line="240" w:lineRule="exact"/>
    </w:pPr>
    <w:rPr>
      <w:rFonts w:eastAsia="Calibri"/>
      <w:sz w:val="28"/>
      <w:szCs w:val="20"/>
    </w:rPr>
  </w:style>
  <w:style w:type="paragraph" w:customStyle="1" w:styleId="CharCharChar1Char1">
    <w:name w:val="Char Char Char1 Char1"/>
    <w:basedOn w:val="Normal"/>
    <w:rsid w:val="008568FE"/>
    <w:pPr>
      <w:spacing w:after="160" w:line="240" w:lineRule="exact"/>
    </w:pPr>
    <w:rPr>
      <w:rFonts w:ascii="Arial" w:eastAsia="Calibri" w:hAnsi="Arial" w:cs="Arial"/>
      <w:sz w:val="20"/>
      <w:szCs w:val="20"/>
    </w:rPr>
  </w:style>
  <w:style w:type="paragraph" w:customStyle="1" w:styleId="110">
    <w:name w:val="Знак Знак11"/>
    <w:basedOn w:val="Normal"/>
    <w:rsid w:val="008568FE"/>
    <w:pPr>
      <w:spacing w:after="160"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8568FE"/>
    <w:pPr>
      <w:spacing w:after="160" w:line="240" w:lineRule="exact"/>
    </w:pPr>
    <w:rPr>
      <w:rFonts w:ascii="Arial" w:eastAsia="Calibri" w:hAnsi="Arial" w:cs="Arial"/>
      <w:sz w:val="20"/>
      <w:szCs w:val="20"/>
    </w:rPr>
  </w:style>
  <w:style w:type="paragraph" w:customStyle="1" w:styleId="CharChar1CharCharChar1Char1">
    <w:name w:val="Char Char1 Char Char Char1 Char1"/>
    <w:basedOn w:val="Normal"/>
    <w:autoRedefine/>
    <w:rsid w:val="008568FE"/>
    <w:rPr>
      <w:rFonts w:eastAsia="SimSun"/>
      <w:sz w:val="20"/>
      <w:szCs w:val="20"/>
      <w:lang w:eastAsia="ru-RU"/>
    </w:rPr>
  </w:style>
  <w:style w:type="paragraph" w:customStyle="1" w:styleId="410">
    <w:name w:val="Знак Знак41"/>
    <w:basedOn w:val="Normal"/>
    <w:rsid w:val="008568FE"/>
    <w:pPr>
      <w:tabs>
        <w:tab w:val="left" w:pos="709"/>
      </w:tabs>
    </w:pPr>
    <w:rPr>
      <w:rFonts w:ascii="Tahoma" w:eastAsia="Calibri" w:hAnsi="Tahoma"/>
      <w:lang w:val="pl-PL" w:eastAsia="pl-PL"/>
    </w:rPr>
  </w:style>
  <w:style w:type="paragraph" w:customStyle="1" w:styleId="Char13">
    <w:name w:val="Знак Char Знак1"/>
    <w:basedOn w:val="Normal"/>
    <w:rsid w:val="008568FE"/>
    <w:pPr>
      <w:spacing w:after="160" w:line="240" w:lineRule="exact"/>
    </w:pPr>
    <w:rPr>
      <w:rFonts w:ascii="Arial" w:eastAsia="Batang" w:hAnsi="Arial" w:cs="Arial"/>
      <w:sz w:val="20"/>
      <w:szCs w:val="20"/>
    </w:rPr>
  </w:style>
  <w:style w:type="paragraph" w:customStyle="1" w:styleId="CharCharCharCharCharChar10">
    <w:name w:val="Знак Знак Char Char Знак Знак Char Char Знак Знак Char Char1"/>
    <w:basedOn w:val="Normal"/>
    <w:autoRedefine/>
    <w:rsid w:val="008568FE"/>
    <w:pPr>
      <w:spacing w:after="160" w:line="240" w:lineRule="exact"/>
    </w:pPr>
    <w:rPr>
      <w:rFonts w:eastAsia="Calibri"/>
      <w:sz w:val="28"/>
      <w:szCs w:val="20"/>
    </w:rPr>
  </w:style>
  <w:style w:type="paragraph" w:customStyle="1" w:styleId="212">
    <w:name w:val="Знак Знак21"/>
    <w:basedOn w:val="Normal"/>
    <w:rsid w:val="008568FE"/>
    <w:pPr>
      <w:spacing w:after="160" w:line="240" w:lineRule="exact"/>
    </w:pPr>
    <w:rPr>
      <w:rFonts w:ascii="Arial" w:eastAsia="Calibri" w:hAnsi="Arial" w:cs="Arial"/>
      <w:sz w:val="20"/>
      <w:szCs w:val="20"/>
    </w:rPr>
  </w:style>
  <w:style w:type="paragraph" w:customStyle="1" w:styleId="CharCharCharCharChar11">
    <w:name w:val="Char Char Char Char Char1"/>
    <w:basedOn w:val="Normal"/>
    <w:rsid w:val="008568FE"/>
    <w:pPr>
      <w:spacing w:after="160" w:line="240" w:lineRule="exact"/>
    </w:pPr>
    <w:rPr>
      <w:rFonts w:ascii="Arial" w:eastAsia="Calibri" w:hAnsi="Arial" w:cs="Arial"/>
      <w:sz w:val="20"/>
      <w:szCs w:val="20"/>
    </w:rPr>
  </w:style>
  <w:style w:type="paragraph" w:customStyle="1" w:styleId="CharCharCharCharChar5">
    <w:name w:val="Знак Char Char Знак Char Char Char"/>
    <w:aliases w:val="Знак Char Char Знак Char Char1 Знак"/>
    <w:basedOn w:val="Normal"/>
    <w:next w:val="Normal"/>
    <w:semiHidden/>
    <w:rsid w:val="008568FE"/>
    <w:pPr>
      <w:spacing w:after="160" w:line="240" w:lineRule="exact"/>
    </w:pPr>
    <w:rPr>
      <w:rFonts w:ascii="Arial" w:eastAsia="Calibri" w:hAnsi="Arial" w:cs="Arial"/>
      <w:b/>
      <w:sz w:val="20"/>
      <w:szCs w:val="20"/>
      <w:lang w:val="en-GB"/>
    </w:rPr>
  </w:style>
  <w:style w:type="paragraph" w:customStyle="1" w:styleId="ListParagraph11">
    <w:name w:val="List Paragraph11"/>
    <w:basedOn w:val="Normal"/>
    <w:rsid w:val="008568FE"/>
    <w:pPr>
      <w:ind w:left="720" w:right="201" w:firstLine="900"/>
      <w:contextualSpacing/>
    </w:pPr>
    <w:rPr>
      <w:rFonts w:ascii="Times Armenian" w:eastAsia="Calibri" w:hAnsi="Times Armenian"/>
      <w:sz w:val="28"/>
      <w:szCs w:val="28"/>
      <w:lang w:eastAsia="ru-RU"/>
    </w:rPr>
  </w:style>
  <w:style w:type="paragraph" w:customStyle="1" w:styleId="CharCharCharCharCharChar2">
    <w:name w:val="Char Char Char Char Char Char"/>
    <w:basedOn w:val="Normal"/>
    <w:rsid w:val="008568FE"/>
    <w:pPr>
      <w:spacing w:after="160" w:line="240" w:lineRule="exact"/>
    </w:pPr>
    <w:rPr>
      <w:rFonts w:ascii="Arial" w:eastAsia="Calibri" w:hAnsi="Arial" w:cs="Arial"/>
      <w:sz w:val="20"/>
      <w:szCs w:val="20"/>
    </w:rPr>
  </w:style>
  <w:style w:type="paragraph" w:customStyle="1" w:styleId="CharChar12">
    <w:name w:val="Char Char12"/>
    <w:basedOn w:val="Normal"/>
    <w:rsid w:val="008568FE"/>
    <w:pPr>
      <w:spacing w:after="160" w:line="240" w:lineRule="exact"/>
    </w:pPr>
    <w:rPr>
      <w:rFonts w:ascii="Arial" w:eastAsia="Calibri" w:hAnsi="Arial" w:cs="Arial"/>
      <w:sz w:val="20"/>
      <w:szCs w:val="20"/>
    </w:rPr>
  </w:style>
  <w:style w:type="paragraph" w:customStyle="1" w:styleId="af0">
    <w:name w:val="Знак"/>
    <w:basedOn w:val="Normal"/>
    <w:rsid w:val="008568FE"/>
    <w:pPr>
      <w:spacing w:after="160" w:line="240" w:lineRule="exact"/>
    </w:pPr>
    <w:rPr>
      <w:rFonts w:ascii="Arial" w:eastAsia="Calibri" w:hAnsi="Arial" w:cs="Arial"/>
      <w:sz w:val="20"/>
      <w:szCs w:val="20"/>
      <w:lang w:val="en-GB"/>
    </w:rPr>
  </w:style>
  <w:style w:type="paragraph" w:customStyle="1" w:styleId="BodyText10">
    <w:name w:val="Body Text1"/>
    <w:basedOn w:val="Normal"/>
    <w:rsid w:val="0088001C"/>
    <w:pPr>
      <w:tabs>
        <w:tab w:val="num" w:pos="0"/>
      </w:tabs>
      <w:spacing w:after="240"/>
    </w:pPr>
    <w:rPr>
      <w:rFonts w:ascii="Times Armenian" w:hAnsi="Times Armenian"/>
      <w:lang w:eastAsia="ru-RU"/>
    </w:rPr>
  </w:style>
  <w:style w:type="paragraph" w:styleId="Quote">
    <w:name w:val="Quote"/>
    <w:basedOn w:val="Normal"/>
    <w:next w:val="Normal"/>
    <w:link w:val="QuoteChar"/>
    <w:uiPriority w:val="29"/>
    <w:qFormat/>
    <w:rsid w:val="0088001C"/>
    <w:rPr>
      <w:i/>
      <w:iCs/>
      <w:color w:val="000000"/>
      <w:lang w:val="x-none" w:eastAsia="x-none"/>
    </w:rPr>
  </w:style>
  <w:style w:type="character" w:customStyle="1" w:styleId="QuoteChar">
    <w:name w:val="Quote Char"/>
    <w:link w:val="Quote"/>
    <w:uiPriority w:val="29"/>
    <w:rsid w:val="0088001C"/>
    <w:rPr>
      <w:i/>
      <w:iCs/>
      <w:color w:val="000000"/>
      <w:sz w:val="24"/>
      <w:szCs w:val="24"/>
      <w:lang w:val="x-none" w:eastAsia="x-none"/>
    </w:rPr>
  </w:style>
  <w:style w:type="character" w:styleId="IntenseEmphasis">
    <w:name w:val="Intense Emphasis"/>
    <w:uiPriority w:val="21"/>
    <w:qFormat/>
    <w:rsid w:val="0088001C"/>
    <w:rPr>
      <w:b/>
      <w:bCs/>
      <w:i/>
      <w:iCs/>
      <w:color w:val="4F81BD"/>
    </w:rPr>
  </w:style>
  <w:style w:type="table" w:styleId="LightList-Accent1">
    <w:name w:val="Light List Accent 1"/>
    <w:basedOn w:val="TableNormal"/>
    <w:uiPriority w:val="61"/>
    <w:rsid w:val="008800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8800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88001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88001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8800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8800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8800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8800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8800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E2224"/>
    <w:pPr>
      <w:ind w:left="720"/>
      <w:contextualSpacing/>
    </w:pPr>
    <w:rPr>
      <w:lang w:val="ru-RU" w:eastAsia="ru-RU"/>
    </w:rPr>
  </w:style>
  <w:style w:type="character" w:customStyle="1" w:styleId="A00">
    <w:name w:val="A0"/>
    <w:rsid w:val="000E2224"/>
    <w:rPr>
      <w:color w:val="000000"/>
      <w:sz w:val="56"/>
      <w:szCs w:val="56"/>
    </w:rPr>
  </w:style>
  <w:style w:type="paragraph" w:customStyle="1" w:styleId="19">
    <w:name w:val="Знак1"/>
    <w:basedOn w:val="Normal"/>
    <w:rsid w:val="000E2224"/>
    <w:pPr>
      <w:spacing w:after="160" w:line="240" w:lineRule="exact"/>
    </w:pPr>
    <w:rPr>
      <w:rFonts w:ascii="Arial" w:hAnsi="Arial" w:cs="Arial"/>
      <w:sz w:val="20"/>
      <w:szCs w:val="20"/>
      <w:lang w:val="en-GB"/>
    </w:rPr>
  </w:style>
  <w:style w:type="character" w:customStyle="1" w:styleId="1a">
    <w:name w:val="Текст сноски Знак1"/>
    <w:semiHidden/>
    <w:rsid w:val="000E2224"/>
    <w:rPr>
      <w:sz w:val="20"/>
      <w:szCs w:val="20"/>
    </w:rPr>
  </w:style>
  <w:style w:type="character" w:customStyle="1" w:styleId="CharChar28">
    <w:name w:val="Char Char28"/>
    <w:rsid w:val="000E2224"/>
    <w:rPr>
      <w:rFonts w:ascii="Arial Armenian" w:hAnsi="Arial Armenian"/>
      <w:i/>
      <w:sz w:val="22"/>
      <w:u w:val="single"/>
      <w:lang w:val="en-GB"/>
    </w:rPr>
  </w:style>
  <w:style w:type="character" w:customStyle="1" w:styleId="CharChar27">
    <w:name w:val="Char Char27"/>
    <w:rsid w:val="000E2224"/>
    <w:rPr>
      <w:rFonts w:ascii="Garamond" w:hAnsi="Garamond"/>
      <w:i/>
      <w:spacing w:val="-5"/>
      <w:sz w:val="28"/>
      <w:shd w:val="pct5" w:color="auto" w:fill="auto"/>
      <w:lang w:val="en-GB"/>
    </w:rPr>
  </w:style>
  <w:style w:type="character" w:customStyle="1" w:styleId="CharChar26">
    <w:name w:val="Char Char26"/>
    <w:rsid w:val="000E2224"/>
    <w:rPr>
      <w:rFonts w:ascii="Arial Black" w:hAnsi="Arial Black"/>
      <w:caps/>
      <w:spacing w:val="60"/>
      <w:position w:val="4"/>
      <w:sz w:val="14"/>
      <w:lang w:val="en-GB"/>
    </w:rPr>
  </w:style>
  <w:style w:type="character" w:customStyle="1" w:styleId="CharChar25">
    <w:name w:val="Char Char25"/>
    <w:rsid w:val="000E2224"/>
    <w:rPr>
      <w:rFonts w:ascii="Garamond" w:hAnsi="Garamond"/>
      <w:b/>
      <w:i/>
      <w:kern w:val="28"/>
      <w:lang w:val="en-GB"/>
    </w:rPr>
  </w:style>
  <w:style w:type="character" w:customStyle="1" w:styleId="CharChar24">
    <w:name w:val="Char Char24"/>
    <w:rsid w:val="000E2224"/>
    <w:rPr>
      <w:rFonts w:ascii="Arial Armenian" w:hAnsi="Arial Armenian"/>
      <w:noProof/>
      <w:lang w:val="en-US" w:eastAsia="en-US" w:bidi="ar-SA"/>
    </w:rPr>
  </w:style>
  <w:style w:type="character" w:customStyle="1" w:styleId="CharChar23">
    <w:name w:val="Char Char23"/>
    <w:rsid w:val="000E2224"/>
    <w:rPr>
      <w:rFonts w:ascii="Arial Armenian" w:hAnsi="Arial Armenian"/>
      <w:lang w:val="en-GB" w:eastAsia="en-US" w:bidi="ar-SA"/>
    </w:rPr>
  </w:style>
  <w:style w:type="character" w:customStyle="1" w:styleId="CharChar22">
    <w:name w:val="Char Char22"/>
    <w:rsid w:val="000E2224"/>
    <w:rPr>
      <w:rFonts w:ascii="Arial Armenian" w:hAnsi="Arial Armenian"/>
      <w:lang w:val="ru-RU" w:eastAsia="ru-RU" w:bidi="ar-SA"/>
    </w:rPr>
  </w:style>
  <w:style w:type="paragraph" w:customStyle="1" w:styleId="Outline">
    <w:name w:val="Outline"/>
    <w:basedOn w:val="Normal"/>
    <w:rsid w:val="000E2224"/>
    <w:pPr>
      <w:spacing w:before="240"/>
    </w:pPr>
    <w:rPr>
      <w:kern w:val="28"/>
      <w:szCs w:val="20"/>
    </w:rPr>
  </w:style>
  <w:style w:type="paragraph" w:customStyle="1" w:styleId="af1">
    <w:name w:val="Îáû÷íûé"/>
    <w:rsid w:val="000E2224"/>
    <w:rPr>
      <w:rFonts w:ascii="Times Armenian" w:hAnsi="Times Armenian"/>
      <w:sz w:val="24"/>
    </w:rPr>
  </w:style>
  <w:style w:type="paragraph" w:customStyle="1" w:styleId="Style13">
    <w:name w:val="Style13"/>
    <w:basedOn w:val="Normal"/>
    <w:rsid w:val="000E2224"/>
    <w:pPr>
      <w:widowControl w:val="0"/>
      <w:autoSpaceDE w:val="0"/>
      <w:autoSpaceDN w:val="0"/>
      <w:adjustRightInd w:val="0"/>
    </w:pPr>
    <w:rPr>
      <w:rFonts w:ascii="Tahoma" w:eastAsia="SimSun" w:hAnsi="Tahoma" w:cs="Tahoma"/>
    </w:rPr>
  </w:style>
  <w:style w:type="character" w:customStyle="1" w:styleId="FontStyle27">
    <w:name w:val="Font Style27"/>
    <w:rsid w:val="000E2224"/>
    <w:rPr>
      <w:rFonts w:ascii="Tahoma" w:hAnsi="Tahoma" w:cs="Tahoma" w:hint="default"/>
      <w:sz w:val="14"/>
      <w:szCs w:val="14"/>
    </w:rPr>
  </w:style>
  <w:style w:type="paragraph" w:customStyle="1" w:styleId="Style14">
    <w:name w:val="Style14"/>
    <w:basedOn w:val="Normal"/>
    <w:rsid w:val="000E2224"/>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0E2224"/>
    <w:rPr>
      <w:rFonts w:ascii="Tahoma" w:hAnsi="Tahoma" w:cs="Tahoma" w:hint="default"/>
      <w:i/>
      <w:iCs/>
      <w:spacing w:val="10"/>
      <w:sz w:val="16"/>
      <w:szCs w:val="16"/>
    </w:rPr>
  </w:style>
  <w:style w:type="character" w:customStyle="1" w:styleId="FontStyle53">
    <w:name w:val="Font Style53"/>
    <w:rsid w:val="000E2224"/>
    <w:rPr>
      <w:rFonts w:ascii="Sylfaen" w:hAnsi="Sylfaen"/>
      <w:sz w:val="18"/>
    </w:rPr>
  </w:style>
  <w:style w:type="character" w:customStyle="1" w:styleId="shorttext">
    <w:name w:val="short_text"/>
    <w:rsid w:val="000E2224"/>
    <w:rPr>
      <w:rFonts w:cs="Times New Roman"/>
    </w:rPr>
  </w:style>
  <w:style w:type="table" w:customStyle="1" w:styleId="LightList-Accent11">
    <w:name w:val="Light List - Accent 11"/>
    <w:basedOn w:val="TableNormal"/>
    <w:uiPriority w:val="61"/>
    <w:rsid w:val="005F077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E563B1"/>
  </w:style>
  <w:style w:type="paragraph" w:customStyle="1" w:styleId="NoSpacing1">
    <w:name w:val="No Spacing1"/>
    <w:qFormat/>
    <w:rsid w:val="00E563B1"/>
    <w:rPr>
      <w:rFonts w:ascii="Calibri" w:hAnsi="Calibri"/>
      <w:sz w:val="22"/>
      <w:szCs w:val="22"/>
    </w:rPr>
  </w:style>
  <w:style w:type="paragraph" w:customStyle="1" w:styleId="27">
    <w:name w:val="Обычный2"/>
    <w:rsid w:val="00E563B1"/>
    <w:pPr>
      <w:autoSpaceDE w:val="0"/>
      <w:autoSpaceDN w:val="0"/>
    </w:pPr>
    <w:rPr>
      <w:lang w:val="ru-RU" w:eastAsia="ru-RU"/>
    </w:rPr>
  </w:style>
  <w:style w:type="paragraph" w:customStyle="1" w:styleId="Revision1">
    <w:name w:val="Revision1"/>
    <w:hidden/>
    <w:semiHidden/>
    <w:rsid w:val="00E563B1"/>
    <w:rPr>
      <w:rFonts w:ascii="Arial Armenian" w:hAnsi="Arial Armenian" w:cs="Sylfaen"/>
      <w:sz w:val="24"/>
      <w:szCs w:val="24"/>
      <w:lang w:val="ru-RU" w:eastAsia="ru-RU"/>
    </w:rPr>
  </w:style>
  <w:style w:type="paragraph" w:customStyle="1" w:styleId="TOCHeading1">
    <w:name w:val="TOC Heading1"/>
    <w:basedOn w:val="Heading1"/>
    <w:next w:val="Normal"/>
    <w:qFormat/>
    <w:rsid w:val="00E563B1"/>
    <w:pPr>
      <w:keepLines/>
      <w:spacing w:before="480" w:after="0" w:line="276" w:lineRule="auto"/>
      <w:outlineLvl w:val="9"/>
    </w:pPr>
    <w:rPr>
      <w:rFonts w:ascii="Cambria" w:hAnsi="Cambria" w:cs="Times New Roman"/>
      <w:color w:val="365F91"/>
      <w:kern w:val="0"/>
      <w:szCs w:val="28"/>
    </w:rPr>
  </w:style>
  <w:style w:type="character" w:customStyle="1" w:styleId="NoSpacingChar1">
    <w:name w:val="No Spacing Char1"/>
    <w:rsid w:val="00E563B1"/>
    <w:rPr>
      <w:rFonts w:ascii="Calibri" w:eastAsia="Times New Roman" w:hAnsi="Calibri" w:cs="Times New Roman"/>
      <w:lang w:val="en-US"/>
    </w:rPr>
  </w:style>
  <w:style w:type="paragraph" w:customStyle="1" w:styleId="Quote1">
    <w:name w:val="Quote1"/>
    <w:basedOn w:val="Normal"/>
    <w:next w:val="Normal"/>
    <w:qFormat/>
    <w:rsid w:val="00E563B1"/>
    <w:rPr>
      <w:i/>
      <w:iCs/>
      <w:color w:val="000000"/>
      <w:lang w:val="x-none" w:eastAsia="x-none"/>
    </w:rPr>
  </w:style>
  <w:style w:type="character" w:customStyle="1" w:styleId="IntenseEmphasis1">
    <w:name w:val="Intense Emphasis1"/>
    <w:qFormat/>
    <w:rsid w:val="00E563B1"/>
    <w:rPr>
      <w:b/>
      <w:bCs/>
      <w:i/>
      <w:iCs/>
      <w:color w:val="4F81BD"/>
    </w:rPr>
  </w:style>
  <w:style w:type="table" w:customStyle="1" w:styleId="ColorfulGrid-Accent11">
    <w:name w:val="Colorful Grid - Accent 11"/>
    <w:basedOn w:val="TableNormal"/>
    <w:rsid w:val="00E563B1"/>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E563B1"/>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CE125F"/>
    <w:pPr>
      <w:widowControl w:val="0"/>
      <w:suppressAutoHyphens/>
      <w:autoSpaceDN w:val="0"/>
      <w:textAlignment w:val="baseline"/>
    </w:pPr>
    <w:rPr>
      <w:rFonts w:ascii="Calibri" w:hAnsi="Calibri"/>
      <w:kern w:val="3"/>
      <w:sz w:val="24"/>
      <w:szCs w:val="24"/>
    </w:rPr>
  </w:style>
  <w:style w:type="character" w:customStyle="1" w:styleId="PageNumber1">
    <w:name w:val="Page Number1"/>
    <w:rsid w:val="00CE125F"/>
    <w:rPr>
      <w:rFonts w:cs="Times New Roman"/>
    </w:rPr>
  </w:style>
  <w:style w:type="character" w:customStyle="1" w:styleId="af2">
    <w:name w:val="Основной текст_"/>
    <w:rsid w:val="00CE125F"/>
    <w:rPr>
      <w:rFonts w:ascii="Sylfaen" w:hAnsi="Sylfaen" w:cs="Sylfaen"/>
      <w:spacing w:val="20"/>
      <w:w w:val="80"/>
      <w:shd w:val="clear" w:color="auto" w:fill="FFFFFF"/>
    </w:rPr>
  </w:style>
  <w:style w:type="character" w:customStyle="1" w:styleId="28">
    <w:name w:val="Основной текст (2)_"/>
    <w:rsid w:val="00CE125F"/>
    <w:rPr>
      <w:rFonts w:ascii="Sylfaen" w:hAnsi="Sylfaen" w:cs="Sylfaen"/>
      <w:i/>
      <w:iCs/>
      <w:shd w:val="clear" w:color="auto" w:fill="FFFFFF"/>
    </w:rPr>
  </w:style>
  <w:style w:type="character" w:customStyle="1" w:styleId="34">
    <w:name w:val="Основной текст (3)_"/>
    <w:rsid w:val="00CE125F"/>
    <w:rPr>
      <w:rFonts w:ascii="Sylfaen" w:hAnsi="Sylfaen" w:cs="Sylfaen"/>
      <w:spacing w:val="20"/>
      <w:w w:val="80"/>
      <w:sz w:val="21"/>
      <w:szCs w:val="21"/>
      <w:shd w:val="clear" w:color="auto" w:fill="FFFFFF"/>
    </w:rPr>
  </w:style>
  <w:style w:type="character" w:customStyle="1" w:styleId="311pt">
    <w:name w:val="Основной текст (3) + 11 pt"/>
    <w:rsid w:val="00CE125F"/>
    <w:rPr>
      <w:rFonts w:ascii="Sylfaen" w:hAnsi="Sylfaen" w:cs="Sylfaen"/>
      <w:i/>
      <w:iCs/>
      <w:spacing w:val="0"/>
      <w:w w:val="100"/>
      <w:sz w:val="22"/>
      <w:szCs w:val="22"/>
      <w:shd w:val="clear" w:color="auto" w:fill="FFFFFF"/>
    </w:rPr>
  </w:style>
  <w:style w:type="character" w:customStyle="1" w:styleId="311pt1">
    <w:name w:val="Основной текст (3) + 11 pt1"/>
    <w:rsid w:val="00CE125F"/>
    <w:rPr>
      <w:rFonts w:ascii="Sylfaen" w:hAnsi="Sylfaen" w:cs="Sylfaen"/>
      <w:spacing w:val="0"/>
      <w:w w:val="100"/>
      <w:sz w:val="22"/>
      <w:szCs w:val="22"/>
      <w:shd w:val="clear" w:color="auto" w:fill="FFFFFF"/>
    </w:rPr>
  </w:style>
  <w:style w:type="character" w:customStyle="1" w:styleId="29">
    <w:name w:val="Основной текст2"/>
    <w:rsid w:val="00CE125F"/>
  </w:style>
  <w:style w:type="character" w:customStyle="1" w:styleId="42">
    <w:name w:val="Основной текст (4)_"/>
    <w:rsid w:val="00CE125F"/>
    <w:rPr>
      <w:rFonts w:ascii="Sylfaen" w:hAnsi="Sylfaen" w:cs="Sylfaen"/>
      <w:spacing w:val="20"/>
      <w:w w:val="80"/>
      <w:shd w:val="clear" w:color="auto" w:fill="FFFFFF"/>
    </w:rPr>
  </w:style>
  <w:style w:type="character" w:customStyle="1" w:styleId="4pt">
    <w:name w:val="Основной текст + 4 pt"/>
    <w:rsid w:val="00CE125F"/>
    <w:rPr>
      <w:rFonts w:ascii="Sylfaen" w:hAnsi="Sylfaen" w:cs="Sylfaen"/>
      <w:i/>
      <w:iCs/>
      <w:spacing w:val="0"/>
      <w:w w:val="100"/>
      <w:sz w:val="8"/>
      <w:szCs w:val="8"/>
      <w:shd w:val="clear" w:color="auto" w:fill="FFFFFF"/>
    </w:rPr>
  </w:style>
  <w:style w:type="character" w:customStyle="1" w:styleId="1c">
    <w:name w:val="Заголовок №1_"/>
    <w:rsid w:val="00CE125F"/>
    <w:rPr>
      <w:rFonts w:ascii="Sylfaen" w:hAnsi="Sylfaen" w:cs="Sylfaen"/>
      <w:i/>
      <w:iCs/>
      <w:spacing w:val="-30"/>
      <w:sz w:val="31"/>
      <w:szCs w:val="31"/>
      <w:shd w:val="clear" w:color="auto" w:fill="FFFFFF"/>
    </w:rPr>
  </w:style>
  <w:style w:type="character" w:customStyle="1" w:styleId="111">
    <w:name w:val="Заголовок №1 + 11"/>
    <w:rsid w:val="00CE125F"/>
    <w:rPr>
      <w:rFonts w:ascii="Sylfaen" w:hAnsi="Sylfaen" w:cs="Sylfaen"/>
      <w:i/>
      <w:iCs/>
      <w:spacing w:val="-20"/>
      <w:sz w:val="23"/>
      <w:szCs w:val="23"/>
      <w:shd w:val="clear" w:color="auto" w:fill="FFFFFF"/>
    </w:rPr>
  </w:style>
  <w:style w:type="character" w:customStyle="1" w:styleId="Sylfaen2">
    <w:name w:val="Основной текст + Sylfaen2"/>
    <w:rsid w:val="00CE125F"/>
    <w:rPr>
      <w:rFonts w:ascii="Sylfaen" w:hAnsi="Sylfaen" w:cs="Sylfaen"/>
      <w:spacing w:val="20"/>
      <w:w w:val="80"/>
      <w:sz w:val="22"/>
      <w:szCs w:val="22"/>
      <w:u w:val="none"/>
      <w:shd w:val="clear" w:color="auto" w:fill="FFFFFF"/>
    </w:rPr>
  </w:style>
  <w:style w:type="character" w:customStyle="1" w:styleId="Sylfaen1">
    <w:name w:val="Основной текст + Sylfaen1"/>
    <w:rsid w:val="00CE125F"/>
    <w:rPr>
      <w:rFonts w:ascii="Sylfaen" w:hAnsi="Sylfaen" w:cs="Sylfaen"/>
      <w:spacing w:val="20"/>
      <w:w w:val="80"/>
      <w:sz w:val="20"/>
      <w:szCs w:val="20"/>
      <w:u w:val="none"/>
      <w:shd w:val="clear" w:color="auto" w:fill="FFFFFF"/>
    </w:rPr>
  </w:style>
  <w:style w:type="character" w:customStyle="1" w:styleId="af3">
    <w:name w:val="Основной текст + Полужирный"/>
    <w:rsid w:val="00CE125F"/>
    <w:rPr>
      <w:rFonts w:ascii="Sylfaen" w:hAnsi="Sylfaen" w:cs="Sylfaen"/>
      <w:b/>
      <w:bCs/>
      <w:spacing w:val="20"/>
      <w:w w:val="80"/>
      <w:sz w:val="21"/>
      <w:szCs w:val="21"/>
      <w:u w:val="none"/>
      <w:shd w:val="clear" w:color="auto" w:fill="FFFFFF"/>
    </w:rPr>
  </w:style>
  <w:style w:type="character" w:customStyle="1" w:styleId="ListLabel1">
    <w:name w:val="ListLabel 1"/>
    <w:rsid w:val="00CE125F"/>
    <w:rPr>
      <w:rFonts w:eastAsia="Times New Roman"/>
      <w:color w:val="000000"/>
    </w:rPr>
  </w:style>
  <w:style w:type="character" w:customStyle="1" w:styleId="ListLabel2">
    <w:name w:val="ListLabel 2"/>
    <w:rsid w:val="00CE125F"/>
  </w:style>
  <w:style w:type="character" w:customStyle="1" w:styleId="ListLabel3">
    <w:name w:val="ListLabel 3"/>
    <w:rsid w:val="00CE125F"/>
  </w:style>
  <w:style w:type="character" w:customStyle="1" w:styleId="ListLabel4">
    <w:name w:val="ListLabel 4"/>
    <w:rsid w:val="00CE125F"/>
  </w:style>
  <w:style w:type="character" w:customStyle="1" w:styleId="ListLabel5">
    <w:name w:val="ListLabel 5"/>
    <w:rsid w:val="00CE125F"/>
    <w:rPr>
      <w:color w:val="auto"/>
    </w:rPr>
  </w:style>
  <w:style w:type="character" w:customStyle="1" w:styleId="ListLabel6">
    <w:name w:val="ListLabel 6"/>
    <w:rsid w:val="00CE125F"/>
    <w:rPr>
      <w:b/>
      <w:i/>
    </w:rPr>
  </w:style>
  <w:style w:type="character" w:customStyle="1" w:styleId="ListLabel7">
    <w:name w:val="ListLabel 7"/>
    <w:rsid w:val="00CE125F"/>
    <w:rPr>
      <w:sz w:val="24"/>
    </w:rPr>
  </w:style>
  <w:style w:type="character" w:customStyle="1" w:styleId="ListLabel8">
    <w:name w:val="ListLabel 8"/>
    <w:rsid w:val="00CE125F"/>
    <w:rPr>
      <w:rFonts w:eastAsia="Times New Roman"/>
    </w:rPr>
  </w:style>
  <w:style w:type="paragraph" w:customStyle="1" w:styleId="Heading">
    <w:name w:val="Heading"/>
    <w:basedOn w:val="Normal"/>
    <w:next w:val="BodyText"/>
    <w:rsid w:val="00CE125F"/>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rsid w:val="00CE125F"/>
    <w:pPr>
      <w:suppressAutoHyphens/>
      <w:spacing w:line="288" w:lineRule="auto"/>
    </w:pPr>
    <w:rPr>
      <w:rFonts w:cs="GHEA Grapalat"/>
      <w:kern w:val="1"/>
    </w:rPr>
  </w:style>
  <w:style w:type="paragraph" w:customStyle="1" w:styleId="Index">
    <w:name w:val="Index"/>
    <w:basedOn w:val="Normal"/>
    <w:rsid w:val="00CE125F"/>
    <w:pPr>
      <w:suppressLineNumbers/>
      <w:suppressAutoHyphens/>
      <w:spacing w:after="200" w:line="276" w:lineRule="auto"/>
    </w:pPr>
    <w:rPr>
      <w:rFonts w:ascii="Calibri" w:hAnsi="Calibri" w:cs="Calibri"/>
      <w:kern w:val="1"/>
    </w:rPr>
  </w:style>
  <w:style w:type="paragraph" w:customStyle="1" w:styleId="af4">
    <w:name w:val="Стиль Знак"/>
    <w:basedOn w:val="Normal"/>
    <w:rsid w:val="00CE125F"/>
    <w:pPr>
      <w:suppressAutoHyphens/>
      <w:spacing w:after="160" w:line="240" w:lineRule="exact"/>
    </w:pPr>
    <w:rPr>
      <w:rFonts w:ascii="Arial" w:hAnsi="Arial" w:cs="Arial"/>
      <w:kern w:val="1"/>
      <w:sz w:val="20"/>
      <w:szCs w:val="20"/>
    </w:rPr>
  </w:style>
  <w:style w:type="paragraph" w:customStyle="1" w:styleId="1d">
    <w:name w:val="Без интервала1"/>
    <w:qFormat/>
    <w:rsid w:val="00CE125F"/>
    <w:pPr>
      <w:suppressAutoHyphens/>
    </w:pPr>
    <w:rPr>
      <w:rFonts w:ascii="GHEA Grapalat" w:hAnsi="GHEA Grapalat" w:cs="GHEA Grapalat"/>
      <w:kern w:val="1"/>
      <w:sz w:val="22"/>
      <w:szCs w:val="22"/>
    </w:rPr>
  </w:style>
  <w:style w:type="paragraph" w:customStyle="1" w:styleId="Iacaaiea">
    <w:name w:val="Iacaaiea"/>
    <w:basedOn w:val="Normal"/>
    <w:rsid w:val="00CE125F"/>
    <w:pPr>
      <w:widowControl w:val="0"/>
      <w:suppressAutoHyphens/>
      <w:jc w:val="center"/>
    </w:pPr>
    <w:rPr>
      <w:rFonts w:ascii="Times LatArm" w:hAnsi="Times LatArm" w:cs="Times LatArm"/>
      <w:kern w:val="1"/>
    </w:rPr>
  </w:style>
  <w:style w:type="paragraph" w:customStyle="1" w:styleId="1e">
    <w:name w:val="Основной текст1"/>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a">
    <w:name w:val="Основной текст (2)"/>
    <w:basedOn w:val="Normal"/>
    <w:rsid w:val="00CE125F"/>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5">
    <w:name w:val="Основной текст (3)"/>
    <w:basedOn w:val="Normal"/>
    <w:rsid w:val="00CE125F"/>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3">
    <w:name w:val="Основной текст (4)"/>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
    <w:name w:val="Заголовок №1"/>
    <w:basedOn w:val="Normal"/>
    <w:rsid w:val="00CE125F"/>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2">
    <w:name w:val="Char Char Char Знак Знак Char Char Знак Знак1"/>
    <w:basedOn w:val="Normal"/>
    <w:rsid w:val="00CE125F"/>
    <w:pPr>
      <w:suppressAutoHyphens/>
      <w:spacing w:after="160" w:line="240" w:lineRule="exact"/>
    </w:pPr>
    <w:rPr>
      <w:rFonts w:ascii="Arial" w:hAnsi="Arial" w:cs="Arial"/>
      <w:kern w:val="1"/>
      <w:sz w:val="20"/>
      <w:szCs w:val="20"/>
    </w:rPr>
  </w:style>
  <w:style w:type="paragraph" w:customStyle="1" w:styleId="FrameContents">
    <w:name w:val="Frame Contents"/>
    <w:basedOn w:val="Normal"/>
    <w:rsid w:val="00CE125F"/>
    <w:pPr>
      <w:suppressAutoHyphens/>
      <w:spacing w:after="200" w:line="276" w:lineRule="auto"/>
    </w:pPr>
    <w:rPr>
      <w:rFonts w:ascii="Calibri" w:hAnsi="Calibri" w:cs="Calibri"/>
      <w:kern w:val="1"/>
    </w:rPr>
  </w:style>
  <w:style w:type="paragraph" w:customStyle="1" w:styleId="NoSpacing2">
    <w:name w:val="No Spacing2"/>
    <w:rsid w:val="00CE125F"/>
    <w:rPr>
      <w:rFonts w:ascii="Arial Armenian" w:hAnsi="Arial Armenian" w:cs="Arial Armenian"/>
      <w:sz w:val="24"/>
      <w:szCs w:val="24"/>
      <w:lang w:val="ru-RU"/>
    </w:rPr>
  </w:style>
  <w:style w:type="character" w:customStyle="1" w:styleId="user-name">
    <w:name w:val="user-name"/>
    <w:rsid w:val="00CE125F"/>
    <w:rPr>
      <w:rFonts w:cs="Times New Roman"/>
    </w:rPr>
  </w:style>
  <w:style w:type="paragraph" w:customStyle="1" w:styleId="ModelSingleNoIndent">
    <w:name w:val="ModelSingleNoIndent"/>
    <w:basedOn w:val="Normal"/>
    <w:rsid w:val="00DF5F07"/>
    <w:pPr>
      <w:spacing w:after="240"/>
    </w:pPr>
    <w:rPr>
      <w:szCs w:val="20"/>
    </w:rPr>
  </w:style>
  <w:style w:type="paragraph" w:customStyle="1" w:styleId="Char1CharCharCharCharCharCharCharCharCharCharCharChar0">
    <w:name w:val="Char1 Char Char Char Char Char Char Char Char Char Char Char Char"/>
    <w:basedOn w:val="Normal"/>
    <w:rsid w:val="00DF5F07"/>
    <w:pPr>
      <w:spacing w:after="160" w:line="240" w:lineRule="exact"/>
    </w:pPr>
    <w:rPr>
      <w:rFonts w:ascii="Arial" w:hAnsi="Arial" w:cs="Arial"/>
      <w:sz w:val="20"/>
      <w:szCs w:val="20"/>
    </w:rPr>
  </w:style>
  <w:style w:type="paragraph" w:customStyle="1" w:styleId="ModelNrmlDouble">
    <w:name w:val="ModelNrmlDouble"/>
    <w:basedOn w:val="Normal"/>
    <w:rsid w:val="00DF5F07"/>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DF5F07"/>
    <w:pPr>
      <w:spacing w:after="120"/>
    </w:pPr>
    <w:rPr>
      <w:rFonts w:ascii="Times Armenian" w:hAnsi="Times Armenian"/>
      <w:i/>
      <w:u w:val="single"/>
      <w:lang w:eastAsia="ru-RU"/>
    </w:rPr>
  </w:style>
  <w:style w:type="paragraph" w:customStyle="1" w:styleId="StyleHeading2ParanumTextLeft">
    <w:name w:val="Style Heading 2ParanumText + Left"/>
    <w:basedOn w:val="Heading2"/>
    <w:rsid w:val="00DF5F07"/>
    <w:pPr>
      <w:numPr>
        <w:ilvl w:val="0"/>
        <w:numId w:val="0"/>
      </w:numPr>
      <w:tabs>
        <w:tab w:val="clear" w:pos="993"/>
        <w:tab w:val="clear" w:pos="10208"/>
        <w:tab w:val="num" w:pos="360"/>
        <w:tab w:val="num" w:pos="1440"/>
      </w:tabs>
      <w:spacing w:before="120" w:after="120"/>
      <w:ind w:left="1440"/>
      <w:contextualSpacing w:val="0"/>
    </w:pPr>
    <w:rPr>
      <w:rFonts w:ascii="Times Armenian" w:hAnsi="Times Armenian" w:cs="Times New Roman"/>
      <w:b w:val="0"/>
      <w:bCs/>
      <w:kern w:val="28"/>
      <w:sz w:val="28"/>
      <w:szCs w:val="20"/>
      <w:lang w:val="en-GB" w:eastAsia="en-US"/>
    </w:rPr>
  </w:style>
  <w:style w:type="paragraph" w:customStyle="1" w:styleId="annexedhead">
    <w:name w:val="annexed head"/>
    <w:basedOn w:val="Heading2"/>
    <w:rsid w:val="00DF5F07"/>
    <w:pPr>
      <w:numPr>
        <w:numId w:val="2"/>
      </w:numPr>
      <w:tabs>
        <w:tab w:val="clear" w:pos="993"/>
        <w:tab w:val="clear" w:pos="10208"/>
      </w:tabs>
      <w:spacing w:before="120" w:after="120"/>
      <w:contextualSpacing w:val="0"/>
    </w:pPr>
    <w:rPr>
      <w:rFonts w:ascii="Times Armenian" w:hAnsi="Times Armenian" w:cs="Times New Roman"/>
      <w:b w:val="0"/>
      <w:kern w:val="28"/>
      <w:sz w:val="28"/>
      <w:szCs w:val="20"/>
      <w:lang w:val="en-GB" w:eastAsia="en-US"/>
    </w:rPr>
  </w:style>
  <w:style w:type="paragraph" w:customStyle="1" w:styleId="Tabletitle">
    <w:name w:val="Table_title"/>
    <w:basedOn w:val="Normal"/>
    <w:rsid w:val="00DF5F07"/>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DF5F07"/>
    <w:pPr>
      <w:numPr>
        <w:ilvl w:val="2"/>
        <w:numId w:val="2"/>
      </w:numPr>
      <w:tabs>
        <w:tab w:val="clear" w:pos="624"/>
      </w:tabs>
      <w:spacing w:before="0" w:after="120" w:line="240" w:lineRule="auto"/>
      <w:ind w:right="0"/>
    </w:pPr>
    <w:rPr>
      <w:rFonts w:ascii="Times Armenian" w:hAnsi="Times Armenian" w:cs="Times New Roman"/>
      <w:bCs w:val="0"/>
      <w:i/>
      <w:iCs/>
      <w:color w:val="auto"/>
      <w:spacing w:val="-5"/>
      <w:lang w:val="en-GB"/>
    </w:rPr>
  </w:style>
  <w:style w:type="paragraph" w:customStyle="1" w:styleId="Titlefigure">
    <w:name w:val="Title_figure"/>
    <w:basedOn w:val="Caption"/>
    <w:next w:val="Normal"/>
    <w:rsid w:val="00DF5F07"/>
    <w:pPr>
      <w:keepLines w:val="0"/>
      <w:widowControl/>
      <w:spacing w:after="60"/>
      <w:jc w:val="left"/>
    </w:pPr>
    <w:rPr>
      <w:rFonts w:ascii="Times Armenian" w:hAnsi="Times Armenian" w:cs="Times New Roman"/>
      <w:b/>
      <w:bCs/>
      <w:sz w:val="22"/>
      <w:lang w:val="en-US" w:eastAsia="ru-RU"/>
    </w:rPr>
  </w:style>
  <w:style w:type="character" w:customStyle="1" w:styleId="CharChar150">
    <w:name w:val="Char Char15"/>
    <w:rsid w:val="00DF5F07"/>
    <w:rPr>
      <w:sz w:val="36"/>
      <w:lang w:val="en-GB" w:eastAsia="en-US" w:bidi="ar-SA"/>
    </w:rPr>
  </w:style>
  <w:style w:type="character" w:customStyle="1" w:styleId="CharChar13">
    <w:name w:val="Char Char13"/>
    <w:rsid w:val="00DF5F07"/>
    <w:rPr>
      <w:sz w:val="22"/>
      <w:lang w:val="en-GB" w:eastAsia="en-US" w:bidi="ar-SA"/>
    </w:rPr>
  </w:style>
  <w:style w:type="character" w:customStyle="1" w:styleId="CharChar120">
    <w:name w:val="Char Char12"/>
    <w:rsid w:val="00DF5F07"/>
    <w:rPr>
      <w:sz w:val="22"/>
      <w:lang w:val="en-GB" w:eastAsia="en-US" w:bidi="ar-SA"/>
    </w:rPr>
  </w:style>
  <w:style w:type="character" w:customStyle="1" w:styleId="CharChar100">
    <w:name w:val="Char Char10"/>
    <w:rsid w:val="00DF5F07"/>
    <w:rPr>
      <w:rFonts w:ascii="Times Armenian" w:hAnsi="Times Armenian"/>
      <w:color w:val="993300"/>
      <w:sz w:val="22"/>
      <w:szCs w:val="24"/>
      <w:lang w:val="hy-AM" w:eastAsia="en-US" w:bidi="ar-SA"/>
    </w:rPr>
  </w:style>
  <w:style w:type="character" w:customStyle="1" w:styleId="CharChar9">
    <w:name w:val="Char Char9"/>
    <w:rsid w:val="00DF5F07"/>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DF5F07"/>
    <w:rPr>
      <w:rFonts w:ascii="Times New Roman" w:hAnsi="Times New Roman" w:cs="Times New Roman"/>
      <w:sz w:val="20"/>
      <w:szCs w:val="20"/>
      <w:lang w:val="en-GB"/>
    </w:rPr>
  </w:style>
  <w:style w:type="character" w:customStyle="1" w:styleId="CharChar130">
    <w:name w:val="Char Char13"/>
    <w:rsid w:val="00DF5F07"/>
    <w:rPr>
      <w:sz w:val="22"/>
      <w:lang w:val="en-GB" w:eastAsia="en-US"/>
    </w:rPr>
  </w:style>
  <w:style w:type="character" w:customStyle="1" w:styleId="CharChar90">
    <w:name w:val="Char Char9"/>
    <w:rsid w:val="00DF5F07"/>
    <w:rPr>
      <w:rFonts w:ascii="Times Armenian" w:hAnsi="Times Armenian"/>
      <w:b/>
      <w:i/>
      <w:sz w:val="24"/>
      <w:u w:val="single"/>
      <w:lang w:val="hy-AM" w:eastAsia="en-US"/>
    </w:rPr>
  </w:style>
  <w:style w:type="paragraph" w:customStyle="1" w:styleId="font11">
    <w:name w:val="font11"/>
    <w:basedOn w:val="Normal"/>
    <w:rsid w:val="00DF5F07"/>
    <w:pPr>
      <w:spacing w:before="100" w:after="100"/>
    </w:pPr>
    <w:rPr>
      <w:rFonts w:eastAsia="SimSun"/>
      <w:color w:val="000000"/>
      <w:sz w:val="16"/>
      <w:szCs w:val="16"/>
    </w:rPr>
  </w:style>
  <w:style w:type="paragraph" w:customStyle="1" w:styleId="font12">
    <w:name w:val="font12"/>
    <w:basedOn w:val="Normal"/>
    <w:rsid w:val="00DF5F07"/>
    <w:pPr>
      <w:spacing w:before="100" w:after="100"/>
    </w:pPr>
    <w:rPr>
      <w:rFonts w:eastAsia="SimSun"/>
      <w:color w:val="000000"/>
      <w:sz w:val="16"/>
      <w:szCs w:val="16"/>
    </w:rPr>
  </w:style>
  <w:style w:type="paragraph" w:customStyle="1" w:styleId="font13">
    <w:name w:val="font13"/>
    <w:basedOn w:val="Normal"/>
    <w:rsid w:val="00DF5F07"/>
    <w:pPr>
      <w:spacing w:before="100" w:after="100"/>
    </w:pPr>
    <w:rPr>
      <w:rFonts w:eastAsia="SimSun"/>
      <w:b/>
      <w:bCs/>
      <w:color w:val="000000"/>
      <w:sz w:val="16"/>
      <w:szCs w:val="16"/>
    </w:rPr>
  </w:style>
  <w:style w:type="paragraph" w:customStyle="1" w:styleId="font14">
    <w:name w:val="font14"/>
    <w:basedOn w:val="Normal"/>
    <w:rsid w:val="00DF5F07"/>
    <w:pPr>
      <w:spacing w:before="100" w:after="100"/>
    </w:pPr>
    <w:rPr>
      <w:rFonts w:eastAsia="SimSun"/>
      <w:i/>
      <w:iCs/>
      <w:sz w:val="20"/>
      <w:szCs w:val="20"/>
    </w:rPr>
  </w:style>
  <w:style w:type="paragraph" w:customStyle="1" w:styleId="font15">
    <w:name w:val="font15"/>
    <w:basedOn w:val="Normal"/>
    <w:rsid w:val="00DF5F07"/>
    <w:pPr>
      <w:spacing w:before="100" w:after="100"/>
    </w:pPr>
    <w:rPr>
      <w:rFonts w:eastAsia="SimSun"/>
      <w:i/>
      <w:iCs/>
      <w:sz w:val="28"/>
      <w:szCs w:val="28"/>
    </w:rPr>
  </w:style>
  <w:style w:type="character" w:customStyle="1" w:styleId="Heading2Char2">
    <w:name w:val="Heading 2 Char2"/>
    <w:aliases w:val="Paranum Char2,(Chapter) Char2,(Chapter) Char Char"/>
    <w:locked/>
    <w:rsid w:val="00C3321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C3321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C3321E"/>
    <w:rPr>
      <w:rFonts w:ascii="Times New Roman" w:hAnsi="Times New Roman" w:cs="Times New Roman"/>
      <w:sz w:val="24"/>
    </w:rPr>
  </w:style>
  <w:style w:type="character" w:customStyle="1" w:styleId="fsl">
    <w:name w:val="fsl"/>
    <w:rsid w:val="00C3321E"/>
  </w:style>
  <w:style w:type="paragraph" w:styleId="IntenseQuote">
    <w:name w:val="Intense Quote"/>
    <w:basedOn w:val="Normal"/>
    <w:next w:val="Normal"/>
    <w:link w:val="IntenseQuoteChar"/>
    <w:qFormat/>
    <w:rsid w:val="00C3321E"/>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rsid w:val="00C3321E"/>
    <w:rPr>
      <w:b/>
      <w:bCs/>
      <w:i/>
      <w:iCs/>
      <w:color w:val="4F81BD"/>
      <w:sz w:val="24"/>
      <w:szCs w:val="24"/>
    </w:rPr>
  </w:style>
  <w:style w:type="character" w:styleId="SubtleEmphasis">
    <w:name w:val="Subtle Emphasis"/>
    <w:qFormat/>
    <w:rsid w:val="00C3321E"/>
    <w:rPr>
      <w:rFonts w:cs="Times New Roman"/>
      <w:i/>
      <w:iCs/>
      <w:color w:val="808080"/>
    </w:rPr>
  </w:style>
  <w:style w:type="character" w:styleId="SubtleReference">
    <w:name w:val="Subtle Reference"/>
    <w:qFormat/>
    <w:rsid w:val="00C3321E"/>
    <w:rPr>
      <w:rFonts w:cs="Times New Roman"/>
      <w:smallCaps/>
      <w:color w:val="C0504D"/>
      <w:u w:val="single"/>
    </w:rPr>
  </w:style>
  <w:style w:type="character" w:styleId="IntenseReference">
    <w:name w:val="Intense Reference"/>
    <w:qFormat/>
    <w:rsid w:val="00C3321E"/>
    <w:rPr>
      <w:rFonts w:cs="Times New Roman"/>
      <w:b/>
      <w:bCs/>
      <w:smallCaps/>
      <w:color w:val="C0504D"/>
      <w:spacing w:val="5"/>
      <w:u w:val="single"/>
    </w:rPr>
  </w:style>
  <w:style w:type="character" w:styleId="BookTitle">
    <w:name w:val="Book Title"/>
    <w:qFormat/>
    <w:rsid w:val="00C3321E"/>
    <w:rPr>
      <w:rFonts w:cs="Times New Roman"/>
      <w:b/>
      <w:bCs/>
      <w:smallCaps/>
      <w:spacing w:val="5"/>
    </w:rPr>
  </w:style>
  <w:style w:type="paragraph" w:customStyle="1" w:styleId="ColorfulList-Accent11">
    <w:name w:val="Colorful List - Accent 11"/>
    <w:basedOn w:val="Normal"/>
    <w:qFormat/>
    <w:rsid w:val="00C3321E"/>
    <w:pPr>
      <w:spacing w:after="200" w:line="276" w:lineRule="auto"/>
      <w:ind w:left="720"/>
      <w:contextualSpacing/>
    </w:pPr>
    <w:rPr>
      <w:rFonts w:ascii="Calibri" w:eastAsia="Calibri" w:hAnsi="Calibri"/>
      <w:lang w:val="ru-RU"/>
    </w:rPr>
  </w:style>
  <w:style w:type="character" w:customStyle="1" w:styleId="spellingerror">
    <w:name w:val="spellingerror"/>
    <w:rsid w:val="00C3321E"/>
  </w:style>
  <w:style w:type="character" w:customStyle="1" w:styleId="CharChar31">
    <w:name w:val="Char Char31"/>
    <w:locked/>
    <w:rsid w:val="00C3321E"/>
    <w:rPr>
      <w:sz w:val="22"/>
      <w:lang w:val="en-GB" w:eastAsia="en-US"/>
    </w:rPr>
  </w:style>
  <w:style w:type="character" w:customStyle="1" w:styleId="CharChar210">
    <w:name w:val="Char Char21"/>
    <w:locked/>
    <w:rsid w:val="00C3321E"/>
    <w:rPr>
      <w:sz w:val="22"/>
      <w:lang w:val="en-GB" w:eastAsia="en-US"/>
    </w:rPr>
  </w:style>
  <w:style w:type="character" w:customStyle="1" w:styleId="red-block">
    <w:name w:val="red-block"/>
    <w:rsid w:val="00C3321E"/>
    <w:rPr>
      <w:rFonts w:cs="Times New Roman"/>
    </w:rPr>
  </w:style>
  <w:style w:type="character" w:customStyle="1" w:styleId="accent">
    <w:name w:val="accent"/>
    <w:rsid w:val="00C3321E"/>
    <w:rPr>
      <w:rFonts w:cs="Times New Roman"/>
    </w:rPr>
  </w:style>
  <w:style w:type="character" w:customStyle="1" w:styleId="CharChar220">
    <w:name w:val="Char Char22"/>
    <w:rsid w:val="00C3321E"/>
    <w:rPr>
      <w:rFonts w:cs="Times New Roman"/>
      <w:lang w:val="ru-RU" w:eastAsia="ru-RU" w:bidi="ar-SA"/>
    </w:rPr>
  </w:style>
  <w:style w:type="character" w:customStyle="1" w:styleId="FontStyle37">
    <w:name w:val="Font Style37"/>
    <w:rsid w:val="00C3321E"/>
    <w:rPr>
      <w:rFonts w:ascii="Sylfaen" w:hAnsi="Sylfaen"/>
      <w:sz w:val="22"/>
    </w:rPr>
  </w:style>
  <w:style w:type="character" w:customStyle="1" w:styleId="CharChar161">
    <w:name w:val="Char Char161"/>
    <w:locked/>
    <w:rsid w:val="00C3321E"/>
    <w:rPr>
      <w:rFonts w:ascii="Cambria" w:hAnsi="Cambria"/>
      <w:b/>
      <w:kern w:val="32"/>
      <w:sz w:val="32"/>
      <w:lang w:val="fr-FR" w:eastAsia="en-US"/>
    </w:rPr>
  </w:style>
  <w:style w:type="numbering" w:customStyle="1" w:styleId="NoList4">
    <w:name w:val="No List4"/>
    <w:next w:val="NoList"/>
    <w:semiHidden/>
    <w:rsid w:val="00C524BD"/>
  </w:style>
  <w:style w:type="paragraph" w:customStyle="1" w:styleId="StyleHeading3Sub-ChapterCenteredtextHeading3CharCharC1">
    <w:name w:val="Style Heading 3(Sub-Chapter)Centered(text)Heading 3 Char Char C...1"/>
    <w:basedOn w:val="Heading3"/>
    <w:rsid w:val="00040B73"/>
    <w:rPr>
      <w:u w:val="single"/>
    </w:rPr>
  </w:style>
  <w:style w:type="paragraph" w:customStyle="1" w:styleId="1MTEF">
    <w:name w:val="1. MTEF"/>
    <w:basedOn w:val="StyleStyleHeading1SectionSectionHeadingText11Chapterhead31"/>
    <w:rsid w:val="00A6653E"/>
    <w:rPr>
      <w:b/>
      <w:bCs/>
    </w:rPr>
  </w:style>
  <w:style w:type="character" w:customStyle="1" w:styleId="CharChar180">
    <w:name w:val="Char Char18"/>
    <w:rsid w:val="004A19C3"/>
    <w:rPr>
      <w:rFonts w:ascii="Arial Armenian" w:eastAsia="Times New Roman" w:hAnsi="Arial Armenian"/>
      <w:i/>
      <w:sz w:val="22"/>
      <w:u w:val="single"/>
      <w:lang w:val="en-GB"/>
    </w:rPr>
  </w:style>
  <w:style w:type="character" w:customStyle="1" w:styleId="CharChar190">
    <w:name w:val="Char Char19"/>
    <w:rsid w:val="004A19C3"/>
    <w:rPr>
      <w:b/>
      <w:sz w:val="32"/>
      <w:lang w:val="en-GB" w:eastAsia="en-US" w:bidi="ar-SA"/>
    </w:rPr>
  </w:style>
  <w:style w:type="character" w:customStyle="1" w:styleId="CharChar200">
    <w:name w:val="Char Char20"/>
    <w:rsid w:val="004A19C3"/>
    <w:rPr>
      <w:rFonts w:ascii="Garamond" w:hAnsi="Garamond"/>
      <w:i/>
      <w:spacing w:val="-5"/>
      <w:sz w:val="28"/>
      <w:lang w:val="en-GB" w:eastAsia="en-US" w:bidi="ar-SA"/>
    </w:rPr>
  </w:style>
  <w:style w:type="numbering" w:customStyle="1" w:styleId="NoList11">
    <w:name w:val="No List11"/>
    <w:next w:val="NoList"/>
    <w:semiHidden/>
    <w:unhideWhenUsed/>
    <w:rsid w:val="004A19C3"/>
  </w:style>
  <w:style w:type="character" w:customStyle="1" w:styleId="CharChar170">
    <w:name w:val="Char Char17"/>
    <w:rsid w:val="004A19C3"/>
    <w:rPr>
      <w:rFonts w:ascii="Arial Armenian" w:hAnsi="Arial Armenian"/>
      <w:i/>
      <w:sz w:val="22"/>
      <w:u w:val="single"/>
      <w:lang w:val="en-GB" w:eastAsia="en-US" w:bidi="ar-SA"/>
    </w:rPr>
  </w:style>
  <w:style w:type="character" w:customStyle="1" w:styleId="CharChar280">
    <w:name w:val="Char Char28"/>
    <w:rsid w:val="004A19C3"/>
    <w:rPr>
      <w:rFonts w:ascii="Arial Armenian" w:hAnsi="Arial Armenian"/>
      <w:i/>
      <w:sz w:val="22"/>
      <w:u w:val="single"/>
      <w:lang w:val="en-GB"/>
    </w:rPr>
  </w:style>
  <w:style w:type="character" w:customStyle="1" w:styleId="CharChar270">
    <w:name w:val="Char Char27"/>
    <w:rsid w:val="004A19C3"/>
    <w:rPr>
      <w:rFonts w:ascii="Garamond" w:hAnsi="Garamond"/>
      <w:i/>
      <w:spacing w:val="-5"/>
      <w:sz w:val="28"/>
      <w:shd w:val="pct5" w:color="auto" w:fill="auto"/>
      <w:lang w:val="en-GB"/>
    </w:rPr>
  </w:style>
  <w:style w:type="character" w:customStyle="1" w:styleId="CharChar260">
    <w:name w:val="Char Char26"/>
    <w:rsid w:val="004A19C3"/>
    <w:rPr>
      <w:rFonts w:ascii="Arial Black" w:hAnsi="Arial Black"/>
      <w:caps/>
      <w:spacing w:val="60"/>
      <w:position w:val="4"/>
      <w:sz w:val="14"/>
      <w:lang w:val="en-GB"/>
    </w:rPr>
  </w:style>
  <w:style w:type="character" w:customStyle="1" w:styleId="CharChar250">
    <w:name w:val="Char Char25"/>
    <w:rsid w:val="004A19C3"/>
    <w:rPr>
      <w:rFonts w:ascii="Garamond" w:hAnsi="Garamond"/>
      <w:b/>
      <w:i/>
      <w:kern w:val="28"/>
      <w:lang w:val="en-GB"/>
    </w:rPr>
  </w:style>
  <w:style w:type="character" w:customStyle="1" w:styleId="CharChar240">
    <w:name w:val="Char Char24"/>
    <w:rsid w:val="004A19C3"/>
    <w:rPr>
      <w:rFonts w:ascii="Arial Armenian" w:hAnsi="Arial Armenian"/>
      <w:noProof/>
      <w:lang w:val="en-US" w:eastAsia="en-US" w:bidi="ar-SA"/>
    </w:rPr>
  </w:style>
  <w:style w:type="character" w:customStyle="1" w:styleId="CharChar230">
    <w:name w:val="Char Char23"/>
    <w:rsid w:val="004A19C3"/>
    <w:rPr>
      <w:rFonts w:ascii="Arial Armenian" w:hAnsi="Arial Armenian"/>
      <w:lang w:val="en-GB" w:eastAsia="en-US" w:bidi="ar-SA"/>
    </w:rPr>
  </w:style>
  <w:style w:type="character" w:customStyle="1" w:styleId="CharChar35">
    <w:name w:val="Char Char35"/>
    <w:rsid w:val="004A19C3"/>
    <w:rPr>
      <w:rFonts w:ascii="Arial Armenian" w:hAnsi="Arial Armenian"/>
      <w:i/>
      <w:sz w:val="22"/>
      <w:u w:val="single"/>
      <w:lang w:val="en-GB" w:eastAsia="x-none"/>
    </w:rPr>
  </w:style>
  <w:style w:type="character" w:customStyle="1" w:styleId="CharChar34">
    <w:name w:val="Char Char34"/>
    <w:rsid w:val="004A19C3"/>
    <w:rPr>
      <w:rFonts w:ascii="Garamond" w:hAnsi="Garamond"/>
      <w:i/>
      <w:spacing w:val="-5"/>
      <w:sz w:val="28"/>
      <w:shd w:val="pct5" w:color="auto" w:fill="auto"/>
      <w:lang w:val="en-GB" w:eastAsia="x-none"/>
    </w:rPr>
  </w:style>
  <w:style w:type="character" w:customStyle="1" w:styleId="CharChar33">
    <w:name w:val="Char Char33"/>
    <w:rsid w:val="004A19C3"/>
    <w:rPr>
      <w:rFonts w:ascii="Arial Black" w:hAnsi="Arial Black"/>
      <w:caps/>
      <w:spacing w:val="60"/>
      <w:position w:val="4"/>
      <w:sz w:val="14"/>
      <w:lang w:val="en-GB" w:eastAsia="x-none"/>
    </w:rPr>
  </w:style>
  <w:style w:type="character" w:customStyle="1" w:styleId="CharChar32">
    <w:name w:val="Char Char32"/>
    <w:rsid w:val="004A19C3"/>
    <w:rPr>
      <w:rFonts w:ascii="Garamond" w:hAnsi="Garamond"/>
      <w:b/>
      <w:i/>
      <w:kern w:val="28"/>
      <w:lang w:val="en-GB" w:eastAsia="x-none"/>
    </w:rPr>
  </w:style>
  <w:style w:type="character" w:customStyle="1" w:styleId="CharChar310">
    <w:name w:val="Char Char31"/>
    <w:rsid w:val="004A19C3"/>
    <w:rPr>
      <w:rFonts w:ascii="Arial Armenian" w:hAnsi="Arial Armenian"/>
      <w:noProof/>
      <w:lang w:val="en-US" w:eastAsia="en-US" w:bidi="ar-SA"/>
    </w:rPr>
  </w:style>
  <w:style w:type="character" w:customStyle="1" w:styleId="CharChar30">
    <w:name w:val="Char Char30"/>
    <w:rsid w:val="004A19C3"/>
    <w:rPr>
      <w:rFonts w:ascii="Arial Armenian" w:hAnsi="Arial Armenian"/>
      <w:lang w:val="en-GB" w:eastAsia="en-US" w:bidi="ar-SA"/>
    </w:rPr>
  </w:style>
  <w:style w:type="character" w:customStyle="1" w:styleId="CharChar29">
    <w:name w:val="Char Char29"/>
    <w:rsid w:val="004A19C3"/>
    <w:rPr>
      <w:rFonts w:ascii="Arial Armenian" w:hAnsi="Arial Armenian"/>
      <w:lang w:val="ru-RU" w:eastAsia="ru-RU" w:bidi="ar-SA"/>
    </w:rPr>
  </w:style>
  <w:style w:type="paragraph" w:customStyle="1" w:styleId="CharChar5CharCharCharCharCharChar">
    <w:name w:val="Char Char5 Char Char Char Char Char Char"/>
    <w:basedOn w:val="Normal"/>
    <w:rsid w:val="009E559A"/>
    <w:pPr>
      <w:tabs>
        <w:tab w:val="left" w:pos="709"/>
      </w:tabs>
    </w:pPr>
    <w:rPr>
      <w:rFonts w:ascii="Tahoma" w:hAnsi="Tahoma"/>
      <w:lang w:val="pl-PL" w:eastAsia="pl-PL"/>
    </w:rPr>
  </w:style>
  <w:style w:type="paragraph" w:customStyle="1" w:styleId="CharChar5CharCharCharChar">
    <w:name w:val="Char Char5 Char Char Char Char"/>
    <w:basedOn w:val="Normal"/>
    <w:rsid w:val="009E559A"/>
    <w:pPr>
      <w:tabs>
        <w:tab w:val="left" w:pos="709"/>
      </w:tabs>
    </w:pPr>
    <w:rPr>
      <w:rFonts w:ascii="Tahoma" w:hAnsi="Tahoma"/>
      <w:lang w:val="pl-PL" w:eastAsia="pl-PL"/>
    </w:rPr>
  </w:style>
  <w:style w:type="table" w:styleId="Table3Deffects3">
    <w:name w:val="Table 3D effects 3"/>
    <w:basedOn w:val="TableNormal"/>
    <w:rsid w:val="009E55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9E559A"/>
    <w:pPr>
      <w:tabs>
        <w:tab w:val="left" w:pos="709"/>
      </w:tabs>
    </w:pPr>
    <w:rPr>
      <w:rFonts w:ascii="Tahoma" w:hAnsi="Tahoma"/>
      <w:lang w:val="pl-PL" w:eastAsia="pl-PL"/>
    </w:rPr>
  </w:style>
  <w:style w:type="character" w:customStyle="1" w:styleId="tocnumber">
    <w:name w:val="tocnumber"/>
    <w:rsid w:val="009E559A"/>
  </w:style>
  <w:style w:type="character" w:customStyle="1" w:styleId="toctext">
    <w:name w:val="toctext"/>
    <w:rsid w:val="009E559A"/>
  </w:style>
  <w:style w:type="character" w:customStyle="1" w:styleId="mw-editsection">
    <w:name w:val="mw-editsection"/>
    <w:rsid w:val="009E559A"/>
  </w:style>
  <w:style w:type="character" w:customStyle="1" w:styleId="mw-editsection-bracket">
    <w:name w:val="mw-editsection-bracket"/>
    <w:rsid w:val="009E559A"/>
  </w:style>
  <w:style w:type="character" w:customStyle="1" w:styleId="mw-editsection-divider">
    <w:name w:val="mw-editsection-divider"/>
    <w:rsid w:val="009E559A"/>
  </w:style>
  <w:style w:type="character" w:customStyle="1" w:styleId="reference-text">
    <w:name w:val="reference-text"/>
    <w:rsid w:val="009E559A"/>
  </w:style>
  <w:style w:type="paragraph" w:styleId="z-TopofForm">
    <w:name w:val="HTML Top of Form"/>
    <w:basedOn w:val="Normal"/>
    <w:next w:val="Normal"/>
    <w:link w:val="z-TopofFormChar"/>
    <w:hidden/>
    <w:uiPriority w:val="99"/>
    <w:unhideWhenUsed/>
    <w:rsid w:val="009E559A"/>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9E559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E559A"/>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9E559A"/>
    <w:rPr>
      <w:rFonts w:ascii="Arial" w:hAnsi="Arial" w:cs="Arial"/>
      <w:vanish/>
      <w:sz w:val="16"/>
      <w:szCs w:val="16"/>
    </w:rPr>
  </w:style>
  <w:style w:type="character" w:customStyle="1" w:styleId="wb-langlinks-edit">
    <w:name w:val="wb-langlinks-edit"/>
    <w:rsid w:val="009E559A"/>
  </w:style>
  <w:style w:type="character" w:customStyle="1" w:styleId="noprint">
    <w:name w:val="noprint"/>
    <w:rsid w:val="009E559A"/>
  </w:style>
  <w:style w:type="character" w:customStyle="1" w:styleId="pg">
    <w:name w:val="pg"/>
    <w:rsid w:val="009E559A"/>
  </w:style>
  <w:style w:type="paragraph" w:customStyle="1" w:styleId="DecimalAligned">
    <w:name w:val="Decimal Aligned"/>
    <w:basedOn w:val="Normal"/>
    <w:uiPriority w:val="40"/>
    <w:qFormat/>
    <w:rsid w:val="009E559A"/>
    <w:pPr>
      <w:tabs>
        <w:tab w:val="decimal" w:pos="360"/>
      </w:tabs>
      <w:spacing w:after="200" w:line="276" w:lineRule="auto"/>
    </w:pPr>
    <w:rPr>
      <w:rFonts w:ascii="Calibri" w:eastAsia="Calibri" w:hAnsi="Calibri"/>
      <w:lang w:eastAsia="ja-JP"/>
    </w:rPr>
  </w:style>
  <w:style w:type="paragraph" w:styleId="HTMLPreformatted">
    <w:name w:val="HTML Preformatted"/>
    <w:basedOn w:val="Normal"/>
    <w:link w:val="HTMLPreformattedChar"/>
    <w:uiPriority w:val="99"/>
    <w:unhideWhenUsed/>
    <w:rsid w:val="009E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lang w:val="x-none" w:eastAsia="x-none"/>
    </w:rPr>
  </w:style>
  <w:style w:type="character" w:customStyle="1" w:styleId="HTMLPreformattedChar">
    <w:name w:val="HTML Preformatted Char"/>
    <w:link w:val="HTMLPreformatted"/>
    <w:uiPriority w:val="99"/>
    <w:rsid w:val="009E559A"/>
    <w:rPr>
      <w:rFonts w:ascii="Arial Unicode" w:hAnsi="Arial Unicode" w:cs="Courier New"/>
    </w:rPr>
  </w:style>
  <w:style w:type="paragraph" w:customStyle="1" w:styleId="paragraph">
    <w:name w:val="paragraph"/>
    <w:basedOn w:val="Normal"/>
    <w:rsid w:val="009E559A"/>
    <w:pPr>
      <w:spacing w:before="100" w:beforeAutospacing="1" w:after="100" w:afterAutospacing="1"/>
    </w:pPr>
  </w:style>
  <w:style w:type="character" w:customStyle="1" w:styleId="normaltextrun">
    <w:name w:val="normaltextrun"/>
    <w:rsid w:val="009E559A"/>
  </w:style>
  <w:style w:type="paragraph" w:customStyle="1" w:styleId="StyleCaption11pt">
    <w:name w:val="Style Caption + 11 pt"/>
    <w:basedOn w:val="Caption"/>
    <w:link w:val="StyleCaption11ptChar"/>
    <w:rsid w:val="00850B5D"/>
    <w:pPr>
      <w:keepNext w:val="0"/>
      <w:keepLines w:val="0"/>
      <w:widowControl/>
      <w:spacing w:before="360" w:after="120"/>
      <w:ind w:left="1350" w:hanging="1350"/>
      <w:jc w:val="left"/>
    </w:pPr>
    <w:rPr>
      <w:rFonts w:cs="Times New Roman"/>
      <w:b/>
      <w:bCs/>
      <w:lang w:val="x-none" w:eastAsia="ru-RU"/>
    </w:rPr>
  </w:style>
  <w:style w:type="character" w:customStyle="1" w:styleId="StyleCaption11ptChar">
    <w:name w:val="Style Caption + 11 pt Char"/>
    <w:link w:val="StyleCaption11pt"/>
    <w:rsid w:val="00850B5D"/>
    <w:rPr>
      <w:rFonts w:ascii="GHEA Grapalat" w:hAnsi="GHEA Grapalat"/>
      <w:b/>
      <w:bCs/>
      <w:lang w:val="x-none" w:eastAsia="ru-RU"/>
    </w:rPr>
  </w:style>
  <w:style w:type="paragraph" w:customStyle="1" w:styleId="StyleHeading3GHEAGrapalatJustified">
    <w:name w:val="Style Heading 3 + GHEA Grapalat Justified"/>
    <w:basedOn w:val="Heading3"/>
    <w:rsid w:val="00850B5D"/>
    <w:pPr>
      <w:widowControl/>
      <w:numPr>
        <w:ilvl w:val="0"/>
        <w:numId w:val="0"/>
      </w:numPr>
      <w:tabs>
        <w:tab w:val="clear" w:pos="624"/>
        <w:tab w:val="num" w:pos="384"/>
        <w:tab w:val="num" w:pos="737"/>
      </w:tabs>
      <w:spacing w:before="360" w:after="240" w:line="240" w:lineRule="auto"/>
      <w:ind w:left="1248" w:right="0" w:hanging="708"/>
    </w:pPr>
    <w:rPr>
      <w:rFonts w:cs="Times New Roman"/>
      <w:color w:val="auto"/>
      <w:lang w:val="en-GB" w:eastAsia="ru-RU"/>
    </w:rPr>
  </w:style>
  <w:style w:type="paragraph" w:customStyle="1" w:styleId="TitleNew">
    <w:name w:val="Title New"/>
    <w:basedOn w:val="Normal"/>
    <w:rsid w:val="00850B5D"/>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link w:val="NormalWeb"/>
    <w:locked/>
    <w:rsid w:val="00850B5D"/>
    <w:rPr>
      <w:sz w:val="24"/>
    </w:rPr>
  </w:style>
  <w:style w:type="paragraph" w:customStyle="1" w:styleId="36">
    <w:name w:val="Абзац списка3"/>
    <w:basedOn w:val="Normal"/>
    <w:uiPriority w:val="99"/>
    <w:qFormat/>
    <w:rsid w:val="001716C4"/>
    <w:pPr>
      <w:ind w:left="720"/>
      <w:contextualSpacing/>
    </w:pPr>
    <w:rPr>
      <w:lang w:val="ru-RU" w:eastAsia="ru-RU"/>
    </w:rPr>
  </w:style>
  <w:style w:type="character" w:customStyle="1" w:styleId="af5">
    <w:name w:val="Основной текст"/>
    <w:rsid w:val="001716C4"/>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1716C4"/>
    <w:pPr>
      <w:autoSpaceDE w:val="0"/>
      <w:autoSpaceDN w:val="0"/>
      <w:adjustRightInd w:val="0"/>
      <w:ind w:firstLine="180"/>
    </w:pPr>
    <w:rPr>
      <w:b/>
      <w:i/>
      <w:lang w:eastAsia="ru-RU"/>
    </w:rPr>
  </w:style>
  <w:style w:type="character" w:customStyle="1" w:styleId="CommentTextChar2">
    <w:name w:val="Comment Text Char2"/>
    <w:rsid w:val="00EF35AD"/>
    <w:rPr>
      <w:rFonts w:ascii="Arial Armenian" w:hAnsi="Arial Armenian"/>
      <w:lang w:val="ru-RU" w:eastAsia="ru-RU" w:bidi="ar-SA"/>
    </w:rPr>
  </w:style>
  <w:style w:type="character" w:customStyle="1" w:styleId="BalloonTextChar2">
    <w:name w:val="Balloon Text Char2"/>
    <w:rsid w:val="00EF35AD"/>
    <w:rPr>
      <w:rFonts w:ascii="Tahoma" w:hAnsi="Tahoma"/>
      <w:sz w:val="16"/>
      <w:szCs w:val="16"/>
      <w:lang w:bidi="ar-SA"/>
    </w:rPr>
  </w:style>
  <w:style w:type="character" w:customStyle="1" w:styleId="Bodytext20">
    <w:name w:val="Body text (2)_"/>
    <w:link w:val="Bodytext23"/>
    <w:uiPriority w:val="99"/>
    <w:locked/>
    <w:rsid w:val="00EF35AD"/>
    <w:rPr>
      <w:rFonts w:ascii="Tahoma" w:hAnsi="Tahoma" w:cs="Tahoma"/>
      <w:sz w:val="21"/>
      <w:szCs w:val="21"/>
      <w:shd w:val="clear" w:color="auto" w:fill="FFFFFF"/>
    </w:rPr>
  </w:style>
  <w:style w:type="paragraph" w:customStyle="1" w:styleId="Bodytext23">
    <w:name w:val="Body text (2)"/>
    <w:basedOn w:val="Normal"/>
    <w:link w:val="Bodytext20"/>
    <w:uiPriority w:val="99"/>
    <w:rsid w:val="00EF35AD"/>
    <w:pPr>
      <w:widowControl w:val="0"/>
      <w:shd w:val="clear" w:color="auto" w:fill="FFFFFF"/>
      <w:spacing w:before="720" w:line="485" w:lineRule="exact"/>
    </w:pPr>
    <w:rPr>
      <w:rFonts w:ascii="Tahoma" w:hAnsi="Tahoma"/>
      <w:sz w:val="21"/>
      <w:szCs w:val="21"/>
      <w:lang w:val="x-none" w:eastAsia="x-none"/>
    </w:rPr>
  </w:style>
  <w:style w:type="paragraph" w:customStyle="1" w:styleId="Appendix">
    <w:name w:val="Appendix"/>
    <w:basedOn w:val="Normal"/>
    <w:next w:val="Normal"/>
    <w:uiPriority w:val="6"/>
    <w:qFormat/>
    <w:rsid w:val="00BC4108"/>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BC4108"/>
    <w:pPr>
      <w:spacing w:before="100" w:beforeAutospacing="1" w:after="100" w:afterAutospacing="1"/>
    </w:pPr>
  </w:style>
  <w:style w:type="paragraph" w:customStyle="1" w:styleId="37">
    <w:name w:val="Обычный3"/>
    <w:rsid w:val="006842D6"/>
    <w:pPr>
      <w:autoSpaceDE w:val="0"/>
      <w:autoSpaceDN w:val="0"/>
    </w:pPr>
    <w:rPr>
      <w:lang w:val="ru-RU" w:eastAsia="ru-RU"/>
    </w:rPr>
  </w:style>
  <w:style w:type="paragraph" w:customStyle="1" w:styleId="1f0">
    <w:name w:val="Рецензия1"/>
    <w:hidden/>
    <w:uiPriority w:val="99"/>
    <w:semiHidden/>
    <w:rsid w:val="006842D6"/>
    <w:rPr>
      <w:rFonts w:ascii="Arial Armenian" w:hAnsi="Arial Armenian" w:cs="Sylfaen"/>
      <w:sz w:val="24"/>
      <w:szCs w:val="24"/>
      <w:lang w:val="ru-RU" w:eastAsia="ru-RU"/>
    </w:rPr>
  </w:style>
  <w:style w:type="paragraph" w:customStyle="1" w:styleId="1f1">
    <w:name w:val="Заголовок оглавления1"/>
    <w:basedOn w:val="Heading1"/>
    <w:next w:val="Normal"/>
    <w:uiPriority w:val="39"/>
    <w:unhideWhenUsed/>
    <w:qFormat/>
    <w:rsid w:val="006842D6"/>
    <w:pPr>
      <w:keepLines/>
      <w:spacing w:before="480" w:after="0" w:line="276" w:lineRule="auto"/>
      <w:outlineLvl w:val="9"/>
    </w:pPr>
    <w:rPr>
      <w:rFonts w:ascii="Cambria" w:hAnsi="Cambria" w:cs="Times New Roman"/>
      <w:color w:val="365F91"/>
      <w:kern w:val="0"/>
      <w:szCs w:val="28"/>
    </w:rPr>
  </w:style>
  <w:style w:type="paragraph" w:customStyle="1" w:styleId="213">
    <w:name w:val="Цитата 21"/>
    <w:basedOn w:val="Normal"/>
    <w:next w:val="Normal"/>
    <w:uiPriority w:val="29"/>
    <w:qFormat/>
    <w:rsid w:val="006842D6"/>
    <w:rPr>
      <w:i/>
      <w:iCs/>
      <w:color w:val="000000"/>
      <w:lang w:val="x-none" w:eastAsia="x-none"/>
    </w:rPr>
  </w:style>
  <w:style w:type="character" w:customStyle="1" w:styleId="1f2">
    <w:name w:val="Сильное выделение1"/>
    <w:uiPriority w:val="21"/>
    <w:qFormat/>
    <w:rsid w:val="006842D6"/>
    <w:rPr>
      <w:b/>
      <w:bCs/>
      <w:i/>
      <w:iCs/>
      <w:color w:val="4F81BD"/>
    </w:rPr>
  </w:style>
  <w:style w:type="numbering" w:customStyle="1" w:styleId="112">
    <w:name w:val="Нет списка11"/>
    <w:next w:val="NoList"/>
    <w:semiHidden/>
    <w:unhideWhenUsed/>
    <w:rsid w:val="006842D6"/>
  </w:style>
  <w:style w:type="paragraph" w:customStyle="1" w:styleId="1f3">
    <w:name w:val="Выделенная цитата1"/>
    <w:basedOn w:val="Normal"/>
    <w:next w:val="Normal"/>
    <w:qFormat/>
    <w:rsid w:val="006842D6"/>
    <w:pPr>
      <w:pBdr>
        <w:bottom w:val="single" w:sz="4" w:space="4" w:color="4F81BD"/>
      </w:pBdr>
      <w:spacing w:before="200" w:after="280"/>
      <w:ind w:left="936" w:right="936"/>
    </w:pPr>
    <w:rPr>
      <w:b/>
      <w:bCs/>
      <w:i/>
      <w:iCs/>
      <w:color w:val="4F81BD"/>
      <w:lang w:val="x-none" w:eastAsia="x-none"/>
    </w:rPr>
  </w:style>
  <w:style w:type="character" w:customStyle="1" w:styleId="1f4">
    <w:name w:val="Слабое выделение1"/>
    <w:qFormat/>
    <w:rsid w:val="006842D6"/>
    <w:rPr>
      <w:rFonts w:cs="Times New Roman"/>
      <w:i/>
      <w:iCs/>
      <w:color w:val="808080"/>
    </w:rPr>
  </w:style>
  <w:style w:type="character" w:customStyle="1" w:styleId="1f5">
    <w:name w:val="Слабая ссылка1"/>
    <w:qFormat/>
    <w:rsid w:val="006842D6"/>
    <w:rPr>
      <w:rFonts w:cs="Times New Roman"/>
      <w:smallCaps/>
      <w:color w:val="C0504D"/>
      <w:u w:val="single"/>
    </w:rPr>
  </w:style>
  <w:style w:type="character" w:customStyle="1" w:styleId="1f6">
    <w:name w:val="Сильная ссылка1"/>
    <w:qFormat/>
    <w:rsid w:val="006842D6"/>
    <w:rPr>
      <w:rFonts w:cs="Times New Roman"/>
      <w:b/>
      <w:bCs/>
      <w:smallCaps/>
      <w:color w:val="C0504D"/>
      <w:spacing w:val="5"/>
      <w:u w:val="single"/>
    </w:rPr>
  </w:style>
  <w:style w:type="character" w:customStyle="1" w:styleId="1f7">
    <w:name w:val="Название книги1"/>
    <w:qFormat/>
    <w:rsid w:val="006842D6"/>
    <w:rPr>
      <w:rFonts w:cs="Times New Roman"/>
      <w:b/>
      <w:bCs/>
      <w:smallCaps/>
      <w:spacing w:val="5"/>
    </w:rPr>
  </w:style>
  <w:style w:type="character" w:customStyle="1" w:styleId="CharChar350">
    <w:name w:val="Char Char35"/>
    <w:rsid w:val="006842D6"/>
    <w:rPr>
      <w:rFonts w:ascii="Arial Armenian" w:hAnsi="Arial Armenian"/>
      <w:i/>
      <w:sz w:val="22"/>
      <w:u w:val="single"/>
      <w:lang w:val="en-GB" w:eastAsia="x-none"/>
    </w:rPr>
  </w:style>
  <w:style w:type="character" w:customStyle="1" w:styleId="CharChar340">
    <w:name w:val="Char Char34"/>
    <w:rsid w:val="006842D6"/>
    <w:rPr>
      <w:rFonts w:ascii="Garamond" w:hAnsi="Garamond"/>
      <w:i/>
      <w:spacing w:val="-5"/>
      <w:sz w:val="28"/>
      <w:shd w:val="pct5" w:color="auto" w:fill="auto"/>
      <w:lang w:val="en-GB" w:eastAsia="x-none"/>
    </w:rPr>
  </w:style>
  <w:style w:type="character" w:customStyle="1" w:styleId="CharChar330">
    <w:name w:val="Char Char33"/>
    <w:rsid w:val="006842D6"/>
    <w:rPr>
      <w:rFonts w:ascii="Arial Black" w:hAnsi="Arial Black"/>
      <w:caps/>
      <w:spacing w:val="60"/>
      <w:position w:val="4"/>
      <w:sz w:val="14"/>
      <w:lang w:val="en-GB" w:eastAsia="x-none"/>
    </w:rPr>
  </w:style>
  <w:style w:type="character" w:customStyle="1" w:styleId="CharChar320">
    <w:name w:val="Char Char32"/>
    <w:rsid w:val="006842D6"/>
    <w:rPr>
      <w:rFonts w:ascii="Garamond" w:hAnsi="Garamond"/>
      <w:b/>
      <w:i/>
      <w:kern w:val="28"/>
      <w:lang w:val="en-GB" w:eastAsia="x-none"/>
    </w:rPr>
  </w:style>
  <w:style w:type="character" w:customStyle="1" w:styleId="CharChar300">
    <w:name w:val="Char Char30"/>
    <w:rsid w:val="006842D6"/>
    <w:rPr>
      <w:rFonts w:ascii="Arial Armenian" w:hAnsi="Arial Armenian"/>
      <w:lang w:val="en-GB" w:eastAsia="en-US" w:bidi="ar-SA"/>
    </w:rPr>
  </w:style>
  <w:style w:type="character" w:customStyle="1" w:styleId="CharChar290">
    <w:name w:val="Char Char29"/>
    <w:rsid w:val="006842D6"/>
    <w:rPr>
      <w:rFonts w:ascii="Arial Armenian" w:hAnsi="Arial Armenian"/>
      <w:lang w:val="ru-RU" w:eastAsia="ru-RU" w:bidi="ar-SA"/>
    </w:rPr>
  </w:style>
  <w:style w:type="character" w:customStyle="1" w:styleId="SubtitleChar2">
    <w:name w:val="Subtitle Char2"/>
    <w:rsid w:val="007B4497"/>
    <w:rPr>
      <w:rFonts w:ascii="Times Armenian" w:hAnsi="Times Armenian"/>
      <w:b/>
      <w:sz w:val="28"/>
      <w:szCs w:val="24"/>
      <w:lang w:eastAsia="ru-RU"/>
    </w:rPr>
  </w:style>
  <w:style w:type="paragraph" w:customStyle="1" w:styleId="msonormal0">
    <w:name w:val="msonormal"/>
    <w:basedOn w:val="Normal"/>
    <w:rsid w:val="00C6712C"/>
    <w:pPr>
      <w:spacing w:before="100" w:beforeAutospacing="1" w:after="100" w:afterAutospacing="1"/>
    </w:pPr>
  </w:style>
  <w:style w:type="paragraph" w:customStyle="1" w:styleId="textbox">
    <w:name w:val="textbox"/>
    <w:basedOn w:val="Normal"/>
    <w:rsid w:val="00C6712C"/>
    <w:pPr>
      <w:spacing w:line="160" w:lineRule="exact"/>
    </w:pPr>
    <w:rPr>
      <w:smallCaps/>
      <w:sz w:val="16"/>
      <w:szCs w:val="20"/>
    </w:rPr>
  </w:style>
  <w:style w:type="character" w:customStyle="1" w:styleId="t121">
    <w:name w:val="t121"/>
    <w:rsid w:val="00C6712C"/>
    <w:rPr>
      <w:b/>
      <w:bCs/>
      <w:color w:val="191970"/>
    </w:rPr>
  </w:style>
  <w:style w:type="character" w:customStyle="1" w:styleId="t61">
    <w:name w:val="t61"/>
    <w:rsid w:val="00C6712C"/>
    <w:rPr>
      <w:b/>
      <w:bCs/>
      <w:color w:val="191970"/>
    </w:rPr>
  </w:style>
  <w:style w:type="table" w:customStyle="1" w:styleId="TableGrid10">
    <w:name w:val="Table Grid1"/>
    <w:basedOn w:val="TableNormal"/>
    <w:next w:val="TableGrid"/>
    <w:rsid w:val="00C671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C6712C"/>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C6712C"/>
    <w:pPr>
      <w:tabs>
        <w:tab w:val="left" w:pos="709"/>
      </w:tabs>
    </w:pPr>
    <w:rPr>
      <w:rFonts w:ascii="Tahoma" w:hAnsi="Tahoma" w:cs="Tahoma"/>
      <w:lang w:val="pl-PL" w:eastAsia="pl-PL"/>
    </w:rPr>
  </w:style>
  <w:style w:type="character" w:customStyle="1" w:styleId="CharChar61">
    <w:name w:val="Char Char6"/>
    <w:locked/>
    <w:rsid w:val="00C6712C"/>
    <w:rPr>
      <w:rFonts w:ascii="Times LatArm" w:eastAsia="Calibri" w:hAnsi="Times LatArm" w:cs="Times LatArm"/>
      <w:sz w:val="22"/>
      <w:szCs w:val="22"/>
      <w:lang w:val="en-GB" w:eastAsia="en-US" w:bidi="ar-SA"/>
    </w:rPr>
  </w:style>
  <w:style w:type="character" w:customStyle="1" w:styleId="CentredCharChar">
    <w:name w:val="Centred Char Char"/>
    <w:locked/>
    <w:rsid w:val="00C6712C"/>
    <w:rPr>
      <w:rFonts w:eastAsia="Calibri"/>
      <w:b/>
      <w:bCs/>
      <w:i/>
      <w:iCs/>
      <w:sz w:val="24"/>
      <w:szCs w:val="24"/>
      <w:lang w:val="en-GB" w:eastAsia="en-US" w:bidi="ar-SA"/>
    </w:rPr>
  </w:style>
  <w:style w:type="character" w:customStyle="1" w:styleId="SideCharChar">
    <w:name w:val="Side Char Char"/>
    <w:locked/>
    <w:rsid w:val="00C6712C"/>
    <w:rPr>
      <w:rFonts w:eastAsia="Calibri"/>
      <w:sz w:val="22"/>
      <w:szCs w:val="22"/>
      <w:lang w:val="en-GB" w:eastAsia="en-US" w:bidi="ar-SA"/>
    </w:rPr>
  </w:style>
  <w:style w:type="character" w:customStyle="1" w:styleId="CharChar8">
    <w:name w:val="Char Char8"/>
    <w:locked/>
    <w:rsid w:val="00C6712C"/>
    <w:rPr>
      <w:rFonts w:ascii="Times Armenian" w:eastAsia="Calibri" w:hAnsi="Times Armenian" w:cs="Times Armenian"/>
      <w:color w:val="993300"/>
      <w:sz w:val="22"/>
      <w:szCs w:val="22"/>
      <w:lang w:val="hy-AM" w:eastAsia="en-US" w:bidi="ar-SA"/>
    </w:rPr>
  </w:style>
  <w:style w:type="character" w:customStyle="1" w:styleId="CharChar70">
    <w:name w:val="Char Char7"/>
    <w:locked/>
    <w:rsid w:val="00C6712C"/>
    <w:rPr>
      <w:rFonts w:ascii="Courier New" w:eastAsia="Calibri" w:hAnsi="Courier New" w:cs="Courier New"/>
      <w:lang w:val="en-US" w:eastAsia="en-US" w:bidi="ar-SA"/>
    </w:rPr>
  </w:style>
  <w:style w:type="character" w:customStyle="1" w:styleId="CharChar40">
    <w:name w:val="Char Char4"/>
    <w:locked/>
    <w:rsid w:val="00C6712C"/>
    <w:rPr>
      <w:rFonts w:eastAsia="Calibri"/>
      <w:sz w:val="22"/>
      <w:szCs w:val="22"/>
      <w:lang w:val="en-GB" w:eastAsia="en-US" w:bidi="ar-SA"/>
    </w:rPr>
  </w:style>
  <w:style w:type="character" w:customStyle="1" w:styleId="CharChar36">
    <w:name w:val="Char Char3"/>
    <w:locked/>
    <w:rsid w:val="00C6712C"/>
    <w:rPr>
      <w:rFonts w:eastAsia="Calibri"/>
      <w:sz w:val="22"/>
      <w:szCs w:val="22"/>
      <w:lang w:val="en-GB" w:eastAsia="en-US" w:bidi="ar-SA"/>
    </w:rPr>
  </w:style>
  <w:style w:type="character" w:customStyle="1" w:styleId="CharChar2a">
    <w:name w:val="Char Char2"/>
    <w:locked/>
    <w:rsid w:val="00C6712C"/>
    <w:rPr>
      <w:rFonts w:ascii="Times Armenian" w:eastAsia="Calibri" w:hAnsi="Times Armenian" w:cs="Times Armenian"/>
      <w:b/>
      <w:bCs/>
      <w:sz w:val="22"/>
      <w:szCs w:val="22"/>
      <w:lang w:val="en-US" w:eastAsia="en-US" w:bidi="ar-SA"/>
    </w:rPr>
  </w:style>
  <w:style w:type="numbering" w:customStyle="1" w:styleId="NoList5">
    <w:name w:val="No List5"/>
    <w:next w:val="NoList"/>
    <w:uiPriority w:val="99"/>
    <w:semiHidden/>
    <w:rsid w:val="00C6712C"/>
  </w:style>
  <w:style w:type="numbering" w:customStyle="1" w:styleId="NoList6">
    <w:name w:val="No List6"/>
    <w:next w:val="NoList"/>
    <w:uiPriority w:val="99"/>
    <w:semiHidden/>
    <w:unhideWhenUsed/>
    <w:rsid w:val="00B528FC"/>
  </w:style>
  <w:style w:type="table" w:customStyle="1" w:styleId="TableGrid2">
    <w:name w:val="Table Grid2"/>
    <w:basedOn w:val="TableNormal"/>
    <w:next w:val="TableGrid"/>
    <w:rsid w:val="00B528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B528FC"/>
    <w:rPr>
      <w:rFonts w:ascii="GHEA Grapalat" w:hAnsi="GHEA Grapalat"/>
      <w:spacing w:val="-4"/>
      <w:sz w:val="24"/>
      <w:szCs w:val="24"/>
    </w:rPr>
  </w:style>
  <w:style w:type="paragraph" w:customStyle="1" w:styleId="namak0">
    <w:name w:val="namak"/>
    <w:basedOn w:val="Normal"/>
    <w:link w:val="namak"/>
    <w:rsid w:val="00B528FC"/>
    <w:pPr>
      <w:spacing w:line="400" w:lineRule="exact"/>
      <w:ind w:firstLine="397"/>
    </w:pPr>
    <w:rPr>
      <w:spacing w:val="-4"/>
      <w:lang w:val="x-none" w:eastAsia="x-none"/>
    </w:rPr>
  </w:style>
  <w:style w:type="numbering" w:customStyle="1" w:styleId="NoList7">
    <w:name w:val="No List7"/>
    <w:next w:val="NoList"/>
    <w:uiPriority w:val="99"/>
    <w:semiHidden/>
    <w:unhideWhenUsed/>
    <w:rsid w:val="00433F56"/>
  </w:style>
  <w:style w:type="numbering" w:customStyle="1" w:styleId="NoList12">
    <w:name w:val="No List12"/>
    <w:next w:val="NoList"/>
    <w:uiPriority w:val="99"/>
    <w:semiHidden/>
    <w:unhideWhenUsed/>
    <w:rsid w:val="00433F56"/>
  </w:style>
  <w:style w:type="table" w:customStyle="1" w:styleId="TableGrid30">
    <w:name w:val="Table Grid3"/>
    <w:basedOn w:val="TableNormal"/>
    <w:next w:val="TableGrid"/>
    <w:rsid w:val="0043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rsid w:val="00654F9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654F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654F9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654F9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
    <w:name w:val="Colorful Grid - Accent 12"/>
    <w:basedOn w:val="TableNormal"/>
    <w:next w:val="ColorfulGrid-Accent1"/>
    <w:rsid w:val="00654F98"/>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654F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autoRedefine/>
    <w:qFormat/>
    <w:rsid w:val="00654F98"/>
    <w:pPr>
      <w:widowControl w:val="0"/>
      <w:tabs>
        <w:tab w:val="left" w:pos="851"/>
        <w:tab w:val="left" w:pos="993"/>
      </w:tabs>
      <w:ind w:left="567"/>
      <w:contextualSpacing/>
    </w:pPr>
    <w:rPr>
      <w:rFonts w:cs="Sylfaen"/>
      <w:b/>
      <w:lang w:val="ro-RO" w:eastAsia="ru-RU"/>
    </w:rPr>
  </w:style>
  <w:style w:type="paragraph" w:customStyle="1" w:styleId="CharChar5CharCharCharCharCharChar0">
    <w:name w:val="Char Char5 Char Char Char Char Char Char"/>
    <w:basedOn w:val="Normal"/>
    <w:rsid w:val="0003671D"/>
    <w:pPr>
      <w:tabs>
        <w:tab w:val="left" w:pos="709"/>
      </w:tabs>
    </w:pPr>
    <w:rPr>
      <w:rFonts w:ascii="Tahoma" w:hAnsi="Tahoma"/>
      <w:lang w:val="pl-PL" w:eastAsia="pl-PL"/>
    </w:rPr>
  </w:style>
  <w:style w:type="paragraph" w:customStyle="1" w:styleId="CharChar5CharCharCharChar0">
    <w:name w:val="Char Char5 Char Char Char Char"/>
    <w:basedOn w:val="Normal"/>
    <w:rsid w:val="0003671D"/>
    <w:pPr>
      <w:tabs>
        <w:tab w:val="left" w:pos="709"/>
      </w:tabs>
    </w:pPr>
    <w:rPr>
      <w:rFonts w:ascii="Tahoma" w:hAnsi="Tahoma"/>
      <w:lang w:val="pl-PL" w:eastAsia="pl-PL"/>
    </w:rPr>
  </w:style>
  <w:style w:type="paragraph" w:customStyle="1" w:styleId="CharChar5CharChar0">
    <w:name w:val="Char Char5 Char Char"/>
    <w:basedOn w:val="Normal"/>
    <w:rsid w:val="0003671D"/>
    <w:pPr>
      <w:tabs>
        <w:tab w:val="left" w:pos="709"/>
      </w:tabs>
    </w:pPr>
    <w:rPr>
      <w:rFonts w:ascii="Tahoma" w:hAnsi="Tahoma"/>
      <w:lang w:val="pl-PL" w:eastAsia="pl-PL"/>
    </w:rPr>
  </w:style>
  <w:style w:type="numbering" w:customStyle="1" w:styleId="NoList8">
    <w:name w:val="No List8"/>
    <w:next w:val="NoList"/>
    <w:uiPriority w:val="99"/>
    <w:semiHidden/>
    <w:unhideWhenUsed/>
    <w:rsid w:val="004336B6"/>
  </w:style>
  <w:style w:type="numbering" w:customStyle="1" w:styleId="120">
    <w:name w:val="Нет списка12"/>
    <w:next w:val="NoList"/>
    <w:uiPriority w:val="99"/>
    <w:semiHidden/>
    <w:unhideWhenUsed/>
    <w:rsid w:val="004336B6"/>
  </w:style>
  <w:style w:type="paragraph" w:customStyle="1" w:styleId="2b">
    <w:name w:val="Абзац списка2"/>
    <w:basedOn w:val="Normal"/>
    <w:uiPriority w:val="99"/>
    <w:qFormat/>
    <w:rsid w:val="004336B6"/>
    <w:pPr>
      <w:spacing w:after="200" w:line="276" w:lineRule="auto"/>
      <w:ind w:left="720"/>
      <w:contextualSpacing/>
    </w:pPr>
    <w:rPr>
      <w:rFonts w:ascii="Calibri" w:hAnsi="Calibri"/>
      <w:lang w:val="ru-RU" w:eastAsia="ru-RU"/>
    </w:rPr>
  </w:style>
  <w:style w:type="paragraph" w:customStyle="1" w:styleId="44">
    <w:name w:val="Обычный4"/>
    <w:rsid w:val="004336B6"/>
    <w:pPr>
      <w:autoSpaceDE w:val="0"/>
      <w:autoSpaceDN w:val="0"/>
    </w:pPr>
    <w:rPr>
      <w:lang w:val="ru-RU" w:eastAsia="ru-RU"/>
    </w:rPr>
  </w:style>
  <w:style w:type="numbering" w:customStyle="1" w:styleId="NoList13">
    <w:name w:val="No List13"/>
    <w:next w:val="NoList"/>
    <w:semiHidden/>
    <w:unhideWhenUsed/>
    <w:rsid w:val="004336B6"/>
  </w:style>
  <w:style w:type="numbering" w:customStyle="1" w:styleId="NoList21">
    <w:name w:val="No List21"/>
    <w:next w:val="NoList"/>
    <w:semiHidden/>
    <w:unhideWhenUsed/>
    <w:rsid w:val="004336B6"/>
  </w:style>
  <w:style w:type="numbering" w:customStyle="1" w:styleId="NoList31">
    <w:name w:val="No List31"/>
    <w:next w:val="NoList"/>
    <w:semiHidden/>
    <w:unhideWhenUsed/>
    <w:rsid w:val="004336B6"/>
  </w:style>
  <w:style w:type="paragraph" w:customStyle="1" w:styleId="2c">
    <w:name w:val="Без интервала2"/>
    <w:uiPriority w:val="1"/>
    <w:qFormat/>
    <w:rsid w:val="004336B6"/>
    <w:rPr>
      <w:rFonts w:ascii="Calibri" w:hAnsi="Calibri"/>
      <w:sz w:val="22"/>
      <w:szCs w:val="22"/>
    </w:rPr>
  </w:style>
  <w:style w:type="paragraph" w:customStyle="1" w:styleId="2d">
    <w:name w:val="Рецензия2"/>
    <w:hidden/>
    <w:semiHidden/>
    <w:rsid w:val="004336B6"/>
    <w:rPr>
      <w:rFonts w:ascii="Arial Armenian" w:hAnsi="Arial Armenian" w:cs="Sylfaen"/>
      <w:sz w:val="24"/>
      <w:szCs w:val="24"/>
      <w:lang w:val="ru-RU" w:eastAsia="ru-RU"/>
    </w:rPr>
  </w:style>
  <w:style w:type="numbering" w:customStyle="1" w:styleId="1110">
    <w:name w:val="Нет списка111"/>
    <w:next w:val="NoList"/>
    <w:semiHidden/>
    <w:unhideWhenUsed/>
    <w:rsid w:val="004336B6"/>
  </w:style>
  <w:style w:type="numbering" w:customStyle="1" w:styleId="NoList41">
    <w:name w:val="No List41"/>
    <w:next w:val="NoList"/>
    <w:semiHidden/>
    <w:rsid w:val="004336B6"/>
  </w:style>
  <w:style w:type="numbering" w:customStyle="1" w:styleId="NoList111">
    <w:name w:val="No List111"/>
    <w:next w:val="NoList"/>
    <w:semiHidden/>
    <w:unhideWhenUsed/>
    <w:rsid w:val="004336B6"/>
  </w:style>
  <w:style w:type="character" w:customStyle="1" w:styleId="38">
    <w:name w:val="Основной текст3"/>
    <w:rsid w:val="004336B6"/>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numbering" w:customStyle="1" w:styleId="1111">
    <w:name w:val="Нет списка1111"/>
    <w:next w:val="NoList"/>
    <w:semiHidden/>
    <w:unhideWhenUsed/>
    <w:rsid w:val="004336B6"/>
  </w:style>
  <w:style w:type="character" w:customStyle="1" w:styleId="CharChar121">
    <w:name w:val="Char Char121"/>
    <w:rsid w:val="00BF7F3E"/>
    <w:rPr>
      <w:sz w:val="22"/>
      <w:lang w:val="en-GB" w:eastAsia="en-US" w:bidi="ar-SA"/>
    </w:rPr>
  </w:style>
  <w:style w:type="paragraph" w:styleId="ListParagraph">
    <w:name w:val="List Paragraph"/>
    <w:aliases w:val="List Paragraph4,List Paragraph41,List Paragraph5,Paragraphe de liste PBLH,PDP DOCUMENT SUBTITLE,Bullet Points,Table of contents numbered,List Paragraph in table,Liste 1,Варианты ответов,Table no. List Paragraph,List Paragraph111,Titulo 2"/>
    <w:basedOn w:val="Normal"/>
    <w:link w:val="ListParagraphChar1"/>
    <w:uiPriority w:val="34"/>
    <w:qFormat/>
    <w:rsid w:val="00F63CB1"/>
    <w:pPr>
      <w:spacing w:after="200" w:line="276" w:lineRule="auto"/>
      <w:ind w:left="720"/>
      <w:contextualSpacing/>
    </w:pPr>
    <w:rPr>
      <w:rFonts w:ascii="Calibri" w:eastAsia="Calibri" w:hAnsi="Calibri" w:cs="Times New Roman"/>
    </w:rPr>
  </w:style>
  <w:style w:type="paragraph" w:customStyle="1" w:styleId="af6">
    <w:name w:val="Աղյուսակ"/>
    <w:basedOn w:val="Normal"/>
    <w:qFormat/>
    <w:rsid w:val="000E387E"/>
    <w:pPr>
      <w:keepNext/>
      <w:spacing w:before="240" w:after="120" w:line="240" w:lineRule="auto"/>
      <w:ind w:firstLine="0"/>
      <w:jc w:val="left"/>
    </w:pPr>
    <w:rPr>
      <w:i/>
    </w:rPr>
  </w:style>
  <w:style w:type="paragraph" w:customStyle="1" w:styleId="af7">
    <w:name w:val="Գծապատկեր"/>
    <w:basedOn w:val="Heading5"/>
    <w:qFormat/>
    <w:rsid w:val="007901C3"/>
    <w:pPr>
      <w:keepNext/>
      <w:spacing w:after="120" w:line="240" w:lineRule="auto"/>
      <w:ind w:firstLine="0"/>
      <w:jc w:val="left"/>
    </w:pPr>
    <w:rPr>
      <w:sz w:val="24"/>
    </w:rPr>
  </w:style>
  <w:style w:type="paragraph" w:customStyle="1" w:styleId="af8">
    <w:name w:val="Ենթավերնագիր"/>
    <w:basedOn w:val="Normal"/>
    <w:qFormat/>
    <w:rsid w:val="001C7D73"/>
    <w:pPr>
      <w:keepNext/>
      <w:spacing w:before="480" w:after="120" w:line="240" w:lineRule="auto"/>
      <w:jc w:val="left"/>
    </w:pPr>
    <w:rPr>
      <w:b/>
      <w:i/>
    </w:rPr>
  </w:style>
  <w:style w:type="paragraph" w:customStyle="1" w:styleId="af9">
    <w:name w:val="Հղումներ"/>
    <w:basedOn w:val="Normal"/>
    <w:qFormat/>
    <w:rsid w:val="00F1016F"/>
    <w:pPr>
      <w:spacing w:before="60" w:after="40" w:line="240" w:lineRule="auto"/>
    </w:pPr>
    <w:rPr>
      <w:rFonts w:cs="Times New Roman"/>
      <w:sz w:val="20"/>
      <w:szCs w:val="20"/>
    </w:rPr>
  </w:style>
  <w:style w:type="character" w:customStyle="1" w:styleId="ListParagraphChar1">
    <w:name w:val="List Paragraph Char1"/>
    <w:aliases w:val="List Paragraph4 Char,List Paragraph41 Char,List Paragraph5 Char,Paragraphe de liste PBLH Char,PDP DOCUMENT SUBTITLE Char,Bullet Points Char,Table of contents numbered Char,List Paragraph in table Char,Liste 1 Char,Titulo 2 Char"/>
    <w:link w:val="ListParagraph"/>
    <w:uiPriority w:val="34"/>
    <w:qFormat/>
    <w:rsid w:val="00DE2E3D"/>
    <w:rPr>
      <w:rFonts w:ascii="Calibri" w:eastAsia="Calibri" w:hAnsi="Calibri"/>
      <w:sz w:val="22"/>
      <w:szCs w:val="22"/>
      <w:lang w:val="hy-AM"/>
    </w:rPr>
  </w:style>
  <w:style w:type="table" w:customStyle="1" w:styleId="GridTable1Light-Accent51111">
    <w:name w:val="Grid Table 1 Light - Accent 51111"/>
    <w:basedOn w:val="TableNormal"/>
    <w:uiPriority w:val="46"/>
    <w:rsid w:val="00F50C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F50CE5"/>
    <w:pPr>
      <w:spacing w:after="160" w:line="240" w:lineRule="exact"/>
      <w:ind w:firstLine="0"/>
      <w:jc w:val="left"/>
    </w:pPr>
    <w:rPr>
      <w:rFonts w:ascii="Times New Roman" w:hAnsi="Times New Roman" w:cs="Times New Roman"/>
      <w:sz w:val="20"/>
      <w:szCs w:val="20"/>
      <w:vertAlign w:val="superscript"/>
      <w:lang w:val="en-US"/>
    </w:rPr>
  </w:style>
  <w:style w:type="character" w:customStyle="1" w:styleId="sr-only">
    <w:name w:val="sr-only"/>
    <w:basedOn w:val="DefaultParagraphFont"/>
    <w:rsid w:val="00DE7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5464">
      <w:bodyDiv w:val="1"/>
      <w:marLeft w:val="0"/>
      <w:marRight w:val="0"/>
      <w:marTop w:val="0"/>
      <w:marBottom w:val="0"/>
      <w:divBdr>
        <w:top w:val="none" w:sz="0" w:space="0" w:color="auto"/>
        <w:left w:val="none" w:sz="0" w:space="0" w:color="auto"/>
        <w:bottom w:val="none" w:sz="0" w:space="0" w:color="auto"/>
        <w:right w:val="none" w:sz="0" w:space="0" w:color="auto"/>
      </w:divBdr>
    </w:div>
    <w:div w:id="28379669">
      <w:bodyDiv w:val="1"/>
      <w:marLeft w:val="0"/>
      <w:marRight w:val="0"/>
      <w:marTop w:val="0"/>
      <w:marBottom w:val="0"/>
      <w:divBdr>
        <w:top w:val="none" w:sz="0" w:space="0" w:color="auto"/>
        <w:left w:val="none" w:sz="0" w:space="0" w:color="auto"/>
        <w:bottom w:val="none" w:sz="0" w:space="0" w:color="auto"/>
        <w:right w:val="none" w:sz="0" w:space="0" w:color="auto"/>
      </w:divBdr>
      <w:divsChild>
        <w:div w:id="755858404">
          <w:marLeft w:val="446"/>
          <w:marRight w:val="0"/>
          <w:marTop w:val="0"/>
          <w:marBottom w:val="0"/>
          <w:divBdr>
            <w:top w:val="none" w:sz="0" w:space="0" w:color="auto"/>
            <w:left w:val="none" w:sz="0" w:space="0" w:color="auto"/>
            <w:bottom w:val="none" w:sz="0" w:space="0" w:color="auto"/>
            <w:right w:val="none" w:sz="0" w:space="0" w:color="auto"/>
          </w:divBdr>
        </w:div>
      </w:divsChild>
    </w:div>
    <w:div w:id="62795622">
      <w:bodyDiv w:val="1"/>
      <w:marLeft w:val="0"/>
      <w:marRight w:val="0"/>
      <w:marTop w:val="0"/>
      <w:marBottom w:val="0"/>
      <w:divBdr>
        <w:top w:val="none" w:sz="0" w:space="0" w:color="auto"/>
        <w:left w:val="none" w:sz="0" w:space="0" w:color="auto"/>
        <w:bottom w:val="none" w:sz="0" w:space="0" w:color="auto"/>
        <w:right w:val="none" w:sz="0" w:space="0" w:color="auto"/>
      </w:divBdr>
    </w:div>
    <w:div w:id="73475553">
      <w:bodyDiv w:val="1"/>
      <w:marLeft w:val="0"/>
      <w:marRight w:val="0"/>
      <w:marTop w:val="0"/>
      <w:marBottom w:val="0"/>
      <w:divBdr>
        <w:top w:val="none" w:sz="0" w:space="0" w:color="auto"/>
        <w:left w:val="none" w:sz="0" w:space="0" w:color="auto"/>
        <w:bottom w:val="none" w:sz="0" w:space="0" w:color="auto"/>
        <w:right w:val="none" w:sz="0" w:space="0" w:color="auto"/>
      </w:divBdr>
      <w:divsChild>
        <w:div w:id="1485272332">
          <w:marLeft w:val="446"/>
          <w:marRight w:val="0"/>
          <w:marTop w:val="0"/>
          <w:marBottom w:val="0"/>
          <w:divBdr>
            <w:top w:val="none" w:sz="0" w:space="0" w:color="auto"/>
            <w:left w:val="none" w:sz="0" w:space="0" w:color="auto"/>
            <w:bottom w:val="none" w:sz="0" w:space="0" w:color="auto"/>
            <w:right w:val="none" w:sz="0" w:space="0" w:color="auto"/>
          </w:divBdr>
        </w:div>
      </w:divsChild>
    </w:div>
    <w:div w:id="74788116">
      <w:bodyDiv w:val="1"/>
      <w:marLeft w:val="0"/>
      <w:marRight w:val="0"/>
      <w:marTop w:val="0"/>
      <w:marBottom w:val="0"/>
      <w:divBdr>
        <w:top w:val="none" w:sz="0" w:space="0" w:color="auto"/>
        <w:left w:val="none" w:sz="0" w:space="0" w:color="auto"/>
        <w:bottom w:val="none" w:sz="0" w:space="0" w:color="auto"/>
        <w:right w:val="none" w:sz="0" w:space="0" w:color="auto"/>
      </w:divBdr>
    </w:div>
    <w:div w:id="92821471">
      <w:bodyDiv w:val="1"/>
      <w:marLeft w:val="0"/>
      <w:marRight w:val="0"/>
      <w:marTop w:val="0"/>
      <w:marBottom w:val="0"/>
      <w:divBdr>
        <w:top w:val="none" w:sz="0" w:space="0" w:color="auto"/>
        <w:left w:val="none" w:sz="0" w:space="0" w:color="auto"/>
        <w:bottom w:val="none" w:sz="0" w:space="0" w:color="auto"/>
        <w:right w:val="none" w:sz="0" w:space="0" w:color="auto"/>
      </w:divBdr>
    </w:div>
    <w:div w:id="106509341">
      <w:bodyDiv w:val="1"/>
      <w:marLeft w:val="0"/>
      <w:marRight w:val="0"/>
      <w:marTop w:val="0"/>
      <w:marBottom w:val="0"/>
      <w:divBdr>
        <w:top w:val="none" w:sz="0" w:space="0" w:color="auto"/>
        <w:left w:val="none" w:sz="0" w:space="0" w:color="auto"/>
        <w:bottom w:val="none" w:sz="0" w:space="0" w:color="auto"/>
        <w:right w:val="none" w:sz="0" w:space="0" w:color="auto"/>
      </w:divBdr>
    </w:div>
    <w:div w:id="109055533">
      <w:bodyDiv w:val="1"/>
      <w:marLeft w:val="0"/>
      <w:marRight w:val="0"/>
      <w:marTop w:val="0"/>
      <w:marBottom w:val="0"/>
      <w:divBdr>
        <w:top w:val="none" w:sz="0" w:space="0" w:color="auto"/>
        <w:left w:val="none" w:sz="0" w:space="0" w:color="auto"/>
        <w:bottom w:val="none" w:sz="0" w:space="0" w:color="auto"/>
        <w:right w:val="none" w:sz="0" w:space="0" w:color="auto"/>
      </w:divBdr>
    </w:div>
    <w:div w:id="114564256">
      <w:bodyDiv w:val="1"/>
      <w:marLeft w:val="0"/>
      <w:marRight w:val="0"/>
      <w:marTop w:val="0"/>
      <w:marBottom w:val="0"/>
      <w:divBdr>
        <w:top w:val="none" w:sz="0" w:space="0" w:color="auto"/>
        <w:left w:val="none" w:sz="0" w:space="0" w:color="auto"/>
        <w:bottom w:val="none" w:sz="0" w:space="0" w:color="auto"/>
        <w:right w:val="none" w:sz="0" w:space="0" w:color="auto"/>
      </w:divBdr>
    </w:div>
    <w:div w:id="114567211">
      <w:bodyDiv w:val="1"/>
      <w:marLeft w:val="0"/>
      <w:marRight w:val="0"/>
      <w:marTop w:val="0"/>
      <w:marBottom w:val="0"/>
      <w:divBdr>
        <w:top w:val="none" w:sz="0" w:space="0" w:color="auto"/>
        <w:left w:val="none" w:sz="0" w:space="0" w:color="auto"/>
        <w:bottom w:val="none" w:sz="0" w:space="0" w:color="auto"/>
        <w:right w:val="none" w:sz="0" w:space="0" w:color="auto"/>
      </w:divBdr>
    </w:div>
    <w:div w:id="131675607">
      <w:bodyDiv w:val="1"/>
      <w:marLeft w:val="0"/>
      <w:marRight w:val="0"/>
      <w:marTop w:val="0"/>
      <w:marBottom w:val="0"/>
      <w:divBdr>
        <w:top w:val="none" w:sz="0" w:space="0" w:color="auto"/>
        <w:left w:val="none" w:sz="0" w:space="0" w:color="auto"/>
        <w:bottom w:val="none" w:sz="0" w:space="0" w:color="auto"/>
        <w:right w:val="none" w:sz="0" w:space="0" w:color="auto"/>
      </w:divBdr>
    </w:div>
    <w:div w:id="134883915">
      <w:bodyDiv w:val="1"/>
      <w:marLeft w:val="0"/>
      <w:marRight w:val="0"/>
      <w:marTop w:val="0"/>
      <w:marBottom w:val="0"/>
      <w:divBdr>
        <w:top w:val="none" w:sz="0" w:space="0" w:color="auto"/>
        <w:left w:val="none" w:sz="0" w:space="0" w:color="auto"/>
        <w:bottom w:val="none" w:sz="0" w:space="0" w:color="auto"/>
        <w:right w:val="none" w:sz="0" w:space="0" w:color="auto"/>
      </w:divBdr>
    </w:div>
    <w:div w:id="159078573">
      <w:bodyDiv w:val="1"/>
      <w:marLeft w:val="0"/>
      <w:marRight w:val="0"/>
      <w:marTop w:val="0"/>
      <w:marBottom w:val="0"/>
      <w:divBdr>
        <w:top w:val="none" w:sz="0" w:space="0" w:color="auto"/>
        <w:left w:val="none" w:sz="0" w:space="0" w:color="auto"/>
        <w:bottom w:val="none" w:sz="0" w:space="0" w:color="auto"/>
        <w:right w:val="none" w:sz="0" w:space="0" w:color="auto"/>
      </w:divBdr>
      <w:divsChild>
        <w:div w:id="1564945985">
          <w:marLeft w:val="446"/>
          <w:marRight w:val="0"/>
          <w:marTop w:val="0"/>
          <w:marBottom w:val="0"/>
          <w:divBdr>
            <w:top w:val="none" w:sz="0" w:space="0" w:color="auto"/>
            <w:left w:val="none" w:sz="0" w:space="0" w:color="auto"/>
            <w:bottom w:val="none" w:sz="0" w:space="0" w:color="auto"/>
            <w:right w:val="none" w:sz="0" w:space="0" w:color="auto"/>
          </w:divBdr>
        </w:div>
      </w:divsChild>
    </w:div>
    <w:div w:id="172648138">
      <w:bodyDiv w:val="1"/>
      <w:marLeft w:val="0"/>
      <w:marRight w:val="0"/>
      <w:marTop w:val="0"/>
      <w:marBottom w:val="0"/>
      <w:divBdr>
        <w:top w:val="none" w:sz="0" w:space="0" w:color="auto"/>
        <w:left w:val="none" w:sz="0" w:space="0" w:color="auto"/>
        <w:bottom w:val="none" w:sz="0" w:space="0" w:color="auto"/>
        <w:right w:val="none" w:sz="0" w:space="0" w:color="auto"/>
      </w:divBdr>
    </w:div>
    <w:div w:id="174198398">
      <w:bodyDiv w:val="1"/>
      <w:marLeft w:val="0"/>
      <w:marRight w:val="0"/>
      <w:marTop w:val="0"/>
      <w:marBottom w:val="0"/>
      <w:divBdr>
        <w:top w:val="none" w:sz="0" w:space="0" w:color="auto"/>
        <w:left w:val="none" w:sz="0" w:space="0" w:color="auto"/>
        <w:bottom w:val="none" w:sz="0" w:space="0" w:color="auto"/>
        <w:right w:val="none" w:sz="0" w:space="0" w:color="auto"/>
      </w:divBdr>
    </w:div>
    <w:div w:id="189297225">
      <w:bodyDiv w:val="1"/>
      <w:marLeft w:val="0"/>
      <w:marRight w:val="0"/>
      <w:marTop w:val="0"/>
      <w:marBottom w:val="0"/>
      <w:divBdr>
        <w:top w:val="none" w:sz="0" w:space="0" w:color="auto"/>
        <w:left w:val="none" w:sz="0" w:space="0" w:color="auto"/>
        <w:bottom w:val="none" w:sz="0" w:space="0" w:color="auto"/>
        <w:right w:val="none" w:sz="0" w:space="0" w:color="auto"/>
      </w:divBdr>
    </w:div>
    <w:div w:id="210387730">
      <w:bodyDiv w:val="1"/>
      <w:marLeft w:val="0"/>
      <w:marRight w:val="0"/>
      <w:marTop w:val="0"/>
      <w:marBottom w:val="0"/>
      <w:divBdr>
        <w:top w:val="none" w:sz="0" w:space="0" w:color="auto"/>
        <w:left w:val="none" w:sz="0" w:space="0" w:color="auto"/>
        <w:bottom w:val="none" w:sz="0" w:space="0" w:color="auto"/>
        <w:right w:val="none" w:sz="0" w:space="0" w:color="auto"/>
      </w:divBdr>
    </w:div>
    <w:div w:id="248124187">
      <w:bodyDiv w:val="1"/>
      <w:marLeft w:val="0"/>
      <w:marRight w:val="0"/>
      <w:marTop w:val="0"/>
      <w:marBottom w:val="0"/>
      <w:divBdr>
        <w:top w:val="none" w:sz="0" w:space="0" w:color="auto"/>
        <w:left w:val="none" w:sz="0" w:space="0" w:color="auto"/>
        <w:bottom w:val="none" w:sz="0" w:space="0" w:color="auto"/>
        <w:right w:val="none" w:sz="0" w:space="0" w:color="auto"/>
      </w:divBdr>
    </w:div>
    <w:div w:id="286815798">
      <w:bodyDiv w:val="1"/>
      <w:marLeft w:val="0"/>
      <w:marRight w:val="0"/>
      <w:marTop w:val="0"/>
      <w:marBottom w:val="0"/>
      <w:divBdr>
        <w:top w:val="none" w:sz="0" w:space="0" w:color="auto"/>
        <w:left w:val="none" w:sz="0" w:space="0" w:color="auto"/>
        <w:bottom w:val="none" w:sz="0" w:space="0" w:color="auto"/>
        <w:right w:val="none" w:sz="0" w:space="0" w:color="auto"/>
      </w:divBdr>
    </w:div>
    <w:div w:id="293294304">
      <w:bodyDiv w:val="1"/>
      <w:marLeft w:val="0"/>
      <w:marRight w:val="0"/>
      <w:marTop w:val="0"/>
      <w:marBottom w:val="0"/>
      <w:divBdr>
        <w:top w:val="none" w:sz="0" w:space="0" w:color="auto"/>
        <w:left w:val="none" w:sz="0" w:space="0" w:color="auto"/>
        <w:bottom w:val="none" w:sz="0" w:space="0" w:color="auto"/>
        <w:right w:val="none" w:sz="0" w:space="0" w:color="auto"/>
      </w:divBdr>
    </w:div>
    <w:div w:id="352928034">
      <w:bodyDiv w:val="1"/>
      <w:marLeft w:val="0"/>
      <w:marRight w:val="0"/>
      <w:marTop w:val="0"/>
      <w:marBottom w:val="0"/>
      <w:divBdr>
        <w:top w:val="none" w:sz="0" w:space="0" w:color="auto"/>
        <w:left w:val="none" w:sz="0" w:space="0" w:color="auto"/>
        <w:bottom w:val="none" w:sz="0" w:space="0" w:color="auto"/>
        <w:right w:val="none" w:sz="0" w:space="0" w:color="auto"/>
      </w:divBdr>
    </w:div>
    <w:div w:id="423919255">
      <w:bodyDiv w:val="1"/>
      <w:marLeft w:val="0"/>
      <w:marRight w:val="0"/>
      <w:marTop w:val="0"/>
      <w:marBottom w:val="0"/>
      <w:divBdr>
        <w:top w:val="none" w:sz="0" w:space="0" w:color="auto"/>
        <w:left w:val="none" w:sz="0" w:space="0" w:color="auto"/>
        <w:bottom w:val="none" w:sz="0" w:space="0" w:color="auto"/>
        <w:right w:val="none" w:sz="0" w:space="0" w:color="auto"/>
      </w:divBdr>
    </w:div>
    <w:div w:id="452945755">
      <w:bodyDiv w:val="1"/>
      <w:marLeft w:val="0"/>
      <w:marRight w:val="0"/>
      <w:marTop w:val="0"/>
      <w:marBottom w:val="0"/>
      <w:divBdr>
        <w:top w:val="none" w:sz="0" w:space="0" w:color="auto"/>
        <w:left w:val="none" w:sz="0" w:space="0" w:color="auto"/>
        <w:bottom w:val="none" w:sz="0" w:space="0" w:color="auto"/>
        <w:right w:val="none" w:sz="0" w:space="0" w:color="auto"/>
      </w:divBdr>
    </w:div>
    <w:div w:id="457381256">
      <w:bodyDiv w:val="1"/>
      <w:marLeft w:val="0"/>
      <w:marRight w:val="0"/>
      <w:marTop w:val="0"/>
      <w:marBottom w:val="0"/>
      <w:divBdr>
        <w:top w:val="none" w:sz="0" w:space="0" w:color="auto"/>
        <w:left w:val="none" w:sz="0" w:space="0" w:color="auto"/>
        <w:bottom w:val="none" w:sz="0" w:space="0" w:color="auto"/>
        <w:right w:val="none" w:sz="0" w:space="0" w:color="auto"/>
      </w:divBdr>
    </w:div>
    <w:div w:id="483938361">
      <w:bodyDiv w:val="1"/>
      <w:marLeft w:val="0"/>
      <w:marRight w:val="0"/>
      <w:marTop w:val="0"/>
      <w:marBottom w:val="0"/>
      <w:divBdr>
        <w:top w:val="none" w:sz="0" w:space="0" w:color="auto"/>
        <w:left w:val="none" w:sz="0" w:space="0" w:color="auto"/>
        <w:bottom w:val="none" w:sz="0" w:space="0" w:color="auto"/>
        <w:right w:val="none" w:sz="0" w:space="0" w:color="auto"/>
      </w:divBdr>
    </w:div>
    <w:div w:id="513886456">
      <w:bodyDiv w:val="1"/>
      <w:marLeft w:val="0"/>
      <w:marRight w:val="0"/>
      <w:marTop w:val="0"/>
      <w:marBottom w:val="0"/>
      <w:divBdr>
        <w:top w:val="none" w:sz="0" w:space="0" w:color="auto"/>
        <w:left w:val="none" w:sz="0" w:space="0" w:color="auto"/>
        <w:bottom w:val="none" w:sz="0" w:space="0" w:color="auto"/>
        <w:right w:val="none" w:sz="0" w:space="0" w:color="auto"/>
      </w:divBdr>
    </w:div>
    <w:div w:id="523136581">
      <w:bodyDiv w:val="1"/>
      <w:marLeft w:val="0"/>
      <w:marRight w:val="0"/>
      <w:marTop w:val="0"/>
      <w:marBottom w:val="0"/>
      <w:divBdr>
        <w:top w:val="none" w:sz="0" w:space="0" w:color="auto"/>
        <w:left w:val="none" w:sz="0" w:space="0" w:color="auto"/>
        <w:bottom w:val="none" w:sz="0" w:space="0" w:color="auto"/>
        <w:right w:val="none" w:sz="0" w:space="0" w:color="auto"/>
      </w:divBdr>
    </w:div>
    <w:div w:id="535777476">
      <w:bodyDiv w:val="1"/>
      <w:marLeft w:val="0"/>
      <w:marRight w:val="0"/>
      <w:marTop w:val="0"/>
      <w:marBottom w:val="0"/>
      <w:divBdr>
        <w:top w:val="none" w:sz="0" w:space="0" w:color="auto"/>
        <w:left w:val="none" w:sz="0" w:space="0" w:color="auto"/>
        <w:bottom w:val="none" w:sz="0" w:space="0" w:color="auto"/>
        <w:right w:val="none" w:sz="0" w:space="0" w:color="auto"/>
      </w:divBdr>
    </w:div>
    <w:div w:id="571934389">
      <w:bodyDiv w:val="1"/>
      <w:marLeft w:val="0"/>
      <w:marRight w:val="0"/>
      <w:marTop w:val="0"/>
      <w:marBottom w:val="0"/>
      <w:divBdr>
        <w:top w:val="none" w:sz="0" w:space="0" w:color="auto"/>
        <w:left w:val="none" w:sz="0" w:space="0" w:color="auto"/>
        <w:bottom w:val="none" w:sz="0" w:space="0" w:color="auto"/>
        <w:right w:val="none" w:sz="0" w:space="0" w:color="auto"/>
      </w:divBdr>
    </w:div>
    <w:div w:id="601184767">
      <w:bodyDiv w:val="1"/>
      <w:marLeft w:val="0"/>
      <w:marRight w:val="0"/>
      <w:marTop w:val="0"/>
      <w:marBottom w:val="0"/>
      <w:divBdr>
        <w:top w:val="none" w:sz="0" w:space="0" w:color="auto"/>
        <w:left w:val="none" w:sz="0" w:space="0" w:color="auto"/>
        <w:bottom w:val="none" w:sz="0" w:space="0" w:color="auto"/>
        <w:right w:val="none" w:sz="0" w:space="0" w:color="auto"/>
      </w:divBdr>
    </w:div>
    <w:div w:id="604963628">
      <w:bodyDiv w:val="1"/>
      <w:marLeft w:val="0"/>
      <w:marRight w:val="0"/>
      <w:marTop w:val="0"/>
      <w:marBottom w:val="0"/>
      <w:divBdr>
        <w:top w:val="none" w:sz="0" w:space="0" w:color="auto"/>
        <w:left w:val="none" w:sz="0" w:space="0" w:color="auto"/>
        <w:bottom w:val="none" w:sz="0" w:space="0" w:color="auto"/>
        <w:right w:val="none" w:sz="0" w:space="0" w:color="auto"/>
      </w:divBdr>
    </w:div>
    <w:div w:id="637104377">
      <w:bodyDiv w:val="1"/>
      <w:marLeft w:val="0"/>
      <w:marRight w:val="0"/>
      <w:marTop w:val="0"/>
      <w:marBottom w:val="0"/>
      <w:divBdr>
        <w:top w:val="none" w:sz="0" w:space="0" w:color="auto"/>
        <w:left w:val="none" w:sz="0" w:space="0" w:color="auto"/>
        <w:bottom w:val="none" w:sz="0" w:space="0" w:color="auto"/>
        <w:right w:val="none" w:sz="0" w:space="0" w:color="auto"/>
      </w:divBdr>
    </w:div>
    <w:div w:id="664818208">
      <w:bodyDiv w:val="1"/>
      <w:marLeft w:val="0"/>
      <w:marRight w:val="0"/>
      <w:marTop w:val="0"/>
      <w:marBottom w:val="0"/>
      <w:divBdr>
        <w:top w:val="none" w:sz="0" w:space="0" w:color="auto"/>
        <w:left w:val="none" w:sz="0" w:space="0" w:color="auto"/>
        <w:bottom w:val="none" w:sz="0" w:space="0" w:color="auto"/>
        <w:right w:val="none" w:sz="0" w:space="0" w:color="auto"/>
      </w:divBdr>
    </w:div>
    <w:div w:id="673842066">
      <w:bodyDiv w:val="1"/>
      <w:marLeft w:val="0"/>
      <w:marRight w:val="0"/>
      <w:marTop w:val="0"/>
      <w:marBottom w:val="0"/>
      <w:divBdr>
        <w:top w:val="none" w:sz="0" w:space="0" w:color="auto"/>
        <w:left w:val="none" w:sz="0" w:space="0" w:color="auto"/>
        <w:bottom w:val="none" w:sz="0" w:space="0" w:color="auto"/>
        <w:right w:val="none" w:sz="0" w:space="0" w:color="auto"/>
      </w:divBdr>
    </w:div>
    <w:div w:id="698776124">
      <w:bodyDiv w:val="1"/>
      <w:marLeft w:val="0"/>
      <w:marRight w:val="0"/>
      <w:marTop w:val="0"/>
      <w:marBottom w:val="0"/>
      <w:divBdr>
        <w:top w:val="none" w:sz="0" w:space="0" w:color="auto"/>
        <w:left w:val="none" w:sz="0" w:space="0" w:color="auto"/>
        <w:bottom w:val="none" w:sz="0" w:space="0" w:color="auto"/>
        <w:right w:val="none" w:sz="0" w:space="0" w:color="auto"/>
      </w:divBdr>
    </w:div>
    <w:div w:id="702899965">
      <w:bodyDiv w:val="1"/>
      <w:marLeft w:val="0"/>
      <w:marRight w:val="0"/>
      <w:marTop w:val="0"/>
      <w:marBottom w:val="0"/>
      <w:divBdr>
        <w:top w:val="none" w:sz="0" w:space="0" w:color="auto"/>
        <w:left w:val="none" w:sz="0" w:space="0" w:color="auto"/>
        <w:bottom w:val="none" w:sz="0" w:space="0" w:color="auto"/>
        <w:right w:val="none" w:sz="0" w:space="0" w:color="auto"/>
      </w:divBdr>
    </w:div>
    <w:div w:id="706955699">
      <w:bodyDiv w:val="1"/>
      <w:marLeft w:val="0"/>
      <w:marRight w:val="0"/>
      <w:marTop w:val="0"/>
      <w:marBottom w:val="0"/>
      <w:divBdr>
        <w:top w:val="none" w:sz="0" w:space="0" w:color="auto"/>
        <w:left w:val="none" w:sz="0" w:space="0" w:color="auto"/>
        <w:bottom w:val="none" w:sz="0" w:space="0" w:color="auto"/>
        <w:right w:val="none" w:sz="0" w:space="0" w:color="auto"/>
      </w:divBdr>
    </w:div>
    <w:div w:id="736244509">
      <w:bodyDiv w:val="1"/>
      <w:marLeft w:val="0"/>
      <w:marRight w:val="0"/>
      <w:marTop w:val="0"/>
      <w:marBottom w:val="0"/>
      <w:divBdr>
        <w:top w:val="none" w:sz="0" w:space="0" w:color="auto"/>
        <w:left w:val="none" w:sz="0" w:space="0" w:color="auto"/>
        <w:bottom w:val="none" w:sz="0" w:space="0" w:color="auto"/>
        <w:right w:val="none" w:sz="0" w:space="0" w:color="auto"/>
      </w:divBdr>
    </w:div>
    <w:div w:id="743648505">
      <w:bodyDiv w:val="1"/>
      <w:marLeft w:val="0"/>
      <w:marRight w:val="0"/>
      <w:marTop w:val="0"/>
      <w:marBottom w:val="0"/>
      <w:divBdr>
        <w:top w:val="none" w:sz="0" w:space="0" w:color="auto"/>
        <w:left w:val="none" w:sz="0" w:space="0" w:color="auto"/>
        <w:bottom w:val="none" w:sz="0" w:space="0" w:color="auto"/>
        <w:right w:val="none" w:sz="0" w:space="0" w:color="auto"/>
      </w:divBdr>
    </w:div>
    <w:div w:id="773865260">
      <w:bodyDiv w:val="1"/>
      <w:marLeft w:val="0"/>
      <w:marRight w:val="0"/>
      <w:marTop w:val="0"/>
      <w:marBottom w:val="0"/>
      <w:divBdr>
        <w:top w:val="none" w:sz="0" w:space="0" w:color="auto"/>
        <w:left w:val="none" w:sz="0" w:space="0" w:color="auto"/>
        <w:bottom w:val="none" w:sz="0" w:space="0" w:color="auto"/>
        <w:right w:val="none" w:sz="0" w:space="0" w:color="auto"/>
      </w:divBdr>
    </w:div>
    <w:div w:id="800415702">
      <w:bodyDiv w:val="1"/>
      <w:marLeft w:val="0"/>
      <w:marRight w:val="0"/>
      <w:marTop w:val="0"/>
      <w:marBottom w:val="0"/>
      <w:divBdr>
        <w:top w:val="none" w:sz="0" w:space="0" w:color="auto"/>
        <w:left w:val="none" w:sz="0" w:space="0" w:color="auto"/>
        <w:bottom w:val="none" w:sz="0" w:space="0" w:color="auto"/>
        <w:right w:val="none" w:sz="0" w:space="0" w:color="auto"/>
      </w:divBdr>
    </w:div>
    <w:div w:id="823667157">
      <w:bodyDiv w:val="1"/>
      <w:marLeft w:val="0"/>
      <w:marRight w:val="0"/>
      <w:marTop w:val="0"/>
      <w:marBottom w:val="0"/>
      <w:divBdr>
        <w:top w:val="none" w:sz="0" w:space="0" w:color="auto"/>
        <w:left w:val="none" w:sz="0" w:space="0" w:color="auto"/>
        <w:bottom w:val="none" w:sz="0" w:space="0" w:color="auto"/>
        <w:right w:val="none" w:sz="0" w:space="0" w:color="auto"/>
      </w:divBdr>
    </w:div>
    <w:div w:id="860700102">
      <w:bodyDiv w:val="1"/>
      <w:marLeft w:val="0"/>
      <w:marRight w:val="0"/>
      <w:marTop w:val="0"/>
      <w:marBottom w:val="0"/>
      <w:divBdr>
        <w:top w:val="none" w:sz="0" w:space="0" w:color="auto"/>
        <w:left w:val="none" w:sz="0" w:space="0" w:color="auto"/>
        <w:bottom w:val="none" w:sz="0" w:space="0" w:color="auto"/>
        <w:right w:val="none" w:sz="0" w:space="0" w:color="auto"/>
      </w:divBdr>
    </w:div>
    <w:div w:id="874194909">
      <w:bodyDiv w:val="1"/>
      <w:marLeft w:val="0"/>
      <w:marRight w:val="0"/>
      <w:marTop w:val="0"/>
      <w:marBottom w:val="0"/>
      <w:divBdr>
        <w:top w:val="none" w:sz="0" w:space="0" w:color="auto"/>
        <w:left w:val="none" w:sz="0" w:space="0" w:color="auto"/>
        <w:bottom w:val="none" w:sz="0" w:space="0" w:color="auto"/>
        <w:right w:val="none" w:sz="0" w:space="0" w:color="auto"/>
      </w:divBdr>
    </w:div>
    <w:div w:id="878933501">
      <w:bodyDiv w:val="1"/>
      <w:marLeft w:val="0"/>
      <w:marRight w:val="0"/>
      <w:marTop w:val="0"/>
      <w:marBottom w:val="0"/>
      <w:divBdr>
        <w:top w:val="none" w:sz="0" w:space="0" w:color="auto"/>
        <w:left w:val="none" w:sz="0" w:space="0" w:color="auto"/>
        <w:bottom w:val="none" w:sz="0" w:space="0" w:color="auto"/>
        <w:right w:val="none" w:sz="0" w:space="0" w:color="auto"/>
      </w:divBdr>
    </w:div>
    <w:div w:id="928657253">
      <w:bodyDiv w:val="1"/>
      <w:marLeft w:val="0"/>
      <w:marRight w:val="0"/>
      <w:marTop w:val="0"/>
      <w:marBottom w:val="0"/>
      <w:divBdr>
        <w:top w:val="none" w:sz="0" w:space="0" w:color="auto"/>
        <w:left w:val="none" w:sz="0" w:space="0" w:color="auto"/>
        <w:bottom w:val="none" w:sz="0" w:space="0" w:color="auto"/>
        <w:right w:val="none" w:sz="0" w:space="0" w:color="auto"/>
      </w:divBdr>
    </w:div>
    <w:div w:id="959185819">
      <w:bodyDiv w:val="1"/>
      <w:marLeft w:val="0"/>
      <w:marRight w:val="0"/>
      <w:marTop w:val="0"/>
      <w:marBottom w:val="0"/>
      <w:divBdr>
        <w:top w:val="none" w:sz="0" w:space="0" w:color="auto"/>
        <w:left w:val="none" w:sz="0" w:space="0" w:color="auto"/>
        <w:bottom w:val="none" w:sz="0" w:space="0" w:color="auto"/>
        <w:right w:val="none" w:sz="0" w:space="0" w:color="auto"/>
      </w:divBdr>
    </w:div>
    <w:div w:id="1017460119">
      <w:bodyDiv w:val="1"/>
      <w:marLeft w:val="0"/>
      <w:marRight w:val="0"/>
      <w:marTop w:val="0"/>
      <w:marBottom w:val="0"/>
      <w:divBdr>
        <w:top w:val="none" w:sz="0" w:space="0" w:color="auto"/>
        <w:left w:val="none" w:sz="0" w:space="0" w:color="auto"/>
        <w:bottom w:val="none" w:sz="0" w:space="0" w:color="auto"/>
        <w:right w:val="none" w:sz="0" w:space="0" w:color="auto"/>
      </w:divBdr>
    </w:div>
    <w:div w:id="1048603769">
      <w:bodyDiv w:val="1"/>
      <w:marLeft w:val="0"/>
      <w:marRight w:val="0"/>
      <w:marTop w:val="0"/>
      <w:marBottom w:val="0"/>
      <w:divBdr>
        <w:top w:val="none" w:sz="0" w:space="0" w:color="auto"/>
        <w:left w:val="none" w:sz="0" w:space="0" w:color="auto"/>
        <w:bottom w:val="none" w:sz="0" w:space="0" w:color="auto"/>
        <w:right w:val="none" w:sz="0" w:space="0" w:color="auto"/>
      </w:divBdr>
    </w:div>
    <w:div w:id="1088036823">
      <w:bodyDiv w:val="1"/>
      <w:marLeft w:val="0"/>
      <w:marRight w:val="0"/>
      <w:marTop w:val="0"/>
      <w:marBottom w:val="0"/>
      <w:divBdr>
        <w:top w:val="none" w:sz="0" w:space="0" w:color="auto"/>
        <w:left w:val="none" w:sz="0" w:space="0" w:color="auto"/>
        <w:bottom w:val="none" w:sz="0" w:space="0" w:color="auto"/>
        <w:right w:val="none" w:sz="0" w:space="0" w:color="auto"/>
      </w:divBdr>
    </w:div>
    <w:div w:id="1090157800">
      <w:bodyDiv w:val="1"/>
      <w:marLeft w:val="0"/>
      <w:marRight w:val="0"/>
      <w:marTop w:val="0"/>
      <w:marBottom w:val="0"/>
      <w:divBdr>
        <w:top w:val="none" w:sz="0" w:space="0" w:color="auto"/>
        <w:left w:val="none" w:sz="0" w:space="0" w:color="auto"/>
        <w:bottom w:val="none" w:sz="0" w:space="0" w:color="auto"/>
        <w:right w:val="none" w:sz="0" w:space="0" w:color="auto"/>
      </w:divBdr>
    </w:div>
    <w:div w:id="1194928306">
      <w:bodyDiv w:val="1"/>
      <w:marLeft w:val="0"/>
      <w:marRight w:val="0"/>
      <w:marTop w:val="0"/>
      <w:marBottom w:val="0"/>
      <w:divBdr>
        <w:top w:val="none" w:sz="0" w:space="0" w:color="auto"/>
        <w:left w:val="none" w:sz="0" w:space="0" w:color="auto"/>
        <w:bottom w:val="none" w:sz="0" w:space="0" w:color="auto"/>
        <w:right w:val="none" w:sz="0" w:space="0" w:color="auto"/>
      </w:divBdr>
      <w:divsChild>
        <w:div w:id="1172333800">
          <w:marLeft w:val="446"/>
          <w:marRight w:val="0"/>
          <w:marTop w:val="0"/>
          <w:marBottom w:val="0"/>
          <w:divBdr>
            <w:top w:val="none" w:sz="0" w:space="0" w:color="auto"/>
            <w:left w:val="none" w:sz="0" w:space="0" w:color="auto"/>
            <w:bottom w:val="none" w:sz="0" w:space="0" w:color="auto"/>
            <w:right w:val="none" w:sz="0" w:space="0" w:color="auto"/>
          </w:divBdr>
        </w:div>
      </w:divsChild>
    </w:div>
    <w:div w:id="1204908525">
      <w:bodyDiv w:val="1"/>
      <w:marLeft w:val="0"/>
      <w:marRight w:val="0"/>
      <w:marTop w:val="0"/>
      <w:marBottom w:val="0"/>
      <w:divBdr>
        <w:top w:val="none" w:sz="0" w:space="0" w:color="auto"/>
        <w:left w:val="none" w:sz="0" w:space="0" w:color="auto"/>
        <w:bottom w:val="none" w:sz="0" w:space="0" w:color="auto"/>
        <w:right w:val="none" w:sz="0" w:space="0" w:color="auto"/>
      </w:divBdr>
    </w:div>
    <w:div w:id="1233344571">
      <w:bodyDiv w:val="1"/>
      <w:marLeft w:val="0"/>
      <w:marRight w:val="0"/>
      <w:marTop w:val="0"/>
      <w:marBottom w:val="0"/>
      <w:divBdr>
        <w:top w:val="none" w:sz="0" w:space="0" w:color="auto"/>
        <w:left w:val="none" w:sz="0" w:space="0" w:color="auto"/>
        <w:bottom w:val="none" w:sz="0" w:space="0" w:color="auto"/>
        <w:right w:val="none" w:sz="0" w:space="0" w:color="auto"/>
      </w:divBdr>
    </w:div>
    <w:div w:id="1284533250">
      <w:bodyDiv w:val="1"/>
      <w:marLeft w:val="0"/>
      <w:marRight w:val="0"/>
      <w:marTop w:val="0"/>
      <w:marBottom w:val="0"/>
      <w:divBdr>
        <w:top w:val="none" w:sz="0" w:space="0" w:color="auto"/>
        <w:left w:val="none" w:sz="0" w:space="0" w:color="auto"/>
        <w:bottom w:val="none" w:sz="0" w:space="0" w:color="auto"/>
        <w:right w:val="none" w:sz="0" w:space="0" w:color="auto"/>
      </w:divBdr>
    </w:div>
    <w:div w:id="1304430885">
      <w:bodyDiv w:val="1"/>
      <w:marLeft w:val="0"/>
      <w:marRight w:val="0"/>
      <w:marTop w:val="0"/>
      <w:marBottom w:val="0"/>
      <w:divBdr>
        <w:top w:val="none" w:sz="0" w:space="0" w:color="auto"/>
        <w:left w:val="none" w:sz="0" w:space="0" w:color="auto"/>
        <w:bottom w:val="none" w:sz="0" w:space="0" w:color="auto"/>
        <w:right w:val="none" w:sz="0" w:space="0" w:color="auto"/>
      </w:divBdr>
      <w:divsChild>
        <w:div w:id="1906602301">
          <w:marLeft w:val="446"/>
          <w:marRight w:val="0"/>
          <w:marTop w:val="0"/>
          <w:marBottom w:val="0"/>
          <w:divBdr>
            <w:top w:val="none" w:sz="0" w:space="0" w:color="auto"/>
            <w:left w:val="none" w:sz="0" w:space="0" w:color="auto"/>
            <w:bottom w:val="none" w:sz="0" w:space="0" w:color="auto"/>
            <w:right w:val="none" w:sz="0" w:space="0" w:color="auto"/>
          </w:divBdr>
        </w:div>
      </w:divsChild>
    </w:div>
    <w:div w:id="1332368974">
      <w:bodyDiv w:val="1"/>
      <w:marLeft w:val="0"/>
      <w:marRight w:val="0"/>
      <w:marTop w:val="0"/>
      <w:marBottom w:val="0"/>
      <w:divBdr>
        <w:top w:val="none" w:sz="0" w:space="0" w:color="auto"/>
        <w:left w:val="none" w:sz="0" w:space="0" w:color="auto"/>
        <w:bottom w:val="none" w:sz="0" w:space="0" w:color="auto"/>
        <w:right w:val="none" w:sz="0" w:space="0" w:color="auto"/>
      </w:divBdr>
    </w:div>
    <w:div w:id="1376003312">
      <w:bodyDiv w:val="1"/>
      <w:marLeft w:val="0"/>
      <w:marRight w:val="0"/>
      <w:marTop w:val="0"/>
      <w:marBottom w:val="0"/>
      <w:divBdr>
        <w:top w:val="none" w:sz="0" w:space="0" w:color="auto"/>
        <w:left w:val="none" w:sz="0" w:space="0" w:color="auto"/>
        <w:bottom w:val="none" w:sz="0" w:space="0" w:color="auto"/>
        <w:right w:val="none" w:sz="0" w:space="0" w:color="auto"/>
      </w:divBdr>
    </w:div>
    <w:div w:id="1380284216">
      <w:bodyDiv w:val="1"/>
      <w:marLeft w:val="0"/>
      <w:marRight w:val="0"/>
      <w:marTop w:val="0"/>
      <w:marBottom w:val="0"/>
      <w:divBdr>
        <w:top w:val="none" w:sz="0" w:space="0" w:color="auto"/>
        <w:left w:val="none" w:sz="0" w:space="0" w:color="auto"/>
        <w:bottom w:val="none" w:sz="0" w:space="0" w:color="auto"/>
        <w:right w:val="none" w:sz="0" w:space="0" w:color="auto"/>
      </w:divBdr>
    </w:div>
    <w:div w:id="1411929002">
      <w:bodyDiv w:val="1"/>
      <w:marLeft w:val="0"/>
      <w:marRight w:val="0"/>
      <w:marTop w:val="0"/>
      <w:marBottom w:val="0"/>
      <w:divBdr>
        <w:top w:val="none" w:sz="0" w:space="0" w:color="auto"/>
        <w:left w:val="none" w:sz="0" w:space="0" w:color="auto"/>
        <w:bottom w:val="none" w:sz="0" w:space="0" w:color="auto"/>
        <w:right w:val="none" w:sz="0" w:space="0" w:color="auto"/>
      </w:divBdr>
    </w:div>
    <w:div w:id="1418096736">
      <w:bodyDiv w:val="1"/>
      <w:marLeft w:val="0"/>
      <w:marRight w:val="0"/>
      <w:marTop w:val="0"/>
      <w:marBottom w:val="0"/>
      <w:divBdr>
        <w:top w:val="none" w:sz="0" w:space="0" w:color="auto"/>
        <w:left w:val="none" w:sz="0" w:space="0" w:color="auto"/>
        <w:bottom w:val="none" w:sz="0" w:space="0" w:color="auto"/>
        <w:right w:val="none" w:sz="0" w:space="0" w:color="auto"/>
      </w:divBdr>
    </w:div>
    <w:div w:id="1422332031">
      <w:bodyDiv w:val="1"/>
      <w:marLeft w:val="0"/>
      <w:marRight w:val="0"/>
      <w:marTop w:val="0"/>
      <w:marBottom w:val="0"/>
      <w:divBdr>
        <w:top w:val="none" w:sz="0" w:space="0" w:color="auto"/>
        <w:left w:val="none" w:sz="0" w:space="0" w:color="auto"/>
        <w:bottom w:val="none" w:sz="0" w:space="0" w:color="auto"/>
        <w:right w:val="none" w:sz="0" w:space="0" w:color="auto"/>
      </w:divBdr>
    </w:div>
    <w:div w:id="1434059824">
      <w:bodyDiv w:val="1"/>
      <w:marLeft w:val="0"/>
      <w:marRight w:val="0"/>
      <w:marTop w:val="0"/>
      <w:marBottom w:val="0"/>
      <w:divBdr>
        <w:top w:val="none" w:sz="0" w:space="0" w:color="auto"/>
        <w:left w:val="none" w:sz="0" w:space="0" w:color="auto"/>
        <w:bottom w:val="none" w:sz="0" w:space="0" w:color="auto"/>
        <w:right w:val="none" w:sz="0" w:space="0" w:color="auto"/>
      </w:divBdr>
    </w:div>
    <w:div w:id="1472139841">
      <w:bodyDiv w:val="1"/>
      <w:marLeft w:val="0"/>
      <w:marRight w:val="0"/>
      <w:marTop w:val="0"/>
      <w:marBottom w:val="0"/>
      <w:divBdr>
        <w:top w:val="none" w:sz="0" w:space="0" w:color="auto"/>
        <w:left w:val="none" w:sz="0" w:space="0" w:color="auto"/>
        <w:bottom w:val="none" w:sz="0" w:space="0" w:color="auto"/>
        <w:right w:val="none" w:sz="0" w:space="0" w:color="auto"/>
      </w:divBdr>
    </w:div>
    <w:div w:id="1477380982">
      <w:bodyDiv w:val="1"/>
      <w:marLeft w:val="0"/>
      <w:marRight w:val="0"/>
      <w:marTop w:val="0"/>
      <w:marBottom w:val="0"/>
      <w:divBdr>
        <w:top w:val="none" w:sz="0" w:space="0" w:color="auto"/>
        <w:left w:val="none" w:sz="0" w:space="0" w:color="auto"/>
        <w:bottom w:val="none" w:sz="0" w:space="0" w:color="auto"/>
        <w:right w:val="none" w:sz="0" w:space="0" w:color="auto"/>
      </w:divBdr>
    </w:div>
    <w:div w:id="1483765819">
      <w:bodyDiv w:val="1"/>
      <w:marLeft w:val="0"/>
      <w:marRight w:val="0"/>
      <w:marTop w:val="0"/>
      <w:marBottom w:val="0"/>
      <w:divBdr>
        <w:top w:val="none" w:sz="0" w:space="0" w:color="auto"/>
        <w:left w:val="none" w:sz="0" w:space="0" w:color="auto"/>
        <w:bottom w:val="none" w:sz="0" w:space="0" w:color="auto"/>
        <w:right w:val="none" w:sz="0" w:space="0" w:color="auto"/>
      </w:divBdr>
    </w:div>
    <w:div w:id="1499420687">
      <w:bodyDiv w:val="1"/>
      <w:marLeft w:val="0"/>
      <w:marRight w:val="0"/>
      <w:marTop w:val="0"/>
      <w:marBottom w:val="0"/>
      <w:divBdr>
        <w:top w:val="none" w:sz="0" w:space="0" w:color="auto"/>
        <w:left w:val="none" w:sz="0" w:space="0" w:color="auto"/>
        <w:bottom w:val="none" w:sz="0" w:space="0" w:color="auto"/>
        <w:right w:val="none" w:sz="0" w:space="0" w:color="auto"/>
      </w:divBdr>
    </w:div>
    <w:div w:id="1501003461">
      <w:bodyDiv w:val="1"/>
      <w:marLeft w:val="0"/>
      <w:marRight w:val="0"/>
      <w:marTop w:val="0"/>
      <w:marBottom w:val="0"/>
      <w:divBdr>
        <w:top w:val="none" w:sz="0" w:space="0" w:color="auto"/>
        <w:left w:val="none" w:sz="0" w:space="0" w:color="auto"/>
        <w:bottom w:val="none" w:sz="0" w:space="0" w:color="auto"/>
        <w:right w:val="none" w:sz="0" w:space="0" w:color="auto"/>
      </w:divBdr>
    </w:div>
    <w:div w:id="1511989653">
      <w:bodyDiv w:val="1"/>
      <w:marLeft w:val="0"/>
      <w:marRight w:val="0"/>
      <w:marTop w:val="0"/>
      <w:marBottom w:val="0"/>
      <w:divBdr>
        <w:top w:val="none" w:sz="0" w:space="0" w:color="auto"/>
        <w:left w:val="none" w:sz="0" w:space="0" w:color="auto"/>
        <w:bottom w:val="none" w:sz="0" w:space="0" w:color="auto"/>
        <w:right w:val="none" w:sz="0" w:space="0" w:color="auto"/>
      </w:divBdr>
    </w:div>
    <w:div w:id="1520047358">
      <w:bodyDiv w:val="1"/>
      <w:marLeft w:val="0"/>
      <w:marRight w:val="0"/>
      <w:marTop w:val="0"/>
      <w:marBottom w:val="0"/>
      <w:divBdr>
        <w:top w:val="none" w:sz="0" w:space="0" w:color="auto"/>
        <w:left w:val="none" w:sz="0" w:space="0" w:color="auto"/>
        <w:bottom w:val="none" w:sz="0" w:space="0" w:color="auto"/>
        <w:right w:val="none" w:sz="0" w:space="0" w:color="auto"/>
      </w:divBdr>
    </w:div>
    <w:div w:id="1533228046">
      <w:bodyDiv w:val="1"/>
      <w:marLeft w:val="0"/>
      <w:marRight w:val="0"/>
      <w:marTop w:val="0"/>
      <w:marBottom w:val="0"/>
      <w:divBdr>
        <w:top w:val="none" w:sz="0" w:space="0" w:color="auto"/>
        <w:left w:val="none" w:sz="0" w:space="0" w:color="auto"/>
        <w:bottom w:val="none" w:sz="0" w:space="0" w:color="auto"/>
        <w:right w:val="none" w:sz="0" w:space="0" w:color="auto"/>
      </w:divBdr>
    </w:div>
    <w:div w:id="1592733450">
      <w:bodyDiv w:val="1"/>
      <w:marLeft w:val="0"/>
      <w:marRight w:val="0"/>
      <w:marTop w:val="0"/>
      <w:marBottom w:val="0"/>
      <w:divBdr>
        <w:top w:val="none" w:sz="0" w:space="0" w:color="auto"/>
        <w:left w:val="none" w:sz="0" w:space="0" w:color="auto"/>
        <w:bottom w:val="none" w:sz="0" w:space="0" w:color="auto"/>
        <w:right w:val="none" w:sz="0" w:space="0" w:color="auto"/>
      </w:divBdr>
    </w:div>
    <w:div w:id="1602028417">
      <w:bodyDiv w:val="1"/>
      <w:marLeft w:val="0"/>
      <w:marRight w:val="0"/>
      <w:marTop w:val="0"/>
      <w:marBottom w:val="0"/>
      <w:divBdr>
        <w:top w:val="none" w:sz="0" w:space="0" w:color="auto"/>
        <w:left w:val="none" w:sz="0" w:space="0" w:color="auto"/>
        <w:bottom w:val="none" w:sz="0" w:space="0" w:color="auto"/>
        <w:right w:val="none" w:sz="0" w:space="0" w:color="auto"/>
      </w:divBdr>
    </w:div>
    <w:div w:id="1617445840">
      <w:bodyDiv w:val="1"/>
      <w:marLeft w:val="0"/>
      <w:marRight w:val="0"/>
      <w:marTop w:val="0"/>
      <w:marBottom w:val="0"/>
      <w:divBdr>
        <w:top w:val="none" w:sz="0" w:space="0" w:color="auto"/>
        <w:left w:val="none" w:sz="0" w:space="0" w:color="auto"/>
        <w:bottom w:val="none" w:sz="0" w:space="0" w:color="auto"/>
        <w:right w:val="none" w:sz="0" w:space="0" w:color="auto"/>
      </w:divBdr>
    </w:div>
    <w:div w:id="1637950537">
      <w:bodyDiv w:val="1"/>
      <w:marLeft w:val="0"/>
      <w:marRight w:val="0"/>
      <w:marTop w:val="0"/>
      <w:marBottom w:val="0"/>
      <w:divBdr>
        <w:top w:val="none" w:sz="0" w:space="0" w:color="auto"/>
        <w:left w:val="none" w:sz="0" w:space="0" w:color="auto"/>
        <w:bottom w:val="none" w:sz="0" w:space="0" w:color="auto"/>
        <w:right w:val="none" w:sz="0" w:space="0" w:color="auto"/>
      </w:divBdr>
    </w:div>
    <w:div w:id="1659766728">
      <w:bodyDiv w:val="1"/>
      <w:marLeft w:val="0"/>
      <w:marRight w:val="0"/>
      <w:marTop w:val="0"/>
      <w:marBottom w:val="0"/>
      <w:divBdr>
        <w:top w:val="none" w:sz="0" w:space="0" w:color="auto"/>
        <w:left w:val="none" w:sz="0" w:space="0" w:color="auto"/>
        <w:bottom w:val="none" w:sz="0" w:space="0" w:color="auto"/>
        <w:right w:val="none" w:sz="0" w:space="0" w:color="auto"/>
      </w:divBdr>
    </w:div>
    <w:div w:id="1661041240">
      <w:bodyDiv w:val="1"/>
      <w:marLeft w:val="0"/>
      <w:marRight w:val="0"/>
      <w:marTop w:val="0"/>
      <w:marBottom w:val="0"/>
      <w:divBdr>
        <w:top w:val="none" w:sz="0" w:space="0" w:color="auto"/>
        <w:left w:val="none" w:sz="0" w:space="0" w:color="auto"/>
        <w:bottom w:val="none" w:sz="0" w:space="0" w:color="auto"/>
        <w:right w:val="none" w:sz="0" w:space="0" w:color="auto"/>
      </w:divBdr>
      <w:divsChild>
        <w:div w:id="1832286603">
          <w:marLeft w:val="446"/>
          <w:marRight w:val="0"/>
          <w:marTop w:val="0"/>
          <w:marBottom w:val="0"/>
          <w:divBdr>
            <w:top w:val="none" w:sz="0" w:space="0" w:color="auto"/>
            <w:left w:val="none" w:sz="0" w:space="0" w:color="auto"/>
            <w:bottom w:val="none" w:sz="0" w:space="0" w:color="auto"/>
            <w:right w:val="none" w:sz="0" w:space="0" w:color="auto"/>
          </w:divBdr>
        </w:div>
      </w:divsChild>
    </w:div>
    <w:div w:id="1663585801">
      <w:bodyDiv w:val="1"/>
      <w:marLeft w:val="0"/>
      <w:marRight w:val="0"/>
      <w:marTop w:val="0"/>
      <w:marBottom w:val="0"/>
      <w:divBdr>
        <w:top w:val="none" w:sz="0" w:space="0" w:color="auto"/>
        <w:left w:val="none" w:sz="0" w:space="0" w:color="auto"/>
        <w:bottom w:val="none" w:sz="0" w:space="0" w:color="auto"/>
        <w:right w:val="none" w:sz="0" w:space="0" w:color="auto"/>
      </w:divBdr>
    </w:div>
    <w:div w:id="1676110699">
      <w:bodyDiv w:val="1"/>
      <w:marLeft w:val="0"/>
      <w:marRight w:val="0"/>
      <w:marTop w:val="0"/>
      <w:marBottom w:val="0"/>
      <w:divBdr>
        <w:top w:val="none" w:sz="0" w:space="0" w:color="auto"/>
        <w:left w:val="none" w:sz="0" w:space="0" w:color="auto"/>
        <w:bottom w:val="none" w:sz="0" w:space="0" w:color="auto"/>
        <w:right w:val="none" w:sz="0" w:space="0" w:color="auto"/>
      </w:divBdr>
    </w:div>
    <w:div w:id="1682003046">
      <w:bodyDiv w:val="1"/>
      <w:marLeft w:val="0"/>
      <w:marRight w:val="0"/>
      <w:marTop w:val="0"/>
      <w:marBottom w:val="0"/>
      <w:divBdr>
        <w:top w:val="none" w:sz="0" w:space="0" w:color="auto"/>
        <w:left w:val="none" w:sz="0" w:space="0" w:color="auto"/>
        <w:bottom w:val="none" w:sz="0" w:space="0" w:color="auto"/>
        <w:right w:val="none" w:sz="0" w:space="0" w:color="auto"/>
      </w:divBdr>
    </w:div>
    <w:div w:id="1709259282">
      <w:bodyDiv w:val="1"/>
      <w:marLeft w:val="0"/>
      <w:marRight w:val="0"/>
      <w:marTop w:val="0"/>
      <w:marBottom w:val="0"/>
      <w:divBdr>
        <w:top w:val="none" w:sz="0" w:space="0" w:color="auto"/>
        <w:left w:val="none" w:sz="0" w:space="0" w:color="auto"/>
        <w:bottom w:val="none" w:sz="0" w:space="0" w:color="auto"/>
        <w:right w:val="none" w:sz="0" w:space="0" w:color="auto"/>
      </w:divBdr>
    </w:div>
    <w:div w:id="1725325704">
      <w:bodyDiv w:val="1"/>
      <w:marLeft w:val="0"/>
      <w:marRight w:val="0"/>
      <w:marTop w:val="0"/>
      <w:marBottom w:val="0"/>
      <w:divBdr>
        <w:top w:val="none" w:sz="0" w:space="0" w:color="auto"/>
        <w:left w:val="none" w:sz="0" w:space="0" w:color="auto"/>
        <w:bottom w:val="none" w:sz="0" w:space="0" w:color="auto"/>
        <w:right w:val="none" w:sz="0" w:space="0" w:color="auto"/>
      </w:divBdr>
    </w:div>
    <w:div w:id="1731226257">
      <w:bodyDiv w:val="1"/>
      <w:marLeft w:val="0"/>
      <w:marRight w:val="0"/>
      <w:marTop w:val="0"/>
      <w:marBottom w:val="0"/>
      <w:divBdr>
        <w:top w:val="none" w:sz="0" w:space="0" w:color="auto"/>
        <w:left w:val="none" w:sz="0" w:space="0" w:color="auto"/>
        <w:bottom w:val="none" w:sz="0" w:space="0" w:color="auto"/>
        <w:right w:val="none" w:sz="0" w:space="0" w:color="auto"/>
      </w:divBdr>
    </w:div>
    <w:div w:id="1757628815">
      <w:bodyDiv w:val="1"/>
      <w:marLeft w:val="0"/>
      <w:marRight w:val="0"/>
      <w:marTop w:val="0"/>
      <w:marBottom w:val="0"/>
      <w:divBdr>
        <w:top w:val="none" w:sz="0" w:space="0" w:color="auto"/>
        <w:left w:val="none" w:sz="0" w:space="0" w:color="auto"/>
        <w:bottom w:val="none" w:sz="0" w:space="0" w:color="auto"/>
        <w:right w:val="none" w:sz="0" w:space="0" w:color="auto"/>
      </w:divBdr>
      <w:divsChild>
        <w:div w:id="1191601822">
          <w:marLeft w:val="446"/>
          <w:marRight w:val="0"/>
          <w:marTop w:val="0"/>
          <w:marBottom w:val="0"/>
          <w:divBdr>
            <w:top w:val="none" w:sz="0" w:space="0" w:color="auto"/>
            <w:left w:val="none" w:sz="0" w:space="0" w:color="auto"/>
            <w:bottom w:val="none" w:sz="0" w:space="0" w:color="auto"/>
            <w:right w:val="none" w:sz="0" w:space="0" w:color="auto"/>
          </w:divBdr>
        </w:div>
      </w:divsChild>
    </w:div>
    <w:div w:id="1766530896">
      <w:bodyDiv w:val="1"/>
      <w:marLeft w:val="0"/>
      <w:marRight w:val="0"/>
      <w:marTop w:val="0"/>
      <w:marBottom w:val="0"/>
      <w:divBdr>
        <w:top w:val="none" w:sz="0" w:space="0" w:color="auto"/>
        <w:left w:val="none" w:sz="0" w:space="0" w:color="auto"/>
        <w:bottom w:val="none" w:sz="0" w:space="0" w:color="auto"/>
        <w:right w:val="none" w:sz="0" w:space="0" w:color="auto"/>
      </w:divBdr>
    </w:div>
    <w:div w:id="1792168190">
      <w:bodyDiv w:val="1"/>
      <w:marLeft w:val="0"/>
      <w:marRight w:val="0"/>
      <w:marTop w:val="0"/>
      <w:marBottom w:val="0"/>
      <w:divBdr>
        <w:top w:val="none" w:sz="0" w:space="0" w:color="auto"/>
        <w:left w:val="none" w:sz="0" w:space="0" w:color="auto"/>
        <w:bottom w:val="none" w:sz="0" w:space="0" w:color="auto"/>
        <w:right w:val="none" w:sz="0" w:space="0" w:color="auto"/>
      </w:divBdr>
    </w:div>
    <w:div w:id="1849370110">
      <w:bodyDiv w:val="1"/>
      <w:marLeft w:val="0"/>
      <w:marRight w:val="0"/>
      <w:marTop w:val="0"/>
      <w:marBottom w:val="0"/>
      <w:divBdr>
        <w:top w:val="none" w:sz="0" w:space="0" w:color="auto"/>
        <w:left w:val="none" w:sz="0" w:space="0" w:color="auto"/>
        <w:bottom w:val="none" w:sz="0" w:space="0" w:color="auto"/>
        <w:right w:val="none" w:sz="0" w:space="0" w:color="auto"/>
      </w:divBdr>
    </w:div>
    <w:div w:id="1853762908">
      <w:bodyDiv w:val="1"/>
      <w:marLeft w:val="0"/>
      <w:marRight w:val="0"/>
      <w:marTop w:val="0"/>
      <w:marBottom w:val="0"/>
      <w:divBdr>
        <w:top w:val="none" w:sz="0" w:space="0" w:color="auto"/>
        <w:left w:val="none" w:sz="0" w:space="0" w:color="auto"/>
        <w:bottom w:val="none" w:sz="0" w:space="0" w:color="auto"/>
        <w:right w:val="none" w:sz="0" w:space="0" w:color="auto"/>
      </w:divBdr>
    </w:div>
    <w:div w:id="1897737112">
      <w:bodyDiv w:val="1"/>
      <w:marLeft w:val="0"/>
      <w:marRight w:val="0"/>
      <w:marTop w:val="0"/>
      <w:marBottom w:val="0"/>
      <w:divBdr>
        <w:top w:val="none" w:sz="0" w:space="0" w:color="auto"/>
        <w:left w:val="none" w:sz="0" w:space="0" w:color="auto"/>
        <w:bottom w:val="none" w:sz="0" w:space="0" w:color="auto"/>
        <w:right w:val="none" w:sz="0" w:space="0" w:color="auto"/>
      </w:divBdr>
    </w:div>
    <w:div w:id="1924100297">
      <w:bodyDiv w:val="1"/>
      <w:marLeft w:val="0"/>
      <w:marRight w:val="0"/>
      <w:marTop w:val="0"/>
      <w:marBottom w:val="0"/>
      <w:divBdr>
        <w:top w:val="none" w:sz="0" w:space="0" w:color="auto"/>
        <w:left w:val="none" w:sz="0" w:space="0" w:color="auto"/>
        <w:bottom w:val="none" w:sz="0" w:space="0" w:color="auto"/>
        <w:right w:val="none" w:sz="0" w:space="0" w:color="auto"/>
      </w:divBdr>
    </w:div>
    <w:div w:id="1946887884">
      <w:bodyDiv w:val="1"/>
      <w:marLeft w:val="0"/>
      <w:marRight w:val="0"/>
      <w:marTop w:val="0"/>
      <w:marBottom w:val="0"/>
      <w:divBdr>
        <w:top w:val="none" w:sz="0" w:space="0" w:color="auto"/>
        <w:left w:val="none" w:sz="0" w:space="0" w:color="auto"/>
        <w:bottom w:val="none" w:sz="0" w:space="0" w:color="auto"/>
        <w:right w:val="none" w:sz="0" w:space="0" w:color="auto"/>
      </w:divBdr>
      <w:divsChild>
        <w:div w:id="606230684">
          <w:marLeft w:val="446"/>
          <w:marRight w:val="0"/>
          <w:marTop w:val="0"/>
          <w:marBottom w:val="0"/>
          <w:divBdr>
            <w:top w:val="none" w:sz="0" w:space="0" w:color="auto"/>
            <w:left w:val="none" w:sz="0" w:space="0" w:color="auto"/>
            <w:bottom w:val="none" w:sz="0" w:space="0" w:color="auto"/>
            <w:right w:val="none" w:sz="0" w:space="0" w:color="auto"/>
          </w:divBdr>
        </w:div>
      </w:divsChild>
    </w:div>
    <w:div w:id="1972518871">
      <w:bodyDiv w:val="1"/>
      <w:marLeft w:val="0"/>
      <w:marRight w:val="0"/>
      <w:marTop w:val="0"/>
      <w:marBottom w:val="0"/>
      <w:divBdr>
        <w:top w:val="none" w:sz="0" w:space="0" w:color="auto"/>
        <w:left w:val="none" w:sz="0" w:space="0" w:color="auto"/>
        <w:bottom w:val="none" w:sz="0" w:space="0" w:color="auto"/>
        <w:right w:val="none" w:sz="0" w:space="0" w:color="auto"/>
      </w:divBdr>
    </w:div>
    <w:div w:id="1982423157">
      <w:bodyDiv w:val="1"/>
      <w:marLeft w:val="0"/>
      <w:marRight w:val="0"/>
      <w:marTop w:val="0"/>
      <w:marBottom w:val="0"/>
      <w:divBdr>
        <w:top w:val="none" w:sz="0" w:space="0" w:color="auto"/>
        <w:left w:val="none" w:sz="0" w:space="0" w:color="auto"/>
        <w:bottom w:val="none" w:sz="0" w:space="0" w:color="auto"/>
        <w:right w:val="none" w:sz="0" w:space="0" w:color="auto"/>
      </w:divBdr>
    </w:div>
    <w:div w:id="1984777221">
      <w:bodyDiv w:val="1"/>
      <w:marLeft w:val="0"/>
      <w:marRight w:val="0"/>
      <w:marTop w:val="0"/>
      <w:marBottom w:val="0"/>
      <w:divBdr>
        <w:top w:val="none" w:sz="0" w:space="0" w:color="auto"/>
        <w:left w:val="none" w:sz="0" w:space="0" w:color="auto"/>
        <w:bottom w:val="none" w:sz="0" w:space="0" w:color="auto"/>
        <w:right w:val="none" w:sz="0" w:space="0" w:color="auto"/>
      </w:divBdr>
    </w:div>
    <w:div w:id="1990937560">
      <w:bodyDiv w:val="1"/>
      <w:marLeft w:val="0"/>
      <w:marRight w:val="0"/>
      <w:marTop w:val="0"/>
      <w:marBottom w:val="0"/>
      <w:divBdr>
        <w:top w:val="none" w:sz="0" w:space="0" w:color="auto"/>
        <w:left w:val="none" w:sz="0" w:space="0" w:color="auto"/>
        <w:bottom w:val="none" w:sz="0" w:space="0" w:color="auto"/>
        <w:right w:val="none" w:sz="0" w:space="0" w:color="auto"/>
      </w:divBdr>
    </w:div>
    <w:div w:id="2016028635">
      <w:bodyDiv w:val="1"/>
      <w:marLeft w:val="0"/>
      <w:marRight w:val="0"/>
      <w:marTop w:val="0"/>
      <w:marBottom w:val="0"/>
      <w:divBdr>
        <w:top w:val="none" w:sz="0" w:space="0" w:color="auto"/>
        <w:left w:val="none" w:sz="0" w:space="0" w:color="auto"/>
        <w:bottom w:val="none" w:sz="0" w:space="0" w:color="auto"/>
        <w:right w:val="none" w:sz="0" w:space="0" w:color="auto"/>
      </w:divBdr>
    </w:div>
    <w:div w:id="2029142224">
      <w:bodyDiv w:val="1"/>
      <w:marLeft w:val="0"/>
      <w:marRight w:val="0"/>
      <w:marTop w:val="0"/>
      <w:marBottom w:val="0"/>
      <w:divBdr>
        <w:top w:val="none" w:sz="0" w:space="0" w:color="auto"/>
        <w:left w:val="none" w:sz="0" w:space="0" w:color="auto"/>
        <w:bottom w:val="none" w:sz="0" w:space="0" w:color="auto"/>
        <w:right w:val="none" w:sz="0" w:space="0" w:color="auto"/>
      </w:divBdr>
    </w:div>
    <w:div w:id="2057503138">
      <w:bodyDiv w:val="1"/>
      <w:marLeft w:val="0"/>
      <w:marRight w:val="0"/>
      <w:marTop w:val="0"/>
      <w:marBottom w:val="0"/>
      <w:divBdr>
        <w:top w:val="none" w:sz="0" w:space="0" w:color="auto"/>
        <w:left w:val="none" w:sz="0" w:space="0" w:color="auto"/>
        <w:bottom w:val="none" w:sz="0" w:space="0" w:color="auto"/>
        <w:right w:val="none" w:sz="0" w:space="0" w:color="auto"/>
      </w:divBdr>
    </w:div>
    <w:div w:id="2068335020">
      <w:bodyDiv w:val="1"/>
      <w:marLeft w:val="0"/>
      <w:marRight w:val="0"/>
      <w:marTop w:val="0"/>
      <w:marBottom w:val="0"/>
      <w:divBdr>
        <w:top w:val="none" w:sz="0" w:space="0" w:color="auto"/>
        <w:left w:val="none" w:sz="0" w:space="0" w:color="auto"/>
        <w:bottom w:val="none" w:sz="0" w:space="0" w:color="auto"/>
        <w:right w:val="none" w:sz="0" w:space="0" w:color="auto"/>
      </w:divBdr>
    </w:div>
    <w:div w:id="2072850050">
      <w:bodyDiv w:val="1"/>
      <w:marLeft w:val="0"/>
      <w:marRight w:val="0"/>
      <w:marTop w:val="0"/>
      <w:marBottom w:val="0"/>
      <w:divBdr>
        <w:top w:val="none" w:sz="0" w:space="0" w:color="auto"/>
        <w:left w:val="none" w:sz="0" w:space="0" w:color="auto"/>
        <w:bottom w:val="none" w:sz="0" w:space="0" w:color="auto"/>
        <w:right w:val="none" w:sz="0" w:space="0" w:color="auto"/>
      </w:divBdr>
    </w:div>
    <w:div w:id="2081050890">
      <w:bodyDiv w:val="1"/>
      <w:marLeft w:val="0"/>
      <w:marRight w:val="0"/>
      <w:marTop w:val="0"/>
      <w:marBottom w:val="0"/>
      <w:divBdr>
        <w:top w:val="none" w:sz="0" w:space="0" w:color="auto"/>
        <w:left w:val="none" w:sz="0" w:space="0" w:color="auto"/>
        <w:bottom w:val="none" w:sz="0" w:space="0" w:color="auto"/>
        <w:right w:val="none" w:sz="0" w:space="0" w:color="auto"/>
      </w:divBdr>
    </w:div>
    <w:div w:id="2092046699">
      <w:bodyDiv w:val="1"/>
      <w:marLeft w:val="0"/>
      <w:marRight w:val="0"/>
      <w:marTop w:val="0"/>
      <w:marBottom w:val="0"/>
      <w:divBdr>
        <w:top w:val="none" w:sz="0" w:space="0" w:color="auto"/>
        <w:left w:val="none" w:sz="0" w:space="0" w:color="auto"/>
        <w:bottom w:val="none" w:sz="0" w:space="0" w:color="auto"/>
        <w:right w:val="none" w:sz="0" w:space="0" w:color="auto"/>
      </w:divBdr>
    </w:div>
    <w:div w:id="2094818564">
      <w:bodyDiv w:val="1"/>
      <w:marLeft w:val="0"/>
      <w:marRight w:val="0"/>
      <w:marTop w:val="0"/>
      <w:marBottom w:val="0"/>
      <w:divBdr>
        <w:top w:val="none" w:sz="0" w:space="0" w:color="auto"/>
        <w:left w:val="none" w:sz="0" w:space="0" w:color="auto"/>
        <w:bottom w:val="none" w:sz="0" w:space="0" w:color="auto"/>
        <w:right w:val="none" w:sz="0" w:space="0" w:color="auto"/>
      </w:divBdr>
      <w:divsChild>
        <w:div w:id="300813750">
          <w:marLeft w:val="0"/>
          <w:marRight w:val="0"/>
          <w:marTop w:val="0"/>
          <w:marBottom w:val="0"/>
          <w:divBdr>
            <w:top w:val="none" w:sz="0" w:space="0" w:color="auto"/>
            <w:left w:val="none" w:sz="0" w:space="0" w:color="auto"/>
            <w:bottom w:val="none" w:sz="0" w:space="0" w:color="auto"/>
            <w:right w:val="none" w:sz="0" w:space="0" w:color="auto"/>
          </w:divBdr>
          <w:divsChild>
            <w:div w:id="792746027">
              <w:marLeft w:val="0"/>
              <w:marRight w:val="0"/>
              <w:marTop w:val="0"/>
              <w:marBottom w:val="0"/>
              <w:divBdr>
                <w:top w:val="none" w:sz="0" w:space="0" w:color="auto"/>
                <w:left w:val="none" w:sz="0" w:space="0" w:color="auto"/>
                <w:bottom w:val="none" w:sz="0" w:space="0" w:color="auto"/>
                <w:right w:val="none" w:sz="0" w:space="0" w:color="auto"/>
              </w:divBdr>
              <w:divsChild>
                <w:div w:id="866141383">
                  <w:marLeft w:val="0"/>
                  <w:marRight w:val="0"/>
                  <w:marTop w:val="0"/>
                  <w:marBottom w:val="0"/>
                  <w:divBdr>
                    <w:top w:val="none" w:sz="0" w:space="0" w:color="auto"/>
                    <w:left w:val="none" w:sz="0" w:space="0" w:color="auto"/>
                    <w:bottom w:val="none" w:sz="0" w:space="0" w:color="auto"/>
                    <w:right w:val="none" w:sz="0" w:space="0" w:color="auto"/>
                  </w:divBdr>
                  <w:divsChild>
                    <w:div w:id="1987083954">
                      <w:marLeft w:val="0"/>
                      <w:marRight w:val="0"/>
                      <w:marTop w:val="0"/>
                      <w:marBottom w:val="0"/>
                      <w:divBdr>
                        <w:top w:val="none" w:sz="0" w:space="0" w:color="auto"/>
                        <w:left w:val="none" w:sz="0" w:space="0" w:color="auto"/>
                        <w:bottom w:val="none" w:sz="0" w:space="0" w:color="auto"/>
                        <w:right w:val="none" w:sz="0" w:space="0" w:color="auto"/>
                      </w:divBdr>
                      <w:divsChild>
                        <w:div w:id="1135487118">
                          <w:marLeft w:val="0"/>
                          <w:marRight w:val="0"/>
                          <w:marTop w:val="0"/>
                          <w:marBottom w:val="0"/>
                          <w:divBdr>
                            <w:top w:val="none" w:sz="0" w:space="0" w:color="auto"/>
                            <w:left w:val="none" w:sz="0" w:space="0" w:color="auto"/>
                            <w:bottom w:val="none" w:sz="0" w:space="0" w:color="auto"/>
                            <w:right w:val="none" w:sz="0" w:space="0" w:color="auto"/>
                          </w:divBdr>
                          <w:divsChild>
                            <w:div w:id="1161192146">
                              <w:marLeft w:val="0"/>
                              <w:marRight w:val="0"/>
                              <w:marTop w:val="0"/>
                              <w:marBottom w:val="0"/>
                              <w:divBdr>
                                <w:top w:val="none" w:sz="0" w:space="0" w:color="auto"/>
                                <w:left w:val="none" w:sz="0" w:space="0" w:color="auto"/>
                                <w:bottom w:val="none" w:sz="0" w:space="0" w:color="auto"/>
                                <w:right w:val="none" w:sz="0" w:space="0" w:color="auto"/>
                              </w:divBdr>
                              <w:divsChild>
                                <w:div w:id="919948839">
                                  <w:marLeft w:val="0"/>
                                  <w:marRight w:val="0"/>
                                  <w:marTop w:val="0"/>
                                  <w:marBottom w:val="0"/>
                                  <w:divBdr>
                                    <w:top w:val="none" w:sz="0" w:space="0" w:color="auto"/>
                                    <w:left w:val="none" w:sz="0" w:space="0" w:color="auto"/>
                                    <w:bottom w:val="none" w:sz="0" w:space="0" w:color="auto"/>
                                    <w:right w:val="none" w:sz="0" w:space="0" w:color="auto"/>
                                  </w:divBdr>
                                  <w:divsChild>
                                    <w:div w:id="1570923728">
                                      <w:marLeft w:val="0"/>
                                      <w:marRight w:val="0"/>
                                      <w:marTop w:val="0"/>
                                      <w:marBottom w:val="0"/>
                                      <w:divBdr>
                                        <w:top w:val="none" w:sz="0" w:space="0" w:color="auto"/>
                                        <w:left w:val="none" w:sz="0" w:space="0" w:color="auto"/>
                                        <w:bottom w:val="none" w:sz="0" w:space="0" w:color="auto"/>
                                        <w:right w:val="none" w:sz="0" w:space="0" w:color="auto"/>
                                      </w:divBdr>
                                      <w:divsChild>
                                        <w:div w:id="833377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0823054">
                      <w:marLeft w:val="0"/>
                      <w:marRight w:val="0"/>
                      <w:marTop w:val="0"/>
                      <w:marBottom w:val="0"/>
                      <w:divBdr>
                        <w:top w:val="none" w:sz="0" w:space="0" w:color="auto"/>
                        <w:left w:val="none" w:sz="0" w:space="0" w:color="auto"/>
                        <w:bottom w:val="none" w:sz="0" w:space="0" w:color="auto"/>
                        <w:right w:val="none" w:sz="0" w:space="0" w:color="auto"/>
                      </w:divBdr>
                      <w:divsChild>
                        <w:div w:id="64096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204016">
      <w:bodyDiv w:val="1"/>
      <w:marLeft w:val="0"/>
      <w:marRight w:val="0"/>
      <w:marTop w:val="0"/>
      <w:marBottom w:val="0"/>
      <w:divBdr>
        <w:top w:val="none" w:sz="0" w:space="0" w:color="auto"/>
        <w:left w:val="none" w:sz="0" w:space="0" w:color="auto"/>
        <w:bottom w:val="none" w:sz="0" w:space="0" w:color="auto"/>
        <w:right w:val="none" w:sz="0" w:space="0" w:color="auto"/>
      </w:divBdr>
      <w:divsChild>
        <w:div w:id="1047143600">
          <w:marLeft w:val="446"/>
          <w:marRight w:val="0"/>
          <w:marTop w:val="0"/>
          <w:marBottom w:val="0"/>
          <w:divBdr>
            <w:top w:val="none" w:sz="0" w:space="0" w:color="auto"/>
            <w:left w:val="none" w:sz="0" w:space="0" w:color="auto"/>
            <w:bottom w:val="none" w:sz="0" w:space="0" w:color="auto"/>
            <w:right w:val="none" w:sz="0" w:space="0" w:color="auto"/>
          </w:divBdr>
        </w:div>
      </w:divsChild>
    </w:div>
    <w:div w:id="21351719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zhelika.Stepanyan\Desktop\&#1354;&#1377;&#1408;&#1407;&#1412;&#1387;%20&#1409;&#1400;&#1410;&#1409;&#1377;&#1398;&#1387;&#1399;&#1398;&#1381;&#140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nzhelika.Stepanyan\Desktop\&#1354;&#1377;&#1408;&#1407;&#1412;&#1387;%20&#1409;&#1400;&#1410;&#1409;&#1377;&#1398;&#1387;&#1399;&#1398;&#1381;&#1408;.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nzhelika.Stepanyan\Desktop\2026-2028%20budget+.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zhelika.Stepanyan\Desktop\2026-2028%20Strategy%20dat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nzhelika.Stepanyan\Desktop\2026-2028%20Strategy%20data.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nzhelika.Stepanyan\Desktop\2026-2028%20Strategy%20data.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 1'!$A$2</c:f>
              <c:strCache>
                <c:ptCount val="1"/>
                <c:pt idx="0">
                  <c:v>AMD denominated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'chart 1'!$B$1:$G$1</c:f>
              <c:numCache>
                <c:formatCode>General</c:formatCode>
                <c:ptCount val="6"/>
                <c:pt idx="0">
                  <c:v>2019</c:v>
                </c:pt>
                <c:pt idx="1">
                  <c:v>2020</c:v>
                </c:pt>
                <c:pt idx="2">
                  <c:v>2021</c:v>
                </c:pt>
                <c:pt idx="3">
                  <c:v>2022</c:v>
                </c:pt>
                <c:pt idx="4">
                  <c:v>2023</c:v>
                </c:pt>
                <c:pt idx="5">
                  <c:v>2024</c:v>
                </c:pt>
              </c:numCache>
            </c:numRef>
          </c:cat>
          <c:val>
            <c:numRef>
              <c:f>'chart 1'!$B$2:$G$2</c:f>
              <c:numCache>
                <c:formatCode>General</c:formatCode>
                <c:ptCount val="6"/>
                <c:pt idx="0">
                  <c:v>20.8</c:v>
                </c:pt>
                <c:pt idx="1">
                  <c:v>24.4</c:v>
                </c:pt>
                <c:pt idx="2">
                  <c:v>28.8</c:v>
                </c:pt>
                <c:pt idx="3">
                  <c:v>37.9</c:v>
                </c:pt>
                <c:pt idx="4">
                  <c:v>45.9</c:v>
                </c:pt>
                <c:pt idx="5">
                  <c:v>50.8</c:v>
                </c:pt>
              </c:numCache>
            </c:numRef>
          </c:val>
          <c:extLst>
            <c:ext xmlns:c16="http://schemas.microsoft.com/office/drawing/2014/chart" uri="{C3380CC4-5D6E-409C-BE32-E72D297353CC}">
              <c16:uniqueId val="{00000000-146B-4956-A1B2-C98DA7195803}"/>
            </c:ext>
          </c:extLst>
        </c:ser>
        <c:ser>
          <c:idx val="1"/>
          <c:order val="1"/>
          <c:tx>
            <c:strRef>
              <c:f>'chart 1'!$A$3</c:f>
              <c:strCache>
                <c:ptCount val="1"/>
                <c:pt idx="0">
                  <c:v>Foreign currency debt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'chart 1'!$B$1:$G$1</c:f>
              <c:numCache>
                <c:formatCode>General</c:formatCode>
                <c:ptCount val="6"/>
                <c:pt idx="0">
                  <c:v>2019</c:v>
                </c:pt>
                <c:pt idx="1">
                  <c:v>2020</c:v>
                </c:pt>
                <c:pt idx="2">
                  <c:v>2021</c:v>
                </c:pt>
                <c:pt idx="3">
                  <c:v>2022</c:v>
                </c:pt>
                <c:pt idx="4">
                  <c:v>2023</c:v>
                </c:pt>
                <c:pt idx="5">
                  <c:v>2024</c:v>
                </c:pt>
              </c:numCache>
            </c:numRef>
          </c:cat>
          <c:val>
            <c:numRef>
              <c:f>'chart 1'!$B$3:$G$3</c:f>
              <c:numCache>
                <c:formatCode>General</c:formatCode>
                <c:ptCount val="6"/>
                <c:pt idx="0">
                  <c:v>79.2</c:v>
                </c:pt>
                <c:pt idx="1">
                  <c:v>75.599999999999994</c:v>
                </c:pt>
                <c:pt idx="2">
                  <c:v>71.2</c:v>
                </c:pt>
                <c:pt idx="3">
                  <c:v>62.1</c:v>
                </c:pt>
                <c:pt idx="4">
                  <c:v>54.1</c:v>
                </c:pt>
                <c:pt idx="5">
                  <c:v>49.2</c:v>
                </c:pt>
              </c:numCache>
            </c:numRef>
          </c:val>
          <c:extLst>
            <c:ext xmlns:c16="http://schemas.microsoft.com/office/drawing/2014/chart" uri="{C3380CC4-5D6E-409C-BE32-E72D297353CC}">
              <c16:uniqueId val="{00000001-146B-4956-A1B2-C98DA7195803}"/>
            </c:ext>
          </c:extLst>
        </c:ser>
        <c:dLbls>
          <c:dLblPos val="ctr"/>
          <c:showLegendKey val="0"/>
          <c:showVal val="1"/>
          <c:showCatName val="0"/>
          <c:showSerName val="0"/>
          <c:showPercent val="0"/>
          <c:showBubbleSize val="0"/>
        </c:dLbls>
        <c:gapWidth val="150"/>
        <c:overlap val="100"/>
        <c:axId val="1491928928"/>
        <c:axId val="1491913120"/>
      </c:barChart>
      <c:catAx>
        <c:axId val="14919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91913120"/>
        <c:crosses val="autoZero"/>
        <c:auto val="1"/>
        <c:lblAlgn val="ctr"/>
        <c:lblOffset val="100"/>
        <c:noMultiLvlLbl val="0"/>
      </c:catAx>
      <c:valAx>
        <c:axId val="14919131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91928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'[2026-2028 Strategy data.xlsx]Graf 1'!$B$50</c:f>
              <c:strCache>
                <c:ptCount val="1"/>
                <c:pt idx="0">
                  <c:v>USD</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1'!$C$50:$H$50</c:f>
              <c:numCache>
                <c:formatCode>0%</c:formatCode>
                <c:ptCount val="6"/>
                <c:pt idx="0">
                  <c:v>0.5538419798413351</c:v>
                </c:pt>
                <c:pt idx="1">
                  <c:v>0.50629394036817943</c:v>
                </c:pt>
                <c:pt idx="2">
                  <c:v>0.58442784225361633</c:v>
                </c:pt>
                <c:pt idx="3">
                  <c:v>0.59239228133366895</c:v>
                </c:pt>
                <c:pt idx="4">
                  <c:v>0.57224760877613046</c:v>
                </c:pt>
                <c:pt idx="5">
                  <c:v>0.57255351369735152</c:v>
                </c:pt>
              </c:numCache>
            </c:numRef>
          </c:val>
          <c:extLst>
            <c:ext xmlns:c16="http://schemas.microsoft.com/office/drawing/2014/chart" uri="{C3380CC4-5D6E-409C-BE32-E72D297353CC}">
              <c16:uniqueId val="{00000000-904B-402C-919A-F11613475100}"/>
            </c:ext>
          </c:extLst>
        </c:ser>
        <c:ser>
          <c:idx val="1"/>
          <c:order val="1"/>
          <c:tx>
            <c:strRef>
              <c:f>'[2026-2028 Strategy data.xlsx]Graf 1'!$B$51</c:f>
              <c:strCache>
                <c:ptCount val="1"/>
                <c:pt idx="0">
                  <c:v>SDR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1'!$C$51:$H$51</c:f>
              <c:numCache>
                <c:formatCode>0%</c:formatCode>
                <c:ptCount val="6"/>
                <c:pt idx="0">
                  <c:v>0.26573895295212641</c:v>
                </c:pt>
                <c:pt idx="1">
                  <c:v>0.30500714969065684</c:v>
                </c:pt>
                <c:pt idx="2">
                  <c:v>0.25493761762432809</c:v>
                </c:pt>
                <c:pt idx="3">
                  <c:v>0.23973703086217577</c:v>
                </c:pt>
                <c:pt idx="4">
                  <c:v>0.22464718923084803</c:v>
                </c:pt>
                <c:pt idx="5">
                  <c:v>0.17620597297838167</c:v>
                </c:pt>
              </c:numCache>
            </c:numRef>
          </c:val>
          <c:extLst>
            <c:ext xmlns:c16="http://schemas.microsoft.com/office/drawing/2014/chart" uri="{C3380CC4-5D6E-409C-BE32-E72D297353CC}">
              <c16:uniqueId val="{00000001-904B-402C-919A-F11613475100}"/>
            </c:ext>
          </c:extLst>
        </c:ser>
        <c:ser>
          <c:idx val="2"/>
          <c:order val="2"/>
          <c:tx>
            <c:strRef>
              <c:f>'[2026-2028 Strategy data.xlsx]Graf 1'!$B$52</c:f>
              <c:strCache>
                <c:ptCount val="1"/>
                <c:pt idx="0">
                  <c:v>EUR</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1'!$C$52:$H$52</c:f>
              <c:numCache>
                <c:formatCode>0%</c:formatCode>
                <c:ptCount val="6"/>
                <c:pt idx="0">
                  <c:v>0.13378323314624979</c:v>
                </c:pt>
                <c:pt idx="1">
                  <c:v>0.14383019554377066</c:v>
                </c:pt>
                <c:pt idx="2">
                  <c:v>0.12543435646994588</c:v>
                </c:pt>
                <c:pt idx="3">
                  <c:v>0.13872391014113211</c:v>
                </c:pt>
                <c:pt idx="4">
                  <c:v>0.17675064788226488</c:v>
                </c:pt>
                <c:pt idx="5">
                  <c:v>0.21844803175618832</c:v>
                </c:pt>
              </c:numCache>
            </c:numRef>
          </c:val>
          <c:extLst>
            <c:ext xmlns:c16="http://schemas.microsoft.com/office/drawing/2014/chart" uri="{C3380CC4-5D6E-409C-BE32-E72D297353CC}">
              <c16:uniqueId val="{00000002-904B-402C-919A-F11613475100}"/>
            </c:ext>
          </c:extLst>
        </c:ser>
        <c:ser>
          <c:idx val="3"/>
          <c:order val="3"/>
          <c:tx>
            <c:strRef>
              <c:f>'[2026-2028 Strategy data.xlsx]Graf 1'!$B$53</c:f>
              <c:strCache>
                <c:ptCount val="1"/>
                <c:pt idx="0">
                  <c:v>JPY</c:v>
                </c:pt>
              </c:strCache>
            </c:strRef>
          </c:tx>
          <c:spPr>
            <a:solidFill>
              <a:schemeClr val="accent4"/>
            </a:solidFill>
            <a:ln>
              <a:noFill/>
            </a:ln>
            <a:effectLst/>
          </c:spPr>
          <c:invertIfNegative val="0"/>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1'!$C$53:$H$53</c:f>
              <c:numCache>
                <c:formatCode>0%</c:formatCode>
                <c:ptCount val="6"/>
                <c:pt idx="0">
                  <c:v>4.1672700450458844E-2</c:v>
                </c:pt>
                <c:pt idx="1">
                  <c:v>4.0108871276384482E-2</c:v>
                </c:pt>
                <c:pt idx="2">
                  <c:v>3.113530228236995E-2</c:v>
                </c:pt>
                <c:pt idx="3">
                  <c:v>2.5733367657476261E-2</c:v>
                </c:pt>
                <c:pt idx="4">
                  <c:v>2.3256504478173443E-2</c:v>
                </c:pt>
                <c:pt idx="5">
                  <c:v>1.9322890939054645E-2</c:v>
                </c:pt>
              </c:numCache>
            </c:numRef>
          </c:val>
          <c:extLst>
            <c:ext xmlns:c16="http://schemas.microsoft.com/office/drawing/2014/chart" uri="{C3380CC4-5D6E-409C-BE32-E72D297353CC}">
              <c16:uniqueId val="{00000003-904B-402C-919A-F11613475100}"/>
            </c:ext>
          </c:extLst>
        </c:ser>
        <c:ser>
          <c:idx val="4"/>
          <c:order val="4"/>
          <c:tx>
            <c:strRef>
              <c:f>'[2026-2028 Strategy data.xlsx]Graf 1'!$B$54</c:f>
              <c:strCache>
                <c:ptCount val="1"/>
                <c:pt idx="0">
                  <c:v>AED</c:v>
                </c:pt>
              </c:strCache>
            </c:strRef>
          </c:tx>
          <c:spPr>
            <a:solidFill>
              <a:schemeClr val="accent5"/>
            </a:solidFill>
            <a:ln>
              <a:noFill/>
            </a:ln>
            <a:effectLst/>
          </c:spPr>
          <c:invertIfNegative val="0"/>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1'!$C$54:$H$54</c:f>
              <c:numCache>
                <c:formatCode>0%</c:formatCode>
                <c:ptCount val="6"/>
                <c:pt idx="0">
                  <c:v>8.4877250824480705E-4</c:v>
                </c:pt>
                <c:pt idx="1">
                  <c:v>7.0572301660814011E-4</c:v>
                </c:pt>
                <c:pt idx="2">
                  <c:v>5.4319468064314318E-4</c:v>
                </c:pt>
                <c:pt idx="3">
                  <c:v>4.4298551539110562E-4</c:v>
                </c:pt>
                <c:pt idx="4">
                  <c:v>3.5345591884739555E-4</c:v>
                </c:pt>
                <c:pt idx="5">
                  <c:v>2.4752646739780327E-4</c:v>
                </c:pt>
              </c:numCache>
            </c:numRef>
          </c:val>
          <c:extLst>
            <c:ext xmlns:c16="http://schemas.microsoft.com/office/drawing/2014/chart" uri="{C3380CC4-5D6E-409C-BE32-E72D297353CC}">
              <c16:uniqueId val="{00000004-904B-402C-919A-F11613475100}"/>
            </c:ext>
          </c:extLst>
        </c:ser>
        <c:ser>
          <c:idx val="5"/>
          <c:order val="5"/>
          <c:tx>
            <c:strRef>
              <c:f>'[2026-2028 Strategy data.xlsx]Graf 1'!$B$55</c:f>
              <c:strCache>
                <c:ptCount val="1"/>
                <c:pt idx="0">
                  <c:v>CNY</c:v>
                </c:pt>
              </c:strCache>
            </c:strRef>
          </c:tx>
          <c:spPr>
            <a:solidFill>
              <a:schemeClr val="accent6"/>
            </a:solidFill>
            <a:ln>
              <a:noFill/>
            </a:ln>
            <a:effectLst/>
          </c:spPr>
          <c:invertIfNegative val="0"/>
          <c:cat>
            <c:numRef>
              <c:f>'[2026-2028 Strategy data.xlsx]Graf 1'!$C$49:$H$49</c:f>
              <c:numCache>
                <c:formatCode>General</c:formatCode>
                <c:ptCount val="6"/>
                <c:pt idx="0">
                  <c:v>2019</c:v>
                </c:pt>
                <c:pt idx="1">
                  <c:v>2020</c:v>
                </c:pt>
                <c:pt idx="2">
                  <c:v>2021</c:v>
                </c:pt>
                <c:pt idx="3">
                  <c:v>2022</c:v>
                </c:pt>
                <c:pt idx="4">
                  <c:v>2023</c:v>
                </c:pt>
                <c:pt idx="5">
                  <c:v>2024</c:v>
                </c:pt>
              </c:numCache>
            </c:numRef>
          </c:cat>
          <c:val>
            <c:numRef>
              <c:f>'[2026-2028 Strategy data.xlsx]Graf 1'!$C$55:$H$55</c:f>
              <c:numCache>
                <c:formatCode>0%</c:formatCode>
                <c:ptCount val="6"/>
                <c:pt idx="0">
                  <c:v>4.1143611015849206E-3</c:v>
                </c:pt>
                <c:pt idx="1">
                  <c:v>4.0541201044005703E-3</c:v>
                </c:pt>
                <c:pt idx="2">
                  <c:v>3.5216866890966096E-3</c:v>
                </c:pt>
                <c:pt idx="3">
                  <c:v>2.9704244901558419E-3</c:v>
                </c:pt>
                <c:pt idx="4">
                  <c:v>2.7445937137358786E-3</c:v>
                </c:pt>
                <c:pt idx="5">
                  <c:v>2.3914870936960729E-3</c:v>
                </c:pt>
              </c:numCache>
            </c:numRef>
          </c:val>
          <c:extLst>
            <c:ext xmlns:c16="http://schemas.microsoft.com/office/drawing/2014/chart" uri="{C3380CC4-5D6E-409C-BE32-E72D297353CC}">
              <c16:uniqueId val="{00000005-904B-402C-919A-F11613475100}"/>
            </c:ext>
          </c:extLst>
        </c:ser>
        <c:dLbls>
          <c:showLegendKey val="0"/>
          <c:showVal val="0"/>
          <c:showCatName val="0"/>
          <c:showSerName val="0"/>
          <c:showPercent val="0"/>
          <c:showBubbleSize val="0"/>
        </c:dLbls>
        <c:gapWidth val="150"/>
        <c:overlap val="100"/>
        <c:axId val="789196136"/>
        <c:axId val="789193184"/>
      </c:barChart>
      <c:catAx>
        <c:axId val="78919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93184"/>
        <c:crosses val="autoZero"/>
        <c:auto val="1"/>
        <c:lblAlgn val="ctr"/>
        <c:lblOffset val="100"/>
        <c:noMultiLvlLbl val="0"/>
      </c:catAx>
      <c:valAx>
        <c:axId val="78919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96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3'!$J$3</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3'!$A$5:$A$9</c:f>
              <c:strCache>
                <c:ptCount val="4"/>
                <c:pt idx="0">
                  <c:v>Average time to maturity</c:v>
                </c:pt>
                <c:pt idx="1">
                  <c:v>External loans and borrowings</c:v>
                </c:pt>
                <c:pt idx="2">
                  <c:v>Government treasury bonds</c:v>
                </c:pt>
                <c:pt idx="3">
                  <c:v>Government foreign currency bonds</c:v>
                </c:pt>
              </c:strCache>
            </c:strRef>
          </c:cat>
          <c:val>
            <c:numRef>
              <c:f>'chart 3'!$J$5:$J$9</c:f>
              <c:numCache>
                <c:formatCode>_(* #,##0.0_);_(* \(#,##0.0\);_(* "-"??_);_(@_)</c:formatCode>
                <c:ptCount val="4"/>
                <c:pt idx="0">
                  <c:v>9.11</c:v>
                </c:pt>
                <c:pt idx="1">
                  <c:v>9.3000000000000007</c:v>
                </c:pt>
                <c:pt idx="2">
                  <c:v>10.23</c:v>
                </c:pt>
                <c:pt idx="3">
                  <c:v>6.89</c:v>
                </c:pt>
              </c:numCache>
            </c:numRef>
          </c:val>
          <c:extLst>
            <c:ext xmlns:c16="http://schemas.microsoft.com/office/drawing/2014/chart" uri="{C3380CC4-5D6E-409C-BE32-E72D297353CC}">
              <c16:uniqueId val="{00000000-D1F0-4A5C-B1E3-1F6CF7362FD1}"/>
            </c:ext>
          </c:extLst>
        </c:ser>
        <c:ser>
          <c:idx val="1"/>
          <c:order val="1"/>
          <c:tx>
            <c:strRef>
              <c:f>'chart 3'!$K$3</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3'!$A$5:$A$9</c:f>
              <c:strCache>
                <c:ptCount val="4"/>
                <c:pt idx="0">
                  <c:v>Average time to maturity</c:v>
                </c:pt>
                <c:pt idx="1">
                  <c:v>External loans and borrowings</c:v>
                </c:pt>
                <c:pt idx="2">
                  <c:v>Government treasury bonds</c:v>
                </c:pt>
                <c:pt idx="3">
                  <c:v>Government foreign currency bonds</c:v>
                </c:pt>
              </c:strCache>
            </c:strRef>
          </c:cat>
          <c:val>
            <c:numRef>
              <c:f>'chart 3'!$K$5:$K$9</c:f>
              <c:numCache>
                <c:formatCode>_(* #,##0.0_);_(* \(#,##0.0\);_(* "-"??_);_(@_)</c:formatCode>
                <c:ptCount val="4"/>
                <c:pt idx="0">
                  <c:v>8.75</c:v>
                </c:pt>
                <c:pt idx="1">
                  <c:v>8.42</c:v>
                </c:pt>
                <c:pt idx="2">
                  <c:v>10.81</c:v>
                </c:pt>
                <c:pt idx="3">
                  <c:v>6.49</c:v>
                </c:pt>
              </c:numCache>
            </c:numRef>
          </c:val>
          <c:extLst>
            <c:ext xmlns:c16="http://schemas.microsoft.com/office/drawing/2014/chart" uri="{C3380CC4-5D6E-409C-BE32-E72D297353CC}">
              <c16:uniqueId val="{00000001-D1F0-4A5C-B1E3-1F6CF7362FD1}"/>
            </c:ext>
          </c:extLst>
        </c:ser>
        <c:ser>
          <c:idx val="3"/>
          <c:order val="2"/>
          <c:tx>
            <c:strRef>
              <c:f>'chart 3'!$L$3</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3'!$A$5:$A$9</c:f>
              <c:strCache>
                <c:ptCount val="4"/>
                <c:pt idx="0">
                  <c:v>Average time to maturity</c:v>
                </c:pt>
                <c:pt idx="1">
                  <c:v>External loans and borrowings</c:v>
                </c:pt>
                <c:pt idx="2">
                  <c:v>Government treasury bonds</c:v>
                </c:pt>
                <c:pt idx="3">
                  <c:v>Government foreign currency bonds</c:v>
                </c:pt>
              </c:strCache>
            </c:strRef>
          </c:cat>
          <c:val>
            <c:numRef>
              <c:f>'chart 3'!$L$5:$L$9</c:f>
              <c:numCache>
                <c:formatCode>_(* #,##0.0_);_(* \(#,##0.0\);_(* "-"??_);_(@_)</c:formatCode>
                <c:ptCount val="4"/>
                <c:pt idx="0">
                  <c:v>8.42</c:v>
                </c:pt>
                <c:pt idx="1">
                  <c:v>7.93</c:v>
                </c:pt>
                <c:pt idx="2">
                  <c:v>10.3</c:v>
                </c:pt>
                <c:pt idx="3">
                  <c:v>7.03</c:v>
                </c:pt>
              </c:numCache>
            </c:numRef>
          </c:val>
          <c:extLst>
            <c:ext xmlns:c16="http://schemas.microsoft.com/office/drawing/2014/chart" uri="{C3380CC4-5D6E-409C-BE32-E72D297353CC}">
              <c16:uniqueId val="{00000002-D1F0-4A5C-B1E3-1F6CF7362FD1}"/>
            </c:ext>
          </c:extLst>
        </c:ser>
        <c:ser>
          <c:idx val="4"/>
          <c:order val="3"/>
          <c:tx>
            <c:strRef>
              <c:f>'chart 3'!$M$3</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3'!$A$5:$A$9</c:f>
              <c:strCache>
                <c:ptCount val="4"/>
                <c:pt idx="0">
                  <c:v>Average time to maturity</c:v>
                </c:pt>
                <c:pt idx="1">
                  <c:v>External loans and borrowings</c:v>
                </c:pt>
                <c:pt idx="2">
                  <c:v>Government treasury bonds</c:v>
                </c:pt>
                <c:pt idx="3">
                  <c:v>Government foreign currency bonds</c:v>
                </c:pt>
              </c:strCache>
            </c:strRef>
          </c:cat>
          <c:val>
            <c:numRef>
              <c:f>'chart 3'!$M$5:$M$9</c:f>
              <c:numCache>
                <c:formatCode>_(* #,##0.0_);_(* \(#,##0.0\);_(* "-"??_);_(@_)</c:formatCode>
                <c:ptCount val="4"/>
                <c:pt idx="0">
                  <c:v>7.72</c:v>
                </c:pt>
                <c:pt idx="1">
                  <c:v>7.52</c:v>
                </c:pt>
                <c:pt idx="2">
                  <c:v>8.7799999999999994</c:v>
                </c:pt>
                <c:pt idx="3">
                  <c:v>6.03</c:v>
                </c:pt>
              </c:numCache>
            </c:numRef>
          </c:val>
          <c:extLst>
            <c:ext xmlns:c16="http://schemas.microsoft.com/office/drawing/2014/chart" uri="{C3380CC4-5D6E-409C-BE32-E72D297353CC}">
              <c16:uniqueId val="{00000003-D1F0-4A5C-B1E3-1F6CF7362FD1}"/>
            </c:ext>
          </c:extLst>
        </c:ser>
        <c:ser>
          <c:idx val="5"/>
          <c:order val="4"/>
          <c:tx>
            <c:strRef>
              <c:f>'chart 3'!$N$3</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3'!$A$5:$A$9</c:f>
              <c:strCache>
                <c:ptCount val="4"/>
                <c:pt idx="0">
                  <c:v>Average time to maturity</c:v>
                </c:pt>
                <c:pt idx="1">
                  <c:v>External loans and borrowings</c:v>
                </c:pt>
                <c:pt idx="2">
                  <c:v>Government treasury bonds</c:v>
                </c:pt>
                <c:pt idx="3">
                  <c:v>Government foreign currency bonds</c:v>
                </c:pt>
              </c:strCache>
            </c:strRef>
          </c:cat>
          <c:val>
            <c:numRef>
              <c:f>'chart 3'!$N$5:$N$9</c:f>
              <c:numCache>
                <c:formatCode>_(* #,##0.0_);_(* \(#,##0.0\);_(* "-"??_);_(@_)</c:formatCode>
                <c:ptCount val="4"/>
                <c:pt idx="0">
                  <c:v>7.35</c:v>
                </c:pt>
                <c:pt idx="1">
                  <c:v>7.25</c:v>
                </c:pt>
                <c:pt idx="2">
                  <c:v>8.0299999999999994</c:v>
                </c:pt>
                <c:pt idx="3">
                  <c:v>5.49</c:v>
                </c:pt>
              </c:numCache>
            </c:numRef>
          </c:val>
          <c:extLst>
            <c:ext xmlns:c16="http://schemas.microsoft.com/office/drawing/2014/chart" uri="{C3380CC4-5D6E-409C-BE32-E72D297353CC}">
              <c16:uniqueId val="{00000004-D1F0-4A5C-B1E3-1F6CF7362FD1}"/>
            </c:ext>
          </c:extLst>
        </c:ser>
        <c:ser>
          <c:idx val="2"/>
          <c:order val="5"/>
          <c:tx>
            <c:strRef>
              <c:f>'chart 3'!$O$3</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 3'!$A$5:$A$9</c:f>
              <c:strCache>
                <c:ptCount val="4"/>
                <c:pt idx="0">
                  <c:v>Average time to maturity</c:v>
                </c:pt>
                <c:pt idx="1">
                  <c:v>External loans and borrowings</c:v>
                </c:pt>
                <c:pt idx="2">
                  <c:v>Government treasury bonds</c:v>
                </c:pt>
                <c:pt idx="3">
                  <c:v>Government foreign currency bonds</c:v>
                </c:pt>
              </c:strCache>
            </c:strRef>
          </c:cat>
          <c:val>
            <c:numRef>
              <c:f>'chart 3'!$O$5:$O$9</c:f>
              <c:numCache>
                <c:formatCode>_(* #,##0.0_);_(* \(#,##0.0\);_(* "-"??_);_(@_)</c:formatCode>
                <c:ptCount val="4"/>
                <c:pt idx="0">
                  <c:v>6.9</c:v>
                </c:pt>
                <c:pt idx="1">
                  <c:v>7.38</c:v>
                </c:pt>
                <c:pt idx="2">
                  <c:v>7.19</c:v>
                </c:pt>
                <c:pt idx="3">
                  <c:v>4.49</c:v>
                </c:pt>
              </c:numCache>
            </c:numRef>
          </c:val>
          <c:extLst>
            <c:ext xmlns:c16="http://schemas.microsoft.com/office/drawing/2014/chart" uri="{C3380CC4-5D6E-409C-BE32-E72D297353CC}">
              <c16:uniqueId val="{00000005-D1F0-4A5C-B1E3-1F6CF7362FD1}"/>
            </c:ext>
          </c:extLst>
        </c:ser>
        <c:dLbls>
          <c:dLblPos val="inEnd"/>
          <c:showLegendKey val="0"/>
          <c:showVal val="1"/>
          <c:showCatName val="0"/>
          <c:showSerName val="0"/>
          <c:showPercent val="0"/>
          <c:showBubbleSize val="0"/>
        </c:dLbls>
        <c:gapWidth val="219"/>
        <c:overlap val="-27"/>
        <c:axId val="694359936"/>
        <c:axId val="694355016"/>
      </c:barChart>
      <c:catAx>
        <c:axId val="69435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355016"/>
        <c:crosses val="autoZero"/>
        <c:auto val="1"/>
        <c:lblAlgn val="ctr"/>
        <c:lblOffset val="100"/>
        <c:noMultiLvlLbl val="0"/>
      </c:catAx>
      <c:valAx>
        <c:axId val="694355016"/>
        <c:scaling>
          <c:orientation val="minMax"/>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359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092253388750819E-2"/>
          <c:y val="6.8670085964025143E-2"/>
          <c:w val="0.94290776586954406"/>
          <c:h val="0.74068897637795272"/>
        </c:manualLayout>
      </c:layout>
      <c:bar3DChart>
        <c:barDir val="col"/>
        <c:grouping val="stacked"/>
        <c:varyColors val="0"/>
        <c:ser>
          <c:idx val="0"/>
          <c:order val="0"/>
          <c:tx>
            <c:strRef>
              <c:f>'chart 4'!$A$27</c:f>
              <c:strCache>
                <c:ptCount val="1"/>
                <c:pt idx="0">
                  <c:v>External loans</c:v>
                </c:pt>
              </c:strCache>
            </c:strRef>
          </c:tx>
          <c:invertIfNegative val="0"/>
          <c:cat>
            <c:numRef>
              <c:f>'chart 4'!$B$26:$AE$26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 4'!$B$27:$AE$27</c:f>
              <c:numCache>
                <c:formatCode>_(* #,##0.0_);_(* \(#,##0.0\);_(* "-"??_);_(@_)</c:formatCode>
                <c:ptCount val="30"/>
                <c:pt idx="0">
                  <c:v>154.19960894484481</c:v>
                </c:pt>
                <c:pt idx="1">
                  <c:v>163.30457760537521</c:v>
                </c:pt>
                <c:pt idx="2">
                  <c:v>122.78343420765438</c:v>
                </c:pt>
                <c:pt idx="3">
                  <c:v>120.40465454942078</c:v>
                </c:pt>
                <c:pt idx="4">
                  <c:v>120.63382103347756</c:v>
                </c:pt>
                <c:pt idx="5">
                  <c:v>120.20849391278793</c:v>
                </c:pt>
                <c:pt idx="6">
                  <c:v>118.73809438682952</c:v>
                </c:pt>
                <c:pt idx="7">
                  <c:v>122.14850702796639</c:v>
                </c:pt>
                <c:pt idx="8">
                  <c:v>115.43283997990876</c:v>
                </c:pt>
                <c:pt idx="9">
                  <c:v>112.60474022993635</c:v>
                </c:pt>
                <c:pt idx="10">
                  <c:v>93.725512638117621</c:v>
                </c:pt>
                <c:pt idx="11">
                  <c:v>81.016767322829608</c:v>
                </c:pt>
                <c:pt idx="12">
                  <c:v>75.421458188123196</c:v>
                </c:pt>
                <c:pt idx="13">
                  <c:v>61.809735891773613</c:v>
                </c:pt>
                <c:pt idx="14">
                  <c:v>54.212015112401609</c:v>
                </c:pt>
                <c:pt idx="15">
                  <c:v>41.036719491614392</c:v>
                </c:pt>
                <c:pt idx="16">
                  <c:v>33.310044898207195</c:v>
                </c:pt>
                <c:pt idx="17">
                  <c:v>24.571638720094395</c:v>
                </c:pt>
                <c:pt idx="18">
                  <c:v>19.260707789898397</c:v>
                </c:pt>
                <c:pt idx="19">
                  <c:v>15.591280890256</c:v>
                </c:pt>
                <c:pt idx="20">
                  <c:v>9.240868836648799</c:v>
                </c:pt>
                <c:pt idx="21">
                  <c:v>2.1670907749535999</c:v>
                </c:pt>
                <c:pt idx="22">
                  <c:v>1.6249880362240001</c:v>
                </c:pt>
                <c:pt idx="23">
                  <c:v>1.0423109279839999</c:v>
                </c:pt>
                <c:pt idx="24">
                  <c:v>0.89550358320800005</c:v>
                </c:pt>
                <c:pt idx="25">
                  <c:v>0.5492012579040001</c:v>
                </c:pt>
                <c:pt idx="26">
                  <c:v>0.39808727152800005</c:v>
                </c:pt>
                <c:pt idx="27">
                  <c:v>0.29047586956480004</c:v>
                </c:pt>
                <c:pt idx="28">
                  <c:v>0.18286446760160002</c:v>
                </c:pt>
                <c:pt idx="29">
                  <c:v>1.7308463971199999E-2</c:v>
                </c:pt>
              </c:numCache>
            </c:numRef>
          </c:val>
          <c:extLst>
            <c:ext xmlns:c16="http://schemas.microsoft.com/office/drawing/2014/chart" uri="{C3380CC4-5D6E-409C-BE32-E72D297353CC}">
              <c16:uniqueId val="{00000000-7018-412F-B4C5-7CDD90748FC9}"/>
            </c:ext>
          </c:extLst>
        </c:ser>
        <c:ser>
          <c:idx val="1"/>
          <c:order val="1"/>
          <c:tx>
            <c:strRef>
              <c:f>'chart 4'!$A$29</c:f>
              <c:strCache>
                <c:ptCount val="1"/>
                <c:pt idx="0">
                  <c:v>AMD-denominated bonds</c:v>
                </c:pt>
              </c:strCache>
            </c:strRef>
          </c:tx>
          <c:spPr>
            <a:solidFill>
              <a:schemeClr val="accent6"/>
            </a:solidFill>
          </c:spPr>
          <c:invertIfNegative val="0"/>
          <c:cat>
            <c:numRef>
              <c:f>'chart 4'!$B$26:$AE$26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 4'!$B$29:$AE$29</c:f>
              <c:numCache>
                <c:formatCode>_(* #,##0.0_);_(* \(#,##0.0\);_(* "-"??_);_(@_)</c:formatCode>
                <c:ptCount val="30"/>
                <c:pt idx="0">
                  <c:v>353.98555800000003</c:v>
                </c:pt>
                <c:pt idx="1">
                  <c:v>254.03283300000001</c:v>
                </c:pt>
                <c:pt idx="2">
                  <c:v>267.371306</c:v>
                </c:pt>
                <c:pt idx="3">
                  <c:v>176.249346</c:v>
                </c:pt>
                <c:pt idx="4">
                  <c:v>234.356739</c:v>
                </c:pt>
                <c:pt idx="5">
                  <c:v>0</c:v>
                </c:pt>
                <c:pt idx="6">
                  <c:v>213.28262000000001</c:v>
                </c:pt>
                <c:pt idx="7">
                  <c:v>35.5</c:v>
                </c:pt>
                <c:pt idx="8">
                  <c:v>459.26653999999996</c:v>
                </c:pt>
                <c:pt idx="9">
                  <c:v>0</c:v>
                </c:pt>
                <c:pt idx="10">
                  <c:v>0</c:v>
                </c:pt>
                <c:pt idx="11">
                  <c:v>70.328999999999994</c:v>
                </c:pt>
                <c:pt idx="12">
                  <c:v>139.06083999999998</c:v>
                </c:pt>
                <c:pt idx="13">
                  <c:v>0</c:v>
                </c:pt>
                <c:pt idx="14">
                  <c:v>0</c:v>
                </c:pt>
                <c:pt idx="15">
                  <c:v>0</c:v>
                </c:pt>
                <c:pt idx="16">
                  <c:v>0</c:v>
                </c:pt>
                <c:pt idx="17">
                  <c:v>0</c:v>
                </c:pt>
                <c:pt idx="18">
                  <c:v>0</c:v>
                </c:pt>
                <c:pt idx="19">
                  <c:v>0</c:v>
                </c:pt>
                <c:pt idx="20">
                  <c:v>0</c:v>
                </c:pt>
                <c:pt idx="21">
                  <c:v>0</c:v>
                </c:pt>
                <c:pt idx="22">
                  <c:v>119.700405</c:v>
                </c:pt>
                <c:pt idx="23">
                  <c:v>0</c:v>
                </c:pt>
                <c:pt idx="24">
                  <c:v>0</c:v>
                </c:pt>
                <c:pt idx="25">
                  <c:v>136.52976199999998</c:v>
                </c:pt>
                <c:pt idx="26">
                  <c:v>0</c:v>
                </c:pt>
                <c:pt idx="27">
                  <c:v>14.366263999999999</c:v>
                </c:pt>
                <c:pt idx="28">
                  <c:v>0</c:v>
                </c:pt>
                <c:pt idx="29">
                  <c:v>0</c:v>
                </c:pt>
              </c:numCache>
            </c:numRef>
          </c:val>
          <c:extLst>
            <c:ext xmlns:c16="http://schemas.microsoft.com/office/drawing/2014/chart" uri="{C3380CC4-5D6E-409C-BE32-E72D297353CC}">
              <c16:uniqueId val="{00000001-7018-412F-B4C5-7CDD90748FC9}"/>
            </c:ext>
          </c:extLst>
        </c:ser>
        <c:ser>
          <c:idx val="2"/>
          <c:order val="2"/>
          <c:tx>
            <c:strRef>
              <c:f>'chart 4'!$A$28</c:f>
              <c:strCache>
                <c:ptCount val="1"/>
                <c:pt idx="0">
                  <c:v>Foreign currency bonds</c:v>
                </c:pt>
              </c:strCache>
            </c:strRef>
          </c:tx>
          <c:spPr>
            <a:solidFill>
              <a:schemeClr val="accent2"/>
            </a:solidFill>
          </c:spPr>
          <c:invertIfNegative val="0"/>
          <c:cat>
            <c:numRef>
              <c:f>'chart 4'!$B$26:$AE$26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 4'!$B$28:$AE$28</c:f>
              <c:numCache>
                <c:formatCode>_(* #,##0.0_);_(* \(#,##0.0\);_(* "-"??_);_(@_)</c:formatCode>
                <c:ptCount val="30"/>
                <c:pt idx="0">
                  <c:v>124.18910896</c:v>
                </c:pt>
                <c:pt idx="1">
                  <c:v>0</c:v>
                </c:pt>
                <c:pt idx="2">
                  <c:v>0</c:v>
                </c:pt>
                <c:pt idx="3">
                  <c:v>0</c:v>
                </c:pt>
                <c:pt idx="4">
                  <c:v>198.28</c:v>
                </c:pt>
                <c:pt idx="5">
                  <c:v>0</c:v>
                </c:pt>
                <c:pt idx="6">
                  <c:v>297.42</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numCache>
            </c:numRef>
          </c:val>
          <c:extLst>
            <c:ext xmlns:c16="http://schemas.microsoft.com/office/drawing/2014/chart" uri="{C3380CC4-5D6E-409C-BE32-E72D297353CC}">
              <c16:uniqueId val="{00000002-7018-412F-B4C5-7CDD90748FC9}"/>
            </c:ext>
          </c:extLst>
        </c:ser>
        <c:ser>
          <c:idx val="3"/>
          <c:order val="3"/>
          <c:tx>
            <c:strRef>
              <c:f>'chart 4'!$A$30</c:f>
              <c:strCache>
                <c:ptCount val="1"/>
                <c:pt idx="0">
                  <c:v>Guarantees</c:v>
                </c:pt>
              </c:strCache>
            </c:strRef>
          </c:tx>
          <c:invertIfNegative val="0"/>
          <c:cat>
            <c:numRef>
              <c:f>'chart 4'!$B$26:$AE$26</c:f>
              <c:numCache>
                <c:formatCode>General</c:formatCode>
                <c:ptCount val="30"/>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pt idx="16">
                  <c:v>2041</c:v>
                </c:pt>
                <c:pt idx="17">
                  <c:v>2042</c:v>
                </c:pt>
                <c:pt idx="18">
                  <c:v>2043</c:v>
                </c:pt>
                <c:pt idx="19">
                  <c:v>2044</c:v>
                </c:pt>
                <c:pt idx="20">
                  <c:v>2045</c:v>
                </c:pt>
                <c:pt idx="21">
                  <c:v>2046</c:v>
                </c:pt>
                <c:pt idx="22">
                  <c:v>2047</c:v>
                </c:pt>
                <c:pt idx="23">
                  <c:v>2048</c:v>
                </c:pt>
                <c:pt idx="24">
                  <c:v>2049</c:v>
                </c:pt>
                <c:pt idx="25">
                  <c:v>2050</c:v>
                </c:pt>
                <c:pt idx="26">
                  <c:v>2051</c:v>
                </c:pt>
                <c:pt idx="27">
                  <c:v>2052</c:v>
                </c:pt>
                <c:pt idx="28">
                  <c:v>2053</c:v>
                </c:pt>
                <c:pt idx="29">
                  <c:v>2054</c:v>
                </c:pt>
              </c:numCache>
            </c:numRef>
          </c:cat>
          <c:val>
            <c:numRef>
              <c:f>'chart 4'!$B$30:$AE$30</c:f>
              <c:numCache>
                <c:formatCode>_(* #,##0.0_);_(* \(#,##0.0\);_(* "-"??_);_(@_)</c:formatCode>
                <c:ptCount val="30"/>
                <c:pt idx="0">
                  <c:v>4.5132483746967047</c:v>
                </c:pt>
                <c:pt idx="1">
                  <c:v>4.4855840026664504</c:v>
                </c:pt>
                <c:pt idx="2">
                  <c:v>1.2104492824983839</c:v>
                </c:pt>
                <c:pt idx="3">
                  <c:v>0.22286384615384619</c:v>
                </c:pt>
                <c:pt idx="4">
                  <c:v>0.22286384615384619</c:v>
                </c:pt>
                <c:pt idx="5">
                  <c:v>0.22286384615384619</c:v>
                </c:pt>
                <c:pt idx="6">
                  <c:v>0.22286384615384619</c:v>
                </c:pt>
                <c:pt idx="7">
                  <c:v>0.22286384615384619</c:v>
                </c:pt>
                <c:pt idx="8">
                  <c:v>0.22286384615384619</c:v>
                </c:pt>
                <c:pt idx="9">
                  <c:v>0.22286384615384619</c:v>
                </c:pt>
                <c:pt idx="10">
                  <c:v>0.22286384615384619</c:v>
                </c:pt>
                <c:pt idx="11">
                  <c:v>0.1114319230769231</c:v>
                </c:pt>
                <c:pt idx="12">
                  <c:v>0</c:v>
                </c:pt>
              </c:numCache>
            </c:numRef>
          </c:val>
          <c:extLst>
            <c:ext xmlns:c16="http://schemas.microsoft.com/office/drawing/2014/chart" uri="{C3380CC4-5D6E-409C-BE32-E72D297353CC}">
              <c16:uniqueId val="{00000003-7018-412F-B4C5-7CDD90748FC9}"/>
            </c:ext>
          </c:extLst>
        </c:ser>
        <c:dLbls>
          <c:showLegendKey val="0"/>
          <c:showVal val="0"/>
          <c:showCatName val="0"/>
          <c:showSerName val="0"/>
          <c:showPercent val="0"/>
          <c:showBubbleSize val="0"/>
        </c:dLbls>
        <c:gapWidth val="89"/>
        <c:shape val="box"/>
        <c:axId val="250019840"/>
        <c:axId val="249342784"/>
        <c:axId val="0"/>
      </c:bar3DChart>
      <c:catAx>
        <c:axId val="250019840"/>
        <c:scaling>
          <c:orientation val="minMax"/>
        </c:scaling>
        <c:delete val="0"/>
        <c:axPos val="b"/>
        <c:numFmt formatCode="General" sourceLinked="1"/>
        <c:majorTickMark val="none"/>
        <c:minorTickMark val="none"/>
        <c:tickLblPos val="nextTo"/>
        <c:txPr>
          <a:bodyPr rot="-4500000" vert="horz" anchor="ctr" anchorCtr="0"/>
          <a:lstStyle/>
          <a:p>
            <a:pPr>
              <a:defRPr sz="900" b="0">
                <a:solidFill>
                  <a:sysClr val="windowText" lastClr="000000"/>
                </a:solidFill>
                <a:latin typeface="GHEA Grapalat" panose="02000506050000020003" pitchFamily="50" charset="0"/>
              </a:defRPr>
            </a:pPr>
            <a:endParaRPr lang="en-US"/>
          </a:p>
        </c:txPr>
        <c:crossAx val="249342784"/>
        <c:crossesAt val="0"/>
        <c:auto val="1"/>
        <c:lblAlgn val="ctr"/>
        <c:lblOffset val="0"/>
        <c:noMultiLvlLbl val="0"/>
      </c:catAx>
      <c:valAx>
        <c:axId val="249342784"/>
        <c:scaling>
          <c:orientation val="minMax"/>
        </c:scaling>
        <c:delete val="0"/>
        <c:axPos val="l"/>
        <c:majorGridlines/>
        <c:numFmt formatCode="General" sourceLinked="0"/>
        <c:majorTickMark val="none"/>
        <c:minorTickMark val="none"/>
        <c:tickLblPos val="nextTo"/>
        <c:spPr>
          <a:ln/>
        </c:spPr>
        <c:txPr>
          <a:bodyPr/>
          <a:lstStyle/>
          <a:p>
            <a:pPr>
              <a:defRPr sz="1000" b="0">
                <a:solidFill>
                  <a:sysClr val="windowText" lastClr="000000"/>
                </a:solidFill>
                <a:latin typeface="GHEA Grapalat" panose="02000506050000020003" pitchFamily="50" charset="0"/>
              </a:defRPr>
            </a:pPr>
            <a:endParaRPr lang="en-US"/>
          </a:p>
        </c:txPr>
        <c:crossAx val="250019840"/>
        <c:crossesAt val="1"/>
        <c:crossBetween val="between"/>
        <c:majorUnit val="50"/>
      </c:valAx>
    </c:plotArea>
    <c:legend>
      <c:legendPos val="b"/>
      <c:layout>
        <c:manualLayout>
          <c:xMode val="edge"/>
          <c:yMode val="edge"/>
          <c:x val="2.1957991325354888E-2"/>
          <c:y val="0.90415162948381456"/>
          <c:w val="0.9654288240495138"/>
          <c:h val="6.6617437069071028E-2"/>
        </c:manualLayout>
      </c:layout>
      <c:overlay val="0"/>
      <c:txPr>
        <a:bodyPr/>
        <a:lstStyle/>
        <a:p>
          <a:pPr>
            <a:defRPr sz="1000">
              <a:solidFill>
                <a:sysClr val="windowText" lastClr="000000"/>
              </a:solidFill>
              <a:latin typeface="GHEA Grapalat" panose="02000506050000020003" pitchFamily="50" charset="0"/>
            </a:defRPr>
          </a:pPr>
          <a:endParaRPr lang="en-US"/>
        </a:p>
      </c:txPr>
    </c:legend>
    <c:plotVisOnly val="1"/>
    <c:dispBlanksAs val="gap"/>
    <c:showDLblsOverMax val="0"/>
  </c:chart>
  <c:txPr>
    <a:bodyPr/>
    <a:lstStyle/>
    <a:p>
      <a:pPr>
        <a:defRPr sz="1200">
          <a:solidFill>
            <a:schemeClr val="bg1">
              <a:lumMod val="50000"/>
            </a:schemeClr>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'Ind7.Վերֆիքս.պ.տ.կ'!$I$17</c:f>
              <c:strCache>
                <c:ptCount val="1"/>
                <c:pt idx="0">
                  <c:v>Floating rate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'Ind7.Վերֆիքս.պ.տ.կ'!$J$16:$O$16</c:f>
              <c:numCache>
                <c:formatCode>General</c:formatCode>
                <c:ptCount val="6"/>
                <c:pt idx="0">
                  <c:v>2019</c:v>
                </c:pt>
                <c:pt idx="1">
                  <c:v>2020</c:v>
                </c:pt>
                <c:pt idx="2">
                  <c:v>2021</c:v>
                </c:pt>
                <c:pt idx="3">
                  <c:v>2022</c:v>
                </c:pt>
                <c:pt idx="4">
                  <c:v>2023</c:v>
                </c:pt>
                <c:pt idx="5">
                  <c:v>2024</c:v>
                </c:pt>
              </c:numCache>
            </c:numRef>
          </c:cat>
          <c:val>
            <c:numRef>
              <c:f>'Ind7.Վերֆիքս.պ.տ.կ'!$J$17:$O$17</c:f>
              <c:numCache>
                <c:formatCode>_(* #,##0.0_);_(* \(#,##0.0\);_(* "-"??_);_(@_)</c:formatCode>
                <c:ptCount val="6"/>
                <c:pt idx="0">
                  <c:v>20.410496653223191</c:v>
                </c:pt>
                <c:pt idx="1">
                  <c:v>25.930184831258345</c:v>
                </c:pt>
                <c:pt idx="2">
                  <c:v>23.968461865807797</c:v>
                </c:pt>
                <c:pt idx="3">
                  <c:v>26.524825228439823</c:v>
                </c:pt>
                <c:pt idx="4">
                  <c:v>29.475008386096391</c:v>
                </c:pt>
                <c:pt idx="5">
                  <c:v>31.638165240961555</c:v>
                </c:pt>
              </c:numCache>
            </c:numRef>
          </c:val>
          <c:extLst>
            <c:ext xmlns:c16="http://schemas.microsoft.com/office/drawing/2014/chart" uri="{C3380CC4-5D6E-409C-BE32-E72D297353CC}">
              <c16:uniqueId val="{00000000-926E-4E07-8332-BB793FAFA3C3}"/>
            </c:ext>
          </c:extLst>
        </c:ser>
        <c:ser>
          <c:idx val="1"/>
          <c:order val="1"/>
          <c:tx>
            <c:strRef>
              <c:f>'Ind7.Վերֆիքս.պ.տ.կ'!$I$18</c:f>
              <c:strCache>
                <c:ptCount val="1"/>
                <c:pt idx="0">
                  <c:v>Fixed rate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'Ind7.Վերֆիքս.պ.տ.կ'!$J$16:$O$16</c:f>
              <c:numCache>
                <c:formatCode>General</c:formatCode>
                <c:ptCount val="6"/>
                <c:pt idx="0">
                  <c:v>2019</c:v>
                </c:pt>
                <c:pt idx="1">
                  <c:v>2020</c:v>
                </c:pt>
                <c:pt idx="2">
                  <c:v>2021</c:v>
                </c:pt>
                <c:pt idx="3">
                  <c:v>2022</c:v>
                </c:pt>
                <c:pt idx="4">
                  <c:v>2023</c:v>
                </c:pt>
                <c:pt idx="5">
                  <c:v>2024</c:v>
                </c:pt>
              </c:numCache>
            </c:numRef>
          </c:cat>
          <c:val>
            <c:numRef>
              <c:f>'Ind7.Վերֆիքս.պ.տ.կ'!$J$18:$O$18</c:f>
              <c:numCache>
                <c:formatCode>_(* #,##0.0_);_(* \(#,##0.0\);_(* "-"??_);_(@_)</c:formatCode>
                <c:ptCount val="6"/>
                <c:pt idx="0">
                  <c:v>79.589503346776809</c:v>
                </c:pt>
                <c:pt idx="1">
                  <c:v>74.069815168741655</c:v>
                </c:pt>
                <c:pt idx="2">
                  <c:v>76.031538134192203</c:v>
                </c:pt>
                <c:pt idx="3">
                  <c:v>73.475174771560177</c:v>
                </c:pt>
                <c:pt idx="4">
                  <c:v>70.524991613903609</c:v>
                </c:pt>
                <c:pt idx="5">
                  <c:v>68.361834759038445</c:v>
                </c:pt>
              </c:numCache>
            </c:numRef>
          </c:val>
          <c:extLst>
            <c:ext xmlns:c16="http://schemas.microsoft.com/office/drawing/2014/chart" uri="{C3380CC4-5D6E-409C-BE32-E72D297353CC}">
              <c16:uniqueId val="{00000001-926E-4E07-8332-BB793FAFA3C3}"/>
            </c:ext>
          </c:extLst>
        </c:ser>
        <c:dLbls>
          <c:showLegendKey val="0"/>
          <c:showVal val="0"/>
          <c:showCatName val="0"/>
          <c:showSerName val="0"/>
          <c:showPercent val="0"/>
          <c:showBubbleSize val="0"/>
        </c:dLbls>
        <c:gapWidth val="150"/>
        <c:overlap val="100"/>
        <c:axId val="215881216"/>
        <c:axId val="137641984"/>
      </c:barChart>
      <c:catAx>
        <c:axId val="2158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641984"/>
        <c:crosses val="autoZero"/>
        <c:auto val="1"/>
        <c:lblAlgn val="ctr"/>
        <c:lblOffset val="100"/>
        <c:noMultiLvlLbl val="0"/>
      </c:catAx>
      <c:valAx>
        <c:axId val="1376419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881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6427024834875"/>
          <c:y val="3.9299749910682386E-2"/>
          <c:w val="0.86441420936388313"/>
          <c:h val="0.7733417271019456"/>
        </c:manualLayout>
      </c:layout>
      <c:barChart>
        <c:barDir val="bar"/>
        <c:grouping val="percentStacked"/>
        <c:varyColors val="0"/>
        <c:ser>
          <c:idx val="1"/>
          <c:order val="0"/>
          <c:tx>
            <c:strRef>
              <c:f>'chart 6'!$B$11</c:f>
              <c:strCache>
                <c:ptCount val="1"/>
                <c:pt idx="0">
                  <c:v>Domestic </c:v>
                </c:pt>
              </c:strCache>
            </c:strRef>
          </c:tx>
          <c:spPr>
            <a:solidFill>
              <a:srgbClr val="5B9BD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6'!$C$5:$G$5</c:f>
              <c:numCache>
                <c:formatCode>General</c:formatCode>
                <c:ptCount val="5"/>
                <c:pt idx="0">
                  <c:v>2024</c:v>
                </c:pt>
                <c:pt idx="1">
                  <c:v>2025</c:v>
                </c:pt>
                <c:pt idx="2">
                  <c:v>2026</c:v>
                </c:pt>
                <c:pt idx="3">
                  <c:v>2027</c:v>
                </c:pt>
                <c:pt idx="4">
                  <c:v>2028</c:v>
                </c:pt>
              </c:numCache>
            </c:numRef>
          </c:cat>
          <c:val>
            <c:numRef>
              <c:f>'chart 6'!$C$11:$G$11</c:f>
              <c:numCache>
                <c:formatCode>0%</c:formatCode>
                <c:ptCount val="5"/>
                <c:pt idx="0">
                  <c:v>0.71466727833510679</c:v>
                </c:pt>
                <c:pt idx="1">
                  <c:v>0.45832157751932956</c:v>
                </c:pt>
                <c:pt idx="2">
                  <c:v>0.56030134049757685</c:v>
                </c:pt>
                <c:pt idx="3">
                  <c:v>0.5381343484129496</c:v>
                </c:pt>
                <c:pt idx="4">
                  <c:v>0.46842855539428768</c:v>
                </c:pt>
              </c:numCache>
            </c:numRef>
          </c:val>
          <c:extLst>
            <c:ext xmlns:c16="http://schemas.microsoft.com/office/drawing/2014/chart" uri="{C3380CC4-5D6E-409C-BE32-E72D297353CC}">
              <c16:uniqueId val="{00000000-37BA-4B5D-BE25-8F0B84E99057}"/>
            </c:ext>
          </c:extLst>
        </c:ser>
        <c:ser>
          <c:idx val="0"/>
          <c:order val="1"/>
          <c:tx>
            <c:strRef>
              <c:f>'chart 6'!$B$10</c:f>
              <c:strCache>
                <c:ptCount val="1"/>
                <c:pt idx="0">
                  <c:v>External </c:v>
                </c:pt>
              </c:strCache>
            </c:strRef>
          </c:tx>
          <c:spPr>
            <a:solidFill>
              <a:srgbClr val="ED7D3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'chart 6'!$C$5:$G$5</c:f>
              <c:numCache>
                <c:formatCode>General</c:formatCode>
                <c:ptCount val="5"/>
                <c:pt idx="0">
                  <c:v>2024</c:v>
                </c:pt>
                <c:pt idx="1">
                  <c:v>2025</c:v>
                </c:pt>
                <c:pt idx="2">
                  <c:v>2026</c:v>
                </c:pt>
                <c:pt idx="3">
                  <c:v>2027</c:v>
                </c:pt>
                <c:pt idx="4">
                  <c:v>2028</c:v>
                </c:pt>
              </c:numCache>
            </c:numRef>
          </c:cat>
          <c:val>
            <c:numRef>
              <c:f>'chart 6'!$C$10:$G$10</c:f>
              <c:numCache>
                <c:formatCode>0%</c:formatCode>
                <c:ptCount val="5"/>
                <c:pt idx="0">
                  <c:v>0.28533272166489326</c:v>
                </c:pt>
                <c:pt idx="1">
                  <c:v>0.54167842248067044</c:v>
                </c:pt>
                <c:pt idx="2">
                  <c:v>0.43969865950242315</c:v>
                </c:pt>
                <c:pt idx="3">
                  <c:v>0.46186565158705045</c:v>
                </c:pt>
                <c:pt idx="4">
                  <c:v>0.53157144460571226</c:v>
                </c:pt>
              </c:numCache>
            </c:numRef>
          </c:val>
          <c:extLst>
            <c:ext xmlns:c16="http://schemas.microsoft.com/office/drawing/2014/chart" uri="{C3380CC4-5D6E-409C-BE32-E72D297353CC}">
              <c16:uniqueId val="{00000001-37BA-4B5D-BE25-8F0B84E99057}"/>
            </c:ext>
          </c:extLst>
        </c:ser>
        <c:dLbls>
          <c:showLegendKey val="0"/>
          <c:showVal val="0"/>
          <c:showCatName val="0"/>
          <c:showSerName val="0"/>
          <c:showPercent val="0"/>
          <c:showBubbleSize val="0"/>
        </c:dLbls>
        <c:gapWidth val="150"/>
        <c:overlap val="100"/>
        <c:axId val="215882240"/>
        <c:axId val="137644864"/>
      </c:barChart>
      <c:catAx>
        <c:axId val="21588224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7644864"/>
        <c:crosses val="autoZero"/>
        <c:auto val="1"/>
        <c:lblAlgn val="ctr"/>
        <c:lblOffset val="100"/>
        <c:noMultiLvlLbl val="0"/>
      </c:catAx>
      <c:valAx>
        <c:axId val="13764486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882240"/>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7'!$A$5</c:f>
              <c:strCache>
                <c:ptCount val="1"/>
                <c:pt idx="0">
                  <c:v>ՀՀ կառավարության արտարժութային պարտքի մարումների և տոկոսավճարների կշիռը նախորդ տարվա վերջի դրությամբ արտարժութային արտաքին ակտիվներում (%) </c:v>
                </c:pt>
              </c:strCache>
            </c:strRef>
          </c:tx>
          <c:spPr>
            <a:solidFill>
              <a:schemeClr val="accent1"/>
            </a:solidFill>
            <a:ln>
              <a:noFill/>
            </a:ln>
            <a:effectLst/>
          </c:spPr>
          <c:invertIfNegative val="0"/>
          <c:dLbls>
            <c:dLbl>
              <c:idx val="0"/>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551-4825-8B3F-DE5728BB0E53}"/>
                </c:ext>
              </c:extLst>
            </c:dLbl>
            <c:dLbl>
              <c:idx val="1"/>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551-4825-8B3F-DE5728BB0E53}"/>
                </c:ext>
              </c:extLst>
            </c:dLbl>
            <c:dLbl>
              <c:idx val="2"/>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551-4825-8B3F-DE5728BB0E53}"/>
                </c:ext>
              </c:extLst>
            </c:dLbl>
            <c:dLbl>
              <c:idx val="3"/>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551-4825-8B3F-DE5728BB0E53}"/>
                </c:ext>
              </c:extLst>
            </c:dLbl>
            <c:dLbl>
              <c:idx val="4"/>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551-4825-8B3F-DE5728BB0E53}"/>
                </c:ext>
              </c:extLst>
            </c:dLbl>
            <c:dLbl>
              <c:idx val="5"/>
              <c:layout>
                <c:manualLayout>
                  <c:x val="0"/>
                  <c:y val="8.3769618159318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51-4825-8B3F-DE5728BB0E5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7'!$E$2:$I$2</c:f>
              <c:numCache>
                <c:formatCode>General</c:formatCode>
                <c:ptCount val="5"/>
                <c:pt idx="0">
                  <c:v>2024</c:v>
                </c:pt>
                <c:pt idx="1">
                  <c:v>2025</c:v>
                </c:pt>
                <c:pt idx="2">
                  <c:v>2026</c:v>
                </c:pt>
                <c:pt idx="3">
                  <c:v>2027</c:v>
                </c:pt>
                <c:pt idx="4">
                  <c:v>2028</c:v>
                </c:pt>
              </c:numCache>
            </c:numRef>
          </c:cat>
          <c:val>
            <c:numRef>
              <c:f>'chart 7'!$E$5:$I$5</c:f>
              <c:numCache>
                <c:formatCode>0.0%</c:formatCode>
                <c:ptCount val="5"/>
                <c:pt idx="0">
                  <c:v>0.18331558941591639</c:v>
                </c:pt>
                <c:pt idx="1">
                  <c:v>0.30114069602978344</c:v>
                </c:pt>
                <c:pt idx="2">
                  <c:v>0.23802723652175489</c:v>
                </c:pt>
                <c:pt idx="3">
                  <c:v>0.21636769098117128</c:v>
                </c:pt>
                <c:pt idx="4">
                  <c:v>0.21663536667939093</c:v>
                </c:pt>
              </c:numCache>
            </c:numRef>
          </c:val>
          <c:extLst>
            <c:ext xmlns:c16="http://schemas.microsoft.com/office/drawing/2014/chart" uri="{C3380CC4-5D6E-409C-BE32-E72D297353CC}">
              <c16:uniqueId val="{00000006-8551-4825-8B3F-DE5728BB0E53}"/>
            </c:ext>
          </c:extLst>
        </c:ser>
        <c:dLbls>
          <c:showLegendKey val="0"/>
          <c:showVal val="0"/>
          <c:showCatName val="0"/>
          <c:showSerName val="0"/>
          <c:showPercent val="0"/>
          <c:showBubbleSize val="0"/>
        </c:dLbls>
        <c:gapWidth val="219"/>
        <c:overlap val="-27"/>
        <c:axId val="528982528"/>
        <c:axId val="528993024"/>
      </c:barChart>
      <c:catAx>
        <c:axId val="52898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28993024"/>
        <c:crosses val="autoZero"/>
        <c:auto val="1"/>
        <c:lblAlgn val="ctr"/>
        <c:lblOffset val="100"/>
        <c:noMultiLvlLbl val="0"/>
      </c:catAx>
      <c:valAx>
        <c:axId val="528993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28982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889998836372023E-2"/>
          <c:y val="3.1630245471804701E-2"/>
          <c:w val="0.8717961559026145"/>
          <c:h val="0.76399208293435161"/>
        </c:manualLayout>
      </c:layout>
      <c:areaChart>
        <c:grouping val="stacked"/>
        <c:varyColors val="0"/>
        <c:ser>
          <c:idx val="0"/>
          <c:order val="0"/>
          <c:tx>
            <c:strRef>
              <c:f>'chart 8'!$B$3</c:f>
              <c:strCache>
                <c:ptCount val="1"/>
                <c:pt idx="0">
                  <c:v>Interest payments</c:v>
                </c:pt>
              </c:strCache>
            </c:strRef>
          </c:tx>
          <c:spPr>
            <a:ln w="25400">
              <a:noFill/>
            </a:ln>
          </c:spPr>
          <c:dLbls>
            <c:dLbl>
              <c:idx val="0"/>
              <c:layout>
                <c:manualLayout>
                  <c:x val="3.2258064516129219E-2"/>
                  <c:y val="0"/>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2B1-46A8-94D0-DA4C5AFA1C47}"/>
                </c:ext>
              </c:extLst>
            </c:dLbl>
            <c:dLbl>
              <c:idx val="5"/>
              <c:layout>
                <c:manualLayout>
                  <c:x val="-3.4408602150537794E-2"/>
                  <c:y val="-8.2027389474493307E-17"/>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2B1-46A8-94D0-DA4C5AFA1C47}"/>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8'!$F$2:$K$2</c:f>
              <c:numCache>
                <c:formatCode>General</c:formatCode>
                <c:ptCount val="6"/>
                <c:pt idx="0">
                  <c:v>2023</c:v>
                </c:pt>
                <c:pt idx="1">
                  <c:v>2024</c:v>
                </c:pt>
                <c:pt idx="2">
                  <c:v>2025</c:v>
                </c:pt>
                <c:pt idx="3">
                  <c:v>2026</c:v>
                </c:pt>
                <c:pt idx="4">
                  <c:v>2027</c:v>
                </c:pt>
                <c:pt idx="5">
                  <c:v>2028</c:v>
                </c:pt>
              </c:numCache>
            </c:numRef>
          </c:cat>
          <c:val>
            <c:numRef>
              <c:f>'chart 8'!$F$3:$K$3</c:f>
              <c:numCache>
                <c:formatCode>_ * #,##0.0_ ;_ * \-#,##0.0_ ;_ * "-"??_ ;_ @_ </c:formatCode>
                <c:ptCount val="6"/>
                <c:pt idx="0">
                  <c:v>253.41248296957002</c:v>
                </c:pt>
                <c:pt idx="1">
                  <c:v>313.5831274784</c:v>
                </c:pt>
                <c:pt idx="2">
                  <c:v>394.10647594208439</c:v>
                </c:pt>
                <c:pt idx="3">
                  <c:v>430.72379041957345</c:v>
                </c:pt>
                <c:pt idx="4">
                  <c:v>482.52108019057806</c:v>
                </c:pt>
                <c:pt idx="5">
                  <c:v>528.39393884075594</c:v>
                </c:pt>
              </c:numCache>
            </c:numRef>
          </c:val>
          <c:extLst>
            <c:ext xmlns:c16="http://schemas.microsoft.com/office/drawing/2014/chart" uri="{C3380CC4-5D6E-409C-BE32-E72D297353CC}">
              <c16:uniqueId val="{00000002-E2B1-46A8-94D0-DA4C5AFA1C47}"/>
            </c:ext>
          </c:extLst>
        </c:ser>
        <c:ser>
          <c:idx val="1"/>
          <c:order val="1"/>
          <c:tx>
            <c:strRef>
              <c:f>'chart 8'!$B$4</c:f>
              <c:strCache>
                <c:ptCount val="1"/>
                <c:pt idx="0">
                  <c:v>Redemption </c:v>
                </c:pt>
              </c:strCache>
            </c:strRef>
          </c:tx>
          <c:spPr>
            <a:ln w="25400">
              <a:noFill/>
            </a:ln>
          </c:spPr>
          <c:dLbls>
            <c:dLbl>
              <c:idx val="0"/>
              <c:layout>
                <c:manualLayout>
                  <c:x val="3.6559139784946251E-2"/>
                  <c:y val="4.4739206256936498E-3"/>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2B1-46A8-94D0-DA4C5AFA1C47}"/>
                </c:ext>
              </c:extLst>
            </c:dLbl>
            <c:dLbl>
              <c:idx val="1"/>
              <c:layout>
                <c:manualLayout>
                  <c:x val="-2.1505376344086052E-3"/>
                  <c:y val="3.1319910514541492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2B1-46A8-94D0-DA4C5AFA1C47}"/>
                </c:ext>
              </c:extLst>
            </c:dLbl>
            <c:dLbl>
              <c:idx val="4"/>
              <c:layout>
                <c:manualLayout>
                  <c:x val="5.8582308142939403E-3"/>
                  <c:y val="4.3726875210225384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2B1-46A8-94D0-DA4C5AFA1C47}"/>
                </c:ext>
              </c:extLst>
            </c:dLbl>
            <c:dLbl>
              <c:idx val="5"/>
              <c:layout>
                <c:manualLayout>
                  <c:x val="-3.285145156503945E-2"/>
                  <c:y val="-3.5857361926631019E-2"/>
                </c:manualLayout>
              </c:layout>
              <c:numFmt formatCode="#,#00" sourceLinked="0"/>
              <c:spPr/>
              <c:txPr>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2B1-46A8-94D0-DA4C5AFA1C47}"/>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8'!$F$2:$K$2</c:f>
              <c:numCache>
                <c:formatCode>General</c:formatCode>
                <c:ptCount val="6"/>
                <c:pt idx="0">
                  <c:v>2023</c:v>
                </c:pt>
                <c:pt idx="1">
                  <c:v>2024</c:v>
                </c:pt>
                <c:pt idx="2">
                  <c:v>2025</c:v>
                </c:pt>
                <c:pt idx="3">
                  <c:v>2026</c:v>
                </c:pt>
                <c:pt idx="4">
                  <c:v>2027</c:v>
                </c:pt>
                <c:pt idx="5">
                  <c:v>2028</c:v>
                </c:pt>
              </c:numCache>
            </c:numRef>
          </c:cat>
          <c:val>
            <c:numRef>
              <c:f>'chart 8'!$F$4:$K$4</c:f>
              <c:numCache>
                <c:formatCode>_ * #,##0.0_ ;_ * \-#,##0.0_ ;_ * "-"??_ ;_ @_ </c:formatCode>
                <c:ptCount val="6"/>
                <c:pt idx="0">
                  <c:v>421.69427738069999</c:v>
                </c:pt>
                <c:pt idx="1">
                  <c:v>451.20343866729996</c:v>
                </c:pt>
                <c:pt idx="2">
                  <c:v>714.03887003863997</c:v>
                </c:pt>
                <c:pt idx="3">
                  <c:v>629.35701557029995</c:v>
                </c:pt>
                <c:pt idx="4">
                  <c:v>642.95173255357997</c:v>
                </c:pt>
                <c:pt idx="5">
                  <c:v>673.9395454147899</c:v>
                </c:pt>
              </c:numCache>
            </c:numRef>
          </c:val>
          <c:extLst>
            <c:ext xmlns:c16="http://schemas.microsoft.com/office/drawing/2014/chart" uri="{C3380CC4-5D6E-409C-BE32-E72D297353CC}">
              <c16:uniqueId val="{00000007-E2B1-46A8-94D0-DA4C5AFA1C47}"/>
            </c:ext>
          </c:extLst>
        </c:ser>
        <c:dLbls>
          <c:showLegendKey val="0"/>
          <c:showVal val="0"/>
          <c:showCatName val="0"/>
          <c:showSerName val="0"/>
          <c:showPercent val="0"/>
          <c:showBubbleSize val="0"/>
        </c:dLbls>
        <c:axId val="228921344"/>
        <c:axId val="248492544"/>
      </c:areaChart>
      <c:lineChart>
        <c:grouping val="stacked"/>
        <c:varyColors val="0"/>
        <c:ser>
          <c:idx val="4"/>
          <c:order val="2"/>
          <c:tx>
            <c:strRef>
              <c:f>'chart 8'!$B$5</c:f>
              <c:strCache>
                <c:ptCount val="1"/>
                <c:pt idx="0">
                  <c:v>RA Government debt payments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0151753182750889E-2"/>
                  <c:y val="-5.791554536695571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2B1-46A8-94D0-DA4C5AFA1C47}"/>
                </c:ext>
              </c:extLst>
            </c:dLbl>
            <c:dLbl>
              <c:idx val="2"/>
              <c:layout>
                <c:manualLayout>
                  <c:x val="-3.6397665481688206E-2"/>
                  <c:y val="-7.762869709446007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2B1-46A8-94D0-DA4C5AFA1C47}"/>
                </c:ext>
              </c:extLst>
            </c:dLbl>
            <c:dLbl>
              <c:idx val="3"/>
              <c:layout>
                <c:manualLayout>
                  <c:x val="-3.4435727179672158E-2"/>
                  <c:y val="-6.6948556941579959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2B1-46A8-94D0-DA4C5AFA1C47}"/>
                </c:ext>
              </c:extLst>
            </c:dLbl>
            <c:dLbl>
              <c:idx val="4"/>
              <c:layout>
                <c:manualLayout>
                  <c:x val="-1.8637938271775782E-2"/>
                  <c:y val="-6.3626708619041211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2B1-46A8-94D0-DA4C5AFA1C47}"/>
                </c:ext>
              </c:extLst>
            </c:dLbl>
            <c:dLbl>
              <c:idx val="5"/>
              <c:layout>
                <c:manualLayout>
                  <c:x val="-3.3691746352444082E-2"/>
                  <c:y val="-5.2379552455034915E-2"/>
                </c:manualLayout>
              </c:layout>
              <c:numFmt formatCode="#,#00" sourceLinked="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2B1-46A8-94D0-DA4C5AFA1C47}"/>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GHEA Grapalat"/>
                    <a:ea typeface="GHEA Grapalat"/>
                    <a:cs typeface="GHEA Grapala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8'!$F$2:$K$2</c:f>
              <c:numCache>
                <c:formatCode>General</c:formatCode>
                <c:ptCount val="6"/>
                <c:pt idx="0">
                  <c:v>2023</c:v>
                </c:pt>
                <c:pt idx="1">
                  <c:v>2024</c:v>
                </c:pt>
                <c:pt idx="2">
                  <c:v>2025</c:v>
                </c:pt>
                <c:pt idx="3">
                  <c:v>2026</c:v>
                </c:pt>
                <c:pt idx="4">
                  <c:v>2027</c:v>
                </c:pt>
                <c:pt idx="5">
                  <c:v>2028</c:v>
                </c:pt>
              </c:numCache>
            </c:numRef>
          </c:cat>
          <c:val>
            <c:numRef>
              <c:f>'chart 8'!$F$5:$K$5</c:f>
              <c:numCache>
                <c:formatCode>_ * #,##0.0_ ;_ * \-#,##0.0_ ;_ * "-"??_ ;_ @_ </c:formatCode>
                <c:ptCount val="6"/>
                <c:pt idx="0">
                  <c:v>675.10676035027006</c:v>
                </c:pt>
                <c:pt idx="1">
                  <c:v>764.78656614569991</c:v>
                </c:pt>
                <c:pt idx="2">
                  <c:v>1108.1453459807242</c:v>
                </c:pt>
                <c:pt idx="3">
                  <c:v>1060.0808059898734</c:v>
                </c:pt>
                <c:pt idx="4">
                  <c:v>1125.4728127441579</c:v>
                </c:pt>
                <c:pt idx="5">
                  <c:v>1202.333484255546</c:v>
                </c:pt>
              </c:numCache>
            </c:numRef>
          </c:val>
          <c:smooth val="0"/>
          <c:extLst>
            <c:ext xmlns:c16="http://schemas.microsoft.com/office/drawing/2014/chart" uri="{C3380CC4-5D6E-409C-BE32-E72D297353CC}">
              <c16:uniqueId val="{0000000D-E2B1-46A8-94D0-DA4C5AFA1C47}"/>
            </c:ext>
          </c:extLst>
        </c:ser>
        <c:dLbls>
          <c:showLegendKey val="0"/>
          <c:showVal val="0"/>
          <c:showCatName val="0"/>
          <c:showSerName val="0"/>
          <c:showPercent val="0"/>
          <c:showBubbleSize val="0"/>
        </c:dLbls>
        <c:marker val="1"/>
        <c:smooth val="0"/>
        <c:axId val="228921344"/>
        <c:axId val="248492544"/>
      </c:lineChart>
      <c:catAx>
        <c:axId val="228921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248492544"/>
        <c:crosses val="autoZero"/>
        <c:auto val="1"/>
        <c:lblAlgn val="ctr"/>
        <c:lblOffset val="100"/>
        <c:noMultiLvlLbl val="0"/>
      </c:catAx>
      <c:valAx>
        <c:axId val="248492544"/>
        <c:scaling>
          <c:orientation val="minMax"/>
          <c:max val="1300"/>
        </c:scaling>
        <c:delete val="0"/>
        <c:axPos val="l"/>
        <c:majorGridlines>
          <c:spPr>
            <a:ln w="9525" cap="flat" cmpd="sng" algn="ctr">
              <a:solidFill>
                <a:schemeClr val="tx1">
                  <a:lumMod val="15000"/>
                  <a:lumOff val="85000"/>
                </a:schemeClr>
              </a:solidFill>
              <a:round/>
            </a:ln>
            <a:effectLst>
              <a:glow>
                <a:srgbClr val="4F81BD">
                  <a:alpha val="40000"/>
                </a:srgbClr>
              </a:glow>
              <a:outerShdw dir="3540000" sx="1000" sy="1000" algn="ctr" rotWithShape="0">
                <a:srgbClr val="000000"/>
              </a:outerShdw>
              <a:softEdge rad="0"/>
            </a:effectLst>
          </c:spPr>
        </c:majorGridlines>
        <c:numFmt formatCode="#,##0" sourceLinked="0"/>
        <c:majorTickMark val="none"/>
        <c:minorTickMark val="none"/>
        <c:tickLblPos val="nextTo"/>
        <c:spPr>
          <a:ln w="6350">
            <a:no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228921344"/>
        <c:crosses val="autoZero"/>
        <c:crossBetween val="midCat"/>
        <c:majorUnit val="100"/>
      </c:valAx>
      <c:spPr>
        <a:noFill/>
        <a:ln w="25400">
          <a:noFill/>
        </a:ln>
      </c:spPr>
    </c:plotArea>
    <c:legend>
      <c:legendPos val="b"/>
      <c:layout>
        <c:manualLayout>
          <c:xMode val="edge"/>
          <c:yMode val="edge"/>
          <c:x val="5.0968312505240643E-2"/>
          <c:y val="0.89227395747878158"/>
          <c:w val="0.87466199175491133"/>
          <c:h val="9.4502500721976454E-2"/>
        </c:manualLayout>
      </c:layout>
      <c:overlay val="0"/>
      <c:spPr>
        <a:noFill/>
        <a:ln w="25400">
          <a:noFill/>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solidFill>
      <a:schemeClr val="bg1"/>
    </a:solidFill>
    <a:ln w="9525" cap="rnd" cmpd="sng" algn="ctr">
      <a:solidFill>
        <a:sysClr val="windowText" lastClr="000000">
          <a:lumMod val="15000"/>
          <a:lumOff val="85000"/>
        </a:sysClr>
      </a:solidFill>
      <a:round/>
    </a:ln>
    <a:effectLst/>
    <a:scene3d>
      <a:camera prst="orthographicFront"/>
      <a:lightRig rig="threePt" dir="t"/>
    </a:scene3d>
    <a:sp3d>
      <a:bevelT w="0"/>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418214232654126E-2"/>
          <c:y val="0.29057232507590686"/>
          <c:w val="0.9022861387609511"/>
          <c:h val="0.61103574459207632"/>
        </c:manualLayout>
      </c:layout>
      <c:barChart>
        <c:barDir val="col"/>
        <c:grouping val="clustered"/>
        <c:varyColors val="0"/>
        <c:ser>
          <c:idx val="0"/>
          <c:order val="0"/>
          <c:tx>
            <c:strRef>
              <c:f>'Graf Shock 7'!$B$36</c:f>
              <c:strCache>
                <c:ptCount val="1"/>
                <c:pt idx="0">
                  <c:v>Baseline</c:v>
                </c:pt>
              </c:strCache>
            </c:strRef>
          </c:tx>
          <c:spPr>
            <a:solidFill>
              <a:srgbClr val="4BACC6">
                <a:lumMod val="20000"/>
                <a:lumOff val="80000"/>
              </a:srgbClr>
            </a:solidFill>
            <a:ln>
              <a:solidFill>
                <a:srgbClr val="4F81BD">
                  <a:lumMod val="20000"/>
                  <a:lumOff val="80000"/>
                </a:srgb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'Graf Shock 7'!$C$35:$G$35</c:f>
              <c:numCache>
                <c:formatCode>General</c:formatCode>
                <c:ptCount val="5"/>
                <c:pt idx="0">
                  <c:v>2024</c:v>
                </c:pt>
                <c:pt idx="1">
                  <c:v>2025</c:v>
                </c:pt>
                <c:pt idx="2">
                  <c:v>2026</c:v>
                </c:pt>
                <c:pt idx="3">
                  <c:v>2027</c:v>
                </c:pt>
                <c:pt idx="4">
                  <c:v>2028</c:v>
                </c:pt>
              </c:numCache>
            </c:numRef>
          </c:cat>
          <c:val>
            <c:numRef>
              <c:f>'Graf Shock 7'!$C$36:$G$36</c:f>
              <c:numCache>
                <c:formatCode>_(* #,##0.0_);_(* \(#,##0.0\);_(* "-"??_);_(@_)</c:formatCode>
                <c:ptCount val="5"/>
                <c:pt idx="0">
                  <c:v>48.0000781259034</c:v>
                </c:pt>
                <c:pt idx="1">
                  <c:v>52.582708598477872</c:v>
                </c:pt>
                <c:pt idx="2">
                  <c:v>54.598364312252208</c:v>
                </c:pt>
                <c:pt idx="3">
                  <c:v>54.894614867480229</c:v>
                </c:pt>
                <c:pt idx="4">
                  <c:v>55.374495495028334</c:v>
                </c:pt>
              </c:numCache>
            </c:numRef>
          </c:val>
          <c:extLst>
            <c:ext xmlns:c16="http://schemas.microsoft.com/office/drawing/2014/chart" uri="{C3380CC4-5D6E-409C-BE32-E72D297353CC}">
              <c16:uniqueId val="{00000000-9CE5-4B99-BAC1-A7DAEAB76E36}"/>
            </c:ext>
          </c:extLst>
        </c:ser>
        <c:ser>
          <c:idx val="1"/>
          <c:order val="1"/>
          <c:tx>
            <c:strRef>
              <c:f>'Graf Shock 7'!$B$37</c:f>
              <c:strCache>
                <c:ptCount val="1"/>
                <c:pt idx="0">
                  <c:v>Exchange rate shock (23%)</c:v>
                </c:pt>
              </c:strCache>
            </c:strRef>
          </c:tx>
          <c:spPr>
            <a:solidFill>
              <a:srgbClr val="1F497D">
                <a:lumMod val="60000"/>
                <a:lumOff val="40000"/>
              </a:srgbClr>
            </a:solidFill>
            <a:ln>
              <a:solidFill>
                <a:srgbClr val="0000FF"/>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'Graf Shock 7'!$C$35:$G$35</c:f>
              <c:numCache>
                <c:formatCode>General</c:formatCode>
                <c:ptCount val="5"/>
                <c:pt idx="0">
                  <c:v>2024</c:v>
                </c:pt>
                <c:pt idx="1">
                  <c:v>2025</c:v>
                </c:pt>
                <c:pt idx="2">
                  <c:v>2026</c:v>
                </c:pt>
                <c:pt idx="3">
                  <c:v>2027</c:v>
                </c:pt>
                <c:pt idx="4">
                  <c:v>2028</c:v>
                </c:pt>
              </c:numCache>
            </c:numRef>
          </c:cat>
          <c:val>
            <c:numRef>
              <c:f>'Graf Shock 7'!$C$37:$G$37</c:f>
              <c:numCache>
                <c:formatCode>_(* #,##0.0_);_(* \(#,##0.0\);_(* "-"??_);_(@_)</c:formatCode>
                <c:ptCount val="5"/>
                <c:pt idx="1">
                  <c:v>57.43018977174215</c:v>
                </c:pt>
                <c:pt idx="2">
                  <c:v>59.63314217159666</c:v>
                </c:pt>
                <c:pt idx="3">
                  <c:v>59.946883358066643</c:v>
                </c:pt>
                <c:pt idx="4">
                  <c:v>60.54517909488267</c:v>
                </c:pt>
              </c:numCache>
            </c:numRef>
          </c:val>
          <c:extLst>
            <c:ext xmlns:c16="http://schemas.microsoft.com/office/drawing/2014/chart" uri="{C3380CC4-5D6E-409C-BE32-E72D297353CC}">
              <c16:uniqueId val="{00000001-9CE5-4B99-BAC1-A7DAEAB76E36}"/>
            </c:ext>
          </c:extLst>
        </c:ser>
        <c:ser>
          <c:idx val="2"/>
          <c:order val="2"/>
          <c:tx>
            <c:strRef>
              <c:f>'Graf Shock 7'!$B$38</c:f>
              <c:strCache>
                <c:ptCount val="1"/>
                <c:pt idx="0">
                  <c:v>Exchange rate shock (30%)</c:v>
                </c:pt>
              </c:strCache>
            </c:strRef>
          </c:tx>
          <c:spPr>
            <a:solidFill>
              <a:srgbClr val="1F497D">
                <a:lumMod val="75000"/>
              </a:srgbClr>
            </a:solidFill>
            <a:ln>
              <a:solidFill>
                <a:srgbClr val="6496FA"/>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'Graf Shock 7'!$C$35:$G$35</c:f>
              <c:numCache>
                <c:formatCode>General</c:formatCode>
                <c:ptCount val="5"/>
                <c:pt idx="0">
                  <c:v>2024</c:v>
                </c:pt>
                <c:pt idx="1">
                  <c:v>2025</c:v>
                </c:pt>
                <c:pt idx="2">
                  <c:v>2026</c:v>
                </c:pt>
                <c:pt idx="3">
                  <c:v>2027</c:v>
                </c:pt>
                <c:pt idx="4">
                  <c:v>2028</c:v>
                </c:pt>
              </c:numCache>
            </c:numRef>
          </c:cat>
          <c:val>
            <c:numRef>
              <c:f>'Graf Shock 7'!$C$38:$G$38</c:f>
              <c:numCache>
                <c:formatCode>_(* #,##0.0_);_(* \(#,##0.0\);_(* "-"??_);_(@_)</c:formatCode>
                <c:ptCount val="5"/>
                <c:pt idx="1">
                  <c:v>59.261707450094498</c:v>
                </c:pt>
                <c:pt idx="2">
                  <c:v>61.535425919870981</c:v>
                </c:pt>
                <c:pt idx="3">
                  <c:v>61.855775569412863</c:v>
                </c:pt>
                <c:pt idx="4">
                  <c:v>62.498811937137226</c:v>
                </c:pt>
              </c:numCache>
            </c:numRef>
          </c:val>
          <c:extLst>
            <c:ext xmlns:c16="http://schemas.microsoft.com/office/drawing/2014/chart" uri="{C3380CC4-5D6E-409C-BE32-E72D297353CC}">
              <c16:uniqueId val="{00000002-9CE5-4B99-BAC1-A7DAEAB76E36}"/>
            </c:ext>
          </c:extLst>
        </c:ser>
        <c:dLbls>
          <c:showLegendKey val="0"/>
          <c:showVal val="0"/>
          <c:showCatName val="0"/>
          <c:showSerName val="0"/>
          <c:showPercent val="0"/>
          <c:showBubbleSize val="0"/>
        </c:dLbls>
        <c:gapWidth val="150"/>
        <c:axId val="249916928"/>
        <c:axId val="140973696"/>
      </c:barChart>
      <c:catAx>
        <c:axId val="249916928"/>
        <c:scaling>
          <c:orientation val="minMax"/>
        </c:scaling>
        <c:delete val="0"/>
        <c:axPos val="b"/>
        <c:numFmt formatCode="General" sourceLinked="1"/>
        <c:majorTickMark val="out"/>
        <c:minorTickMark val="none"/>
        <c:tickLblPos val="nextTo"/>
        <c:txPr>
          <a:bodyPr rot="0" vert="horz"/>
          <a:lstStyle/>
          <a:p>
            <a:pPr>
              <a:defRPr/>
            </a:pPr>
            <a:endParaRPr lang="en-US"/>
          </a:p>
        </c:txPr>
        <c:crossAx val="140973696"/>
        <c:crosses val="autoZero"/>
        <c:auto val="1"/>
        <c:lblAlgn val="ctr"/>
        <c:lblOffset val="100"/>
        <c:noMultiLvlLbl val="0"/>
      </c:catAx>
      <c:valAx>
        <c:axId val="140973696"/>
        <c:scaling>
          <c:orientation val="minMax"/>
          <c:min val="20"/>
        </c:scaling>
        <c:delete val="1"/>
        <c:axPos val="l"/>
        <c:numFmt formatCode="0" sourceLinked="0"/>
        <c:majorTickMark val="out"/>
        <c:minorTickMark val="none"/>
        <c:tickLblPos val="nextTo"/>
        <c:crossAx val="249916928"/>
        <c:crosses val="autoZero"/>
        <c:crossBetween val="between"/>
        <c:majorUnit val="1"/>
      </c:valAx>
    </c:plotArea>
    <c:legend>
      <c:legendPos val="r"/>
      <c:layout>
        <c:manualLayout>
          <c:xMode val="edge"/>
          <c:yMode val="edge"/>
          <c:x val="0.13811776082867316"/>
          <c:y val="1.8104972412680893E-2"/>
          <c:w val="0.28207386807655205"/>
          <c:h val="0.25998732917006062"/>
        </c:manualLayout>
      </c:layout>
      <c:overlay val="0"/>
    </c:legend>
    <c:plotVisOnly val="1"/>
    <c:dispBlanksAs val="gap"/>
    <c:showDLblsOverMax val="0"/>
  </c:chart>
  <c:spPr>
    <a:ln>
      <a:solidFill>
        <a:schemeClr val="bg1">
          <a:lumMod val="85000"/>
        </a:schemeClr>
      </a:solidFill>
    </a:ln>
  </c:spPr>
  <c:txPr>
    <a:bodyPr/>
    <a:lstStyle/>
    <a:p>
      <a:pPr>
        <a:defRPr sz="800" b="0" i="0" u="none" strike="noStrike" baseline="0">
          <a:solidFill>
            <a:srgbClr val="000000"/>
          </a:solidFill>
          <a:latin typeface="GHEA Grapalat" panose="02000506050000020003" pitchFamily="50" charset="0"/>
          <a:ea typeface="Calibri"/>
          <a:cs typeface="Calibri"/>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0.33394</cdr:x>
      <cdr:y>0.01022</cdr:y>
    </cdr:from>
    <cdr:to>
      <cdr:x>0.97984</cdr:x>
      <cdr:y>0.88093</cdr:y>
    </cdr:to>
    <cdr:sp macro="" textlink="">
      <cdr:nvSpPr>
        <cdr:cNvPr id="3" name="Rectangle 2"/>
        <cdr:cNvSpPr/>
      </cdr:nvSpPr>
      <cdr:spPr>
        <a:xfrm xmlns:a="http://schemas.openxmlformats.org/drawingml/2006/main">
          <a:off x="2110765" y="40006"/>
          <a:ext cx="4082598" cy="3406960"/>
        </a:xfrm>
        <a:prstGeom xmlns:a="http://schemas.openxmlformats.org/drawingml/2006/main" prst="rect">
          <a:avLst/>
        </a:prstGeom>
        <a:solidFill xmlns:a="http://schemas.openxmlformats.org/drawingml/2006/main">
          <a:schemeClr val="accent2">
            <a:alpha val="10000"/>
          </a:schemeClr>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0.50202</cdr:x>
      <cdr:y>0</cdr:y>
    </cdr:from>
    <cdr:to>
      <cdr:x>0.6636</cdr:x>
      <cdr:y>0.06059</cdr:y>
    </cdr:to>
    <cdr:sp macro="" textlink="">
      <cdr:nvSpPr>
        <cdr:cNvPr id="4" name="ZoneTexte 3"/>
        <cdr:cNvSpPr txBox="1"/>
      </cdr:nvSpPr>
      <cdr:spPr>
        <a:xfrm xmlns:a="http://schemas.openxmlformats.org/drawingml/2006/main">
          <a:off x="3326186" y="0"/>
          <a:ext cx="1070554" cy="238126"/>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pPr algn="ctr"/>
          <a:r>
            <a:rPr lang="fr-CH" sz="900" b="0">
              <a:solidFill>
                <a:schemeClr val="accent2"/>
              </a:solidFill>
              <a:latin typeface="GHEA Grapalat" pitchFamily="50" charset="0"/>
            </a:rPr>
            <a:t>Forecast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70A2C-78A1-4DCC-A1AB-CB4B10D9C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34</Pages>
  <Words>9741</Words>
  <Characters>53006</Characters>
  <Application>Microsoft Office Word</Application>
  <DocSecurity>0</DocSecurity>
  <Lines>441</Lines>
  <Paragraphs>125</Paragraphs>
  <ScaleCrop>false</ScaleCrop>
  <HeadingPairs>
    <vt:vector size="2" baseType="variant">
      <vt:variant>
        <vt:lpstr>Title</vt:lpstr>
      </vt:variant>
      <vt:variant>
        <vt:i4>1</vt:i4>
      </vt:variant>
    </vt:vector>
  </HeadingPairs>
  <TitlesOfParts>
    <vt:vector size="1" baseType="lpstr">
      <vt:lpstr>¶ÈàôÊ 11</vt:lpstr>
    </vt:vector>
  </TitlesOfParts>
  <Company/>
  <LinksUpToDate>false</LinksUpToDate>
  <CharactersWithSpaces>62622</CharactersWithSpaces>
  <SharedDoc>false</SharedDoc>
  <HLinks>
    <vt:vector size="84" baseType="variant">
      <vt:variant>
        <vt:i4>1441840</vt:i4>
      </vt:variant>
      <vt:variant>
        <vt:i4>80</vt:i4>
      </vt:variant>
      <vt:variant>
        <vt:i4>0</vt:i4>
      </vt:variant>
      <vt:variant>
        <vt:i4>5</vt:i4>
      </vt:variant>
      <vt:variant>
        <vt:lpwstr/>
      </vt:variant>
      <vt:variant>
        <vt:lpwstr>_Toc137513741</vt:lpwstr>
      </vt:variant>
      <vt:variant>
        <vt:i4>1441840</vt:i4>
      </vt:variant>
      <vt:variant>
        <vt:i4>74</vt:i4>
      </vt:variant>
      <vt:variant>
        <vt:i4>0</vt:i4>
      </vt:variant>
      <vt:variant>
        <vt:i4>5</vt:i4>
      </vt:variant>
      <vt:variant>
        <vt:lpwstr/>
      </vt:variant>
      <vt:variant>
        <vt:lpwstr>_Toc137513740</vt:lpwstr>
      </vt:variant>
      <vt:variant>
        <vt:i4>1114160</vt:i4>
      </vt:variant>
      <vt:variant>
        <vt:i4>68</vt:i4>
      </vt:variant>
      <vt:variant>
        <vt:i4>0</vt:i4>
      </vt:variant>
      <vt:variant>
        <vt:i4>5</vt:i4>
      </vt:variant>
      <vt:variant>
        <vt:lpwstr/>
      </vt:variant>
      <vt:variant>
        <vt:lpwstr>_Toc137513739</vt:lpwstr>
      </vt:variant>
      <vt:variant>
        <vt:i4>1114160</vt:i4>
      </vt:variant>
      <vt:variant>
        <vt:i4>62</vt:i4>
      </vt:variant>
      <vt:variant>
        <vt:i4>0</vt:i4>
      </vt:variant>
      <vt:variant>
        <vt:i4>5</vt:i4>
      </vt:variant>
      <vt:variant>
        <vt:lpwstr/>
      </vt:variant>
      <vt:variant>
        <vt:lpwstr>_Toc137513738</vt:lpwstr>
      </vt:variant>
      <vt:variant>
        <vt:i4>1114160</vt:i4>
      </vt:variant>
      <vt:variant>
        <vt:i4>56</vt:i4>
      </vt:variant>
      <vt:variant>
        <vt:i4>0</vt:i4>
      </vt:variant>
      <vt:variant>
        <vt:i4>5</vt:i4>
      </vt:variant>
      <vt:variant>
        <vt:lpwstr/>
      </vt:variant>
      <vt:variant>
        <vt:lpwstr>_Toc137513737</vt:lpwstr>
      </vt:variant>
      <vt:variant>
        <vt:i4>1114160</vt:i4>
      </vt:variant>
      <vt:variant>
        <vt:i4>50</vt:i4>
      </vt:variant>
      <vt:variant>
        <vt:i4>0</vt:i4>
      </vt:variant>
      <vt:variant>
        <vt:i4>5</vt:i4>
      </vt:variant>
      <vt:variant>
        <vt:lpwstr/>
      </vt:variant>
      <vt:variant>
        <vt:lpwstr>_Toc137513736</vt:lpwstr>
      </vt:variant>
      <vt:variant>
        <vt:i4>1114160</vt:i4>
      </vt:variant>
      <vt:variant>
        <vt:i4>44</vt:i4>
      </vt:variant>
      <vt:variant>
        <vt:i4>0</vt:i4>
      </vt:variant>
      <vt:variant>
        <vt:i4>5</vt:i4>
      </vt:variant>
      <vt:variant>
        <vt:lpwstr/>
      </vt:variant>
      <vt:variant>
        <vt:lpwstr>_Toc137513735</vt:lpwstr>
      </vt:variant>
      <vt:variant>
        <vt:i4>1114160</vt:i4>
      </vt:variant>
      <vt:variant>
        <vt:i4>38</vt:i4>
      </vt:variant>
      <vt:variant>
        <vt:i4>0</vt:i4>
      </vt:variant>
      <vt:variant>
        <vt:i4>5</vt:i4>
      </vt:variant>
      <vt:variant>
        <vt:lpwstr/>
      </vt:variant>
      <vt:variant>
        <vt:lpwstr>_Toc137513734</vt:lpwstr>
      </vt:variant>
      <vt:variant>
        <vt:i4>1114160</vt:i4>
      </vt:variant>
      <vt:variant>
        <vt:i4>32</vt:i4>
      </vt:variant>
      <vt:variant>
        <vt:i4>0</vt:i4>
      </vt:variant>
      <vt:variant>
        <vt:i4>5</vt:i4>
      </vt:variant>
      <vt:variant>
        <vt:lpwstr/>
      </vt:variant>
      <vt:variant>
        <vt:lpwstr>_Toc137513733</vt:lpwstr>
      </vt:variant>
      <vt:variant>
        <vt:i4>1114160</vt:i4>
      </vt:variant>
      <vt:variant>
        <vt:i4>26</vt:i4>
      </vt:variant>
      <vt:variant>
        <vt:i4>0</vt:i4>
      </vt:variant>
      <vt:variant>
        <vt:i4>5</vt:i4>
      </vt:variant>
      <vt:variant>
        <vt:lpwstr/>
      </vt:variant>
      <vt:variant>
        <vt:lpwstr>_Toc137513732</vt:lpwstr>
      </vt:variant>
      <vt:variant>
        <vt:i4>1114160</vt:i4>
      </vt:variant>
      <vt:variant>
        <vt:i4>20</vt:i4>
      </vt:variant>
      <vt:variant>
        <vt:i4>0</vt:i4>
      </vt:variant>
      <vt:variant>
        <vt:i4>5</vt:i4>
      </vt:variant>
      <vt:variant>
        <vt:lpwstr/>
      </vt:variant>
      <vt:variant>
        <vt:lpwstr>_Toc137513731</vt:lpwstr>
      </vt:variant>
      <vt:variant>
        <vt:i4>1114160</vt:i4>
      </vt:variant>
      <vt:variant>
        <vt:i4>14</vt:i4>
      </vt:variant>
      <vt:variant>
        <vt:i4>0</vt:i4>
      </vt:variant>
      <vt:variant>
        <vt:i4>5</vt:i4>
      </vt:variant>
      <vt:variant>
        <vt:lpwstr/>
      </vt:variant>
      <vt:variant>
        <vt:lpwstr>_Toc137513730</vt:lpwstr>
      </vt:variant>
      <vt:variant>
        <vt:i4>1048624</vt:i4>
      </vt:variant>
      <vt:variant>
        <vt:i4>8</vt:i4>
      </vt:variant>
      <vt:variant>
        <vt:i4>0</vt:i4>
      </vt:variant>
      <vt:variant>
        <vt:i4>5</vt:i4>
      </vt:variant>
      <vt:variant>
        <vt:lpwstr/>
      </vt:variant>
      <vt:variant>
        <vt:lpwstr>_Toc137513729</vt:lpwstr>
      </vt:variant>
      <vt:variant>
        <vt:i4>1048624</vt:i4>
      </vt:variant>
      <vt:variant>
        <vt:i4>2</vt:i4>
      </vt:variant>
      <vt:variant>
        <vt:i4>0</vt:i4>
      </vt:variant>
      <vt:variant>
        <vt:i4>5</vt:i4>
      </vt:variant>
      <vt:variant>
        <vt:lpwstr/>
      </vt:variant>
      <vt:variant>
        <vt:lpwstr>_Toc137513728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subject/>
  <dc:creator>mariam</dc:creator>
  <cp:keywords>https://mul2-minfin.gov.am/tasks/1046648/oneclick?token=94d28f282badbc6d757b3b97c6f13dda</cp:keywords>
  <cp:lastModifiedBy>Anzhelika Stepanyan</cp:lastModifiedBy>
  <cp:revision>21</cp:revision>
  <cp:lastPrinted>2022-07-14T12:15:00Z</cp:lastPrinted>
  <dcterms:created xsi:type="dcterms:W3CDTF">2025-08-08T13:28:00Z</dcterms:created>
  <dcterms:modified xsi:type="dcterms:W3CDTF">2025-08-13T10:36:00Z</dcterms:modified>
</cp:coreProperties>
</file>