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74" w:rsidRPr="0094799F" w:rsidRDefault="006953EF" w:rsidP="0094799F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  <w:bookmarkStart w:id="0" w:name="OLE_LINK1"/>
      <w:bookmarkStart w:id="1" w:name="_GoBack"/>
      <w:bookmarkEnd w:id="1"/>
      <w:r w:rsidRPr="0094799F">
        <w:rPr>
          <w:rFonts w:ascii="GHEA Grapalat" w:hAnsi="GHEA Grapalat" w:cs="GHEA Grapalat"/>
          <w:b/>
        </w:rPr>
        <w:t>ՀՀ պետական բյուջեի կատարման ամփոփ</w:t>
      </w:r>
      <w:r w:rsidR="00F91C74" w:rsidRPr="0094799F">
        <w:rPr>
          <w:rFonts w:ascii="GHEA Grapalat" w:hAnsi="GHEA Grapalat" w:cs="GHEA Grapalat"/>
          <w:b/>
          <w:lang w:val="hy-AM"/>
        </w:rPr>
        <w:t xml:space="preserve"> </w:t>
      </w:r>
      <w:r w:rsidR="00F91C74" w:rsidRPr="0094799F">
        <w:rPr>
          <w:rFonts w:ascii="GHEA Grapalat" w:hAnsi="GHEA Grapalat" w:cs="GHEA Grapalat"/>
          <w:b/>
        </w:rPr>
        <w:t>բնութագիր</w:t>
      </w:r>
      <w:r w:rsidR="00F91C74" w:rsidRPr="0094799F">
        <w:rPr>
          <w:rFonts w:ascii="GHEA Grapalat" w:hAnsi="GHEA Grapalat" w:cs="GHEA Grapalat"/>
          <w:b/>
          <w:lang w:val="hy-AM"/>
        </w:rPr>
        <w:t>ը</w:t>
      </w:r>
    </w:p>
    <w:p w:rsidR="006953EF" w:rsidRPr="0094799F" w:rsidRDefault="00F91C74" w:rsidP="0094799F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  <w:r w:rsidRPr="0094799F">
        <w:rPr>
          <w:rFonts w:ascii="GHEA Grapalat" w:hAnsi="GHEA Grapalat" w:cs="GHEA Grapalat"/>
          <w:b/>
          <w:lang w:val="hy-AM"/>
        </w:rPr>
        <w:t xml:space="preserve">2025 թվականի </w:t>
      </w:r>
      <w:r w:rsidRPr="0094799F">
        <w:rPr>
          <w:rFonts w:ascii="GHEA Grapalat" w:hAnsi="GHEA Grapalat" w:cs="Sylfaen"/>
          <w:b/>
          <w:lang w:val="hy-AM"/>
        </w:rPr>
        <w:t>հունվար-</w:t>
      </w:r>
      <w:r w:rsidR="005E6174" w:rsidRPr="0094799F">
        <w:rPr>
          <w:rFonts w:ascii="GHEA Grapalat" w:hAnsi="GHEA Grapalat" w:cs="Sylfaen"/>
          <w:b/>
          <w:lang w:val="hy-AM"/>
        </w:rPr>
        <w:t>մայիս</w:t>
      </w:r>
      <w:r w:rsidRPr="0094799F">
        <w:rPr>
          <w:rFonts w:ascii="GHEA Grapalat" w:hAnsi="GHEA Grapalat" w:cs="Sylfaen"/>
          <w:b/>
          <w:lang w:val="hy-AM"/>
        </w:rPr>
        <w:t xml:space="preserve"> ամիսների</w:t>
      </w:r>
      <w:r w:rsidRPr="0094799F">
        <w:rPr>
          <w:rFonts w:ascii="GHEA Grapalat" w:hAnsi="GHEA Grapalat" w:cs="GHEA Grapalat"/>
          <w:b/>
          <w:lang w:val="hy-AM"/>
        </w:rPr>
        <w:t>ն</w:t>
      </w:r>
      <w:r w:rsidR="0022046E" w:rsidRPr="0094799F">
        <w:rPr>
          <w:rStyle w:val="FootnoteReference"/>
          <w:rFonts w:ascii="GHEA Grapalat" w:hAnsi="GHEA Grapalat" w:cs="GHEA Grapalat"/>
          <w:b/>
        </w:rPr>
        <w:footnoteReference w:id="1"/>
      </w:r>
    </w:p>
    <w:p w:rsidR="003862E9" w:rsidRPr="0094799F" w:rsidRDefault="003862E9" w:rsidP="0094799F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</w:p>
    <w:bookmarkEnd w:id="0"/>
    <w:p w:rsidR="00901957" w:rsidRPr="0094799F" w:rsidRDefault="00FD61B0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>202</w:t>
      </w:r>
      <w:r w:rsidR="00901258" w:rsidRPr="0094799F">
        <w:rPr>
          <w:rFonts w:ascii="GHEA Grapalat" w:hAnsi="GHEA Grapalat" w:cs="GHEA Grapalat"/>
          <w:color w:val="000000"/>
          <w:lang w:val="hy-AM"/>
        </w:rPr>
        <w:t>5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="00F91C74" w:rsidRPr="0094799F">
        <w:rPr>
          <w:rFonts w:ascii="GHEA Grapalat" w:hAnsi="GHEA Grapalat" w:cs="GHEA Grapalat"/>
          <w:color w:val="000000"/>
          <w:lang w:val="hy-AM"/>
        </w:rPr>
        <w:t>հունվար-</w:t>
      </w:r>
      <w:r w:rsidR="005E6174" w:rsidRPr="0094799F">
        <w:rPr>
          <w:rFonts w:ascii="GHEA Grapalat" w:hAnsi="GHEA Grapalat" w:cs="GHEA Grapalat"/>
          <w:color w:val="000000"/>
          <w:lang w:val="hy-AM"/>
        </w:rPr>
        <w:t>մայիս</w:t>
      </w:r>
      <w:r w:rsidR="00F91C74" w:rsidRPr="0094799F">
        <w:rPr>
          <w:rFonts w:ascii="GHEA Grapalat" w:hAnsi="GHEA Grapalat" w:cs="GHEA Grapalat"/>
          <w:color w:val="000000"/>
          <w:lang w:val="hy-AM"/>
        </w:rPr>
        <w:t xml:space="preserve"> ամիսներին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ՀՀ պետական բյուջեի եկամուտները կազմել են </w:t>
      </w:r>
      <w:r w:rsidR="003662FB" w:rsidRPr="0094799F">
        <w:rPr>
          <w:rFonts w:ascii="GHEA Grapalat" w:hAnsi="GHEA Grapalat" w:cs="GHEA Grapalat"/>
          <w:color w:val="000000"/>
          <w:lang w:val="hy-AM"/>
        </w:rPr>
        <w:t>1,179</w:t>
      </w:r>
      <w:r w:rsidR="009E00AB" w:rsidRPr="0094799F">
        <w:rPr>
          <w:rFonts w:ascii="GHEA Grapalat" w:hAnsi="GHEA Grapalat" w:cs="GHEA Grapalat"/>
          <w:color w:val="000000"/>
          <w:lang w:val="hy-AM"/>
        </w:rPr>
        <w:t>.</w:t>
      </w:r>
      <w:r w:rsidR="003662FB" w:rsidRPr="0094799F">
        <w:rPr>
          <w:rFonts w:ascii="GHEA Grapalat" w:hAnsi="GHEA Grapalat" w:cs="GHEA Grapalat"/>
          <w:color w:val="000000"/>
          <w:lang w:val="hy-AM"/>
        </w:rPr>
        <w:t>7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մլրդ դրամ, ծախսերը` </w:t>
      </w:r>
      <w:r w:rsidR="00982B09" w:rsidRPr="0094799F">
        <w:rPr>
          <w:rFonts w:ascii="GHEA Grapalat" w:hAnsi="GHEA Grapalat" w:cs="GHEA Grapalat"/>
          <w:color w:val="000000"/>
          <w:lang w:val="hy-AM"/>
        </w:rPr>
        <w:t xml:space="preserve">1,202.9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մլրդ դրամ, </w:t>
      </w:r>
      <w:r w:rsidR="00982B09" w:rsidRPr="0094799F">
        <w:rPr>
          <w:rFonts w:ascii="GHEA Grapalat" w:hAnsi="GHEA Grapalat" w:cs="GHEA Grapalat"/>
          <w:color w:val="000000"/>
          <w:lang w:val="hy-AM"/>
        </w:rPr>
        <w:t>պակասուրդ</w:t>
      </w:r>
      <w:r w:rsidRPr="0094799F">
        <w:rPr>
          <w:rFonts w:ascii="GHEA Grapalat" w:hAnsi="GHEA Grapalat" w:cs="GHEA Grapalat"/>
          <w:color w:val="000000"/>
          <w:lang w:val="hy-AM"/>
        </w:rPr>
        <w:t>ը՝</w:t>
      </w:r>
      <w:r w:rsidR="008269CE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C6473A" w:rsidRPr="0094799F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982B09" w:rsidRPr="0094799F">
        <w:rPr>
          <w:rFonts w:ascii="GHEA Grapalat" w:hAnsi="GHEA Grapalat" w:cs="GHEA Grapalat"/>
          <w:color w:val="000000"/>
          <w:lang w:val="hy-AM"/>
        </w:rPr>
        <w:t>23.2</w:t>
      </w:r>
      <w:r w:rsidR="00313431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0C77FF" w:rsidRPr="0094799F">
        <w:rPr>
          <w:rFonts w:ascii="GHEA Grapalat" w:hAnsi="GHEA Grapalat" w:cs="GHEA Grapalat"/>
          <w:color w:val="000000"/>
          <w:lang w:val="hy-AM"/>
        </w:rPr>
        <w:t xml:space="preserve">մլրդ դրամ: </w:t>
      </w:r>
      <w:r w:rsidR="004576B0" w:rsidRPr="0094799F">
        <w:rPr>
          <w:rFonts w:ascii="GHEA Grapalat" w:hAnsi="GHEA Grapalat" w:cs="GHEA Grapalat"/>
          <w:color w:val="000000"/>
          <w:lang w:val="hy-AM"/>
        </w:rPr>
        <w:t>Պետական բյուջեի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ծրագրային և փաստացի</w:t>
      </w:r>
      <w:r w:rsidR="004576B0" w:rsidRPr="0094799F">
        <w:rPr>
          <w:rFonts w:ascii="GHEA Grapalat" w:hAnsi="GHEA Grapalat" w:cs="GHEA Grapalat"/>
          <w:color w:val="000000"/>
          <w:lang w:val="hy-AM"/>
        </w:rPr>
        <w:t xml:space="preserve"> ցուցանիշներում, պետության դրամական միջոցների համախմբված հաշվառման նպատակով, ներառվել են առանց սահմանափակման կատարվող վճարումները և վերջիններիս արդյունքում ձևավորված եկամուտները՝ ելնելով</w:t>
      </w:r>
      <w:r w:rsidR="004576B0" w:rsidRPr="0094799F" w:rsidDel="004576B0">
        <w:rPr>
          <w:rFonts w:ascii="GHEA Grapalat" w:hAnsi="GHEA Grapalat" w:cs="GHEA Grapalat"/>
          <w:color w:val="000000"/>
          <w:lang w:val="hy-AM"/>
        </w:rPr>
        <w:t xml:space="preserve"> </w:t>
      </w:r>
      <w:r w:rsidR="00901957" w:rsidRPr="0094799F">
        <w:rPr>
          <w:rFonts w:ascii="GHEA Grapalat" w:hAnsi="GHEA Grapalat" w:cs="GHEA Grapalat"/>
          <w:color w:val="000000"/>
          <w:lang w:val="hy-AM"/>
        </w:rPr>
        <w:t>«Հայաստանի Հանրապետության 202</w:t>
      </w:r>
      <w:r w:rsidR="00D908F5" w:rsidRPr="0094799F">
        <w:rPr>
          <w:rFonts w:ascii="GHEA Grapalat" w:hAnsi="GHEA Grapalat" w:cs="GHEA Grapalat"/>
          <w:color w:val="000000"/>
          <w:lang w:val="hy-AM"/>
        </w:rPr>
        <w:t>5</w:t>
      </w:r>
      <w:r w:rsidR="00901957" w:rsidRPr="0094799F">
        <w:rPr>
          <w:rFonts w:ascii="GHEA Grapalat" w:hAnsi="GHEA Grapalat" w:cs="GHEA Grapalat"/>
          <w:color w:val="000000"/>
          <w:lang w:val="hy-AM"/>
        </w:rPr>
        <w:t xml:space="preserve"> թվականի պետ</w:t>
      </w:r>
      <w:r w:rsidR="005C0DFC" w:rsidRPr="0094799F">
        <w:rPr>
          <w:rFonts w:ascii="GHEA Grapalat" w:hAnsi="GHEA Grapalat" w:cs="GHEA Grapalat"/>
          <w:color w:val="000000"/>
          <w:lang w:val="hy-AM"/>
        </w:rPr>
        <w:t>ական բյուջեի մասին» ՀՀ օրենքի 9</w:t>
      </w:r>
      <w:r w:rsidR="005C0DFC" w:rsidRPr="0094799F">
        <w:rPr>
          <w:rFonts w:ascii="GHEA Grapalat" w:hAnsi="GHEA Grapalat" w:cs="GHEA Grapalat"/>
          <w:color w:val="000000"/>
          <w:lang w:val="hy-AM"/>
        </w:rPr>
        <w:noBreakHyphen/>
      </w:r>
      <w:r w:rsidR="00901957" w:rsidRPr="0094799F">
        <w:rPr>
          <w:rFonts w:ascii="GHEA Grapalat" w:hAnsi="GHEA Grapalat" w:cs="GHEA Grapalat"/>
          <w:color w:val="000000"/>
          <w:lang w:val="hy-AM"/>
        </w:rPr>
        <w:t>րդ հոդվածի 2</w:t>
      </w:r>
      <w:r w:rsidR="00901957" w:rsidRPr="0094799F">
        <w:rPr>
          <w:rFonts w:ascii="GHEA Grapalat" w:hAnsi="GHEA Grapalat" w:cs="GHEA Grapalat"/>
          <w:color w:val="000000"/>
          <w:lang w:val="hy-AM"/>
        </w:rPr>
        <w:noBreakHyphen/>
        <w:t>րդ կետի պահանջներից:</w:t>
      </w:r>
      <w:r w:rsidR="004576B0" w:rsidRPr="0094799F">
        <w:rPr>
          <w:rFonts w:ascii="GHEA Grapalat" w:hAnsi="GHEA Grapalat" w:cs="GHEA Grapalat"/>
          <w:color w:val="000000"/>
          <w:lang w:val="hy-AM"/>
        </w:rPr>
        <w:t xml:space="preserve"> Նշենք,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կատարումը:</w:t>
      </w:r>
    </w:p>
    <w:p w:rsidR="004576B0" w:rsidRPr="0094799F" w:rsidRDefault="004576B0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154F03" w:rsidRPr="0094799F" w:rsidRDefault="00B727E5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3402" w:hanging="3402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</w:t>
      </w:r>
      <w:r w:rsidR="00154F03"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պետական բյուջեի ցուցանիշները</w:t>
      </w:r>
      <w:r w:rsidR="00E0092A"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(մլրդ դրամ</w:t>
      </w:r>
      <w:r w:rsidR="005B064D"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701"/>
        <w:gridCol w:w="1843"/>
        <w:gridCol w:w="2268"/>
        <w:gridCol w:w="1837"/>
      </w:tblGrid>
      <w:tr w:rsidR="00F163D0" w:rsidRPr="0094799F" w:rsidTr="00E97BEA">
        <w:trPr>
          <w:trHeight w:val="105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F163D0" w:rsidRPr="0094799F" w:rsidRDefault="00F163D0" w:rsidP="0094799F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163D0" w:rsidRPr="0094799F" w:rsidRDefault="000B507C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F163D0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F91C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կիս</w:t>
            </w:r>
            <w:r w:rsidR="000C77FF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ամյակի</w:t>
            </w:r>
            <w:r w:rsidR="00F163D0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ճշտված պլան</w:t>
            </w:r>
          </w:p>
          <w:p w:rsidR="00F163D0" w:rsidRPr="0094799F" w:rsidRDefault="00F163D0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91C74" w:rsidRPr="0094799F" w:rsidRDefault="006953EF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</w:p>
          <w:p w:rsidR="00F163D0" w:rsidRPr="0094799F" w:rsidRDefault="00F91C74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ունվար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ների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6953EF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փաստ</w:t>
            </w:r>
          </w:p>
        </w:tc>
        <w:tc>
          <w:tcPr>
            <w:tcW w:w="2268" w:type="dxa"/>
            <w:shd w:val="clear" w:color="auto" w:fill="auto"/>
            <w:hideMark/>
          </w:tcPr>
          <w:p w:rsidR="00F163D0" w:rsidRPr="0094799F" w:rsidRDefault="00F163D0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Կատարողական</w:t>
            </w:r>
            <w:r w:rsidR="005A5102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0B507C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0C77FF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F91C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կիս</w:t>
            </w:r>
            <w:r w:rsidR="000C77FF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ամյակի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ճշտված պլանի նկատմամբ</w:t>
            </w:r>
            <w:r w:rsidR="00244958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837" w:type="dxa"/>
            <w:shd w:val="clear" w:color="auto" w:fill="auto"/>
            <w:hideMark/>
          </w:tcPr>
          <w:p w:rsidR="00F163D0" w:rsidRPr="0094799F" w:rsidRDefault="00F163D0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</w:t>
            </w:r>
            <w:r w:rsidR="00244958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-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կանը տարեկան ճշտված պլանի նկատմամբ</w:t>
            </w:r>
          </w:p>
        </w:tc>
      </w:tr>
      <w:tr w:rsidR="003662FB" w:rsidRPr="0094799F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1,401.6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1,179.7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84.2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41.4</w:t>
            </w:r>
          </w:p>
        </w:tc>
      </w:tr>
      <w:tr w:rsidR="003662FB" w:rsidRPr="0094799F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1,726.9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1,202.9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69.7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34.7</w:t>
            </w:r>
          </w:p>
        </w:tc>
      </w:tr>
      <w:tr w:rsidR="003662FB" w:rsidRPr="0094799F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Պակասուրդ</w:t>
            </w: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(</w:t>
            </w: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հ</w:t>
            </w: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ավելուրդ)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325.3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23.2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7.1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3662FB" w:rsidRPr="0094799F" w:rsidRDefault="003662F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3.8</w:t>
            </w:r>
          </w:p>
        </w:tc>
      </w:tr>
    </w:tbl>
    <w:p w:rsidR="00154F03" w:rsidRPr="0094799F" w:rsidRDefault="00154F03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901957" w:rsidRPr="0094799F" w:rsidRDefault="00901957" w:rsidP="0094799F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</w:rPr>
      </w:pPr>
      <w:r w:rsidRPr="0094799F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901957" w:rsidRPr="0094799F" w:rsidRDefault="00901957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94799F">
        <w:rPr>
          <w:rFonts w:ascii="GHEA Grapalat" w:hAnsi="GHEA Grapalat" w:cs="GHEA Grapalat"/>
          <w:color w:val="000000"/>
        </w:rPr>
        <w:t>202</w:t>
      </w:r>
      <w:r w:rsidR="009345BD" w:rsidRPr="0094799F">
        <w:rPr>
          <w:rFonts w:ascii="GHEA Grapalat" w:hAnsi="GHEA Grapalat" w:cs="GHEA Grapalat"/>
          <w:color w:val="000000"/>
        </w:rPr>
        <w:t>4</w:t>
      </w:r>
      <w:r w:rsidRPr="0094799F">
        <w:rPr>
          <w:rFonts w:ascii="GHEA Grapalat" w:hAnsi="GHEA Grapalat" w:cs="GHEA Grapalat"/>
          <w:color w:val="000000"/>
        </w:rPr>
        <w:t xml:space="preserve"> թվականի</w:t>
      </w:r>
      <w:r w:rsidR="00BD6ECF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6611E3" w:rsidRPr="0094799F">
        <w:rPr>
          <w:rFonts w:ascii="GHEA Grapalat" w:hAnsi="GHEA Grapalat" w:cs="GHEA Grapalat"/>
          <w:color w:val="000000"/>
        </w:rPr>
        <w:t>հունվար-</w:t>
      </w:r>
      <w:r w:rsidR="005E6174" w:rsidRPr="0094799F">
        <w:rPr>
          <w:rFonts w:ascii="GHEA Grapalat" w:hAnsi="GHEA Grapalat" w:cs="GHEA Grapalat"/>
          <w:color w:val="000000"/>
        </w:rPr>
        <w:t>մայիս</w:t>
      </w:r>
      <w:r w:rsidR="006611E3" w:rsidRPr="0094799F">
        <w:rPr>
          <w:rFonts w:ascii="GHEA Grapalat" w:hAnsi="GHEA Grapalat" w:cs="GHEA Grapalat"/>
          <w:color w:val="000000"/>
        </w:rPr>
        <w:t xml:space="preserve"> ամիսների </w:t>
      </w:r>
      <w:r w:rsidRPr="0094799F">
        <w:rPr>
          <w:rFonts w:ascii="GHEA Grapalat" w:hAnsi="GHEA Grapalat" w:cs="GHEA Grapalat"/>
          <w:color w:val="000000"/>
        </w:rPr>
        <w:t xml:space="preserve">համեմատ պետական բյուջեի եկամուտներն աճել են </w:t>
      </w:r>
      <w:r w:rsidR="009E00AB" w:rsidRPr="0094799F">
        <w:rPr>
          <w:rFonts w:ascii="GHEA Grapalat" w:hAnsi="GHEA Grapalat" w:cs="GHEA Grapalat"/>
          <w:color w:val="000000"/>
        </w:rPr>
        <w:t>1</w:t>
      </w:r>
      <w:r w:rsidR="007136D9" w:rsidRPr="0094799F">
        <w:rPr>
          <w:rFonts w:ascii="GHEA Grapalat" w:hAnsi="GHEA Grapalat" w:cs="GHEA Grapalat"/>
          <w:color w:val="000000"/>
          <w:lang w:val="hy-AM"/>
        </w:rPr>
        <w:t>4</w:t>
      </w:r>
      <w:r w:rsidR="009E00AB" w:rsidRPr="0094799F">
        <w:rPr>
          <w:rFonts w:ascii="GHEA Grapalat" w:hAnsi="GHEA Grapalat" w:cs="GHEA Grapalat"/>
          <w:color w:val="000000"/>
        </w:rPr>
        <w:t>.</w:t>
      </w:r>
      <w:r w:rsidR="00982B09" w:rsidRPr="0094799F">
        <w:rPr>
          <w:rFonts w:ascii="GHEA Grapalat" w:hAnsi="GHEA Grapalat" w:cs="GHEA Grapalat"/>
          <w:color w:val="000000"/>
          <w:lang w:val="hy-AM"/>
        </w:rPr>
        <w:t>6</w:t>
      </w:r>
      <w:r w:rsidRPr="0094799F">
        <w:rPr>
          <w:rFonts w:ascii="GHEA Grapalat" w:hAnsi="GHEA Grapalat" w:cs="GHEA Grapalat"/>
          <w:color w:val="000000"/>
        </w:rPr>
        <w:t>%</w:t>
      </w:r>
      <w:r w:rsidRPr="0094799F">
        <w:rPr>
          <w:rFonts w:ascii="GHEA Grapalat" w:hAnsi="GHEA Grapalat" w:cs="GHEA Grapalat"/>
          <w:color w:val="000000"/>
        </w:rPr>
        <w:noBreakHyphen/>
        <w:t>ով կամ</w:t>
      </w:r>
      <w:r w:rsidR="004D3FB2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982B09" w:rsidRPr="0094799F">
        <w:rPr>
          <w:rFonts w:ascii="GHEA Grapalat" w:hAnsi="GHEA Grapalat" w:cs="GHEA Grapalat"/>
          <w:color w:val="000000"/>
          <w:lang w:val="hy-AM"/>
        </w:rPr>
        <w:t>150.7</w:t>
      </w:r>
      <w:r w:rsidR="00DD5D1E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</w:rPr>
        <w:t>մլրդ դրամով, որը հիմնականում պայմանավորված է հարկային եկամուտների աճով:</w:t>
      </w:r>
    </w:p>
    <w:p w:rsidR="001A4448" w:rsidRPr="0094799F" w:rsidRDefault="001A4448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94799F">
        <w:rPr>
          <w:rFonts w:ascii="GHEA Grapalat" w:hAnsi="GHEA Grapalat" w:cs="GHEA Grapalat"/>
          <w:color w:val="000000"/>
        </w:rPr>
        <w:t>202</w:t>
      </w:r>
      <w:r w:rsidR="009345BD" w:rsidRPr="0094799F">
        <w:rPr>
          <w:rFonts w:ascii="GHEA Grapalat" w:hAnsi="GHEA Grapalat" w:cs="GHEA Grapalat"/>
          <w:color w:val="000000"/>
        </w:rPr>
        <w:t>5</w:t>
      </w:r>
      <w:r w:rsidRPr="0094799F">
        <w:rPr>
          <w:rFonts w:ascii="GHEA Grapalat" w:hAnsi="GHEA Grapalat" w:cs="GHEA Grapalat"/>
          <w:color w:val="000000"/>
        </w:rPr>
        <w:t xml:space="preserve"> թվականի </w:t>
      </w:r>
      <w:r w:rsidR="0022125B" w:rsidRPr="0094799F">
        <w:rPr>
          <w:rFonts w:ascii="GHEA Grapalat" w:hAnsi="GHEA Grapalat" w:cs="GHEA Grapalat"/>
          <w:color w:val="000000"/>
        </w:rPr>
        <w:t>հունվար-</w:t>
      </w:r>
      <w:r w:rsidR="005E6174" w:rsidRPr="0094799F">
        <w:rPr>
          <w:rFonts w:ascii="GHEA Grapalat" w:hAnsi="GHEA Grapalat" w:cs="GHEA Grapalat"/>
          <w:color w:val="000000"/>
        </w:rPr>
        <w:t>մայիս</w:t>
      </w:r>
      <w:r w:rsidR="0022125B" w:rsidRPr="0094799F">
        <w:rPr>
          <w:rFonts w:ascii="GHEA Grapalat" w:hAnsi="GHEA Grapalat" w:cs="GHEA Grapalat"/>
          <w:color w:val="000000"/>
        </w:rPr>
        <w:t xml:space="preserve"> ամիսների</w:t>
      </w:r>
      <w:r w:rsidR="0022125B" w:rsidRPr="0094799F">
        <w:rPr>
          <w:rFonts w:ascii="GHEA Grapalat" w:hAnsi="GHEA Grapalat" w:cs="GHEA Grapalat"/>
          <w:color w:val="000000"/>
          <w:lang w:val="hy-AM"/>
        </w:rPr>
        <w:t>ն</w:t>
      </w:r>
      <w:r w:rsidR="0022125B" w:rsidRPr="0094799F">
        <w:rPr>
          <w:rFonts w:ascii="GHEA Grapalat" w:hAnsi="GHEA Grapalat" w:cs="GHEA Grapalat"/>
          <w:color w:val="000000"/>
        </w:rPr>
        <w:t xml:space="preserve"> </w:t>
      </w:r>
      <w:r w:rsidRPr="0094799F">
        <w:rPr>
          <w:rFonts w:ascii="GHEA Grapalat" w:hAnsi="GHEA Grapalat" w:cs="GHEA Grapalat"/>
          <w:color w:val="000000"/>
        </w:rPr>
        <w:t xml:space="preserve">ՀՀ պետական բյուջե են մուտքագրվել </w:t>
      </w:r>
      <w:r w:rsidR="00982B09" w:rsidRPr="0094799F">
        <w:rPr>
          <w:rFonts w:ascii="GHEA Grapalat" w:hAnsi="GHEA Grapalat" w:cs="GHEA Grapalat"/>
          <w:color w:val="000000"/>
          <w:lang w:val="hy-AM"/>
        </w:rPr>
        <w:t xml:space="preserve">1,125.8 </w:t>
      </w:r>
      <w:r w:rsidRPr="0094799F">
        <w:rPr>
          <w:rFonts w:ascii="GHEA Grapalat" w:hAnsi="GHEA Grapalat" w:cs="GHEA Grapalat"/>
          <w:color w:val="000000"/>
        </w:rPr>
        <w:t xml:space="preserve">մլրդ դրամ </w:t>
      </w:r>
      <w:r w:rsidRPr="0094799F">
        <w:rPr>
          <w:rFonts w:ascii="GHEA Grapalat" w:hAnsi="GHEA Grapalat" w:cs="GHEA Grapalat"/>
          <w:i/>
          <w:color w:val="000000"/>
        </w:rPr>
        <w:t>հարկային եկամուտներ և պետական տուրքեր</w:t>
      </w:r>
      <w:r w:rsidR="004D3FB2" w:rsidRPr="0094799F">
        <w:rPr>
          <w:rFonts w:ascii="GHEA Grapalat" w:hAnsi="GHEA Grapalat" w:cs="GHEA Grapalat"/>
          <w:color w:val="000000"/>
        </w:rPr>
        <w:t>, որոնք</w:t>
      </w:r>
      <w:r w:rsidR="00C17955" w:rsidRPr="0094799F">
        <w:rPr>
          <w:rFonts w:ascii="GHEA Grapalat" w:hAnsi="GHEA Grapalat" w:cs="GHEA Grapalat"/>
          <w:color w:val="000000"/>
        </w:rPr>
        <w:t xml:space="preserve"> </w:t>
      </w:r>
      <w:r w:rsidR="004D3FB2" w:rsidRPr="0094799F">
        <w:rPr>
          <w:rFonts w:ascii="GHEA Grapalat" w:hAnsi="GHEA Grapalat" w:cs="GHEA Grapalat"/>
          <w:color w:val="000000"/>
          <w:lang w:val="hy-AM"/>
        </w:rPr>
        <w:t xml:space="preserve">ապահովել </w:t>
      </w:r>
      <w:r w:rsidR="0022125B" w:rsidRPr="0094799F">
        <w:rPr>
          <w:rFonts w:ascii="GHEA Grapalat" w:hAnsi="GHEA Grapalat" w:cs="GHEA Grapalat"/>
          <w:color w:val="000000"/>
        </w:rPr>
        <w:t xml:space="preserve">են առաջին </w:t>
      </w:r>
      <w:r w:rsidR="0022125B" w:rsidRPr="0094799F">
        <w:rPr>
          <w:rFonts w:ascii="GHEA Grapalat" w:hAnsi="GHEA Grapalat" w:cs="GHEA Grapalat"/>
          <w:color w:val="000000"/>
          <w:lang w:val="hy-AM"/>
        </w:rPr>
        <w:t>կիս</w:t>
      </w:r>
      <w:r w:rsidR="00444621" w:rsidRPr="0094799F">
        <w:rPr>
          <w:rFonts w:ascii="GHEA Grapalat" w:hAnsi="GHEA Grapalat" w:cs="GHEA Grapalat"/>
          <w:color w:val="000000"/>
        </w:rPr>
        <w:t xml:space="preserve">ամյակի ծրագրային ցուցանիշի </w:t>
      </w:r>
      <w:r w:rsidR="00F84B08" w:rsidRPr="0094799F">
        <w:rPr>
          <w:rFonts w:ascii="GHEA Grapalat" w:hAnsi="GHEA Grapalat" w:cs="GHEA Grapalat"/>
          <w:color w:val="000000"/>
          <w:lang w:val="hy-AM"/>
        </w:rPr>
        <w:t>8</w:t>
      </w:r>
      <w:r w:rsidR="007136D9" w:rsidRPr="0094799F">
        <w:rPr>
          <w:rFonts w:ascii="GHEA Grapalat" w:hAnsi="GHEA Grapalat" w:cs="GHEA Grapalat"/>
          <w:color w:val="000000"/>
          <w:lang w:val="hy-AM"/>
        </w:rPr>
        <w:t>3</w:t>
      </w:r>
      <w:r w:rsidR="00F84B08" w:rsidRPr="0094799F">
        <w:rPr>
          <w:rFonts w:ascii="GHEA Grapalat" w:hAnsi="GHEA Grapalat" w:cs="GHEA Grapalat"/>
          <w:color w:val="000000"/>
          <w:lang w:val="hy-AM"/>
        </w:rPr>
        <w:t>.4</w:t>
      </w:r>
      <w:r w:rsidR="00444621" w:rsidRPr="0094799F">
        <w:rPr>
          <w:rFonts w:ascii="GHEA Grapalat" w:hAnsi="GHEA Grapalat" w:cs="GHEA Grapalat"/>
          <w:color w:val="000000"/>
        </w:rPr>
        <w:t xml:space="preserve">%-ը: </w:t>
      </w:r>
      <w:r w:rsidRPr="0094799F">
        <w:rPr>
          <w:rFonts w:ascii="GHEA Grapalat" w:hAnsi="GHEA Grapalat" w:cs="GHEA Grapalat"/>
          <w:color w:val="000000"/>
        </w:rPr>
        <w:t>202</w:t>
      </w:r>
      <w:r w:rsidR="00A4071F" w:rsidRPr="0094799F">
        <w:rPr>
          <w:rFonts w:ascii="GHEA Grapalat" w:hAnsi="GHEA Grapalat" w:cs="GHEA Grapalat"/>
          <w:color w:val="000000"/>
          <w:lang w:val="hy-AM"/>
        </w:rPr>
        <w:t>4</w:t>
      </w:r>
      <w:r w:rsidRPr="0094799F">
        <w:rPr>
          <w:rFonts w:ascii="GHEA Grapalat" w:hAnsi="GHEA Grapalat" w:cs="GHEA Grapalat"/>
          <w:color w:val="000000"/>
        </w:rPr>
        <w:t xml:space="preserve"> թվականի նույն </w:t>
      </w:r>
      <w:r w:rsidRPr="0094799F">
        <w:rPr>
          <w:rFonts w:ascii="GHEA Grapalat" w:hAnsi="GHEA Grapalat" w:cs="GHEA Grapalat"/>
          <w:color w:val="000000"/>
        </w:rPr>
        <w:lastRenderedPageBreak/>
        <w:t xml:space="preserve">ժամանակահատվածի համեմատ հարկային եկամուտներն ու պետական տուրքերն աճել են </w:t>
      </w:r>
      <w:r w:rsidR="004D3FB2" w:rsidRPr="0094799F">
        <w:rPr>
          <w:rFonts w:ascii="GHEA Grapalat" w:hAnsi="GHEA Grapalat" w:cs="GHEA Grapalat"/>
          <w:color w:val="000000"/>
          <w:lang w:val="hy-AM"/>
        </w:rPr>
        <w:t>1</w:t>
      </w:r>
      <w:r w:rsidR="007136D9" w:rsidRPr="0094799F">
        <w:rPr>
          <w:rFonts w:ascii="GHEA Grapalat" w:hAnsi="GHEA Grapalat" w:cs="GHEA Grapalat"/>
          <w:color w:val="000000"/>
          <w:lang w:val="hy-AM"/>
        </w:rPr>
        <w:t>4</w:t>
      </w:r>
      <w:r w:rsidR="004D3FB2" w:rsidRPr="0094799F">
        <w:rPr>
          <w:rFonts w:ascii="GHEA Grapalat" w:hAnsi="GHEA Grapalat" w:cs="GHEA Grapalat"/>
          <w:color w:val="000000"/>
          <w:lang w:val="hy-AM"/>
        </w:rPr>
        <w:t>.</w:t>
      </w:r>
      <w:r w:rsidR="00F84B08" w:rsidRPr="0094799F">
        <w:rPr>
          <w:rFonts w:ascii="GHEA Grapalat" w:hAnsi="GHEA Grapalat" w:cs="GHEA Grapalat"/>
          <w:color w:val="000000"/>
          <w:lang w:val="hy-AM"/>
        </w:rPr>
        <w:t>4</w:t>
      </w:r>
      <w:r w:rsidRPr="0094799F">
        <w:rPr>
          <w:rFonts w:ascii="GHEA Grapalat" w:hAnsi="GHEA Grapalat" w:cs="GHEA Grapalat"/>
          <w:color w:val="000000"/>
        </w:rPr>
        <w:t>%</w:t>
      </w:r>
      <w:r w:rsidRPr="0094799F">
        <w:rPr>
          <w:rFonts w:ascii="GHEA Grapalat" w:hAnsi="GHEA Grapalat" w:cs="GHEA Grapalat"/>
          <w:color w:val="000000"/>
        </w:rPr>
        <w:noBreakHyphen/>
        <w:t xml:space="preserve">ով կամ </w:t>
      </w:r>
      <w:r w:rsidR="00F84B08" w:rsidRPr="0094799F">
        <w:rPr>
          <w:rFonts w:ascii="GHEA Grapalat" w:hAnsi="GHEA Grapalat" w:cs="GHEA Grapalat"/>
          <w:color w:val="000000"/>
          <w:lang w:val="hy-AM"/>
        </w:rPr>
        <w:t>141.7</w:t>
      </w:r>
      <w:r w:rsidR="0049019F" w:rsidRPr="0094799F">
        <w:rPr>
          <w:rFonts w:ascii="GHEA Grapalat" w:hAnsi="GHEA Grapalat" w:cs="GHEA Grapalat"/>
          <w:color w:val="000000"/>
        </w:rPr>
        <w:t xml:space="preserve"> </w:t>
      </w:r>
      <w:r w:rsidR="00444621" w:rsidRPr="0094799F">
        <w:rPr>
          <w:rFonts w:ascii="GHEA Grapalat" w:hAnsi="GHEA Grapalat" w:cs="GHEA Grapalat"/>
          <w:color w:val="000000"/>
        </w:rPr>
        <w:t>մլրդ</w:t>
      </w:r>
      <w:r w:rsidR="0049019F" w:rsidRPr="0094799F">
        <w:rPr>
          <w:rFonts w:ascii="GHEA Grapalat" w:hAnsi="GHEA Grapalat" w:cs="GHEA Grapalat"/>
          <w:color w:val="000000"/>
        </w:rPr>
        <w:t xml:space="preserve"> </w:t>
      </w:r>
      <w:r w:rsidRPr="0094799F">
        <w:rPr>
          <w:rFonts w:ascii="GHEA Grapalat" w:hAnsi="GHEA Grapalat" w:cs="GHEA Grapalat"/>
          <w:color w:val="000000"/>
        </w:rPr>
        <w:t xml:space="preserve">դրամով, </w:t>
      </w:r>
      <w:r w:rsidR="00444621" w:rsidRPr="0094799F">
        <w:rPr>
          <w:rFonts w:ascii="GHEA Grapalat" w:hAnsi="GHEA Grapalat" w:cs="GHEA Grapalat"/>
          <w:color w:val="000000"/>
        </w:rPr>
        <w:t xml:space="preserve">որը հիմնականում պայմանավորված է </w:t>
      </w:r>
      <w:r w:rsidR="00A4071F" w:rsidRPr="0094799F">
        <w:rPr>
          <w:rFonts w:ascii="GHEA Grapalat" w:hAnsi="GHEA Grapalat" w:cs="GHEA Grapalat"/>
          <w:color w:val="000000"/>
        </w:rPr>
        <w:t>ավելացված արժեքի հարկի</w:t>
      </w:r>
      <w:r w:rsidR="007C4BB5" w:rsidRPr="0094799F">
        <w:rPr>
          <w:rFonts w:ascii="GHEA Grapalat" w:hAnsi="GHEA Grapalat" w:cs="GHEA Grapalat"/>
          <w:color w:val="000000"/>
        </w:rPr>
        <w:t xml:space="preserve">, </w:t>
      </w:r>
      <w:r w:rsidR="00A4071F" w:rsidRPr="0094799F">
        <w:rPr>
          <w:rFonts w:ascii="GHEA Grapalat" w:hAnsi="GHEA Grapalat" w:cs="GHEA Grapalat"/>
          <w:color w:val="000000"/>
        </w:rPr>
        <w:t xml:space="preserve">շահութահարկի </w:t>
      </w:r>
      <w:r w:rsidR="007136D9" w:rsidRPr="0094799F">
        <w:rPr>
          <w:rFonts w:ascii="GHEA Grapalat" w:hAnsi="GHEA Grapalat" w:cs="GHEA Grapalat"/>
          <w:color w:val="000000"/>
          <w:lang w:val="hy-AM"/>
        </w:rPr>
        <w:t>և եկամտային</w:t>
      </w:r>
      <w:r w:rsidR="007136D9" w:rsidRPr="0094799F">
        <w:rPr>
          <w:rFonts w:ascii="GHEA Grapalat" w:hAnsi="GHEA Grapalat" w:cs="GHEA Grapalat"/>
          <w:color w:val="000000"/>
        </w:rPr>
        <w:t xml:space="preserve"> հարկի </w:t>
      </w:r>
      <w:r w:rsidRPr="0094799F">
        <w:rPr>
          <w:rFonts w:ascii="GHEA Grapalat" w:hAnsi="GHEA Grapalat" w:cs="GHEA Grapalat"/>
          <w:color w:val="000000"/>
        </w:rPr>
        <w:t>գծով մուտքերի աճով:</w:t>
      </w:r>
    </w:p>
    <w:p w:rsidR="00C27BAF" w:rsidRPr="0094799F" w:rsidRDefault="00C27BAF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54F03" w:rsidRPr="0094799F" w:rsidRDefault="00154F03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</w:rPr>
        <w:t>ՀՀ</w:t>
      </w:r>
      <w:r w:rsidR="004B2A31" w:rsidRPr="0094799F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</w:t>
      </w: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</w:rPr>
        <w:t>պետական բյուջեի եկամուտները</w:t>
      </w:r>
      <w:r w:rsidR="005B064D" w:rsidRPr="0094799F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դրամ) </w:t>
      </w:r>
    </w:p>
    <w:tbl>
      <w:tblPr>
        <w:tblW w:w="10215" w:type="dxa"/>
        <w:tblInd w:w="-5" w:type="dxa"/>
        <w:tblLook w:val="04A0" w:firstRow="1" w:lastRow="0" w:firstColumn="1" w:lastColumn="0" w:noHBand="0" w:noVBand="1"/>
      </w:tblPr>
      <w:tblGrid>
        <w:gridCol w:w="4650"/>
        <w:gridCol w:w="1313"/>
        <w:gridCol w:w="1417"/>
        <w:gridCol w:w="1418"/>
        <w:gridCol w:w="1417"/>
      </w:tblGrid>
      <w:tr w:rsidR="002C0C67" w:rsidRPr="0094799F" w:rsidTr="00C049FF">
        <w:trPr>
          <w:trHeight w:val="8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1C" w:rsidRPr="0094799F" w:rsidRDefault="000F131C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31C" w:rsidRPr="0094799F" w:rsidRDefault="0022125B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ունվար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ների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94799F" w:rsidRDefault="00463FF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="009345BD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տ</w:t>
            </w:r>
            <w:r w:rsidR="000F131C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արեկան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94799F" w:rsidRDefault="000F131C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="009345BD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="000B507C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կիս</w:t>
            </w:r>
            <w:r w:rsidR="00542725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ամյակի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94799F" w:rsidRDefault="00204DA1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ունվար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ամ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ս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ների</w:t>
            </w:r>
            <w:r w:rsidR="0022125B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փաստ</w:t>
            </w:r>
          </w:p>
        </w:tc>
      </w:tr>
      <w:tr w:rsidR="00872434" w:rsidRPr="0094799F" w:rsidTr="00C049FF">
        <w:trPr>
          <w:trHeight w:val="293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434" w:rsidRPr="0094799F" w:rsidRDefault="00872434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Պետական բյուջեի եկամուտներ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1,029.0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2,848.5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1,401.6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1,179.7</w:t>
            </w:r>
          </w:p>
        </w:tc>
      </w:tr>
      <w:tr w:rsidR="00872434" w:rsidRPr="0094799F" w:rsidTr="00C049FF">
        <w:trPr>
          <w:trHeight w:val="293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434" w:rsidRPr="0094799F" w:rsidRDefault="00872434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Հարկային եկամուտներ և պետական տուրքեր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984.1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2,728.5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1,349.7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1,125.8</w:t>
            </w:r>
          </w:p>
        </w:tc>
      </w:tr>
      <w:tr w:rsidR="00872434" w:rsidRPr="0094799F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434" w:rsidRPr="0094799F" w:rsidRDefault="00872434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</w:tr>
      <w:tr w:rsidR="00872434" w:rsidRPr="0094799F" w:rsidTr="00C049FF">
        <w:trPr>
          <w:trHeight w:val="167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434" w:rsidRPr="0094799F" w:rsidRDefault="00872434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42.4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51.2</w:t>
            </w:r>
          </w:p>
        </w:tc>
      </w:tr>
      <w:tr w:rsidR="00C15B2E" w:rsidRPr="0094799F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2E" w:rsidRPr="0094799F" w:rsidRDefault="00C15B2E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եկամուտների մեջ</w:t>
            </w:r>
            <w:r w:rsidR="00244958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B2E" w:rsidRPr="0094799F" w:rsidRDefault="00C15B2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94799F" w:rsidRDefault="00C15B2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94799F" w:rsidRDefault="00C15B2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94799F" w:rsidRDefault="00C15B2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872434" w:rsidRPr="0094799F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434" w:rsidRPr="0094799F" w:rsidRDefault="00872434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Հարկեր և տուրքեր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95.6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95.4</w:t>
            </w:r>
          </w:p>
        </w:tc>
      </w:tr>
      <w:tr w:rsidR="00872434" w:rsidRPr="0094799F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434" w:rsidRPr="0094799F" w:rsidRDefault="00872434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</w:tr>
      <w:tr w:rsidR="00872434" w:rsidRPr="0094799F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434" w:rsidRPr="0094799F" w:rsidRDefault="00872434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34" w:rsidRPr="0094799F" w:rsidRDefault="00872434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</w:tr>
    </w:tbl>
    <w:p w:rsidR="002A4689" w:rsidRPr="0094799F" w:rsidRDefault="002A4689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D84004" w:rsidRPr="0094799F" w:rsidRDefault="00901957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</w:rPr>
        <w:t xml:space="preserve">Հաշվետու ժամանակահատվածի հարկային եկամուտների և պետական տուրքերի </w:t>
      </w:r>
      <w:r w:rsidR="00827878" w:rsidRPr="0094799F">
        <w:rPr>
          <w:rFonts w:ascii="GHEA Grapalat" w:hAnsi="GHEA Grapalat" w:cs="GHEA Grapalat"/>
          <w:color w:val="000000"/>
          <w:lang w:val="hy-AM"/>
        </w:rPr>
        <w:t>30.3</w:t>
      </w:r>
      <w:r w:rsidRPr="0094799F">
        <w:rPr>
          <w:rFonts w:ascii="GHEA Grapalat" w:hAnsi="GHEA Grapalat" w:cs="GHEA Grapalat"/>
          <w:color w:val="000000"/>
        </w:rPr>
        <w:t>%</w:t>
      </w:r>
      <w:r w:rsidRPr="0094799F">
        <w:rPr>
          <w:rFonts w:ascii="GHEA Grapalat" w:hAnsi="GHEA Grapalat" w:cs="GHEA Grapalat"/>
          <w:color w:val="000000"/>
        </w:rPr>
        <w:noBreakHyphen/>
        <w:t xml:space="preserve">ն ապահովվել է ավելացված արժեքի հարկի հաշվին: Նախորդ տարվա նույն ժամանակահատվածի համեմատ </w:t>
      </w:r>
      <w:r w:rsidR="00563639" w:rsidRPr="0094799F">
        <w:rPr>
          <w:rFonts w:ascii="GHEA Grapalat" w:hAnsi="GHEA Grapalat" w:cs="GHEA Grapalat"/>
          <w:color w:val="000000"/>
        </w:rPr>
        <w:t xml:space="preserve">ավելացել են ինչպես </w:t>
      </w:r>
      <w:r w:rsidR="00563639" w:rsidRPr="0094799F">
        <w:rPr>
          <w:rFonts w:ascii="GHEA Grapalat" w:hAnsi="GHEA Grapalat" w:cs="GHEA Grapalat"/>
          <w:color w:val="000000"/>
          <w:lang w:val="hy-AM"/>
        </w:rPr>
        <w:t>ՀՀ</w:t>
      </w:r>
      <w:r w:rsidR="00563639" w:rsidRPr="0094799F">
        <w:rPr>
          <w:rFonts w:ascii="GHEA Grapalat" w:hAnsi="GHEA Grapalat" w:cs="GHEA Grapalat"/>
          <w:color w:val="000000"/>
          <w:lang w:val="hy-AM"/>
        </w:rPr>
        <w:noBreakHyphen/>
        <w:t>ում արտադրվող ապրանքների ու ծառայությունների շրջանառությ</w:t>
      </w:r>
      <w:r w:rsidR="00563639" w:rsidRPr="0094799F">
        <w:rPr>
          <w:rFonts w:ascii="GHEA Grapalat" w:hAnsi="GHEA Grapalat" w:cs="GHEA Grapalat"/>
          <w:color w:val="000000"/>
        </w:rPr>
        <w:t xml:space="preserve">ան, այնպես էլ ներմուծման գծով </w:t>
      </w:r>
      <w:r w:rsidR="00D84004" w:rsidRPr="0094799F">
        <w:rPr>
          <w:rFonts w:ascii="GHEA Grapalat" w:hAnsi="GHEA Grapalat" w:cs="GHEA Grapalat"/>
          <w:color w:val="000000"/>
          <w:lang w:val="hy-AM"/>
        </w:rPr>
        <w:t>մուտքեր</w:t>
      </w:r>
      <w:r w:rsidR="00563639" w:rsidRPr="0094799F">
        <w:rPr>
          <w:rFonts w:ascii="GHEA Grapalat" w:hAnsi="GHEA Grapalat" w:cs="GHEA Grapalat"/>
          <w:color w:val="000000"/>
        </w:rPr>
        <w:t>ը</w:t>
      </w:r>
      <w:r w:rsidR="00D84004" w:rsidRPr="0094799F">
        <w:rPr>
          <w:rFonts w:ascii="GHEA Grapalat" w:hAnsi="GHEA Grapalat" w:cs="GHEA Grapalat"/>
          <w:color w:val="000000"/>
          <w:lang w:val="hy-AM"/>
        </w:rPr>
        <w:t>:</w:t>
      </w:r>
    </w:p>
    <w:p w:rsidR="002849B2" w:rsidRPr="0094799F" w:rsidRDefault="002849B2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5B064D" w:rsidRPr="0094799F" w:rsidRDefault="00F1622C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ԱԱՀ-ի</w:t>
      </w:r>
      <w:r w:rsidR="00B727E5"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գծով ՀՀ պետական բյուջեի</w:t>
      </w: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մուտքերը</w:t>
      </w:r>
      <w:r w:rsidR="005B064D"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(մլրդ դրամ)</w:t>
      </w:r>
    </w:p>
    <w:tbl>
      <w:tblPr>
        <w:tblW w:w="9795" w:type="dxa"/>
        <w:tblInd w:w="-5" w:type="dxa"/>
        <w:tblLook w:val="04A0" w:firstRow="1" w:lastRow="0" w:firstColumn="1" w:lastColumn="0" w:noHBand="0" w:noVBand="1"/>
      </w:tblPr>
      <w:tblGrid>
        <w:gridCol w:w="3515"/>
        <w:gridCol w:w="1560"/>
        <w:gridCol w:w="1559"/>
        <w:gridCol w:w="1871"/>
        <w:gridCol w:w="1290"/>
      </w:tblGrid>
      <w:tr w:rsidR="009345BD" w:rsidRPr="0094799F" w:rsidTr="004E4105">
        <w:trPr>
          <w:trHeight w:val="8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D" w:rsidRPr="0094799F" w:rsidRDefault="009345BD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5BD" w:rsidRPr="0094799F" w:rsidRDefault="002C5F14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5BD" w:rsidRPr="0094799F" w:rsidRDefault="002C5F14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F14" w:rsidRPr="0094799F" w:rsidRDefault="006C28F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</w:t>
            </w:r>
            <w:r w:rsidR="002C5F1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հունվար- 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="002C5F1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</w:t>
            </w:r>
          </w:p>
          <w:p w:rsidR="006C28F9" w:rsidRPr="0094799F" w:rsidRDefault="006C28F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</w:t>
            </w:r>
            <w:r w:rsidR="00E806A9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.</w:t>
            </w:r>
            <w:r w:rsidR="002C5F1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հունվար- 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 նկատմամբ</w:t>
            </w:r>
          </w:p>
          <w:p w:rsidR="009345BD" w:rsidRPr="0094799F" w:rsidRDefault="006C28F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5BD" w:rsidRPr="0094799F" w:rsidRDefault="009345B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FA7891" w:rsidRPr="0094799F" w:rsidTr="004E4105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91" w:rsidRPr="0094799F" w:rsidRDefault="00FA7891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Ավելացված արժեքի հարկ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269.7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341.1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126.4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71.3</w:t>
            </w:r>
          </w:p>
        </w:tc>
      </w:tr>
      <w:tr w:rsidR="00FA7891" w:rsidRPr="0094799F" w:rsidTr="004E4105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91" w:rsidRPr="0094799F" w:rsidRDefault="00FA789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Ներմուծումից, այդ թվում՝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177.6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119.1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28.5</w:t>
            </w:r>
          </w:p>
        </w:tc>
      </w:tr>
      <w:tr w:rsidR="00FA7891" w:rsidRPr="0094799F" w:rsidTr="004E4105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91" w:rsidRPr="0094799F" w:rsidRDefault="00FA789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ԵԱՏՄ երկրներից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52.9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58.9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111.4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6.0</w:t>
            </w:r>
          </w:p>
        </w:tc>
      </w:tr>
      <w:tr w:rsidR="00FA7891" w:rsidRPr="0094799F" w:rsidTr="004E4105">
        <w:trPr>
          <w:trHeight w:val="167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91" w:rsidRPr="0094799F" w:rsidRDefault="00FA789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Ներքին շրջանառությունից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120.7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163.5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135.5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91" w:rsidRPr="0094799F" w:rsidRDefault="00FA789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42.8</w:t>
            </w:r>
          </w:p>
        </w:tc>
      </w:tr>
    </w:tbl>
    <w:p w:rsidR="00EF469C" w:rsidRPr="0094799F" w:rsidRDefault="00EF469C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CE6275" w:rsidRPr="0094799F" w:rsidRDefault="00593328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</w:rPr>
        <w:t>202</w:t>
      </w:r>
      <w:r w:rsidR="00A4071F" w:rsidRPr="0094799F">
        <w:rPr>
          <w:rFonts w:ascii="GHEA Grapalat" w:hAnsi="GHEA Grapalat" w:cs="GHEA Grapalat"/>
          <w:color w:val="000000"/>
        </w:rPr>
        <w:t>5</w:t>
      </w:r>
      <w:r w:rsidR="00BC69AC" w:rsidRPr="0094799F">
        <w:rPr>
          <w:rFonts w:ascii="GHEA Grapalat" w:hAnsi="GHEA Grapalat" w:cs="GHEA Grapalat"/>
          <w:color w:val="000000"/>
        </w:rPr>
        <w:t xml:space="preserve"> թվականի </w:t>
      </w:r>
      <w:r w:rsidR="00177E6C" w:rsidRPr="0094799F">
        <w:rPr>
          <w:rFonts w:ascii="GHEA Grapalat" w:hAnsi="GHEA Grapalat" w:cs="GHEA Grapalat"/>
          <w:color w:val="000000"/>
        </w:rPr>
        <w:t>հունվար-</w:t>
      </w:r>
      <w:r w:rsidR="005E6174" w:rsidRPr="0094799F">
        <w:rPr>
          <w:rFonts w:ascii="GHEA Grapalat" w:hAnsi="GHEA Grapalat" w:cs="GHEA Grapalat"/>
          <w:color w:val="000000"/>
        </w:rPr>
        <w:t>մայիս</w:t>
      </w:r>
      <w:r w:rsidR="00177E6C" w:rsidRPr="0094799F">
        <w:rPr>
          <w:rFonts w:ascii="GHEA Grapalat" w:hAnsi="GHEA Grapalat" w:cs="GHEA Grapalat"/>
          <w:color w:val="000000"/>
        </w:rPr>
        <w:t xml:space="preserve"> ամիսների</w:t>
      </w:r>
      <w:r w:rsidR="00177E6C" w:rsidRPr="0094799F">
        <w:rPr>
          <w:rFonts w:ascii="GHEA Grapalat" w:hAnsi="GHEA Grapalat" w:cs="GHEA Grapalat"/>
          <w:color w:val="000000"/>
          <w:lang w:val="hy-AM"/>
        </w:rPr>
        <w:t>ն</w:t>
      </w:r>
      <w:r w:rsidRPr="0094799F">
        <w:rPr>
          <w:rFonts w:ascii="GHEA Grapalat" w:hAnsi="GHEA Grapalat" w:cs="GHEA Grapalat"/>
          <w:b/>
        </w:rPr>
        <w:t xml:space="preserve"> </w:t>
      </w:r>
      <w:r w:rsidR="000427C5" w:rsidRPr="0094799F">
        <w:rPr>
          <w:rFonts w:ascii="GHEA Grapalat" w:hAnsi="GHEA Grapalat" w:cs="GHEA Grapalat"/>
          <w:color w:val="000000"/>
        </w:rPr>
        <w:t>պետական բյուջե մուտքագրված</w:t>
      </w:r>
      <w:r w:rsidR="00901957" w:rsidRPr="0094799F">
        <w:rPr>
          <w:rFonts w:ascii="GHEA Grapalat" w:hAnsi="GHEA Grapalat" w:cs="GHEA Grapalat"/>
          <w:color w:val="000000"/>
        </w:rPr>
        <w:t xml:space="preserve"> հարկային եկամուտների ու պետական տուրքերի </w:t>
      </w:r>
      <w:r w:rsidR="00CE6275" w:rsidRPr="0094799F">
        <w:rPr>
          <w:rFonts w:ascii="GHEA Grapalat" w:hAnsi="GHEA Grapalat" w:cs="GHEA Grapalat"/>
          <w:color w:val="000000"/>
        </w:rPr>
        <w:t>4</w:t>
      </w:r>
      <w:r w:rsidR="00774AAA" w:rsidRPr="0094799F">
        <w:rPr>
          <w:rFonts w:ascii="GHEA Grapalat" w:hAnsi="GHEA Grapalat" w:cs="GHEA Grapalat"/>
          <w:color w:val="000000"/>
          <w:lang w:val="hy-AM"/>
        </w:rPr>
        <w:t>.5</w:t>
      </w:r>
      <w:r w:rsidR="00901957" w:rsidRPr="0094799F">
        <w:rPr>
          <w:rFonts w:ascii="GHEA Grapalat" w:hAnsi="GHEA Grapalat" w:cs="GHEA Grapalat"/>
          <w:color w:val="000000"/>
        </w:rPr>
        <w:t xml:space="preserve">%-ն ապահովվել է ակցիզային հարկի հաշվին: Նախորդ տարվա նույն ժամանակահատվածի համեմատ ակցիզային հարկի </w:t>
      </w:r>
      <w:r w:rsidR="000F6EC0" w:rsidRPr="0094799F">
        <w:rPr>
          <w:rFonts w:ascii="GHEA Grapalat" w:hAnsi="GHEA Grapalat" w:cs="GHEA Grapalat"/>
          <w:color w:val="000000"/>
          <w:lang w:val="hy-AM"/>
        </w:rPr>
        <w:t>ա</w:t>
      </w:r>
      <w:r w:rsidR="00CE6275" w:rsidRPr="0094799F">
        <w:rPr>
          <w:rFonts w:ascii="GHEA Grapalat" w:hAnsi="GHEA Grapalat" w:cs="GHEA Grapalat"/>
          <w:color w:val="000000"/>
          <w:lang w:val="hy-AM"/>
        </w:rPr>
        <w:t>ճ</w:t>
      </w:r>
      <w:r w:rsidR="00F1622C" w:rsidRPr="0094799F">
        <w:rPr>
          <w:rFonts w:ascii="GHEA Grapalat" w:hAnsi="GHEA Grapalat" w:cs="GHEA Grapalat"/>
          <w:color w:val="000000"/>
        </w:rPr>
        <w:t xml:space="preserve">ը </w:t>
      </w:r>
      <w:r w:rsidR="00774AAA" w:rsidRPr="0094799F">
        <w:rPr>
          <w:rFonts w:ascii="GHEA Grapalat" w:hAnsi="GHEA Grapalat" w:cs="GHEA Grapalat"/>
          <w:color w:val="000000"/>
          <w:lang w:val="hy-AM"/>
        </w:rPr>
        <w:lastRenderedPageBreak/>
        <w:t xml:space="preserve">հիմնականում </w:t>
      </w:r>
      <w:r w:rsidR="00901957" w:rsidRPr="0094799F">
        <w:rPr>
          <w:rFonts w:ascii="GHEA Grapalat" w:hAnsi="GHEA Grapalat" w:cs="GHEA Grapalat"/>
          <w:color w:val="000000"/>
        </w:rPr>
        <w:t>պայմանավորված</w:t>
      </w:r>
      <w:r w:rsidR="00F1622C" w:rsidRPr="0094799F">
        <w:rPr>
          <w:rFonts w:ascii="GHEA Grapalat" w:hAnsi="GHEA Grapalat" w:cs="GHEA Grapalat"/>
          <w:color w:val="000000"/>
        </w:rPr>
        <w:t xml:space="preserve"> է</w:t>
      </w:r>
      <w:r w:rsidR="00C3262A" w:rsidRPr="0094799F">
        <w:rPr>
          <w:rFonts w:ascii="GHEA Grapalat" w:hAnsi="GHEA Grapalat" w:cs="GHEA Grapalat"/>
          <w:color w:val="000000"/>
        </w:rPr>
        <w:t xml:space="preserve"> </w:t>
      </w:r>
      <w:r w:rsidR="00CE6275" w:rsidRPr="0094799F">
        <w:rPr>
          <w:rFonts w:ascii="GHEA Grapalat" w:hAnsi="GHEA Grapalat" w:cs="GHEA Grapalat"/>
          <w:color w:val="000000"/>
          <w:lang w:val="hy-AM"/>
        </w:rPr>
        <w:t>ՀՀ ներմուծվող ենթաակցիզային ապրանքների գծով մուտքեր</w:t>
      </w:r>
      <w:r w:rsidR="00CE6275" w:rsidRPr="0094799F">
        <w:rPr>
          <w:rFonts w:ascii="GHEA Grapalat" w:hAnsi="GHEA Grapalat" w:cs="GHEA Grapalat"/>
          <w:color w:val="000000"/>
        </w:rPr>
        <w:t>ի</w:t>
      </w:r>
      <w:r w:rsidR="00CE6275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CE6275" w:rsidRPr="0094799F">
        <w:rPr>
          <w:rFonts w:ascii="GHEA Grapalat" w:hAnsi="GHEA Grapalat" w:cs="GHEA Grapalat"/>
          <w:color w:val="000000"/>
        </w:rPr>
        <w:t>աճով</w:t>
      </w:r>
      <w:r w:rsidR="00CE6275" w:rsidRPr="0094799F">
        <w:rPr>
          <w:rFonts w:ascii="GHEA Grapalat" w:hAnsi="GHEA Grapalat" w:cs="GHEA Grapalat"/>
          <w:color w:val="000000"/>
          <w:lang w:val="hy-AM"/>
        </w:rPr>
        <w:t>:</w:t>
      </w:r>
    </w:p>
    <w:p w:rsidR="0030520B" w:rsidRPr="0094799F" w:rsidRDefault="0030520B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770426" w:rsidRPr="0094799F" w:rsidRDefault="00B727E5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</w:rPr>
        <w:t>Ա</w:t>
      </w:r>
      <w:r w:rsidR="00770426" w:rsidRPr="0094799F">
        <w:rPr>
          <w:rFonts w:ascii="GHEA Grapalat" w:hAnsi="GHEA Grapalat"/>
          <w:b/>
          <w:bCs/>
          <w:iCs w:val="0"/>
          <w:color w:val="auto"/>
          <w:sz w:val="20"/>
          <w:szCs w:val="20"/>
        </w:rPr>
        <w:t>կցիզային հարկի</w:t>
      </w: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գծով ՀՀ պետական բյուջեի</w:t>
      </w:r>
      <w:r w:rsidR="00770426" w:rsidRPr="0094799F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մուտքերը (մլրդ դրամ)</w:t>
      </w:r>
    </w:p>
    <w:tbl>
      <w:tblPr>
        <w:tblW w:w="10210" w:type="dxa"/>
        <w:tblInd w:w="-5" w:type="dxa"/>
        <w:tblLook w:val="04A0" w:firstRow="1" w:lastRow="0" w:firstColumn="1" w:lastColumn="0" w:noHBand="0" w:noVBand="1"/>
      </w:tblPr>
      <w:tblGrid>
        <w:gridCol w:w="4082"/>
        <w:gridCol w:w="1418"/>
        <w:gridCol w:w="1417"/>
        <w:gridCol w:w="1937"/>
        <w:gridCol w:w="1356"/>
      </w:tblGrid>
      <w:tr w:rsidR="00E806A9" w:rsidRPr="0094799F" w:rsidTr="00D51B30">
        <w:trPr>
          <w:trHeight w:val="8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A9" w:rsidRPr="0094799F" w:rsidRDefault="00E806A9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 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</w:t>
            </w:r>
          </w:p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 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 նկատմամբ</w:t>
            </w:r>
          </w:p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23183B" w:rsidRPr="0094799F" w:rsidTr="00FF0CF8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83B" w:rsidRPr="0094799F" w:rsidRDefault="0023183B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46.1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50.9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4.8</w:t>
            </w:r>
          </w:p>
        </w:tc>
      </w:tr>
      <w:tr w:rsidR="0023183B" w:rsidRPr="0094799F" w:rsidTr="00FF0CF8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83B" w:rsidRPr="0094799F" w:rsidRDefault="0023183B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Ներմուծվող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20.8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127.6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4.5</w:t>
            </w:r>
          </w:p>
        </w:tc>
      </w:tr>
      <w:tr w:rsidR="0023183B" w:rsidRPr="0094799F" w:rsidTr="00FF0CF8">
        <w:trPr>
          <w:trHeight w:val="30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83B" w:rsidRPr="0094799F" w:rsidRDefault="0023183B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ՀՀ-ում արտադրվող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30.0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3B" w:rsidRPr="0094799F" w:rsidRDefault="0023183B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</w:tr>
    </w:tbl>
    <w:p w:rsidR="00770426" w:rsidRPr="0094799F" w:rsidRDefault="00770426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ru-RU"/>
        </w:rPr>
      </w:pPr>
    </w:p>
    <w:p w:rsidR="00BC69AC" w:rsidRPr="0094799F" w:rsidRDefault="00BC69AC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>202</w:t>
      </w:r>
      <w:r w:rsidR="00A4071F" w:rsidRPr="0094799F">
        <w:rPr>
          <w:rFonts w:ascii="GHEA Grapalat" w:hAnsi="GHEA Grapalat" w:cs="GHEA Grapalat"/>
          <w:color w:val="000000"/>
          <w:lang w:val="hy-AM"/>
        </w:rPr>
        <w:t>5</w:t>
      </w:r>
      <w:r w:rsidR="00E548F1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թվականի </w:t>
      </w:r>
      <w:r w:rsidR="00E806A9" w:rsidRPr="0094799F">
        <w:rPr>
          <w:rFonts w:ascii="GHEA Grapalat" w:hAnsi="GHEA Grapalat" w:cs="GHEA Grapalat"/>
          <w:color w:val="000000"/>
          <w:lang w:val="hy-AM"/>
        </w:rPr>
        <w:t>հունվար-</w:t>
      </w:r>
      <w:r w:rsidR="005E6174" w:rsidRPr="0094799F">
        <w:rPr>
          <w:rFonts w:ascii="GHEA Grapalat" w:hAnsi="GHEA Grapalat" w:cs="GHEA Grapalat"/>
          <w:color w:val="000000"/>
          <w:lang w:val="hy-AM"/>
        </w:rPr>
        <w:t>մայիս</w:t>
      </w:r>
      <w:r w:rsidR="00E806A9" w:rsidRPr="0094799F">
        <w:rPr>
          <w:rFonts w:ascii="GHEA Grapalat" w:hAnsi="GHEA Grapalat" w:cs="GHEA Grapalat"/>
          <w:color w:val="000000"/>
          <w:lang w:val="hy-AM"/>
        </w:rPr>
        <w:t xml:space="preserve"> ամիսներին </w:t>
      </w:r>
      <w:r w:rsidRPr="0094799F">
        <w:rPr>
          <w:rFonts w:ascii="GHEA Grapalat" w:hAnsi="GHEA Grapalat" w:cs="GHEA Grapalat"/>
          <w:color w:val="000000"/>
          <w:lang w:val="hy-AM"/>
        </w:rPr>
        <w:t>պետական բյուջե մուտքագրված առանձին հարկատեսակների վերաբերյալ տեղեկատվությունը ներկայացված է Աղյուսակ 5</w:t>
      </w:r>
      <w:r w:rsidRPr="0094799F">
        <w:rPr>
          <w:rFonts w:ascii="GHEA Grapalat" w:hAnsi="GHEA Grapalat" w:cs="GHEA Grapalat"/>
          <w:color w:val="000000"/>
          <w:lang w:val="hy-AM"/>
        </w:rPr>
        <w:noBreakHyphen/>
        <w:t>ում:</w:t>
      </w:r>
    </w:p>
    <w:p w:rsidR="004F47DC" w:rsidRPr="0094799F" w:rsidRDefault="004F47DC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CD01EC" w:rsidRPr="0094799F" w:rsidRDefault="00CD01EC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276"/>
        </w:tabs>
        <w:spacing w:after="120"/>
        <w:ind w:left="0" w:firstLine="0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հարկային եկամուտների և պետական տուրքերի փաստացի ցուցանիշները (մլրդ դրամ)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219"/>
        <w:gridCol w:w="1418"/>
        <w:gridCol w:w="1313"/>
        <w:gridCol w:w="1903"/>
        <w:gridCol w:w="1348"/>
      </w:tblGrid>
      <w:tr w:rsidR="00E806A9" w:rsidRPr="0094799F" w:rsidTr="003A02E6">
        <w:trPr>
          <w:trHeight w:val="11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A9" w:rsidRPr="0094799F" w:rsidRDefault="00E806A9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 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</w:t>
            </w:r>
          </w:p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 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 նկատմամբ</w:t>
            </w:r>
          </w:p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6A9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Հարկային եկամուտներ և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պետական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984.1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1,125.8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114.4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141.7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958.0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1,094.2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114.2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136.2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269.7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341.1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126.4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71.3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46.1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50.9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110.4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4.8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214.0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252.7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118.1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38.8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30.3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30.5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100.9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266.2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292.6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109.9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26.4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27.6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34.4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124.6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6.8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 գծով)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42.2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48.2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114.3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6.0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29.5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12.7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42.9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(16.9)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32.4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31.1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96.0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(1.3)</w:t>
            </w:r>
          </w:p>
        </w:tc>
      </w:tr>
      <w:tr w:rsidR="00404A81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A81" w:rsidRPr="0094799F" w:rsidRDefault="00404A81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31.6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121.1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81" w:rsidRPr="0094799F" w:rsidRDefault="00404A81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5.5</w:t>
            </w:r>
          </w:p>
        </w:tc>
      </w:tr>
      <w:tr w:rsidR="00CD01E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EC" w:rsidRPr="0094799F" w:rsidRDefault="00CD01EC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հարկերի և տուրքերի մեջ</w:t>
            </w:r>
            <w:r w:rsidR="00C45525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EC" w:rsidRPr="0094799F" w:rsidRDefault="00CD01EC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EC" w:rsidRPr="0094799F" w:rsidRDefault="00CD01E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EC" w:rsidRPr="0094799F" w:rsidRDefault="00CD01E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EC" w:rsidRPr="0094799F" w:rsidRDefault="00CD01E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97.3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97.2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lastRenderedPageBreak/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27.4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30.3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21.7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22.4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27.0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26.0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ourier New"/>
                <w:color w:val="000000"/>
                <w:sz w:val="20"/>
                <w:szCs w:val="20"/>
              </w:rPr>
            </w:pPr>
          </w:p>
        </w:tc>
      </w:tr>
      <w:tr w:rsidR="008250DC" w:rsidRPr="0094799F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0DC" w:rsidRPr="0094799F" w:rsidRDefault="008250DC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0DC" w:rsidRPr="0094799F" w:rsidRDefault="008250DC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</w:tr>
    </w:tbl>
    <w:p w:rsidR="00CD01EC" w:rsidRPr="0094799F" w:rsidRDefault="00CD01EC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237BEC" w:rsidRPr="0094799F" w:rsidRDefault="00EE1F7B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>2</w:t>
      </w:r>
      <w:r w:rsidR="002412FA" w:rsidRPr="0094799F">
        <w:rPr>
          <w:rFonts w:ascii="GHEA Grapalat" w:hAnsi="GHEA Grapalat" w:cs="GHEA Grapalat"/>
          <w:color w:val="000000"/>
          <w:lang w:val="hy-AM"/>
        </w:rPr>
        <w:t>02</w:t>
      </w:r>
      <w:r w:rsidR="00A4071F" w:rsidRPr="0094799F">
        <w:rPr>
          <w:rFonts w:ascii="GHEA Grapalat" w:hAnsi="GHEA Grapalat" w:cs="GHEA Grapalat"/>
          <w:color w:val="000000"/>
          <w:lang w:val="hy-AM"/>
        </w:rPr>
        <w:t>5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թվականի</w:t>
      </w:r>
      <w:r w:rsidRPr="0094799F">
        <w:rPr>
          <w:rFonts w:ascii="GHEA Grapalat" w:hAnsi="GHEA Grapalat" w:cs="GHEA Grapalat"/>
          <w:color w:val="000000"/>
        </w:rPr>
        <w:t xml:space="preserve"> </w:t>
      </w:r>
      <w:r w:rsidR="00E806A9" w:rsidRPr="0094799F">
        <w:rPr>
          <w:rFonts w:ascii="GHEA Grapalat" w:hAnsi="GHEA Grapalat" w:cs="GHEA Grapalat"/>
          <w:color w:val="000000"/>
          <w:lang w:val="hy-AM"/>
        </w:rPr>
        <w:t>հունվար-</w:t>
      </w:r>
      <w:r w:rsidR="005E6174" w:rsidRPr="0094799F">
        <w:rPr>
          <w:rFonts w:ascii="GHEA Grapalat" w:hAnsi="GHEA Grapalat" w:cs="GHEA Grapalat"/>
          <w:color w:val="000000"/>
          <w:lang w:val="hy-AM"/>
        </w:rPr>
        <w:t>մայիս</w:t>
      </w:r>
      <w:r w:rsidR="00E806A9" w:rsidRPr="0094799F">
        <w:rPr>
          <w:rFonts w:ascii="GHEA Grapalat" w:hAnsi="GHEA Grapalat" w:cs="GHEA Grapalat"/>
          <w:color w:val="000000"/>
          <w:lang w:val="hy-AM"/>
        </w:rPr>
        <w:t xml:space="preserve"> ամիսներին </w:t>
      </w:r>
      <w:r w:rsidR="00901957" w:rsidRPr="0094799F">
        <w:rPr>
          <w:rFonts w:ascii="GHEA Grapalat" w:hAnsi="GHEA Grapalat" w:cs="GHEA Grapalat"/>
          <w:color w:val="000000"/>
        </w:rPr>
        <w:t xml:space="preserve">բնապահպանական հարկի և </w:t>
      </w:r>
      <w:r w:rsidR="00D05892" w:rsidRPr="0094799F">
        <w:rPr>
          <w:rFonts w:ascii="GHEA Grapalat" w:hAnsi="GHEA Grapalat" w:cs="GHEA Grapalat"/>
          <w:color w:val="000000"/>
        </w:rPr>
        <w:t>բնօգտագործման վճարների գծով</w:t>
      </w:r>
      <w:r w:rsidR="00D30793" w:rsidRPr="0094799F">
        <w:rPr>
          <w:rFonts w:ascii="GHEA Grapalat" w:hAnsi="GHEA Grapalat" w:cs="GHEA Grapalat"/>
          <w:color w:val="000000"/>
        </w:rPr>
        <w:t xml:space="preserve"> մուտքերը կազմել են </w:t>
      </w:r>
      <w:r w:rsidR="00CE6275" w:rsidRPr="0094799F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774AAA" w:rsidRPr="0094799F">
        <w:rPr>
          <w:rFonts w:ascii="GHEA Grapalat" w:hAnsi="GHEA Grapalat" w:cs="GHEA Grapalat"/>
          <w:color w:val="000000"/>
          <w:lang w:val="hy-AM"/>
        </w:rPr>
        <w:t>12.7</w:t>
      </w:r>
      <w:r w:rsidR="00CE6275" w:rsidRPr="0094799F">
        <w:rPr>
          <w:rFonts w:ascii="GHEA Grapalat" w:hAnsi="GHEA Grapalat" w:cs="GHEA Grapalat"/>
          <w:color w:val="000000"/>
          <w:lang w:val="hy-AM"/>
        </w:rPr>
        <w:t xml:space="preserve"> մլրդ դրամ՝ ապահովելով պետական բյուջեի հարկային եկամուտների և պետական տուրքերի </w:t>
      </w:r>
      <w:r w:rsidR="00237BEC" w:rsidRPr="0094799F">
        <w:rPr>
          <w:rFonts w:ascii="GHEA Grapalat" w:hAnsi="GHEA Grapalat" w:cs="GHEA Grapalat"/>
          <w:color w:val="000000"/>
          <w:lang w:val="hy-AM"/>
        </w:rPr>
        <w:t>1</w:t>
      </w:r>
      <w:r w:rsidR="00CE6275" w:rsidRPr="0094799F">
        <w:rPr>
          <w:rFonts w:ascii="GHEA Grapalat" w:hAnsi="GHEA Grapalat" w:cs="GHEA Grapalat"/>
          <w:color w:val="000000"/>
          <w:lang w:val="hy-AM"/>
        </w:rPr>
        <w:t>.1%</w:t>
      </w:r>
      <w:r w:rsidR="00CE6275" w:rsidRPr="0094799F">
        <w:rPr>
          <w:rFonts w:ascii="GHEA Grapalat" w:hAnsi="GHEA Grapalat" w:cs="GHEA Grapalat"/>
          <w:color w:val="000000"/>
          <w:lang w:val="hy-AM"/>
        </w:rPr>
        <w:noBreakHyphen/>
        <w:t xml:space="preserve">ը: Նախորդ տարվա նույն ժամանակահատվածի համեմատ բնապահպանական հարկի և բնօգտագործման վճարների գծով մուտքերի </w:t>
      </w:r>
      <w:r w:rsidR="00237BEC" w:rsidRPr="0094799F">
        <w:rPr>
          <w:rFonts w:ascii="GHEA Grapalat" w:hAnsi="GHEA Grapalat" w:cs="GHEA Grapalat"/>
          <w:color w:val="000000"/>
          <w:lang w:val="hy-AM"/>
        </w:rPr>
        <w:t>նվազում</w:t>
      </w:r>
      <w:r w:rsidR="00CE6275" w:rsidRPr="0094799F">
        <w:rPr>
          <w:rFonts w:ascii="GHEA Grapalat" w:hAnsi="GHEA Grapalat" w:cs="GHEA Grapalat"/>
          <w:color w:val="000000"/>
          <w:lang w:val="hy-AM"/>
        </w:rPr>
        <w:t xml:space="preserve">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</w:t>
      </w:r>
      <w:r w:rsidR="00237BEC" w:rsidRPr="0094799F">
        <w:rPr>
          <w:rFonts w:ascii="GHEA Grapalat" w:hAnsi="GHEA Grapalat" w:cs="GHEA Grapalat"/>
          <w:color w:val="000000"/>
        </w:rPr>
        <w:t>9</w:t>
      </w:r>
      <w:r w:rsidR="00774AAA" w:rsidRPr="0094799F">
        <w:rPr>
          <w:rFonts w:ascii="GHEA Grapalat" w:hAnsi="GHEA Grapalat" w:cs="GHEA Grapalat"/>
          <w:color w:val="000000"/>
          <w:lang w:val="hy-AM"/>
        </w:rPr>
        <w:t>4</w:t>
      </w:r>
      <w:r w:rsidR="00237BEC" w:rsidRPr="0094799F">
        <w:rPr>
          <w:rFonts w:ascii="GHEA Grapalat" w:hAnsi="GHEA Grapalat" w:cs="GHEA Grapalat"/>
          <w:color w:val="000000"/>
        </w:rPr>
        <w:t>.3</w:t>
      </w:r>
      <w:r w:rsidR="004B0B7F" w:rsidRPr="0094799F">
        <w:rPr>
          <w:rFonts w:ascii="GHEA Grapalat" w:hAnsi="GHEA Grapalat" w:cs="GHEA Grapalat"/>
          <w:color w:val="000000"/>
          <w:lang w:val="hy-AM"/>
        </w:rPr>
        <w:t>%</w:t>
      </w:r>
      <w:r w:rsidR="00237BEC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CE6275" w:rsidRPr="0094799F">
        <w:rPr>
          <w:rFonts w:ascii="GHEA Grapalat" w:hAnsi="GHEA Grapalat" w:cs="GHEA Grapalat"/>
          <w:color w:val="000000"/>
          <w:lang w:val="hy-AM"/>
        </w:rPr>
        <w:t>(</w:t>
      </w:r>
      <w:r w:rsidR="00237BEC" w:rsidRPr="0094799F">
        <w:rPr>
          <w:rFonts w:ascii="GHEA Grapalat" w:hAnsi="GHEA Grapalat" w:cs="GHEA Grapalat"/>
          <w:color w:val="000000"/>
          <w:lang w:val="hy-AM"/>
        </w:rPr>
        <w:t>21.</w:t>
      </w:r>
      <w:r w:rsidR="00774AAA" w:rsidRPr="0094799F">
        <w:rPr>
          <w:rFonts w:ascii="GHEA Grapalat" w:hAnsi="GHEA Grapalat" w:cs="GHEA Grapalat"/>
          <w:color w:val="000000"/>
        </w:rPr>
        <w:t>5</w:t>
      </w:r>
      <w:r w:rsidR="00CE6275" w:rsidRPr="0094799F">
        <w:rPr>
          <w:rFonts w:ascii="Calibri" w:hAnsi="Calibri" w:cs="Calibri"/>
          <w:color w:val="000000"/>
          <w:lang w:val="hy-AM"/>
        </w:rPr>
        <w:t> </w:t>
      </w:r>
      <w:r w:rsidR="00CE6275" w:rsidRPr="0094799F">
        <w:rPr>
          <w:rFonts w:ascii="GHEA Grapalat" w:hAnsi="GHEA Grapalat" w:cs="GHEA Grapalat"/>
          <w:color w:val="000000"/>
          <w:lang w:val="hy-AM"/>
        </w:rPr>
        <w:t>մլրդ</w:t>
      </w:r>
      <w:r w:rsidR="00CE6275" w:rsidRPr="0094799F">
        <w:rPr>
          <w:rFonts w:ascii="Calibri" w:hAnsi="Calibri" w:cs="Calibri"/>
          <w:color w:val="000000"/>
          <w:lang w:val="hy-AM"/>
        </w:rPr>
        <w:t> </w:t>
      </w:r>
      <w:r w:rsidR="00CE6275" w:rsidRPr="0094799F">
        <w:rPr>
          <w:rFonts w:ascii="GHEA Grapalat" w:hAnsi="GHEA Grapalat" w:cs="GHEA Grapalat"/>
          <w:color w:val="000000"/>
          <w:lang w:val="hy-AM"/>
        </w:rPr>
        <w:t xml:space="preserve">դրամ) </w:t>
      </w:r>
      <w:r w:rsidR="00237BEC" w:rsidRPr="0094799F">
        <w:rPr>
          <w:rFonts w:ascii="GHEA Grapalat" w:hAnsi="GHEA Grapalat" w:cs="GHEA Grapalat"/>
          <w:color w:val="000000"/>
          <w:lang w:val="hy-AM"/>
        </w:rPr>
        <w:t>նվազմամբ</w:t>
      </w:r>
      <w:r w:rsidR="00344216" w:rsidRPr="0094799F">
        <w:rPr>
          <w:rFonts w:ascii="GHEA Grapalat" w:hAnsi="GHEA Grapalat" w:cs="GHEA Grapalat"/>
          <w:color w:val="000000"/>
        </w:rPr>
        <w:t>՝ պայմանավորված ռոյալթիի գծով նախորդ տարի ստացված գերավճարների վերադարձով</w:t>
      </w:r>
      <w:r w:rsidR="00CE6275" w:rsidRPr="0094799F">
        <w:rPr>
          <w:rFonts w:ascii="GHEA Grapalat" w:hAnsi="GHEA Grapalat" w:cs="GHEA Grapalat"/>
          <w:color w:val="000000"/>
          <w:lang w:val="hy-AM"/>
        </w:rPr>
        <w:t xml:space="preserve">: </w:t>
      </w:r>
      <w:r w:rsidR="00237BEC" w:rsidRPr="0094799F">
        <w:rPr>
          <w:rFonts w:ascii="GHEA Grapalat" w:hAnsi="GHEA Grapalat" w:cs="GHEA Grapalat"/>
          <w:color w:val="000000"/>
          <w:lang w:val="hy-AM"/>
        </w:rPr>
        <w:t>Միաժամանակ</w:t>
      </w:r>
      <w:r w:rsidR="00CE6275" w:rsidRPr="0094799F">
        <w:rPr>
          <w:rFonts w:ascii="GHEA Grapalat" w:hAnsi="GHEA Grapalat" w:cs="GHEA Grapalat"/>
          <w:color w:val="000000"/>
          <w:lang w:val="hy-AM"/>
        </w:rPr>
        <w:t xml:space="preserve">, </w:t>
      </w:r>
      <w:r w:rsidR="00237BEC" w:rsidRPr="0094799F">
        <w:rPr>
          <w:rFonts w:ascii="GHEA Grapalat" w:hAnsi="GHEA Grapalat" w:cs="GHEA Grapalat"/>
          <w:color w:val="000000"/>
          <w:lang w:val="hy-AM"/>
        </w:rPr>
        <w:t>2.</w:t>
      </w:r>
      <w:r w:rsidR="00C42DFA" w:rsidRPr="0094799F">
        <w:rPr>
          <w:rFonts w:ascii="GHEA Grapalat" w:hAnsi="GHEA Grapalat" w:cs="GHEA Grapalat"/>
          <w:color w:val="000000"/>
        </w:rPr>
        <w:t>6</w:t>
      </w:r>
      <w:r w:rsidR="00237BEC" w:rsidRPr="0094799F">
        <w:rPr>
          <w:rFonts w:ascii="GHEA Grapalat" w:hAnsi="GHEA Grapalat" w:cs="GHEA Grapalat"/>
          <w:color w:val="000000"/>
          <w:lang w:val="hy-AM"/>
        </w:rPr>
        <w:t xml:space="preserve"> անգամ (</w:t>
      </w:r>
      <w:r w:rsidR="00C42DFA" w:rsidRPr="0094799F">
        <w:rPr>
          <w:rFonts w:ascii="GHEA Grapalat" w:hAnsi="GHEA Grapalat" w:cs="GHEA Grapalat"/>
          <w:color w:val="000000"/>
        </w:rPr>
        <w:t>4.1</w:t>
      </w:r>
      <w:r w:rsidR="00237BEC" w:rsidRPr="0094799F">
        <w:rPr>
          <w:rFonts w:ascii="GHEA Grapalat" w:hAnsi="GHEA Grapalat" w:cs="GHEA Grapalat"/>
          <w:color w:val="000000"/>
          <w:lang w:val="hy-AM"/>
        </w:rPr>
        <w:t xml:space="preserve"> մլրդ</w:t>
      </w:r>
      <w:r w:rsidR="00237BEC" w:rsidRPr="0094799F">
        <w:rPr>
          <w:rFonts w:ascii="Calibri" w:hAnsi="Calibri" w:cs="Calibri"/>
          <w:color w:val="000000"/>
          <w:lang w:val="hy-AM"/>
        </w:rPr>
        <w:t> </w:t>
      </w:r>
      <w:r w:rsidR="00237BEC" w:rsidRPr="0094799F">
        <w:rPr>
          <w:rFonts w:ascii="GHEA Grapalat" w:hAnsi="GHEA Grapalat" w:cs="GHEA Grapalat"/>
          <w:color w:val="000000"/>
          <w:lang w:val="hy-AM"/>
        </w:rPr>
        <w:t>դրամ) աճ է արձանագրվել ՀՀ ներմուծվող շրջակա միջավայրին վնաս պատճառող ապրանքների համար գանձված բնապահպանական հարկի մուտքերում:</w:t>
      </w:r>
    </w:p>
    <w:p w:rsidR="00901957" w:rsidRPr="0094799F" w:rsidRDefault="00901957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 xml:space="preserve">Հաշվետու ժամանակահատվածում պետական բյուջեի հարկերի և տուրքերի </w:t>
      </w:r>
      <w:r w:rsidR="00237BEC" w:rsidRPr="0094799F">
        <w:rPr>
          <w:rFonts w:ascii="GHEA Grapalat" w:hAnsi="GHEA Grapalat" w:cs="GHEA Grapalat"/>
          <w:color w:val="000000"/>
          <w:lang w:val="hy-AM"/>
        </w:rPr>
        <w:t>2.</w:t>
      </w:r>
      <w:r w:rsidR="00C42DFA" w:rsidRPr="0094799F">
        <w:rPr>
          <w:rFonts w:ascii="GHEA Grapalat" w:hAnsi="GHEA Grapalat" w:cs="GHEA Grapalat"/>
          <w:color w:val="000000"/>
          <w:lang w:val="hy-AM"/>
        </w:rPr>
        <w:t>8</w:t>
      </w:r>
      <w:r w:rsidRPr="0094799F">
        <w:rPr>
          <w:rFonts w:ascii="GHEA Grapalat" w:hAnsi="GHEA Grapalat" w:cs="GHEA Grapalat"/>
          <w:color w:val="000000"/>
          <w:lang w:val="hy-AM"/>
        </w:rPr>
        <w:t>%-ը ձևավորվել է այլ հարկերի</w:t>
      </w:r>
      <w:r w:rsidR="00C42DFA" w:rsidRPr="0094799F">
        <w:rPr>
          <w:rFonts w:ascii="GHEA Grapalat" w:hAnsi="GHEA Grapalat" w:cs="GHEA Grapalat"/>
          <w:color w:val="000000"/>
          <w:lang w:val="hy-AM"/>
        </w:rPr>
        <w:t xml:space="preserve"> հաշվին՝ կազմելով շուրջ</w:t>
      </w:r>
      <w:r w:rsidR="005E3A65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C42DFA" w:rsidRPr="0094799F">
        <w:rPr>
          <w:rFonts w:ascii="GHEA Grapalat" w:hAnsi="GHEA Grapalat" w:cs="GHEA Grapalat"/>
          <w:color w:val="000000"/>
          <w:lang w:val="hy-AM"/>
        </w:rPr>
        <w:t xml:space="preserve">31.1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մլրդ դրամ: Մասնավորապես` </w:t>
      </w:r>
      <w:r w:rsidR="00C42DFA" w:rsidRPr="0094799F">
        <w:rPr>
          <w:rFonts w:ascii="GHEA Grapalat" w:hAnsi="GHEA Grapalat" w:cs="GHEA Grapalat"/>
          <w:color w:val="000000"/>
          <w:lang w:val="hy-AM"/>
        </w:rPr>
        <w:t>շուրջ 21</w:t>
      </w:r>
      <w:r w:rsidR="006C4AE0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մլրդ դրամ են կազմել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C42DFA" w:rsidRPr="0094799F">
        <w:rPr>
          <w:rFonts w:ascii="GHEA Grapalat" w:hAnsi="GHEA Grapalat" w:cs="GHEA Grapalat"/>
          <w:color w:val="000000"/>
          <w:lang w:val="hy-AM"/>
        </w:rPr>
        <w:t>3.6</w:t>
      </w:r>
      <w:r w:rsidR="00BA31D5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6C4AE0" w:rsidRPr="0094799F">
        <w:rPr>
          <w:rFonts w:ascii="GHEA Grapalat" w:hAnsi="GHEA Grapalat" w:cs="GHEA Grapalat"/>
          <w:color w:val="000000"/>
          <w:lang w:val="hy-AM"/>
        </w:rPr>
        <w:t>մլրդ</w:t>
      </w:r>
      <w:r w:rsidR="00BA31D5" w:rsidRPr="0094799F">
        <w:rPr>
          <w:rFonts w:ascii="GHEA Grapalat" w:hAnsi="GHEA Grapalat" w:cs="GHEA Grapalat"/>
          <w:color w:val="000000"/>
          <w:lang w:val="hy-AM"/>
        </w:rPr>
        <w:t xml:space="preserve"> դրամ՝ 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վճարը,</w:t>
      </w:r>
      <w:r w:rsidR="00DB4A04" w:rsidRPr="0094799F">
        <w:rPr>
          <w:rFonts w:ascii="GHEA Grapalat" w:hAnsi="GHEA Grapalat" w:cs="GHEA Grapalat"/>
          <w:color w:val="000000"/>
          <w:lang w:val="hy-AM"/>
        </w:rPr>
        <w:t xml:space="preserve"> 2</w:t>
      </w:r>
      <w:r w:rsidR="00C42DFA" w:rsidRPr="0094799F">
        <w:rPr>
          <w:rFonts w:ascii="GHEA Grapalat" w:hAnsi="GHEA Grapalat" w:cs="GHEA Grapalat"/>
          <w:color w:val="000000"/>
          <w:lang w:val="hy-AM"/>
        </w:rPr>
        <w:t>.8</w:t>
      </w:r>
      <w:r w:rsidR="00DB4A04" w:rsidRPr="0094799F">
        <w:rPr>
          <w:rFonts w:ascii="GHEA Grapalat" w:hAnsi="GHEA Grapalat" w:cs="GHEA Grapalat"/>
          <w:color w:val="000000"/>
          <w:lang w:val="hy-AM"/>
        </w:rPr>
        <w:t xml:space="preserve"> մլրդ դրամ՝ ռադիոհաճախականության օգտագործման պարտադիր վճարները, </w:t>
      </w:r>
      <w:r w:rsidR="00C42DFA" w:rsidRPr="0094799F">
        <w:rPr>
          <w:rFonts w:ascii="GHEA Grapalat" w:hAnsi="GHEA Grapalat" w:cs="GHEA Grapalat"/>
          <w:color w:val="000000"/>
          <w:lang w:val="hy-AM"/>
        </w:rPr>
        <w:t xml:space="preserve">շուրջ 2.1 </w:t>
      </w:r>
      <w:r w:rsidR="00421341" w:rsidRPr="0094799F">
        <w:rPr>
          <w:rFonts w:ascii="GHEA Grapalat" w:hAnsi="GHEA Grapalat" w:cs="GHEA Grapalat"/>
          <w:color w:val="000000"/>
          <w:lang w:val="hy-AM"/>
        </w:rPr>
        <w:t xml:space="preserve">մլրդ </w:t>
      </w:r>
      <w:r w:rsidR="00666517" w:rsidRPr="0094799F">
        <w:rPr>
          <w:rFonts w:ascii="GHEA Grapalat" w:hAnsi="GHEA Grapalat" w:cs="GHEA Grapalat"/>
          <w:color w:val="000000"/>
          <w:lang w:val="hy-AM"/>
        </w:rPr>
        <w:t>դրամ՝ ճանապարհային հարկը</w:t>
      </w:r>
      <w:r w:rsidR="00C42DFA" w:rsidRPr="0094799F">
        <w:rPr>
          <w:rFonts w:ascii="GHEA Grapalat" w:hAnsi="GHEA Grapalat" w:cs="GHEA Grapalat"/>
          <w:color w:val="000000"/>
          <w:lang w:val="hy-AM"/>
        </w:rPr>
        <w:t xml:space="preserve"> և 1.1 մլրդ դրամ՝</w:t>
      </w:r>
      <w:r w:rsidR="005E3A65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C42DFA" w:rsidRPr="0094799F">
        <w:rPr>
          <w:rFonts w:ascii="GHEA Grapalat" w:hAnsi="GHEA Grapalat" w:cs="GHEA Grapalat"/>
          <w:color w:val="000000"/>
          <w:lang w:val="hy-AM"/>
        </w:rPr>
        <w:t xml:space="preserve">հարկային օրենսդրության խախտման համար </w:t>
      </w:r>
      <w:r w:rsidR="00C42DFA" w:rsidRPr="0094799F">
        <w:rPr>
          <w:rFonts w:ascii="GHEA Grapalat" w:hAnsi="GHEA Grapalat" w:cs="GHEA Grapalat"/>
          <w:color w:val="000000"/>
          <w:lang w:val="hy-AM"/>
        </w:rPr>
        <w:lastRenderedPageBreak/>
        <w:t>սահմանված տուգանքները</w:t>
      </w:r>
      <w:r w:rsidR="001D1118" w:rsidRPr="0094799F">
        <w:rPr>
          <w:rFonts w:ascii="GHEA Grapalat" w:hAnsi="GHEA Grapalat" w:cs="GHEA Grapalat"/>
          <w:lang w:val="hy-AM"/>
        </w:rPr>
        <w:t>:</w:t>
      </w:r>
      <w:r w:rsidR="00B65BC3" w:rsidRPr="0094799F">
        <w:rPr>
          <w:rFonts w:ascii="GHEA Grapalat" w:hAnsi="GHEA Grapalat" w:cs="GHEA Grapalat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="00E806A9" w:rsidRPr="0094799F">
        <w:rPr>
          <w:rFonts w:ascii="GHEA Grapalat" w:hAnsi="GHEA Grapalat" w:cs="GHEA Grapalat"/>
          <w:color w:val="000000"/>
          <w:lang w:val="hy-AM"/>
        </w:rPr>
        <w:t>հունվար-</w:t>
      </w:r>
      <w:r w:rsidR="005E6174" w:rsidRPr="0094799F">
        <w:rPr>
          <w:rFonts w:ascii="GHEA Grapalat" w:hAnsi="GHEA Grapalat" w:cs="GHEA Grapalat"/>
          <w:color w:val="000000"/>
          <w:lang w:val="hy-AM"/>
        </w:rPr>
        <w:t>մայիս</w:t>
      </w:r>
      <w:r w:rsidR="00E806A9" w:rsidRPr="0094799F">
        <w:rPr>
          <w:rFonts w:ascii="GHEA Grapalat" w:hAnsi="GHEA Grapalat" w:cs="GHEA Grapalat"/>
          <w:color w:val="000000"/>
          <w:lang w:val="hy-AM"/>
        </w:rPr>
        <w:t xml:space="preserve"> ամիսների</w:t>
      </w:r>
      <w:r w:rsidR="00BE2DE0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lang w:val="hy-AM"/>
        </w:rPr>
        <w:t xml:space="preserve">համեմատ այլ հարկերի </w:t>
      </w:r>
      <w:r w:rsidRPr="0094799F">
        <w:rPr>
          <w:rFonts w:ascii="GHEA Grapalat" w:hAnsi="GHEA Grapalat" w:cs="GHEA Grapalat"/>
          <w:color w:val="000000"/>
          <w:lang w:val="hy-AM"/>
        </w:rPr>
        <w:t>փաստացի ցուցանիշ</w:t>
      </w:r>
      <w:r w:rsidR="006C4AE0" w:rsidRPr="0094799F">
        <w:rPr>
          <w:rFonts w:ascii="GHEA Grapalat" w:hAnsi="GHEA Grapalat" w:cs="GHEA Grapalat"/>
          <w:color w:val="000000"/>
          <w:lang w:val="hy-AM"/>
        </w:rPr>
        <w:t xml:space="preserve">ը </w:t>
      </w:r>
      <w:r w:rsidRPr="0094799F">
        <w:rPr>
          <w:rFonts w:ascii="GHEA Grapalat" w:hAnsi="GHEA Grapalat" w:cs="GHEA Grapalat"/>
          <w:color w:val="000000"/>
          <w:lang w:val="hy-AM"/>
        </w:rPr>
        <w:t>ն</w:t>
      </w:r>
      <w:r w:rsidR="006C4AE0" w:rsidRPr="0094799F">
        <w:rPr>
          <w:rFonts w:ascii="GHEA Grapalat" w:hAnsi="GHEA Grapalat" w:cs="GHEA Grapalat"/>
          <w:color w:val="000000"/>
          <w:lang w:val="hy-AM"/>
        </w:rPr>
        <w:t>վ</w:t>
      </w:r>
      <w:r w:rsidRPr="0094799F">
        <w:rPr>
          <w:rFonts w:ascii="GHEA Grapalat" w:hAnsi="GHEA Grapalat" w:cs="GHEA Grapalat"/>
          <w:color w:val="000000"/>
          <w:lang w:val="hy-AM"/>
        </w:rPr>
        <w:t>ա</w:t>
      </w:r>
      <w:r w:rsidR="006C4AE0" w:rsidRPr="0094799F">
        <w:rPr>
          <w:rFonts w:ascii="GHEA Grapalat" w:hAnsi="GHEA Grapalat" w:cs="GHEA Grapalat"/>
          <w:color w:val="000000"/>
          <w:lang w:val="hy-AM"/>
        </w:rPr>
        <w:t>զ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ել է </w:t>
      </w:r>
      <w:r w:rsidR="00C42DFA" w:rsidRPr="0094799F">
        <w:rPr>
          <w:rFonts w:ascii="GHEA Grapalat" w:hAnsi="GHEA Grapalat" w:cs="GHEA Grapalat"/>
          <w:color w:val="000000"/>
          <w:lang w:val="hy-AM"/>
        </w:rPr>
        <w:t>4</w:t>
      </w:r>
      <w:r w:rsidRPr="0094799F">
        <w:rPr>
          <w:rFonts w:ascii="GHEA Grapalat" w:hAnsi="GHEA Grapalat" w:cs="GHEA Grapalat"/>
          <w:color w:val="000000"/>
          <w:lang w:val="hy-AM"/>
        </w:rPr>
        <w:t>%-ով</w:t>
      </w:r>
      <w:r w:rsidR="006C4AE0" w:rsidRPr="0094799F">
        <w:rPr>
          <w:rFonts w:ascii="GHEA Grapalat" w:hAnsi="GHEA Grapalat" w:cs="GHEA Grapalat"/>
          <w:color w:val="000000"/>
          <w:lang w:val="hy-AM"/>
        </w:rPr>
        <w:t xml:space="preserve"> կամ </w:t>
      </w:r>
      <w:r w:rsidR="00C42DFA" w:rsidRPr="0094799F">
        <w:rPr>
          <w:rFonts w:ascii="GHEA Grapalat" w:hAnsi="GHEA Grapalat" w:cs="GHEA Grapalat"/>
          <w:color w:val="000000"/>
          <w:lang w:val="hy-AM"/>
        </w:rPr>
        <w:t>1.3 մլրդ</w:t>
      </w:r>
      <w:r w:rsidR="006C4AE0" w:rsidRPr="0094799F">
        <w:rPr>
          <w:rFonts w:ascii="GHEA Grapalat" w:hAnsi="GHEA Grapalat" w:cs="GHEA Grapalat"/>
          <w:color w:val="000000"/>
          <w:lang w:val="hy-AM"/>
        </w:rPr>
        <w:t xml:space="preserve"> դրամով, ինչը հիմնականում ձևավորվել է միասնական մաքսային վճարի և ռադիոհաճախականության օգտագործման պարտադիր վճարների նվ</w:t>
      </w:r>
      <w:r w:rsidR="00B65BC3" w:rsidRPr="0094799F">
        <w:rPr>
          <w:rFonts w:ascii="GHEA Grapalat" w:hAnsi="GHEA Grapalat" w:cs="GHEA Grapalat"/>
          <w:color w:val="000000"/>
          <w:lang w:val="hy-AM"/>
        </w:rPr>
        <w:t>ազման ու դրոշմանիշային վճարների և հարկային օրենսդրության խախտման համար սահմանված տուգանքների</w:t>
      </w:r>
      <w:r w:rsidR="00AF07FC" w:rsidRPr="0094799F">
        <w:rPr>
          <w:rFonts w:ascii="GHEA Grapalat" w:hAnsi="GHEA Grapalat" w:cs="GHEA Grapalat"/>
          <w:color w:val="000000"/>
          <w:lang w:val="hy-AM"/>
        </w:rPr>
        <w:t>ց մուտքերի</w:t>
      </w:r>
      <w:r w:rsidR="00B65BC3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6C4AE0" w:rsidRPr="0094799F">
        <w:rPr>
          <w:rFonts w:ascii="GHEA Grapalat" w:hAnsi="GHEA Grapalat" w:cs="GHEA Grapalat"/>
          <w:color w:val="000000"/>
          <w:lang w:val="hy-AM"/>
        </w:rPr>
        <w:t>աճի արդյունքում</w:t>
      </w:r>
      <w:r w:rsidR="0057441A" w:rsidRPr="0094799F">
        <w:rPr>
          <w:rFonts w:ascii="GHEA Grapalat" w:hAnsi="GHEA Grapalat" w:cs="GHEA Grapalat"/>
          <w:color w:val="000000"/>
          <w:lang w:val="hy-AM"/>
        </w:rPr>
        <w:t>:</w:t>
      </w:r>
    </w:p>
    <w:p w:rsidR="0095513B" w:rsidRPr="0094799F" w:rsidRDefault="009968EF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>202</w:t>
      </w:r>
      <w:r w:rsidR="00A4071F" w:rsidRPr="0094799F">
        <w:rPr>
          <w:rFonts w:ascii="GHEA Grapalat" w:hAnsi="GHEA Grapalat" w:cs="GHEA Grapalat"/>
          <w:color w:val="000000"/>
          <w:lang w:val="hy-AM"/>
        </w:rPr>
        <w:t>5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="00E806A9" w:rsidRPr="0094799F">
        <w:rPr>
          <w:rFonts w:ascii="GHEA Grapalat" w:hAnsi="GHEA Grapalat" w:cs="GHEA Grapalat"/>
          <w:color w:val="000000"/>
          <w:lang w:val="hy-AM"/>
        </w:rPr>
        <w:t>հունվար-</w:t>
      </w:r>
      <w:r w:rsidR="005E6174" w:rsidRPr="0094799F">
        <w:rPr>
          <w:rFonts w:ascii="GHEA Grapalat" w:hAnsi="GHEA Grapalat" w:cs="GHEA Grapalat"/>
          <w:color w:val="000000"/>
          <w:lang w:val="hy-AM"/>
        </w:rPr>
        <w:t>մայիս</w:t>
      </w:r>
      <w:r w:rsidR="00E806A9" w:rsidRPr="0094799F">
        <w:rPr>
          <w:rFonts w:ascii="GHEA Grapalat" w:hAnsi="GHEA Grapalat" w:cs="GHEA Grapalat"/>
          <w:color w:val="000000"/>
          <w:lang w:val="hy-AM"/>
        </w:rPr>
        <w:t xml:space="preserve"> ամիսներին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պետական բյուջե են մուտքագրվել </w:t>
      </w:r>
      <w:r w:rsidR="00C42DFA" w:rsidRPr="0094799F">
        <w:rPr>
          <w:rFonts w:ascii="GHEA Grapalat" w:hAnsi="GHEA Grapalat" w:cs="GHEA Grapalat"/>
          <w:color w:val="000000"/>
          <w:lang w:val="hy-AM"/>
        </w:rPr>
        <w:t xml:space="preserve">31.6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մլրդ դրամ </w:t>
      </w:r>
      <w:r w:rsidRPr="0094799F">
        <w:rPr>
          <w:rFonts w:ascii="GHEA Grapalat" w:hAnsi="GHEA Grapalat" w:cs="GHEA Grapalat"/>
          <w:i/>
          <w:color w:val="000000"/>
          <w:lang w:val="hy-AM"/>
        </w:rPr>
        <w:t>պետական տուրքեր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` կազմելով </w:t>
      </w:r>
      <w:r w:rsidR="00E806A9" w:rsidRPr="0094799F">
        <w:rPr>
          <w:rFonts w:ascii="GHEA Grapalat" w:hAnsi="GHEA Grapalat" w:cs="GHEA Grapalat"/>
          <w:color w:val="000000"/>
          <w:lang w:val="hy-AM"/>
        </w:rPr>
        <w:t>կիս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ամյակային ծրագրի </w:t>
      </w:r>
      <w:r w:rsidR="00C42DFA" w:rsidRPr="0094799F">
        <w:rPr>
          <w:rFonts w:ascii="GHEA Grapalat" w:hAnsi="GHEA Grapalat" w:cs="GHEA Grapalat"/>
          <w:color w:val="000000"/>
          <w:lang w:val="hy-AM"/>
        </w:rPr>
        <w:t>8</w:t>
      </w:r>
      <w:r w:rsidR="00DA2185" w:rsidRPr="0094799F">
        <w:rPr>
          <w:rFonts w:ascii="GHEA Grapalat" w:hAnsi="GHEA Grapalat" w:cs="GHEA Grapalat"/>
          <w:color w:val="000000"/>
          <w:lang w:val="hy-AM"/>
        </w:rPr>
        <w:t>6.1</w:t>
      </w:r>
      <w:r w:rsidRPr="0094799F">
        <w:rPr>
          <w:rFonts w:ascii="GHEA Grapalat" w:hAnsi="GHEA Grapalat" w:cs="GHEA Grapalat"/>
          <w:color w:val="000000"/>
          <w:lang w:val="hy-AM"/>
        </w:rPr>
        <w:t>%</w:t>
      </w:r>
      <w:r w:rsidRPr="0094799F">
        <w:rPr>
          <w:rFonts w:ascii="GHEA Grapalat" w:hAnsi="GHEA Grapalat" w:cs="GHEA Grapalat"/>
          <w:color w:val="000000"/>
          <w:lang w:val="hy-AM"/>
        </w:rPr>
        <w:noBreakHyphen/>
        <w:t xml:space="preserve">ը: Պետական տուրքերում </w:t>
      </w:r>
      <w:r w:rsidR="00C42DFA" w:rsidRPr="0094799F">
        <w:rPr>
          <w:rFonts w:ascii="GHEA Grapalat" w:hAnsi="GHEA Grapalat" w:cs="GHEA Grapalat"/>
          <w:color w:val="000000"/>
          <w:lang w:val="hy-AM"/>
        </w:rPr>
        <w:t>50</w:t>
      </w:r>
      <w:r w:rsidR="0095513B" w:rsidRPr="0094799F">
        <w:rPr>
          <w:rFonts w:ascii="GHEA Grapalat" w:hAnsi="GHEA Grapalat" w:cs="GHEA Grapalat"/>
          <w:color w:val="000000"/>
          <w:lang w:val="hy-AM"/>
        </w:rPr>
        <w:t>.</w:t>
      </w:r>
      <w:r w:rsidR="00A1403E" w:rsidRPr="0094799F">
        <w:rPr>
          <w:rFonts w:ascii="GHEA Grapalat" w:hAnsi="GHEA Grapalat" w:cs="GHEA Grapalat"/>
          <w:color w:val="000000"/>
          <w:lang w:val="hy-AM"/>
        </w:rPr>
        <w:t>7</w:t>
      </w:r>
      <w:r w:rsidR="006B3F3C" w:rsidRPr="0094799F">
        <w:rPr>
          <w:rFonts w:ascii="GHEA Grapalat" w:hAnsi="GHEA Grapalat" w:cs="GHEA Grapalat"/>
          <w:color w:val="000000"/>
          <w:lang w:val="hy-AM"/>
        </w:rPr>
        <w:t xml:space="preserve">% տեսակարար կշիռ ունեն </w:t>
      </w:r>
      <w:r w:rsidR="003E1C6F" w:rsidRPr="0094799F">
        <w:rPr>
          <w:rFonts w:ascii="GHEA Grapalat" w:hAnsi="GHEA Grapalat" w:cs="GHEA Grapalat"/>
          <w:color w:val="000000"/>
          <w:lang w:val="hy-AM"/>
        </w:rPr>
        <w:t>լիցենզավորման ենթակա կամ թույլտվություններով</w:t>
      </w:r>
      <w:r w:rsidR="003E1C6F" w:rsidRPr="0094799F">
        <w:rPr>
          <w:rFonts w:ascii="Courier New" w:hAnsi="Courier New" w:cs="Courier New"/>
          <w:color w:val="000000"/>
          <w:lang w:val="hy-AM"/>
        </w:rPr>
        <w:t> </w:t>
      </w:r>
      <w:r w:rsidR="003E1C6F" w:rsidRPr="0094799F">
        <w:rPr>
          <w:rFonts w:ascii="GHEA Grapalat" w:hAnsi="GHEA Grapalat" w:cs="GHEA Grapalat"/>
          <w:color w:val="000000"/>
          <w:lang w:val="hy-AM"/>
        </w:rPr>
        <w:t xml:space="preserve">գործունեություն իրականացնելու նպատակով լիցենզիաներ, արտոնագրեր (թույլտվություններ) տալու համար գանձվող տուրքերը, </w:t>
      </w:r>
      <w:r w:rsidR="0095513B" w:rsidRPr="0094799F">
        <w:rPr>
          <w:rFonts w:ascii="GHEA Grapalat" w:hAnsi="GHEA Grapalat" w:cs="GHEA Grapalat"/>
          <w:color w:val="000000"/>
          <w:lang w:val="hy-AM"/>
        </w:rPr>
        <w:t xml:space="preserve">որոնք </w:t>
      </w:r>
      <w:r w:rsidR="00DA2185" w:rsidRPr="0094799F">
        <w:rPr>
          <w:rFonts w:ascii="GHEA Grapalat" w:hAnsi="GHEA Grapalat" w:cs="GHEA Grapalat"/>
          <w:color w:val="000000"/>
          <w:lang w:val="hy-AM"/>
        </w:rPr>
        <w:t>91.6</w:t>
      </w:r>
      <w:r w:rsidR="0095513B" w:rsidRPr="0094799F">
        <w:rPr>
          <w:rFonts w:ascii="GHEA Grapalat" w:hAnsi="GHEA Grapalat" w:cs="GHEA Grapalat"/>
          <w:color w:val="000000"/>
          <w:lang w:val="hy-AM"/>
        </w:rPr>
        <w:t>%</w:t>
      </w:r>
      <w:r w:rsidR="0095513B" w:rsidRPr="0094799F">
        <w:rPr>
          <w:rFonts w:ascii="GHEA Grapalat" w:hAnsi="GHEA Grapalat" w:cs="GHEA Grapalat"/>
          <w:color w:val="000000"/>
          <w:lang w:val="hy-AM"/>
        </w:rPr>
        <w:noBreakHyphen/>
        <w:t xml:space="preserve">ով </w:t>
      </w:r>
      <w:r w:rsidR="00DA2185" w:rsidRPr="0094799F">
        <w:rPr>
          <w:rFonts w:ascii="GHEA Grapalat" w:hAnsi="GHEA Grapalat" w:cs="GHEA Grapalat"/>
          <w:color w:val="000000"/>
          <w:lang w:val="hy-AM"/>
        </w:rPr>
        <w:t>ապահով</w:t>
      </w:r>
      <w:r w:rsidR="0095513B" w:rsidRPr="0094799F">
        <w:rPr>
          <w:rFonts w:ascii="GHEA Grapalat" w:hAnsi="GHEA Grapalat" w:cs="GHEA Grapalat"/>
          <w:color w:val="000000"/>
          <w:lang w:val="hy-AM"/>
        </w:rPr>
        <w:t xml:space="preserve">ել են կիսամյակային ծրագրային ցուցանիշը՝ </w:t>
      </w:r>
      <w:r w:rsidR="00C55306" w:rsidRPr="0094799F">
        <w:rPr>
          <w:rFonts w:ascii="GHEA Grapalat" w:hAnsi="GHEA Grapalat" w:cs="GHEA Grapalat"/>
          <w:color w:val="000000"/>
          <w:lang w:val="hy-AM"/>
        </w:rPr>
        <w:t xml:space="preserve">կազմելով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16</w:t>
      </w:r>
      <w:r w:rsidR="0095513B" w:rsidRPr="0094799F">
        <w:rPr>
          <w:rFonts w:ascii="GHEA Grapalat" w:hAnsi="GHEA Grapalat" w:cs="GHEA Grapalat"/>
          <w:color w:val="000000"/>
          <w:lang w:val="hy-AM"/>
        </w:rPr>
        <w:t xml:space="preserve"> մլրդ դրամ: Նշված գումարից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շուրջ 9.1</w:t>
      </w:r>
      <w:r w:rsidR="0095513B" w:rsidRPr="0094799F">
        <w:rPr>
          <w:rFonts w:ascii="GHEA Grapalat" w:hAnsi="GHEA Grapalat" w:cs="GHEA Grapalat"/>
          <w:color w:val="000000"/>
          <w:lang w:val="hy-AM"/>
        </w:rPr>
        <w:t xml:space="preserve"> մլրդ դրամ են կազմել վիճակախաղերի, շահումներով խաղերի և մետաղադրամով և (կամ) թղթադրամով շահագործվող ավտոմատների միջոցով սննդի առևտրի և խաղերի բնագավառից գանձվող տուրքերը՝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7</w:t>
      </w:r>
      <w:r w:rsidR="00DA2185" w:rsidRPr="0094799F">
        <w:rPr>
          <w:rFonts w:ascii="GHEA Grapalat" w:hAnsi="GHEA Grapalat" w:cs="GHEA Grapalat"/>
          <w:color w:val="000000"/>
          <w:lang w:val="hy-AM"/>
        </w:rPr>
        <w:t>1</w:t>
      </w:r>
      <w:r w:rsidR="005C58E0" w:rsidRPr="0094799F">
        <w:rPr>
          <w:rFonts w:ascii="GHEA Grapalat" w:hAnsi="GHEA Grapalat" w:cs="GHEA Grapalat"/>
          <w:color w:val="000000"/>
          <w:lang w:val="hy-AM"/>
        </w:rPr>
        <w:t>.9</w:t>
      </w:r>
      <w:r w:rsidR="0095513B" w:rsidRPr="0094799F">
        <w:rPr>
          <w:rFonts w:ascii="GHEA Grapalat" w:hAnsi="GHEA Grapalat" w:cs="GHEA Grapalat"/>
          <w:color w:val="000000"/>
          <w:lang w:val="hy-AM"/>
        </w:rPr>
        <w:t>%</w:t>
      </w:r>
      <w:r w:rsidR="0095513B" w:rsidRPr="0094799F">
        <w:rPr>
          <w:rFonts w:ascii="GHEA Grapalat" w:hAnsi="GHEA Grapalat" w:cs="GHEA Grapalat"/>
          <w:color w:val="000000"/>
          <w:lang w:val="hy-AM"/>
        </w:rPr>
        <w:noBreakHyphen/>
        <w:t xml:space="preserve">ով ապահովելով կիսամյակային ծրագրային ցուցանիշը: Շուրջ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2.1</w:t>
      </w:r>
      <w:r w:rsidR="0095513B" w:rsidRPr="0094799F">
        <w:rPr>
          <w:rFonts w:ascii="GHEA Grapalat" w:hAnsi="GHEA Grapalat" w:cs="GHEA Grapalat"/>
          <w:color w:val="000000"/>
          <w:lang w:val="hy-AM"/>
        </w:rPr>
        <w:t xml:space="preserve"> մլրդ դրամ են կազմել մաքսային բնագավառում լիցենզավորման գծով գանձվող տուրքերը՝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86</w:t>
      </w:r>
      <w:r w:rsidR="0095513B" w:rsidRPr="0094799F">
        <w:rPr>
          <w:rFonts w:ascii="GHEA Grapalat" w:hAnsi="GHEA Grapalat" w:cs="GHEA Grapalat"/>
          <w:color w:val="000000"/>
          <w:lang w:val="hy-AM"/>
        </w:rPr>
        <w:t>.4%</w:t>
      </w:r>
      <w:r w:rsidR="0095513B" w:rsidRPr="0094799F">
        <w:rPr>
          <w:rFonts w:ascii="GHEA Grapalat" w:hAnsi="GHEA Grapalat" w:cs="GHEA Grapalat"/>
          <w:color w:val="000000"/>
          <w:lang w:val="hy-AM"/>
        </w:rPr>
        <w:noBreakHyphen/>
        <w:t>ով ապահովելով կիսամյակային ծրագրային ցուցանիշը</w:t>
      </w:r>
      <w:r w:rsidR="00C76AE2" w:rsidRPr="0094799F">
        <w:rPr>
          <w:rFonts w:ascii="GHEA Grapalat" w:hAnsi="GHEA Grapalat" w:cs="GHEA Grapalat"/>
          <w:color w:val="000000"/>
          <w:lang w:val="hy-AM"/>
        </w:rPr>
        <w:t xml:space="preserve">: </w:t>
      </w:r>
      <w:r w:rsidR="0095513B" w:rsidRPr="0094799F">
        <w:rPr>
          <w:rFonts w:ascii="GHEA Grapalat" w:hAnsi="GHEA Grapalat" w:cs="GHEA Grapalat"/>
          <w:color w:val="000000"/>
          <w:lang w:val="hy-AM"/>
        </w:rPr>
        <w:t>2024 թվականի մայիսի 13-ից ոսկե, պլատինե և պալադիումե ապրանքների (բացի ՀՀ ծագման պլատին և պալադիում պարունակող համաձուլվածքներից և խտանյութերից) արտահանման լիցենզիաներ կամ թույլտվություններ կամ հավաստագրեր տրամադրելու համար (բացառությամբ ԵԱՏՄ երկրներ արտահանման (տեղափոխման) և «Վերամշակում մաքսային տարածքից դուրս» մաքսային ընթացակարգով արտահանվող և հետագայում ներմուծվող ապրանքների) սահմանվել են պետական տուրքեր, որոնց գծով հաշվետու ժամանակահատվածում պետական բյուջե է մուտքագրվել շուրջ 1.</w:t>
      </w:r>
      <w:r w:rsidR="005C58E0" w:rsidRPr="0094799F">
        <w:rPr>
          <w:rFonts w:ascii="GHEA Grapalat" w:hAnsi="GHEA Grapalat" w:cs="GHEA Grapalat"/>
          <w:color w:val="000000"/>
          <w:lang w:val="hy-AM"/>
        </w:rPr>
        <w:t>6</w:t>
      </w:r>
      <w:r w:rsidR="000D6618" w:rsidRPr="0094799F">
        <w:rPr>
          <w:rFonts w:ascii="Calibri" w:hAnsi="Calibri" w:cs="Calibri"/>
          <w:color w:val="000000"/>
          <w:lang w:val="hy-AM"/>
        </w:rPr>
        <w:t> </w:t>
      </w:r>
      <w:r w:rsidR="0095513B" w:rsidRPr="0094799F">
        <w:rPr>
          <w:rFonts w:ascii="GHEA Grapalat" w:hAnsi="GHEA Grapalat" w:cs="GHEA Grapalat"/>
          <w:color w:val="000000"/>
          <w:lang w:val="hy-AM"/>
        </w:rPr>
        <w:t>մլրդ դրամ:</w:t>
      </w:r>
    </w:p>
    <w:p w:rsidR="00543E32" w:rsidRPr="0094799F" w:rsidRDefault="007472BD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>Օրենքով սահմանված այլ ծառայությունների և գործողությունների համար գանձվող տուրքերը կազմել են</w:t>
      </w:r>
      <w:r w:rsidR="0033156F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շուրջ 8.5</w:t>
      </w:r>
      <w:r w:rsidR="0033156F" w:rsidRPr="0094799F">
        <w:rPr>
          <w:rFonts w:ascii="GHEA Grapalat" w:hAnsi="GHEA Grapalat" w:cs="GHEA Grapalat"/>
          <w:color w:val="000000"/>
          <w:lang w:val="hy-AM"/>
        </w:rPr>
        <w:t xml:space="preserve"> մլրդ դրամ՝ </w:t>
      </w:r>
      <w:r w:rsidR="00E712B6" w:rsidRPr="0094799F">
        <w:rPr>
          <w:rFonts w:ascii="GHEA Grapalat" w:hAnsi="GHEA Grapalat" w:cs="GHEA Grapalat"/>
          <w:color w:val="000000"/>
          <w:lang w:val="hy-AM"/>
        </w:rPr>
        <w:t xml:space="preserve">ապահովելով </w:t>
      </w:r>
      <w:r w:rsidR="004E1E19" w:rsidRPr="0094799F">
        <w:rPr>
          <w:rFonts w:ascii="GHEA Grapalat" w:hAnsi="GHEA Grapalat" w:cs="GHEA Grapalat"/>
          <w:color w:val="000000"/>
          <w:lang w:val="hy-AM"/>
        </w:rPr>
        <w:t xml:space="preserve">պետական տուրքերի </w:t>
      </w:r>
      <w:r w:rsidR="0033156F" w:rsidRPr="0094799F">
        <w:rPr>
          <w:rFonts w:ascii="GHEA Grapalat" w:hAnsi="GHEA Grapalat" w:cs="GHEA Grapalat"/>
          <w:color w:val="000000"/>
          <w:lang w:val="hy-AM"/>
        </w:rPr>
        <w:t>2</w:t>
      </w:r>
      <w:r w:rsidR="005C58E0" w:rsidRPr="0094799F">
        <w:rPr>
          <w:rFonts w:ascii="GHEA Grapalat" w:hAnsi="GHEA Grapalat" w:cs="GHEA Grapalat"/>
          <w:color w:val="000000"/>
          <w:lang w:val="hy-AM"/>
        </w:rPr>
        <w:t>6.9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%-ը և </w:t>
      </w:r>
      <w:r w:rsidR="00E806A9" w:rsidRPr="0094799F">
        <w:rPr>
          <w:rFonts w:ascii="GHEA Grapalat" w:hAnsi="GHEA Grapalat" w:cs="GHEA Grapalat"/>
          <w:color w:val="000000"/>
          <w:lang w:val="hy-AM"/>
        </w:rPr>
        <w:t>կիս</w:t>
      </w:r>
      <w:r w:rsidR="00D739EE" w:rsidRPr="0094799F">
        <w:rPr>
          <w:rFonts w:ascii="GHEA Grapalat" w:hAnsi="GHEA Grapalat" w:cs="GHEA Grapalat"/>
          <w:color w:val="000000"/>
          <w:lang w:val="hy-AM"/>
        </w:rPr>
        <w:t xml:space="preserve">ամյակային ծրագրային ցուցանիշի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75.5</w:t>
      </w:r>
      <w:r w:rsidRPr="0094799F">
        <w:rPr>
          <w:rFonts w:ascii="GHEA Grapalat" w:hAnsi="GHEA Grapalat" w:cs="GHEA Grapalat"/>
          <w:color w:val="000000"/>
          <w:lang w:val="hy-AM"/>
        </w:rPr>
        <w:t>%</w:t>
      </w:r>
      <w:r w:rsidRPr="0094799F">
        <w:rPr>
          <w:rFonts w:ascii="GHEA Grapalat" w:hAnsi="GHEA Grapalat" w:cs="GHEA Grapalat"/>
          <w:color w:val="000000"/>
          <w:lang w:val="hy-AM"/>
        </w:rPr>
        <w:noBreakHyphen/>
      </w:r>
      <w:r w:rsidR="00D739EE" w:rsidRPr="0094799F">
        <w:rPr>
          <w:rFonts w:ascii="GHEA Grapalat" w:hAnsi="GHEA Grapalat" w:cs="GHEA Grapalat"/>
          <w:color w:val="000000"/>
          <w:lang w:val="hy-AM"/>
        </w:rPr>
        <w:t>ը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: </w:t>
      </w:r>
      <w:r w:rsidR="00BF131F" w:rsidRPr="0094799F">
        <w:rPr>
          <w:rFonts w:ascii="GHEA Grapalat" w:hAnsi="GHEA Grapalat" w:cs="GHEA Grapalat"/>
          <w:color w:val="000000"/>
          <w:lang w:val="hy-AM"/>
        </w:rPr>
        <w:t>Նշված մուտքերի հիմնական մասը</w:t>
      </w:r>
      <w:r w:rsidR="0011719B" w:rsidRPr="0094799F">
        <w:rPr>
          <w:rFonts w:ascii="GHEA Grapalat" w:hAnsi="GHEA Grapalat" w:cs="GHEA Grapalat"/>
          <w:color w:val="000000"/>
          <w:lang w:val="hy-AM"/>
        </w:rPr>
        <w:t>`</w:t>
      </w:r>
      <w:r w:rsidR="00BF131F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71.2</w:t>
      </w:r>
      <w:r w:rsidR="00DA6BB2" w:rsidRPr="0094799F">
        <w:rPr>
          <w:rFonts w:ascii="GHEA Grapalat" w:hAnsi="GHEA Grapalat" w:cs="GHEA Grapalat"/>
          <w:color w:val="000000"/>
          <w:lang w:val="hy-AM"/>
        </w:rPr>
        <w:t>%</w:t>
      </w:r>
      <w:r w:rsidR="00DA6BB2" w:rsidRPr="0094799F">
        <w:rPr>
          <w:rFonts w:ascii="GHEA Grapalat" w:hAnsi="GHEA Grapalat" w:cs="GHEA Grapalat"/>
          <w:color w:val="000000"/>
          <w:lang w:val="hy-AM"/>
        </w:rPr>
        <w:noBreakHyphen/>
      </w:r>
      <w:r w:rsidR="0011719B" w:rsidRPr="0094799F">
        <w:rPr>
          <w:rFonts w:ascii="GHEA Grapalat" w:hAnsi="GHEA Grapalat" w:cs="GHEA Grapalat"/>
          <w:color w:val="000000"/>
          <w:lang w:val="hy-AM"/>
        </w:rPr>
        <w:t xml:space="preserve">ը </w:t>
      </w:r>
      <w:r w:rsidR="00BF131F" w:rsidRPr="0094799F">
        <w:rPr>
          <w:rFonts w:ascii="GHEA Grapalat" w:hAnsi="GHEA Grapalat" w:cs="GHEA Grapalat"/>
          <w:color w:val="000000"/>
          <w:lang w:val="hy-AM"/>
        </w:rPr>
        <w:t xml:space="preserve">ստացվել է </w:t>
      </w:r>
      <w:r w:rsidRPr="0094799F">
        <w:rPr>
          <w:rFonts w:ascii="GHEA Grapalat" w:hAnsi="GHEA Grapalat" w:cs="GHEA Grapalat"/>
          <w:color w:val="000000"/>
          <w:lang w:val="hy-AM"/>
        </w:rPr>
        <w:t>ՀՀ-ից օդային տրանսպորտի միջոցներով ֆիզիկական անձանց (օդային ուղևորների) ելքի համար</w:t>
      </w:r>
      <w:r w:rsidR="00BF131F" w:rsidRPr="0094799F">
        <w:rPr>
          <w:rFonts w:ascii="GHEA Grapalat" w:hAnsi="GHEA Grapalat" w:cs="GHEA Grapalat"/>
          <w:color w:val="000000"/>
          <w:lang w:val="hy-AM"/>
        </w:rPr>
        <w:t xml:space="preserve">, որոնք կազմել են </w:t>
      </w:r>
      <w:r w:rsidR="00A57830" w:rsidRPr="0094799F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6.1</w:t>
      </w:r>
      <w:r w:rsidR="00BF131F" w:rsidRPr="0094799F">
        <w:rPr>
          <w:rFonts w:ascii="GHEA Grapalat" w:hAnsi="GHEA Grapalat" w:cs="GHEA Grapalat"/>
          <w:color w:val="000000"/>
          <w:lang w:val="hy-AM"/>
        </w:rPr>
        <w:t xml:space="preserve"> մլրդ դրամ կամ </w:t>
      </w:r>
      <w:r w:rsidR="00E806A9" w:rsidRPr="0094799F">
        <w:rPr>
          <w:rFonts w:ascii="GHEA Grapalat" w:hAnsi="GHEA Grapalat" w:cs="GHEA Grapalat"/>
          <w:color w:val="000000"/>
          <w:lang w:val="hy-AM"/>
        </w:rPr>
        <w:t>կիսամ</w:t>
      </w:r>
      <w:r w:rsidR="00BF131F" w:rsidRPr="0094799F">
        <w:rPr>
          <w:rFonts w:ascii="GHEA Grapalat" w:hAnsi="GHEA Grapalat" w:cs="GHEA Grapalat"/>
          <w:color w:val="000000"/>
          <w:lang w:val="hy-AM"/>
        </w:rPr>
        <w:t xml:space="preserve">յակային ծրագրային ցուցանիշի </w:t>
      </w:r>
      <w:r w:rsidR="005C58E0" w:rsidRPr="0094799F">
        <w:rPr>
          <w:rFonts w:ascii="GHEA Grapalat" w:hAnsi="GHEA Grapalat" w:cs="GHEA Grapalat"/>
          <w:color w:val="000000"/>
          <w:lang w:val="hy-AM"/>
        </w:rPr>
        <w:t>67.2</w:t>
      </w:r>
      <w:r w:rsidRPr="0094799F">
        <w:rPr>
          <w:rFonts w:ascii="GHEA Grapalat" w:hAnsi="GHEA Grapalat" w:cs="GHEA Grapalat"/>
          <w:color w:val="000000"/>
          <w:lang w:val="hy-AM"/>
        </w:rPr>
        <w:t>%</w:t>
      </w:r>
      <w:r w:rsidR="00BF131F" w:rsidRPr="0094799F">
        <w:rPr>
          <w:rFonts w:ascii="GHEA Grapalat" w:hAnsi="GHEA Grapalat" w:cs="GHEA Grapalat"/>
          <w:color w:val="000000"/>
          <w:lang w:val="hy-AM"/>
        </w:rPr>
        <w:t>-ը</w:t>
      </w:r>
      <w:r w:rsidRPr="0094799F">
        <w:rPr>
          <w:rFonts w:ascii="GHEA Grapalat" w:hAnsi="GHEA Grapalat" w:cs="GHEA Grapalat"/>
          <w:color w:val="000000"/>
          <w:lang w:val="hy-AM"/>
        </w:rPr>
        <w:t>:</w:t>
      </w:r>
    </w:p>
    <w:p w:rsidR="00C55306" w:rsidRPr="0094799F" w:rsidRDefault="00543E32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lastRenderedPageBreak/>
        <w:t xml:space="preserve">Նախորդ տարվա </w:t>
      </w:r>
      <w:r w:rsidR="00E806A9" w:rsidRPr="0094799F">
        <w:rPr>
          <w:rFonts w:ascii="GHEA Grapalat" w:hAnsi="GHEA Grapalat" w:cs="GHEA Grapalat"/>
          <w:color w:val="000000"/>
          <w:lang w:val="hy-AM"/>
        </w:rPr>
        <w:t>հունվար-</w:t>
      </w:r>
      <w:r w:rsidR="005E6174" w:rsidRPr="0094799F">
        <w:rPr>
          <w:rFonts w:ascii="GHEA Grapalat" w:hAnsi="GHEA Grapalat" w:cs="GHEA Grapalat"/>
          <w:color w:val="000000"/>
          <w:lang w:val="hy-AM"/>
        </w:rPr>
        <w:t>մայիս</w:t>
      </w:r>
      <w:r w:rsidR="00E806A9" w:rsidRPr="0094799F">
        <w:rPr>
          <w:rFonts w:ascii="GHEA Grapalat" w:hAnsi="GHEA Grapalat" w:cs="GHEA Grapalat"/>
          <w:color w:val="000000"/>
          <w:lang w:val="hy-AM"/>
        </w:rPr>
        <w:t xml:space="preserve"> ամիսների </w:t>
      </w:r>
      <w:r w:rsidRPr="0094799F">
        <w:rPr>
          <w:rFonts w:ascii="GHEA Grapalat" w:hAnsi="GHEA Grapalat" w:cs="GHEA Grapalat"/>
          <w:color w:val="000000"/>
          <w:lang w:val="hy-AM"/>
        </w:rPr>
        <w:t>համեմատ պետական տուրքերն</w:t>
      </w:r>
      <w:r w:rsidR="006535BD"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աճել են </w:t>
      </w:r>
      <w:r w:rsidR="00DA6BB2" w:rsidRPr="0094799F">
        <w:rPr>
          <w:rFonts w:ascii="GHEA Grapalat" w:hAnsi="GHEA Grapalat" w:cs="GHEA Grapalat"/>
          <w:color w:val="000000"/>
          <w:lang w:val="hy-AM"/>
        </w:rPr>
        <w:t>2</w:t>
      </w:r>
      <w:r w:rsidR="005C58E0" w:rsidRPr="0094799F">
        <w:rPr>
          <w:rFonts w:ascii="GHEA Grapalat" w:hAnsi="GHEA Grapalat" w:cs="GHEA Grapalat"/>
          <w:color w:val="000000"/>
          <w:lang w:val="hy-AM"/>
        </w:rPr>
        <w:t>1.1</w:t>
      </w:r>
      <w:r w:rsidR="00A57830" w:rsidRPr="0094799F">
        <w:rPr>
          <w:rFonts w:ascii="GHEA Grapalat" w:hAnsi="GHEA Grapalat" w:cs="GHEA Grapalat"/>
          <w:color w:val="000000"/>
          <w:lang w:val="hy-AM"/>
        </w:rPr>
        <w:t>%</w:t>
      </w:r>
      <w:r w:rsidR="00A57830" w:rsidRPr="0094799F">
        <w:rPr>
          <w:rFonts w:ascii="GHEA Grapalat" w:hAnsi="GHEA Grapalat" w:cs="GHEA Grapalat"/>
          <w:color w:val="000000"/>
          <w:lang w:val="hy-AM"/>
        </w:rPr>
        <w:noBreakHyphen/>
      </w:r>
      <w:r w:rsidRPr="0094799F">
        <w:rPr>
          <w:rFonts w:ascii="GHEA Grapalat" w:hAnsi="GHEA Grapalat" w:cs="GHEA Grapalat"/>
          <w:color w:val="000000"/>
          <w:lang w:val="hy-AM"/>
        </w:rPr>
        <w:t>ով (</w:t>
      </w:r>
      <w:r w:rsidR="005C58E0" w:rsidRPr="0094799F">
        <w:rPr>
          <w:rFonts w:ascii="GHEA Grapalat" w:hAnsi="GHEA Grapalat" w:cs="GHEA Grapalat"/>
          <w:color w:val="000000"/>
          <w:lang w:val="hy-AM"/>
        </w:rPr>
        <w:t xml:space="preserve">5.5 </w:t>
      </w:r>
      <w:r w:rsidRPr="0094799F">
        <w:rPr>
          <w:rFonts w:ascii="GHEA Grapalat" w:hAnsi="GHEA Grapalat" w:cs="GHEA Grapalat"/>
          <w:color w:val="000000"/>
          <w:lang w:val="hy-AM"/>
        </w:rPr>
        <w:t>մլ</w:t>
      </w:r>
      <w:r w:rsidR="0033156F" w:rsidRPr="0094799F">
        <w:rPr>
          <w:rFonts w:ascii="GHEA Grapalat" w:hAnsi="GHEA Grapalat" w:cs="GHEA Grapalat"/>
          <w:color w:val="000000"/>
          <w:lang w:val="hy-AM"/>
        </w:rPr>
        <w:t>րդ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դրամով)՝ հիմնականում պայմանավորված</w:t>
      </w:r>
      <w:r w:rsidR="005C58E0" w:rsidRPr="0094799F">
        <w:rPr>
          <w:rFonts w:ascii="GHEA Grapalat" w:hAnsi="GHEA Grapalat" w:cs="GHEA Grapalat"/>
          <w:color w:val="000000"/>
          <w:lang w:val="hy-AM"/>
        </w:rPr>
        <w:t xml:space="preserve"> վիճակախաղերի, շահումներով խաղերի և մետաղադրամով և (կամ) թղթադրամով շահագործվող ավտոմատների միջոցով սննդի առևտրի և խաղերի բնագավառից գանձվող տուրքերի 23.9% (1.8 մլրդ դրամ),</w:t>
      </w:r>
      <w:r w:rsidR="00C55306" w:rsidRPr="0094799F">
        <w:rPr>
          <w:rFonts w:ascii="GHEA Grapalat" w:hAnsi="GHEA Grapalat" w:cs="GHEA Grapalat"/>
          <w:color w:val="000000"/>
          <w:lang w:val="hy-AM"/>
        </w:rPr>
        <w:t xml:space="preserve"> 2024 թվականի մայիսի 13-ից ոսկե, պլատինե և պալադիումե ապրանքների արտահանման լիցենզիաներ կամ թույլտվություններ կամ հավաստագրեր տրամադրել</w:t>
      </w:r>
      <w:r w:rsidR="0068530F" w:rsidRPr="0094799F">
        <w:rPr>
          <w:rFonts w:ascii="GHEA Grapalat" w:hAnsi="GHEA Grapalat" w:cs="GHEA Grapalat"/>
          <w:color w:val="000000"/>
          <w:lang w:val="hy-AM"/>
        </w:rPr>
        <w:t>ու համար գանձվող պետական տուրքի</w:t>
      </w:r>
      <w:r w:rsidR="00C55306" w:rsidRPr="0094799F">
        <w:rPr>
          <w:rFonts w:ascii="GHEA Grapalat" w:hAnsi="GHEA Grapalat" w:cs="GHEA Grapalat"/>
          <w:color w:val="000000"/>
          <w:lang w:val="hy-AM"/>
        </w:rPr>
        <w:t xml:space="preserve"> 13.4 անգամ (1.4 մլրդ դրամ) աճով, ինչպես նաև </w:t>
      </w:r>
      <w:r w:rsidR="00C85D92" w:rsidRPr="0094799F">
        <w:rPr>
          <w:rFonts w:ascii="GHEA Grapalat" w:hAnsi="GHEA Grapalat" w:cs="GHEA Grapalat"/>
          <w:color w:val="000000"/>
          <w:lang w:val="hy-AM"/>
        </w:rPr>
        <w:t xml:space="preserve">տրանսպորտի բնագավառի լիցենզավորման համար գանձվող պետական տուրքի 3.4 անգամ (1 մլրդ դրամ) </w:t>
      </w:r>
      <w:r w:rsidR="0068530F" w:rsidRPr="0094799F">
        <w:rPr>
          <w:rFonts w:ascii="GHEA Grapalat" w:hAnsi="GHEA Grapalat" w:cs="GHEA Grapalat"/>
          <w:color w:val="000000"/>
          <w:lang w:val="hy-AM"/>
        </w:rPr>
        <w:t>աճով:</w:t>
      </w:r>
    </w:p>
    <w:p w:rsidR="004F47DC" w:rsidRPr="0094799F" w:rsidRDefault="004F47DC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9968EF" w:rsidRPr="0094799F" w:rsidRDefault="009968EF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Պետական տուրքերի գծով ՀՀ պետական բյուջեի մուտքերը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276"/>
        <w:gridCol w:w="1134"/>
        <w:gridCol w:w="1261"/>
        <w:gridCol w:w="1350"/>
        <w:gridCol w:w="1386"/>
      </w:tblGrid>
      <w:tr w:rsidR="009968EF" w:rsidRPr="0094799F" w:rsidTr="008269CE">
        <w:trPr>
          <w:trHeight w:val="1425"/>
        </w:trPr>
        <w:tc>
          <w:tcPr>
            <w:tcW w:w="3799" w:type="dxa"/>
            <w:shd w:val="clear" w:color="auto" w:fill="auto"/>
            <w:noWrap/>
            <w:hideMark/>
          </w:tcPr>
          <w:p w:rsidR="009968EF" w:rsidRPr="0094799F" w:rsidRDefault="009968EF" w:rsidP="0094799F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9968EF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134" w:type="dxa"/>
            <w:shd w:val="clear" w:color="000000" w:fill="FFFFFF"/>
          </w:tcPr>
          <w:p w:rsidR="009968EF" w:rsidRPr="0094799F" w:rsidRDefault="009968EF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="00A4071F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="00F91C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կիս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ամ-յակի ճշտված պլան</w:t>
            </w:r>
          </w:p>
        </w:tc>
        <w:tc>
          <w:tcPr>
            <w:tcW w:w="1261" w:type="dxa"/>
            <w:shd w:val="clear" w:color="000000" w:fill="FFFFFF"/>
            <w:hideMark/>
          </w:tcPr>
          <w:p w:rsidR="009968EF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</w:tc>
        <w:tc>
          <w:tcPr>
            <w:tcW w:w="1350" w:type="dxa"/>
            <w:shd w:val="clear" w:color="000000" w:fill="FFFFFF"/>
          </w:tcPr>
          <w:p w:rsidR="009968EF" w:rsidRPr="0094799F" w:rsidRDefault="00E806A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Կատարո-ղականն առաջին կիս</w:t>
            </w:r>
            <w:r w:rsidR="009968EF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ամյակի ճշտված պլանի նկատմամբ (%)</w:t>
            </w:r>
          </w:p>
        </w:tc>
        <w:tc>
          <w:tcPr>
            <w:tcW w:w="1386" w:type="dxa"/>
            <w:shd w:val="clear" w:color="000000" w:fill="FFFFFF"/>
            <w:hideMark/>
          </w:tcPr>
          <w:p w:rsidR="006C28F9" w:rsidRPr="0094799F" w:rsidRDefault="006C28F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</w:t>
            </w:r>
            <w:r w:rsidR="00E806A9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ը 2024թ. </w:t>
            </w:r>
            <w:r w:rsidR="00E806A9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 w:rsidR="005E6174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մայիս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 նկատմամբ</w:t>
            </w:r>
          </w:p>
          <w:p w:rsidR="009968EF" w:rsidRPr="0094799F" w:rsidRDefault="006C28F9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2A47CA" w:rsidRPr="0094799F" w:rsidTr="00EE761E">
        <w:trPr>
          <w:trHeight w:val="407"/>
        </w:trPr>
        <w:tc>
          <w:tcPr>
            <w:tcW w:w="3799" w:type="dxa"/>
            <w:shd w:val="clear" w:color="auto" w:fill="auto"/>
            <w:vAlign w:val="bottom"/>
            <w:hideMark/>
          </w:tcPr>
          <w:p w:rsidR="002A47CA" w:rsidRPr="0094799F" w:rsidRDefault="002A47CA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ետական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1134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3</w:t>
            </w:r>
            <w:r w:rsidR="00247A8C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6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.</w:t>
            </w:r>
            <w:r w:rsidR="00247A8C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31.6</w:t>
            </w:r>
          </w:p>
        </w:tc>
        <w:tc>
          <w:tcPr>
            <w:tcW w:w="1350" w:type="dxa"/>
            <w:vAlign w:val="center"/>
          </w:tcPr>
          <w:p w:rsidR="002A47CA" w:rsidRPr="0094799F" w:rsidRDefault="00DA2185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86.</w:t>
            </w:r>
            <w:r w:rsidR="002A47CA"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121.1</w:t>
            </w:r>
          </w:p>
        </w:tc>
      </w:tr>
      <w:tr w:rsidR="002A47CA" w:rsidRPr="0094799F" w:rsidTr="008269CE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2A47CA" w:rsidRPr="0094799F" w:rsidRDefault="002A47CA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Դատարան տրվող հայցադիմումների, դիմումների, դատարանի դատական ակտերի դեմ վերաքննիչ և վճռաբեկ բողոքների համար, ինչպես նաև դատարանի կողմից տրվող փաստաթղթերի պատճեններ (կրկնօրինակներ), գործում առկա լուսանկարների (լուսաժապավենների), ձայնագրությունների, տեսագրությունների և դրանց էլեկտրոնային կրիչների բնօրինակից պատճենահանված կրիչ և դատական նիստի համակարգչային ձայնագրման կրկնօրինակ տալու համար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0.9</w:t>
            </w:r>
          </w:p>
        </w:tc>
        <w:tc>
          <w:tcPr>
            <w:tcW w:w="1134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350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95.9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143.9</w:t>
            </w:r>
          </w:p>
        </w:tc>
      </w:tr>
      <w:tr w:rsidR="002A47CA" w:rsidRPr="0094799F" w:rsidTr="008269CE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2A47CA" w:rsidRPr="0094799F" w:rsidRDefault="002A47CA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Հյուպատոսական ծառայությունների կամ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  <w:tc>
          <w:tcPr>
            <w:tcW w:w="1134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1.0</w:t>
            </w:r>
          </w:p>
        </w:tc>
        <w:tc>
          <w:tcPr>
            <w:tcW w:w="1350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80.1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86.2</w:t>
            </w:r>
          </w:p>
        </w:tc>
      </w:tr>
      <w:tr w:rsidR="002A47CA" w:rsidRPr="0094799F" w:rsidTr="008269CE">
        <w:trPr>
          <w:trHeight w:val="377"/>
        </w:trPr>
        <w:tc>
          <w:tcPr>
            <w:tcW w:w="3799" w:type="dxa"/>
            <w:shd w:val="clear" w:color="auto" w:fill="auto"/>
            <w:hideMark/>
          </w:tcPr>
          <w:p w:rsidR="002A47CA" w:rsidRPr="0094799F" w:rsidRDefault="002A47CA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Պետական գրանցման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  <w:tc>
          <w:tcPr>
            <w:tcW w:w="1134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2.8</w:t>
            </w:r>
          </w:p>
        </w:tc>
        <w:tc>
          <w:tcPr>
            <w:tcW w:w="1350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85.3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101.4</w:t>
            </w:r>
          </w:p>
        </w:tc>
      </w:tr>
      <w:tr w:rsidR="002A47CA" w:rsidRPr="0094799F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2A47CA" w:rsidRPr="0094799F" w:rsidRDefault="002A47CA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Ֆիզիկական անձանց տրվող իրավաբանական նշանակություն ունեցող փաստաթղթերի, որոշակի ծառայությունների կամ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1.0</w:t>
            </w:r>
          </w:p>
        </w:tc>
        <w:tc>
          <w:tcPr>
            <w:tcW w:w="1134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1.8</w:t>
            </w:r>
          </w:p>
        </w:tc>
        <w:tc>
          <w:tcPr>
            <w:tcW w:w="1350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96.1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174.5</w:t>
            </w:r>
          </w:p>
        </w:tc>
      </w:tr>
      <w:tr w:rsidR="002A47CA" w:rsidRPr="0094799F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2A47CA" w:rsidRPr="0094799F" w:rsidRDefault="002A47CA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Լիցենզավորման ենթակա կամ թույլտվություններով գործունեություն 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lastRenderedPageBreak/>
              <w:t>իրականացնելու նպատակով լիցենզիաներ, արտոնագրեր (թույլտվություններ) տալու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lastRenderedPageBreak/>
              <w:t>11.6</w:t>
            </w:r>
          </w:p>
        </w:tc>
        <w:tc>
          <w:tcPr>
            <w:tcW w:w="1134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</w:t>
            </w:r>
            <w:r w:rsidR="00247A8C" w:rsidRPr="0094799F">
              <w:rPr>
                <w:rFonts w:ascii="GHEA Grapalat" w:hAnsi="GHEA Grapalat" w:cs="Calibri"/>
                <w:sz w:val="20"/>
                <w:szCs w:val="20"/>
              </w:rPr>
              <w:t>7.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16.0</w:t>
            </w:r>
          </w:p>
        </w:tc>
        <w:tc>
          <w:tcPr>
            <w:tcW w:w="1350" w:type="dxa"/>
            <w:vAlign w:val="center"/>
          </w:tcPr>
          <w:p w:rsidR="002A47CA" w:rsidRPr="0094799F" w:rsidRDefault="00DA2185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91</w:t>
            </w:r>
            <w:r w:rsidR="002A47CA" w:rsidRPr="0094799F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137.6</w:t>
            </w:r>
          </w:p>
        </w:tc>
      </w:tr>
      <w:tr w:rsidR="002A47CA" w:rsidRPr="0094799F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2A47CA" w:rsidRPr="0094799F" w:rsidRDefault="002A47CA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lastRenderedPageBreak/>
              <w:t>Օրենքով սահմանված այլ ծառայությունների և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8.4</w:t>
            </w:r>
          </w:p>
        </w:tc>
        <w:tc>
          <w:tcPr>
            <w:tcW w:w="1134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11.3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8.5</w:t>
            </w:r>
          </w:p>
        </w:tc>
        <w:tc>
          <w:tcPr>
            <w:tcW w:w="1350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75.5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101.3</w:t>
            </w:r>
          </w:p>
        </w:tc>
      </w:tr>
      <w:tr w:rsidR="002A47CA" w:rsidRPr="0094799F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2A47CA" w:rsidRPr="0094799F" w:rsidRDefault="002A47CA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Այլ պետական տուրքեր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134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0.2</w:t>
            </w:r>
          </w:p>
        </w:tc>
        <w:tc>
          <w:tcPr>
            <w:tcW w:w="1350" w:type="dxa"/>
            <w:vAlign w:val="center"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91.4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2A47CA" w:rsidRPr="0094799F" w:rsidRDefault="002A47CA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94.5</w:t>
            </w:r>
          </w:p>
        </w:tc>
      </w:tr>
    </w:tbl>
    <w:p w:rsidR="003360ED" w:rsidRPr="0094799F" w:rsidRDefault="003360ED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E16DDE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lang w:val="hy-AM"/>
        </w:rPr>
        <w:t xml:space="preserve">2025 թվականի </w:t>
      </w:r>
      <w:r w:rsidRPr="0094799F">
        <w:rPr>
          <w:rFonts w:ascii="GHEA Grapalat" w:hAnsi="GHEA Grapalat" w:cs="Calibri"/>
          <w:bCs/>
          <w:lang w:val="hy-AM"/>
        </w:rPr>
        <w:t xml:space="preserve">հունվար-մայիս ամիսների </w:t>
      </w:r>
      <w:r w:rsidRPr="0094799F">
        <w:rPr>
          <w:rFonts w:ascii="GHEA Grapalat" w:hAnsi="GHEA Grapalat" w:cs="GHEA Grapalat"/>
          <w:lang w:val="hy-AM"/>
        </w:rPr>
        <w:t xml:space="preserve">ընթացքում ստացվել են շուրջ 2.7 մլրդ դրամ </w:t>
      </w:r>
      <w:r w:rsidRPr="0094799F">
        <w:rPr>
          <w:rFonts w:ascii="GHEA Grapalat" w:hAnsi="GHEA Grapalat" w:cs="GHEA Grapalat"/>
          <w:i/>
          <w:lang w:val="hy-AM"/>
        </w:rPr>
        <w:t>պաշտոնական դրամաշնորհներ՝</w:t>
      </w:r>
      <w:r w:rsidRPr="0094799F">
        <w:rPr>
          <w:rFonts w:ascii="GHEA Grapalat" w:hAnsi="GHEA Grapalat" w:cs="GHEA Grapalat"/>
          <w:lang w:val="hy-AM"/>
        </w:rPr>
        <w:t xml:space="preserve"> կազմելով առաջին կիսամյակում ծրագրված մուտքերի 51.8%-ը: Նշված գումարից 2.1 մլրդ դրամը ստացվել է արտաքին աջակցությամբ իրականացվող նպատակային ծրագրերի շրջանակներում, </w:t>
      </w:r>
      <w:r w:rsidRPr="0094799F">
        <w:rPr>
          <w:rFonts w:ascii="GHEA Grapalat" w:hAnsi="GHEA Grapalat" w:cs="GHEA Grapalat"/>
          <w:color w:val="000000"/>
          <w:lang w:val="hy-AM"/>
        </w:rPr>
        <w:t>527.3 մլն դրամ չնախատեսված բ</w:t>
      </w:r>
      <w:r w:rsidRPr="0094799F">
        <w:rPr>
          <w:rFonts w:ascii="GHEA Grapalat" w:hAnsi="GHEA Grapalat" w:cs="GHEA Grapalat"/>
          <w:lang w:val="hy-AM"/>
        </w:rPr>
        <w:t>յուջետային աջակցության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դրամաշնորհ է տրամադրվել ԵՄ-ի կողմից՝ «Հորիզոն Եվրոպա» շրջանակային ծրագրի շրջանակներում:</w:t>
      </w:r>
    </w:p>
    <w:p w:rsidR="00E16DDE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Պաշտոնական դրամաշնորհներ (մլրդ դրամ) </w:t>
      </w:r>
    </w:p>
    <w:tbl>
      <w:tblPr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1276"/>
        <w:gridCol w:w="1418"/>
        <w:gridCol w:w="1275"/>
        <w:gridCol w:w="1701"/>
        <w:gridCol w:w="1843"/>
      </w:tblGrid>
      <w:tr w:rsidR="00E16DDE" w:rsidRPr="0094799F" w:rsidTr="00E16DDE">
        <w:trPr>
          <w:trHeight w:val="80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ind w:left="-15" w:firstLine="15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հունվար-մայիս ամիսների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հունվար-մայիս ամիսների փաստ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spacing w:line="252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Կատարողա-կանն առաջին կիսամյակի ճշտված պլանի նկատմամբ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հունվար-մայիսը 2024թ. հունվար-մայիսի նկատմամբ (%)</w:t>
            </w:r>
          </w:p>
        </w:tc>
      </w:tr>
      <w:tr w:rsidR="00E16DDE" w:rsidRPr="0094799F" w:rsidTr="00E16DDE">
        <w:trPr>
          <w:trHeight w:val="51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Պաշտոնական դրամաշնորհներ</w:t>
            </w:r>
            <w:r w:rsidRPr="0094799F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hy-AM"/>
              </w:rPr>
              <w:t>,</w:t>
            </w:r>
          </w:p>
          <w:p w:rsidR="00E16DDE" w:rsidRPr="0094799F" w:rsidRDefault="00E16DDE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94799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94799F">
              <w:rPr>
                <w:rFonts w:ascii="GHEA Grapalat" w:hAnsi="GHEA Grapalat"/>
                <w:b/>
                <w:sz w:val="20"/>
                <w:szCs w:val="20"/>
              </w:rPr>
              <w:t>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b/>
                <w:bCs/>
                <w:sz w:val="20"/>
                <w:szCs w:val="20"/>
              </w:rPr>
              <w:t>51.8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b/>
                <w:bCs/>
                <w:sz w:val="20"/>
                <w:szCs w:val="20"/>
              </w:rPr>
              <w:t>106.1</w:t>
            </w:r>
          </w:p>
        </w:tc>
      </w:tr>
      <w:tr w:rsidR="00E16DDE" w:rsidRPr="0094799F" w:rsidTr="00E16DDE">
        <w:trPr>
          <w:trHeight w:val="342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 xml:space="preserve">Նպատակային դրամաշնորհներ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  <w:lang w:val="hy-AM"/>
              </w:rPr>
              <w:t>1.8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41.6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bCs/>
                <w:sz w:val="20"/>
                <w:szCs w:val="20"/>
              </w:rPr>
              <w:t>120.3</w:t>
            </w:r>
          </w:p>
        </w:tc>
      </w:tr>
      <w:tr w:rsidR="00E16DDE" w:rsidRPr="0094799F" w:rsidTr="00E16DDE">
        <w:trPr>
          <w:trHeight w:val="30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 xml:space="preserve">Բյուջետային աջակցության դրամաշնորհներ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  <w:lang w:val="hy-AM"/>
              </w:rPr>
              <w:t>0.</w:t>
            </w:r>
            <w:r w:rsidRPr="0094799F"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791ED3" w:rsidP="0094799F">
            <w:pPr>
              <w:keepNext/>
              <w:jc w:val="right"/>
              <w:rPr>
                <w:rFonts w:ascii="GHEA Grapalat" w:hAnsi="GHEA Grapalat"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bCs/>
                <w:sz w:val="20"/>
                <w:szCs w:val="20"/>
              </w:rPr>
              <w:t>71.7</w:t>
            </w:r>
          </w:p>
        </w:tc>
      </w:tr>
    </w:tbl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FF0000"/>
          <w:lang w:val="hy-AM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Նպատակային պաշտոնական դրամաշնորհներն ըստ դոնորների (մլն դրամ)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1984"/>
      </w:tblGrid>
      <w:tr w:rsidR="00E16DDE" w:rsidRPr="0094799F" w:rsidTr="00E16DDE">
        <w:trPr>
          <w:trHeight w:val="13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spacing w:line="254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spacing w:line="254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հունվար-մայիս ամիսների փաստ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spacing w:line="252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Կատարողականն առաջին կիսամյակի ճշտված պլանի նկատմամբ (%)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b/>
                <w:bCs/>
                <w:sz w:val="20"/>
                <w:szCs w:val="20"/>
              </w:rPr>
              <w:t>5,149.0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b/>
                <w:bCs/>
                <w:sz w:val="20"/>
                <w:szCs w:val="20"/>
              </w:rPr>
              <w:t>2,139.5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b/>
                <w:bCs/>
                <w:sz w:val="20"/>
                <w:szCs w:val="20"/>
              </w:rPr>
              <w:t>41.6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ԱՄՆ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210.5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Արևելյան Եվրոպայի էներգախնայողության և բնապահպանական գործընկերության հիմնադրամ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171.8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ԱԶԲ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62.1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Գերմանիա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537.5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73.0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13.6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Գերմանիայի զարգացման և ԵՄ հարևանության ներդրումային բանկ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668.6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582.1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87.1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lastRenderedPageBreak/>
              <w:t>Գլոբալ էկոլոգիական հիմնադրամ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453.2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37.5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8.3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Գլոբալ հիմնադրամ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952.8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926.2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97.2</w:t>
            </w:r>
          </w:p>
        </w:tc>
      </w:tr>
      <w:tr w:rsidR="00E16DDE" w:rsidRPr="0094799F" w:rsidTr="00E16DDE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ԵՄ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360.0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E16DDE" w:rsidRPr="0094799F" w:rsidTr="00E16DDE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ԵԶԲ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101.1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118.7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117.5</w:t>
            </w:r>
          </w:p>
        </w:tc>
      </w:tr>
      <w:tr w:rsidR="00E16DDE" w:rsidRPr="0094799F" w:rsidTr="00E16DDE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ՀԲ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0.0</w:t>
            </w:r>
          </w:p>
        </w:tc>
      </w:tr>
      <w:tr w:rsidR="00E16DDE" w:rsidRPr="0094799F" w:rsidTr="00E16DDE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ՄԱԿ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59.6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40.8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68.4</w:t>
            </w:r>
          </w:p>
        </w:tc>
      </w:tr>
      <w:tr w:rsidR="00E16DDE" w:rsidRPr="0094799F" w:rsidTr="00E16DDE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ՌԴ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65.6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329.5</w:t>
            </w:r>
          </w:p>
        </w:tc>
      </w:tr>
      <w:tr w:rsidR="00E16DDE" w:rsidRPr="0094799F" w:rsidTr="00E16DDE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ՎԶԵԲ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921.4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173.1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18.8</w:t>
            </w:r>
          </w:p>
        </w:tc>
      </w:tr>
      <w:tr w:rsidR="00E16DDE" w:rsidRPr="0094799F" w:rsidTr="00E16DDE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628.6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122.4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19.5</w:t>
            </w:r>
          </w:p>
        </w:tc>
      </w:tr>
    </w:tbl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</w:p>
    <w:p w:rsidR="00E16DDE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>2025 թվականի հունվար-մայիս ամիսների ընթացքում պետական բյուջե մուտքագրված պաշտոնական դրամաշնորհները 6.1%-ով կամ 153.4 մլն դրամով գերազանցել են նախորդ տարվա նույն ժամանակահատվածի ցուցանիշը</w:t>
      </w:r>
      <w:r w:rsidR="00CA1985" w:rsidRPr="0094799F">
        <w:rPr>
          <w:rFonts w:ascii="GHEA Grapalat" w:hAnsi="GHEA Grapalat" w:cs="GHEA Grapalat"/>
          <w:lang w:val="hy-AM"/>
        </w:rPr>
        <w:t>` պայմանավորված նպատակային ծրագրերի շրջանակներում ստացված դրամաշնորհների աճով</w:t>
      </w:r>
      <w:r w:rsidRPr="0094799F">
        <w:rPr>
          <w:rFonts w:ascii="GHEA Grapalat" w:hAnsi="GHEA Grapalat" w:cs="GHEA Grapalat"/>
          <w:lang w:val="hy-AM"/>
        </w:rPr>
        <w:t>:</w:t>
      </w:r>
    </w:p>
    <w:p w:rsidR="00520EA0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Calibri"/>
          <w:bCs/>
          <w:lang w:val="hy-AM"/>
        </w:rPr>
        <w:t>Հաշվետու ժամանակահատվածում</w:t>
      </w:r>
      <w:r w:rsidRPr="0094799F">
        <w:rPr>
          <w:rFonts w:ascii="GHEA Grapalat" w:hAnsi="GHEA Grapalat" w:cs="Calibri"/>
          <w:sz w:val="22"/>
          <w:szCs w:val="22"/>
          <w:lang w:val="hy-AM"/>
        </w:rPr>
        <w:t xml:space="preserve"> ՀՀ պետական բյուջեի </w:t>
      </w:r>
      <w:r w:rsidRPr="0094799F">
        <w:rPr>
          <w:rFonts w:ascii="GHEA Grapalat" w:hAnsi="GHEA Grapalat" w:cs="Calibri"/>
          <w:i/>
          <w:sz w:val="22"/>
          <w:szCs w:val="22"/>
          <w:lang w:val="hy-AM"/>
        </w:rPr>
        <w:t>այլ եկամուտները</w:t>
      </w:r>
      <w:r w:rsidRPr="0094799F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A1985" w:rsidRPr="0094799F">
        <w:rPr>
          <w:rFonts w:ascii="GHEA Grapalat" w:hAnsi="GHEA Grapalat" w:cs="GHEA Grapalat"/>
          <w:lang w:val="hy-AM"/>
        </w:rPr>
        <w:t>կազմել են 51.2</w:t>
      </w:r>
      <w:r w:rsidR="00CA1985" w:rsidRPr="0094799F">
        <w:rPr>
          <w:rFonts w:ascii="Calibri" w:hAnsi="Calibri" w:cs="Calibri"/>
          <w:lang w:val="hy-AM"/>
        </w:rPr>
        <w:t> </w:t>
      </w:r>
      <w:r w:rsidRPr="0094799F">
        <w:rPr>
          <w:rFonts w:ascii="GHEA Grapalat" w:hAnsi="GHEA Grapalat" w:cs="GHEA Grapalat"/>
          <w:lang w:val="hy-AM"/>
        </w:rPr>
        <w:t xml:space="preserve">մլրդ դրամ՝ 9.6%-ով </w:t>
      </w:r>
      <w:r w:rsidR="009B0105" w:rsidRPr="0094799F">
        <w:rPr>
          <w:rFonts w:ascii="GHEA Grapalat" w:hAnsi="GHEA Grapalat" w:cs="GHEA Grapalat"/>
          <w:lang w:val="hy-AM"/>
        </w:rPr>
        <w:t xml:space="preserve">(4.5 մլրդ դրամով) </w:t>
      </w:r>
      <w:r w:rsidRPr="0094799F">
        <w:rPr>
          <w:rFonts w:ascii="GHEA Grapalat" w:hAnsi="GHEA Grapalat" w:cs="GHEA Grapalat"/>
          <w:lang w:val="hy-AM"/>
        </w:rPr>
        <w:t>գերազանցելով առաջին կիսամ</w:t>
      </w:r>
      <w:r w:rsidR="009B0105" w:rsidRPr="0094799F">
        <w:rPr>
          <w:rFonts w:ascii="GHEA Grapalat" w:hAnsi="GHEA Grapalat" w:cs="GHEA Grapalat"/>
          <w:lang w:val="hy-AM"/>
        </w:rPr>
        <w:t>յակի ծրագրված ցուցանիշը և 20.9%</w:t>
      </w:r>
      <w:r w:rsidR="009B0105" w:rsidRPr="0094799F">
        <w:rPr>
          <w:rFonts w:ascii="GHEA Grapalat" w:hAnsi="GHEA Grapalat" w:cs="GHEA Grapalat"/>
          <w:lang w:val="hy-AM"/>
        </w:rPr>
        <w:noBreakHyphen/>
      </w:r>
      <w:r w:rsidRPr="0094799F">
        <w:rPr>
          <w:rFonts w:ascii="GHEA Grapalat" w:hAnsi="GHEA Grapalat" w:cs="GHEA Grapalat"/>
          <w:lang w:val="hy-AM"/>
        </w:rPr>
        <w:t>ով (8.9 մլրդ դրամով)՝ նախորդ տարվա</w:t>
      </w:r>
      <w:r w:rsidR="005E3A65" w:rsidRPr="0094799F">
        <w:rPr>
          <w:rFonts w:ascii="GHEA Grapalat" w:hAnsi="GHEA Grapalat" w:cs="GHEA Grapalat"/>
          <w:lang w:val="hy-AM"/>
        </w:rPr>
        <w:t xml:space="preserve"> </w:t>
      </w:r>
      <w:r w:rsidRPr="0094799F">
        <w:rPr>
          <w:rFonts w:ascii="GHEA Grapalat" w:hAnsi="GHEA Grapalat" w:cs="GHEA Grapalat"/>
          <w:lang w:val="hy-AM"/>
        </w:rPr>
        <w:t xml:space="preserve">նույն ժամանակահատվածի ցուցանիշը: </w:t>
      </w:r>
      <w:r w:rsidR="000B44B6" w:rsidRPr="0094799F">
        <w:rPr>
          <w:rFonts w:ascii="GHEA Grapalat" w:hAnsi="GHEA Grapalat" w:cs="GHEA Grapalat"/>
          <w:lang w:val="hy-AM"/>
        </w:rPr>
        <w:t>Ծրագրված և նախորդ տարվա ց</w:t>
      </w:r>
      <w:r w:rsidRPr="0094799F">
        <w:rPr>
          <w:rFonts w:ascii="GHEA Grapalat" w:hAnsi="GHEA Grapalat" w:cs="GHEA Grapalat"/>
          <w:lang w:val="hy-AM"/>
        </w:rPr>
        <w:t xml:space="preserve">ուցանիշների </w:t>
      </w:r>
      <w:r w:rsidR="000B44B6" w:rsidRPr="0094799F">
        <w:rPr>
          <w:rFonts w:ascii="GHEA Grapalat" w:hAnsi="GHEA Grapalat" w:cs="GHEA Grapalat"/>
          <w:lang w:val="hy-AM"/>
        </w:rPr>
        <w:t xml:space="preserve">նկատմամբ </w:t>
      </w:r>
      <w:r w:rsidRPr="0094799F">
        <w:rPr>
          <w:rFonts w:ascii="GHEA Grapalat" w:hAnsi="GHEA Grapalat" w:cs="GHEA Grapalat"/>
          <w:lang w:val="hy-AM"/>
        </w:rPr>
        <w:t>գերազանցումը հիմնականում պայմանավորված է oրենքով և իրավական այլ ակտերով սահմանված՝ պետական բյուջե մուտքագրվող այլ եկամուտների, իրավաբանական անձանց կապիտալում կատարված ներդրումներից ստացվող շահաբաժիններ</w:t>
      </w:r>
      <w:r w:rsidR="000B44B6" w:rsidRPr="0094799F">
        <w:rPr>
          <w:rFonts w:ascii="GHEA Grapalat" w:hAnsi="GHEA Grapalat" w:cs="GHEA Grapalat"/>
          <w:lang w:val="hy-AM"/>
        </w:rPr>
        <w:t>ի,</w:t>
      </w:r>
      <w:r w:rsidRPr="0094799F">
        <w:rPr>
          <w:rFonts w:ascii="GHEA Grapalat" w:hAnsi="GHEA Grapalat" w:cs="GHEA Grapalat"/>
          <w:lang w:val="hy-AM"/>
        </w:rPr>
        <w:t xml:space="preserve"> բանկերում և այլ ֆինանսավարկային հաստատություններում բյուջեի ժամանակավոր ազատ միջոցների տեղաբաշխումից և դեպոզիտներից ստացված տոկոսավճարների</w:t>
      </w:r>
      <w:r w:rsidR="00520EA0" w:rsidRPr="0094799F">
        <w:rPr>
          <w:rFonts w:ascii="GHEA Grapalat" w:hAnsi="GHEA Grapalat" w:cs="GHEA Grapalat"/>
          <w:lang w:val="hy-AM"/>
        </w:rPr>
        <w:t xml:space="preserve"> և իրավախախտումների համար կիրառվող պատժամիջոցներից ստացվող</w:t>
      </w:r>
      <w:r w:rsidRPr="0094799F">
        <w:rPr>
          <w:rFonts w:ascii="GHEA Grapalat" w:hAnsi="GHEA Grapalat" w:cs="GHEA Grapalat"/>
          <w:lang w:val="hy-AM"/>
        </w:rPr>
        <w:t xml:space="preserve"> </w:t>
      </w:r>
      <w:r w:rsidR="000B44B6" w:rsidRPr="0094799F">
        <w:rPr>
          <w:rFonts w:ascii="GHEA Grapalat" w:hAnsi="GHEA Grapalat" w:cs="GHEA Grapalat"/>
          <w:lang w:val="hy-AM"/>
        </w:rPr>
        <w:t>մուտքերով</w:t>
      </w:r>
      <w:r w:rsidRPr="0094799F">
        <w:rPr>
          <w:rFonts w:ascii="GHEA Grapalat" w:hAnsi="GHEA Grapalat" w:cs="GHEA Grapalat"/>
          <w:lang w:val="hy-AM"/>
        </w:rPr>
        <w:t xml:space="preserve">: </w:t>
      </w:r>
    </w:p>
    <w:p w:rsidR="00E16DDE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>Այլ եկամուտների առանձին բաղադրիչների վերաբերյալ տեղեկատվությունը ներկայացված է Աղյուսակ 9</w:t>
      </w:r>
      <w:r w:rsidRPr="0094799F">
        <w:rPr>
          <w:rFonts w:ascii="GHEA Grapalat" w:hAnsi="GHEA Grapalat" w:cs="GHEA Grapalat"/>
          <w:lang w:val="hy-AM"/>
        </w:rPr>
        <w:noBreakHyphen/>
        <w:t>ում:</w:t>
      </w:r>
    </w:p>
    <w:p w:rsidR="00E16DDE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 w:cs="GHEA Grapalat"/>
          <w:color w:val="FF0000"/>
          <w:lang w:val="hy-AM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Այլ եկամուտների գծով ՀՀ պետական բյուջեի մուտքերը (մլն դրամ)</w:t>
      </w:r>
    </w:p>
    <w:tbl>
      <w:tblPr>
        <w:tblW w:w="10409" w:type="dxa"/>
        <w:tblInd w:w="-9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1276"/>
        <w:gridCol w:w="1417"/>
        <w:gridCol w:w="1276"/>
        <w:gridCol w:w="1418"/>
        <w:gridCol w:w="1388"/>
      </w:tblGrid>
      <w:tr w:rsidR="00E16DDE" w:rsidRPr="0094799F" w:rsidTr="00E16DDE">
        <w:trPr>
          <w:trHeight w:val="823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2024թ. հունվար-մայիս ամիսների փաստ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2025թ. առաջին կիսամյակի ճշտված պլան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2025թ. հունվար-մայիս ամիսների փաստ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Կատարո-ղականն առաջին կիսամյակի ճշտված պլանի նկատմամբ (</w:t>
            </w:r>
            <w:r w:rsidRPr="0094799F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%)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2025թ. առաջին կիսամյակի 2024թ. առաջին կիսամյակի նկատմամբ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4799F">
              <w:rPr>
                <w:rFonts w:ascii="GHEA Grapalat" w:hAnsi="GHEA Grapalat" w:cs="Arial"/>
                <w:b/>
                <w:sz w:val="18"/>
                <w:szCs w:val="18"/>
              </w:rPr>
              <w:t>(%)</w:t>
            </w:r>
          </w:p>
        </w:tc>
      </w:tr>
      <w:tr w:rsidR="00E16DDE" w:rsidRPr="0094799F" w:rsidTr="00E16DDE">
        <w:trPr>
          <w:trHeight w:val="323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Այլ եկամուտներ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 xml:space="preserve">, 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>այդ թվում`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b/>
                <w:bCs/>
                <w:sz w:val="20"/>
                <w:szCs w:val="20"/>
              </w:rPr>
              <w:t>42,381.1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b/>
                <w:bCs/>
                <w:sz w:val="20"/>
                <w:szCs w:val="20"/>
              </w:rPr>
              <w:t>46,749.9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b/>
                <w:bCs/>
                <w:sz w:val="20"/>
                <w:szCs w:val="20"/>
              </w:rPr>
              <w:t>51,235.5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b/>
                <w:bCs/>
                <w:sz w:val="20"/>
                <w:szCs w:val="20"/>
              </w:rPr>
              <w:t>109.6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b/>
                <w:bCs/>
                <w:sz w:val="20"/>
                <w:szCs w:val="20"/>
              </w:rPr>
              <w:t>120.9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lastRenderedPageBreak/>
              <w:t>Պետական սեփականություն հանդիսացող գույքի վարձակալությունից եկամուտներ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354.1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2,719.9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443.1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16.3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125.1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Տոկոսավճարներ և շահաբաժիններ, այդ թվում՝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15,942.6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14,546.4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18,104.9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124.5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113.6</w:t>
            </w:r>
          </w:p>
        </w:tc>
      </w:tr>
      <w:tr w:rsidR="00E16DDE" w:rsidRPr="0094799F" w:rsidTr="00E16DDE">
        <w:trPr>
          <w:trHeight w:val="123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բանկերում և այլ ֆինանսավար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կային հաստատություններում բյուջեի ժամանակավոր ազատ միջոցների տեղաբաշխումից և դեպոզիտներից ստացվող 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14,913.9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14,475.4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15,557.6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107.5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104.3</w:t>
            </w:r>
          </w:p>
        </w:tc>
      </w:tr>
      <w:tr w:rsidR="00E16DDE" w:rsidRPr="0094799F" w:rsidTr="00E16DDE">
        <w:trPr>
          <w:trHeight w:val="16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իրավաբանական անձանց կապիտալում կատարված ներդրում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ներից ստացվող շահաբաժիններ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1,028.7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2,547.3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3,587.8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247.6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DDE" w:rsidRPr="0094799F" w:rsidRDefault="00E16DDE" w:rsidP="0094799F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Պետության կողմից տրված վարկերի օգտագործման դիմաց վճարներ (տոկոսներ), 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3,742.9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5,888.3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3,638.9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61.8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97.2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ռեզիդենտներին տրամադրված վարկերի օգտագործման տոկոսա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3,730.9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5,882.4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3,632.9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61.8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97.4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ոչ ռեզիդենտներին տրամադրված վարկերի օգտագործման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տոկոսավճար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101.1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49.9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Այլ կատեգորիաներում չդասակարգված տրանսֆերտներ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177.6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Իրավախախտումների համար գործադիր, դատական մարմինների կողմից կիրառվող պատժամիջոցներից մուտքեր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10,799.9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10,645.2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11,482.3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107.9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106.3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9,614.8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10,221.8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9,038.1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88.4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94.0</w:t>
            </w:r>
          </w:p>
        </w:tc>
      </w:tr>
      <w:tr w:rsidR="00E16DDE" w:rsidRPr="0094799F" w:rsidTr="00E16DDE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Օրենքով և իրավական այլ ակտերով սահմանված՝ պետական բյուջե մուտքագրվող այլ եկամուտներ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1,749.2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2,728.3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8,528.2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312.6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94799F">
              <w:rPr>
                <w:rFonts w:ascii="GHEA Grapalat" w:hAnsi="GHEA Grapalat" w:cs="Arial"/>
                <w:sz w:val="20"/>
                <w:szCs w:val="20"/>
              </w:rPr>
              <w:t>487.6</w:t>
            </w:r>
          </w:p>
        </w:tc>
      </w:tr>
    </w:tbl>
    <w:p w:rsidR="00E16DDE" w:rsidRPr="0094799F" w:rsidRDefault="00E16DDE" w:rsidP="0094799F">
      <w:pPr>
        <w:spacing w:line="360" w:lineRule="auto"/>
        <w:ind w:right="180"/>
        <w:jc w:val="both"/>
        <w:rPr>
          <w:rFonts w:ascii="GHEA Grapalat" w:hAnsi="GHEA Grapalat" w:cs="Sylfaen"/>
          <w:lang w:val="hy-AM"/>
        </w:rPr>
      </w:pP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 xml:space="preserve">Իրավաբանական անձանց կապիտալում կատարված ներդրումներից հունվար-մայիս ամիսների ընթացքում ստացվել են 2.5 մլրդ դրամ շահաբաժիններ՝ </w:t>
      </w:r>
      <w:r w:rsidRPr="0094799F">
        <w:rPr>
          <w:rFonts w:ascii="GHEA Grapalat" w:hAnsi="GHEA Grapalat" w:cs="GHEA Grapalat"/>
          <w:color w:val="000000"/>
          <w:lang w:val="hy-AM"/>
        </w:rPr>
        <w:t>ծրագրված 71</w:t>
      </w:r>
      <w:r w:rsidR="008B4782" w:rsidRPr="0094799F">
        <w:rPr>
          <w:rFonts w:ascii="GHEA Grapalat" w:hAnsi="GHEA Grapalat" w:cs="GHEA Grapalat"/>
          <w:color w:val="000000"/>
          <w:lang w:val="hy-AM"/>
        </w:rPr>
        <w:t xml:space="preserve"> մլն դրամի փոխարեն`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2.5 անգամ գերազանցելով </w:t>
      </w:r>
      <w:r w:rsidRPr="0094799F">
        <w:rPr>
          <w:rFonts w:ascii="GHEA Grapalat" w:hAnsi="GHEA Grapalat" w:cs="GHEA Grapalat"/>
          <w:lang w:val="hy-AM"/>
        </w:rPr>
        <w:t>նախորդ տարվա ն</w:t>
      </w:r>
      <w:r w:rsidR="008B4782" w:rsidRPr="0094799F">
        <w:rPr>
          <w:rFonts w:ascii="GHEA Grapalat" w:hAnsi="GHEA Grapalat" w:cs="GHEA Grapalat"/>
          <w:lang w:val="hy-AM"/>
        </w:rPr>
        <w:t>ույն ժամանակահատվածի ցուցանիշը: Մուտքերի ա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ճը </w:t>
      </w:r>
      <w:r w:rsidRPr="0094799F">
        <w:rPr>
          <w:rFonts w:ascii="GHEA Grapalat" w:hAnsi="GHEA Grapalat" w:cs="GHEA Grapalat"/>
          <w:lang w:val="hy-AM"/>
        </w:rPr>
        <w:t>հիմնականում պայմանավորված է «Վիվա Արմենիա» ՓԲԸ</w:t>
      </w:r>
      <w:r w:rsidRPr="0094799F">
        <w:rPr>
          <w:rFonts w:ascii="GHEA Grapalat" w:hAnsi="GHEA Grapalat" w:cs="GHEA Grapalat"/>
          <w:lang w:val="hy-AM"/>
        </w:rPr>
        <w:noBreakHyphen/>
        <w:t>ի կողմից վճարված շահաբաժիններով:</w:t>
      </w:r>
    </w:p>
    <w:p w:rsidR="00E16DDE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>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ստացվել են 15.6 մլրդ դրամ տոկոսավճարներ, որոնք 7.5%-ով գերազանցել են կիսամյակային ծրագրային ցուցանիշը և 4.3%-ով</w:t>
      </w:r>
      <w:r w:rsidR="000E1FEC" w:rsidRPr="0094799F">
        <w:rPr>
          <w:rFonts w:ascii="GHEA Grapalat" w:hAnsi="GHEA Grapalat" w:cs="GHEA Grapalat"/>
          <w:lang w:val="hy-AM"/>
        </w:rPr>
        <w:t>`</w:t>
      </w:r>
      <w:r w:rsidRPr="0094799F">
        <w:rPr>
          <w:rFonts w:ascii="GHEA Grapalat" w:hAnsi="GHEA Grapalat" w:cs="GHEA Grapalat"/>
          <w:lang w:val="hy-AM"/>
        </w:rPr>
        <w:t xml:space="preserve"> նախորդ տարվա նույն </w:t>
      </w:r>
      <w:r w:rsidRPr="0094799F">
        <w:rPr>
          <w:rFonts w:ascii="GHEA Grapalat" w:hAnsi="GHEA Grapalat" w:cs="GHEA Grapalat"/>
          <w:lang w:val="hy-AM"/>
        </w:rPr>
        <w:lastRenderedPageBreak/>
        <w:t>ժամանակահատվածի ցուցանիշը: Ծրագրված ցուցանիշի գերազանցումը հիմնականում պայմանավորված է 2025 թվականի առաջին հինգ ամիսների ընթացքում պետական բյուջեի մուտքերի համեմատ ելքերի ցածր կատարողականով, որի պայմաններում առաջացել են լրացուցիչ ժամանակավոր ազատ դրամական միջոցներ, որոնք ներդրվել են՝ ապահովելով լրացուցիչ տոկոսային եկամուտներ: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94799F">
        <w:rPr>
          <w:rFonts w:ascii="GHEA Grapalat" w:hAnsi="GHEA Grapalat" w:cs="Calibri"/>
          <w:bCs/>
          <w:lang w:val="hy-AM"/>
        </w:rPr>
        <w:t xml:space="preserve">2025 թվականի </w:t>
      </w:r>
      <w:r w:rsidRPr="0094799F">
        <w:rPr>
          <w:rFonts w:ascii="GHEA Grapalat" w:hAnsi="GHEA Grapalat" w:cs="GHEA Grapalat"/>
          <w:lang w:val="hy-AM"/>
        </w:rPr>
        <w:t xml:space="preserve">հունվար-մայիս ամիսների </w:t>
      </w:r>
      <w:r w:rsidRPr="0094799F">
        <w:rPr>
          <w:rFonts w:ascii="GHEA Grapalat" w:hAnsi="GHEA Grapalat" w:cs="Calibri"/>
          <w:bCs/>
          <w:lang w:val="hy-AM"/>
        </w:rPr>
        <w:t>ընթացքում իրավախախտումների համար գործադիր, դատական մարմինների կողմից կիրառվող պատժամիջոցներից ստացվել են 11.5</w:t>
      </w:r>
      <w:r w:rsidRPr="0094799F">
        <w:rPr>
          <w:rFonts w:ascii="Calibri" w:hAnsi="Calibri" w:cs="Calibri"/>
          <w:bCs/>
          <w:lang w:val="hy-AM"/>
        </w:rPr>
        <w:t> </w:t>
      </w:r>
      <w:r w:rsidRPr="0094799F">
        <w:rPr>
          <w:rFonts w:ascii="GHEA Grapalat" w:hAnsi="GHEA Grapalat" w:cs="Calibri"/>
          <w:bCs/>
          <w:lang w:val="hy-AM"/>
        </w:rPr>
        <w:t>մլրդ դրամ մուտքեր, որոնք 7.9%-ով գերազանցել են կիսամյակային ծրագրային ցուցանիշը և 6.3%-ով</w:t>
      </w:r>
      <w:r w:rsidR="00A817D4" w:rsidRPr="0094799F">
        <w:rPr>
          <w:rFonts w:ascii="GHEA Grapalat" w:hAnsi="GHEA Grapalat" w:cs="Calibri"/>
          <w:bCs/>
          <w:lang w:val="hy-AM"/>
        </w:rPr>
        <w:t>`</w:t>
      </w:r>
      <w:r w:rsidRPr="0094799F">
        <w:rPr>
          <w:rFonts w:ascii="GHEA Grapalat" w:hAnsi="GHEA Grapalat" w:cs="Calibri"/>
          <w:bCs/>
          <w:lang w:val="hy-AM"/>
        </w:rPr>
        <w:t xml:space="preserve"> նախորդ տարվա նույն ժամանակահատվածի ցուցանիշը: Մուտքերի բարձր ցուցանիշ</w:t>
      </w:r>
      <w:r w:rsidR="00A817D4" w:rsidRPr="0094799F">
        <w:rPr>
          <w:rFonts w:ascii="GHEA Grapalat" w:hAnsi="GHEA Grapalat" w:cs="Calibri"/>
          <w:bCs/>
          <w:lang w:val="hy-AM"/>
        </w:rPr>
        <w:t>ը</w:t>
      </w:r>
      <w:r w:rsidRPr="0094799F">
        <w:rPr>
          <w:rFonts w:ascii="GHEA Grapalat" w:hAnsi="GHEA Grapalat" w:cs="Calibri"/>
          <w:bCs/>
          <w:lang w:val="hy-AM"/>
        </w:rPr>
        <w:t xml:space="preserve"> հիմնականում պայմանավորված է</w:t>
      </w:r>
      <w:r w:rsidR="008320AA" w:rsidRPr="0094799F">
        <w:rPr>
          <w:rFonts w:ascii="GHEA Grapalat" w:hAnsi="GHEA Grapalat" w:cs="Calibri"/>
          <w:bCs/>
          <w:lang w:val="hy-AM"/>
        </w:rPr>
        <w:t xml:space="preserve"> Մրցակցության պաշտպանության հանձնաժողովի կողմից չնախատեսված տուգանքների գանձմամբ, որոնք կազմել են 879.3</w:t>
      </w:r>
      <w:r w:rsidR="008320AA" w:rsidRPr="0094799F">
        <w:rPr>
          <w:rFonts w:ascii="Calibri" w:hAnsi="Calibri" w:cs="Calibri"/>
          <w:bCs/>
          <w:lang w:val="hy-AM"/>
        </w:rPr>
        <w:t> </w:t>
      </w:r>
      <w:r w:rsidR="008320AA" w:rsidRPr="0094799F">
        <w:rPr>
          <w:rFonts w:ascii="GHEA Grapalat" w:hAnsi="GHEA Grapalat" w:cs="Calibri"/>
          <w:bCs/>
          <w:lang w:val="hy-AM"/>
        </w:rPr>
        <w:t>մլն դրամ՝ 2.6 անգամ (541.1</w:t>
      </w:r>
      <w:r w:rsidR="008320AA" w:rsidRPr="0094799F">
        <w:rPr>
          <w:rFonts w:ascii="Calibri" w:hAnsi="Calibri" w:cs="Calibri"/>
          <w:bCs/>
          <w:lang w:val="hy-AM"/>
        </w:rPr>
        <w:t> </w:t>
      </w:r>
      <w:r w:rsidR="008320AA" w:rsidRPr="0094799F">
        <w:rPr>
          <w:rFonts w:ascii="GHEA Grapalat" w:hAnsi="GHEA Grapalat" w:cs="Calibri"/>
          <w:bCs/>
          <w:lang w:val="hy-AM"/>
        </w:rPr>
        <w:t>մլն դրամով) գերազանցելով նախորդ տարվա նույն ցուցանիշը, և</w:t>
      </w:r>
      <w:r w:rsidRPr="0094799F">
        <w:rPr>
          <w:rFonts w:ascii="GHEA Grapalat" w:hAnsi="GHEA Grapalat" w:cs="Calibri"/>
          <w:bCs/>
          <w:lang w:val="hy-AM"/>
        </w:rPr>
        <w:t xml:space="preserve"> «Գնումների մասին» ՀՀ օրենքով նախատեսված դեպքերում մասնակիցներից պայմանների ապահովման վճարներով, որոնք կազմել են 666.8 մլն դրամ՝ ծրագրված 7.5 մլն դրամի և նախորդ տարվա հունվար-մայիսի 5.8 մլն դրամի դիմաց: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94799F">
        <w:rPr>
          <w:rFonts w:ascii="GHEA Grapalat" w:hAnsi="GHEA Grapalat" w:cs="Calibri"/>
          <w:bCs/>
          <w:lang w:val="hy-AM"/>
        </w:rPr>
        <w:t>Հաշվետու ժամանակահատվածում մուտքերի բարձր մակարդակ է գրանցվել նաև ՀՀ արդարադատության նախարության</w:t>
      </w:r>
      <w:r w:rsidR="00F04FBD" w:rsidRPr="0094799F">
        <w:rPr>
          <w:rFonts w:ascii="GHEA Grapalat" w:hAnsi="GHEA Grapalat" w:cs="Calibri"/>
          <w:bCs/>
          <w:lang w:val="hy-AM"/>
        </w:rPr>
        <w:t xml:space="preserve"> կողմից կիրառված պատժամիջոցներից մուտքերի</w:t>
      </w:r>
      <w:r w:rsidRPr="0094799F">
        <w:rPr>
          <w:rFonts w:ascii="GHEA Grapalat" w:hAnsi="GHEA Grapalat" w:cs="Calibri"/>
          <w:bCs/>
          <w:lang w:val="hy-AM"/>
        </w:rPr>
        <w:t xml:space="preserve"> գծով, որոնք կազմել են 822.9</w:t>
      </w:r>
      <w:r w:rsidRPr="0094799F">
        <w:rPr>
          <w:rFonts w:ascii="Calibri" w:hAnsi="Calibri" w:cs="Calibri"/>
          <w:bCs/>
          <w:lang w:val="hy-AM"/>
        </w:rPr>
        <w:t> </w:t>
      </w:r>
      <w:r w:rsidRPr="0094799F">
        <w:rPr>
          <w:rFonts w:ascii="GHEA Grapalat" w:hAnsi="GHEA Grapalat" w:cs="Calibri"/>
          <w:bCs/>
          <w:lang w:val="hy-AM"/>
        </w:rPr>
        <w:t>մլն դրամ՝ 2.2 անգամ (444.6 մլն դրամով) գերազանցելով ծրագրված և 2.1 անգամ (422.8 մլն դրամով)՝ նախորդ տարվա հունվար-մայիս ամիսների փաստացի ցուցանիշները՝ պայմանավորված պրոբացիայի ծառայության կողմից գանձված տուգանքների աճով: Իրավախախտումների դիմաց գանձված եկամուտների բարձր ցուցանիշն ապահովվել է նաև ՀՀ վարչապետի աշխատակազմի ենթակայության տեսչական մարմինների կողմից գանձվող մուտքերի հաշվին, որոնք կազմել են 569 մլն դրամ՝ 29.5%-ով (129.5 մլն դրամով) գերազանցելով առաջին կիսամյակի ծրագրված ցուցանիշը և 40.4%-ով (163.7 մլն դրամով)՝ նախորդ տարվա հունվար-մայիսի ցուցանիշը:</w:t>
      </w:r>
    </w:p>
    <w:p w:rsidR="00E16DDE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 xml:space="preserve">Միևնույն ժամանակ հարկ է նշել, որ </w:t>
      </w:r>
      <w:r w:rsidRPr="0094799F">
        <w:rPr>
          <w:rFonts w:ascii="GHEA Grapalat" w:hAnsi="GHEA Grapalat" w:cs="GHEA Grapalat"/>
          <w:iCs/>
          <w:lang w:val="hy-AM"/>
        </w:rPr>
        <w:t xml:space="preserve">պետական բյուջեի նկատմամբ ստանձնած պայմանագրային պարտավորությունների չկատարման դիմաց գանձվող տույժերի գծով գրանցվել է </w:t>
      </w:r>
      <w:r w:rsidRPr="0094799F">
        <w:rPr>
          <w:rFonts w:ascii="GHEA Grapalat" w:hAnsi="GHEA Grapalat" w:cs="GHEA Grapalat"/>
          <w:color w:val="000000"/>
          <w:lang w:val="hy-AM"/>
        </w:rPr>
        <w:t>զգալի անկում,</w:t>
      </w:r>
      <w:r w:rsidRPr="0094799F">
        <w:rPr>
          <w:rFonts w:ascii="GHEA Grapalat" w:hAnsi="GHEA Grapalat" w:cs="GHEA Grapalat"/>
          <w:iCs/>
          <w:lang w:val="hy-AM"/>
        </w:rPr>
        <w:t xml:space="preserve"> որոնք կազմել են 276.3 մլն դրամ՝ 77.2%-ով (938</w:t>
      </w:r>
      <w:r w:rsidRPr="0094799F">
        <w:rPr>
          <w:rFonts w:ascii="Calibri" w:hAnsi="Calibri" w:cs="Calibri"/>
          <w:iCs/>
          <w:lang w:val="hy-AM"/>
        </w:rPr>
        <w:t> </w:t>
      </w:r>
      <w:r w:rsidRPr="0094799F">
        <w:rPr>
          <w:rFonts w:ascii="GHEA Grapalat" w:hAnsi="GHEA Grapalat" w:cs="GHEA Grapalat"/>
          <w:iCs/>
          <w:lang w:val="hy-AM"/>
        </w:rPr>
        <w:t xml:space="preserve">մլն դրամով) զիջելով </w:t>
      </w:r>
      <w:r w:rsidRPr="0094799F">
        <w:rPr>
          <w:rFonts w:ascii="GHEA Grapalat" w:hAnsi="GHEA Grapalat" w:cs="GHEA Grapalat"/>
          <w:color w:val="000000"/>
          <w:lang w:val="hy-AM"/>
        </w:rPr>
        <w:t>նախորդ տարվա նույն ժամանակահատվածի ցուցանիշը:</w:t>
      </w:r>
    </w:p>
    <w:p w:rsidR="00E16DDE" w:rsidRPr="0094799F" w:rsidRDefault="00E16DDE" w:rsidP="0094799F">
      <w:pPr>
        <w:spacing w:line="360" w:lineRule="auto"/>
        <w:ind w:right="9" w:firstLine="567"/>
        <w:jc w:val="both"/>
        <w:rPr>
          <w:rFonts w:ascii="GHEA Grapalat" w:hAnsi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lastRenderedPageBreak/>
        <w:t>Օրենքով և իրավական այլ ակտերով սահմանված պետական բյուջե մուտքագրվող այլ եկամուտները</w:t>
      </w:r>
      <w:r w:rsidRPr="0094799F">
        <w:rPr>
          <w:rFonts w:ascii="GHEA Grapalat" w:hAnsi="GHEA Grapalat" w:cs="GHEA Grapalat"/>
          <w:i/>
          <w:lang w:val="hy-AM"/>
        </w:rPr>
        <w:t xml:space="preserve"> </w:t>
      </w:r>
      <w:r w:rsidRPr="0094799F">
        <w:rPr>
          <w:rFonts w:ascii="GHEA Grapalat" w:hAnsi="GHEA Grapalat" w:cs="GHEA Grapalat"/>
          <w:lang w:val="hy-AM"/>
        </w:rPr>
        <w:t>կազմել են 8.5 մլրդ դրամ՝ 3.1 անգամ (5.8 մլրդ դրամով) գերազանցելով առաջին կիսամյակի ծրագրված ցուցանիշը և 4.9 անգամ (6.8</w:t>
      </w:r>
      <w:r w:rsidRPr="0094799F">
        <w:rPr>
          <w:rFonts w:ascii="Calibri" w:hAnsi="Calibri" w:cs="Calibri"/>
          <w:lang w:val="hy-AM"/>
        </w:rPr>
        <w:t> </w:t>
      </w:r>
      <w:r w:rsidRPr="0094799F">
        <w:rPr>
          <w:rFonts w:ascii="GHEA Grapalat" w:hAnsi="GHEA Grapalat" w:cs="GHEA Grapalat"/>
          <w:lang w:val="hy-AM"/>
        </w:rPr>
        <w:t xml:space="preserve">մլրդ դրամով)՝ նախորդ տարվա նույն ժամանակահատվածի ցուցանիշը: </w:t>
      </w:r>
      <w:r w:rsidRPr="0094799F">
        <w:rPr>
          <w:rFonts w:ascii="GHEA Grapalat" w:hAnsi="GHEA Grapalat"/>
          <w:lang w:val="hy-AM"/>
        </w:rPr>
        <w:t>Ծրագրի գերազանցումը և նախորդ տարվա համեմատ աճը պայմանավորված է նրանով, որ ՀՀ կառավարության 2024թ. դեկտեմբերի 5</w:t>
      </w:r>
      <w:r w:rsidRPr="0094799F">
        <w:rPr>
          <w:rFonts w:ascii="GHEA Grapalat" w:hAnsi="GHEA Grapalat"/>
          <w:lang w:val="hy-AM"/>
        </w:rPr>
        <w:noBreakHyphen/>
        <w:t>ի N</w:t>
      </w:r>
      <w:r w:rsidRPr="0094799F">
        <w:rPr>
          <w:rFonts w:ascii="Calibri" w:hAnsi="Calibri" w:cs="Calibri"/>
          <w:lang w:val="hy-AM"/>
        </w:rPr>
        <w:t> </w:t>
      </w:r>
      <w:r w:rsidRPr="0094799F">
        <w:rPr>
          <w:rFonts w:ascii="GHEA Grapalat" w:hAnsi="GHEA Grapalat"/>
          <w:lang w:val="hy-AM"/>
        </w:rPr>
        <w:t>1922-Ն որոշման համաձայն, պետությանը և համայնքին պատճառված վնասի շրջանակներում քրեական վարույթներով վերականգնման ենթակա դրամական միջոցները սկսել են վճարվել գանձապետական միասնական հաշվին: Հաշվետու ժամանակահատվածում նշված մուտքերը կազմել են 6.3 մլրդ դրամ: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E16DDE" w:rsidRPr="0094799F" w:rsidRDefault="00E16DDE" w:rsidP="0094799F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94799F">
        <w:rPr>
          <w:rFonts w:ascii="GHEA Grapalat" w:hAnsi="GHEA Grapalat" w:cs="GHEA Grapalat"/>
          <w:i/>
          <w:u w:val="single"/>
          <w:lang w:val="hy-AM"/>
        </w:rPr>
        <w:t xml:space="preserve">Պետական </w:t>
      </w:r>
      <w:r w:rsidRPr="0094799F">
        <w:rPr>
          <w:rFonts w:ascii="GHEA Grapalat" w:hAnsi="GHEA Grapalat" w:cs="GHEA Grapalat"/>
          <w:i/>
          <w:color w:val="000000"/>
          <w:u w:val="single"/>
          <w:lang w:val="hy-AM"/>
        </w:rPr>
        <w:t>բյուջեի</w:t>
      </w:r>
      <w:r w:rsidRPr="0094799F">
        <w:rPr>
          <w:rFonts w:ascii="GHEA Grapalat" w:hAnsi="GHEA Grapalat" w:cs="GHEA Grapalat"/>
          <w:i/>
          <w:u w:val="single"/>
          <w:lang w:val="hy-AM"/>
        </w:rPr>
        <w:t xml:space="preserve"> ծախսերը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Calibri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>2025 թվականի հունվար-մայիս ամիսներին պետական բյուջեի ծախսերը կազմել են 1,202.9 մլրդ դրամ կամ առաջին կիսամյակի ծրագրի 69.7%-ը: Նախորդ տարվա հունվար-մայիս ամիսների համեմատ պետական բյուջեի ծախսերն աճել են 16.9%-ով կամ 173.9 մլրդ դրամով՝ հիմնականում պայմանավորված կապիտալ ծախսերի, սոցիալական նպաստների և կենսաթոշակների,</w:t>
      </w:r>
      <w:r w:rsidRPr="0094799F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 </w:t>
      </w:r>
      <w:r w:rsidRPr="0094799F">
        <w:rPr>
          <w:rFonts w:ascii="GHEA Grapalat" w:hAnsi="GHEA Grapalat" w:cs="Calibri"/>
          <w:color w:val="000000"/>
          <w:lang w:val="hy-AM"/>
        </w:rPr>
        <w:t xml:space="preserve">այլ </w:t>
      </w:r>
      <w:r w:rsidR="00B14293" w:rsidRPr="0094799F">
        <w:rPr>
          <w:rFonts w:ascii="GHEA Grapalat" w:hAnsi="GHEA Grapalat" w:cs="Calibri"/>
          <w:color w:val="000000"/>
          <w:lang w:val="hy-AM"/>
        </w:rPr>
        <w:t xml:space="preserve">ծախսերի և </w:t>
      </w:r>
      <w:r w:rsidR="00B14293" w:rsidRPr="0094799F">
        <w:rPr>
          <w:rFonts w:ascii="GHEA Grapalat" w:hAnsi="GHEA Grapalat" w:cs="GHEA Grapalat"/>
          <w:color w:val="000000"/>
          <w:lang w:val="hy-AM"/>
        </w:rPr>
        <w:t xml:space="preserve">տոկոսավճարների </w:t>
      </w:r>
      <w:r w:rsidRPr="0094799F">
        <w:rPr>
          <w:rFonts w:ascii="GHEA Grapalat" w:hAnsi="GHEA Grapalat" w:cs="Calibri"/>
          <w:color w:val="000000"/>
          <w:lang w:val="hy-AM"/>
        </w:rPr>
        <w:t>աճով: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ծախսերը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969"/>
        <w:gridCol w:w="1843"/>
        <w:gridCol w:w="1984"/>
      </w:tblGrid>
      <w:tr w:rsidR="00E16DDE" w:rsidRPr="0094799F" w:rsidTr="00E16DDE">
        <w:trPr>
          <w:trHeight w:val="8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94799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2024թ. հունվար-մայիս ամիսների փաստ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2025թ. հունվար- մայիս ամիսների փաստ</w:t>
            </w:r>
          </w:p>
        </w:tc>
      </w:tr>
      <w:tr w:rsidR="00E16DDE" w:rsidRPr="0094799F" w:rsidTr="00E16DDE">
        <w:trPr>
          <w:trHeight w:val="3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1,029.1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5D3FC8" w:rsidP="0094799F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1,726.9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1,202.9</w:t>
            </w:r>
          </w:p>
        </w:tc>
      </w:tr>
      <w:tr w:rsidR="00E16DDE" w:rsidRPr="0094799F" w:rsidTr="00E16DDE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DDE" w:rsidRPr="0094799F" w:rsidRDefault="00E16DDE" w:rsidP="0094799F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912.0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5D3FC8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1,328.9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998.6</w:t>
            </w:r>
          </w:p>
        </w:tc>
      </w:tr>
      <w:tr w:rsidR="00E16DDE" w:rsidRPr="0094799F" w:rsidTr="00E16DDE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DDE" w:rsidRPr="0094799F" w:rsidRDefault="00E16DDE" w:rsidP="0094799F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397.9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204.3</w:t>
            </w:r>
          </w:p>
        </w:tc>
      </w:tr>
      <w:tr w:rsidR="00E16DDE" w:rsidRPr="0094799F" w:rsidTr="00E16DDE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DDE" w:rsidRPr="0094799F" w:rsidRDefault="00E16DDE" w:rsidP="0094799F">
            <w:pPr>
              <w:ind w:firstLineChars="100" w:firstLine="200"/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DDE" w:rsidRPr="0094799F" w:rsidTr="00E16DDE">
        <w:trPr>
          <w:trHeight w:val="3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Կշիռն ընդամենը ծախսերի մեջ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6DDE" w:rsidRPr="0094799F" w:rsidTr="00E16DDE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DDE" w:rsidRPr="0094799F" w:rsidRDefault="00E16DDE" w:rsidP="0094799F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83.0</w:t>
            </w:r>
          </w:p>
        </w:tc>
      </w:tr>
      <w:tr w:rsidR="00E16DDE" w:rsidRPr="0094799F" w:rsidTr="00E16DDE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DDE" w:rsidRPr="0094799F" w:rsidRDefault="00E16DDE" w:rsidP="0094799F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17.0</w:t>
            </w:r>
          </w:p>
        </w:tc>
      </w:tr>
    </w:tbl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Calibri"/>
          <w:color w:val="000000"/>
        </w:rPr>
      </w:pP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 xml:space="preserve">Ընթացիկ ծախսերի բաղադրիչների վերաբերյալ տվյալները ներկայացված են Աղյուսակ </w:t>
      </w:r>
      <w:r w:rsidRPr="0094799F">
        <w:rPr>
          <w:rFonts w:ascii="GHEA Grapalat" w:hAnsi="GHEA Grapalat" w:cs="GHEA Grapalat"/>
          <w:color w:val="000000"/>
        </w:rPr>
        <w:t>11</w:t>
      </w:r>
      <w:r w:rsidRPr="0094799F">
        <w:rPr>
          <w:rFonts w:ascii="GHEA Grapalat" w:hAnsi="GHEA Grapalat" w:cs="GHEA Grapalat"/>
          <w:color w:val="000000"/>
          <w:lang w:val="hy-AM"/>
        </w:rPr>
        <w:t>-ում: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lastRenderedPageBreak/>
        <w:t>ՀՀ պետական բյուջեի ընթացիկ ծախսերը (մլրդ դրամ)</w:t>
      </w:r>
    </w:p>
    <w:tbl>
      <w:tblPr>
        <w:tblStyle w:val="TableGrid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276"/>
        <w:gridCol w:w="1701"/>
        <w:gridCol w:w="1836"/>
      </w:tblGrid>
      <w:tr w:rsidR="00E16DDE" w:rsidRPr="0094799F" w:rsidTr="00186365">
        <w:trPr>
          <w:trHeight w:val="1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հունվար-մայիս</w:t>
            </w:r>
            <w:r w:rsidR="005E3A65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</w:t>
            </w:r>
            <w:r w:rsidR="006C5875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կանն առաջին կիսամյակի ճշտված պլանի նկատմամբ (%)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հունվար-մայիսը 2024թ. հունվար-մայիս</w:t>
            </w:r>
            <w:r w:rsidR="006C5875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նկատմամբ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ind w:left="17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Ընթացիկ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912.0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1,328.</w:t>
            </w:r>
            <w:r w:rsidR="00052A8C"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998.6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109.5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107.9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ձեռքբերում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59.3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95.5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149.7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189.8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164.2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86.5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109.7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93.7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109.2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107.7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159.2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102.6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405.7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585.4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446.5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110.1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052A8C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129.4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125.4</w:t>
            </w: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ind w:left="17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ընթացիկ ծախսերում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 բերում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7.</w:t>
            </w:r>
            <w:r w:rsidR="00052A8C"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16DDE" w:rsidRPr="0094799F" w:rsidTr="001863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94799F">
        <w:rPr>
          <w:rFonts w:ascii="GHEA Grapalat" w:hAnsi="GHEA Grapalat" w:cs="GHEA Grapalat"/>
          <w:color w:val="000000"/>
          <w:lang w:val="hy-AM"/>
        </w:rPr>
        <w:t xml:space="preserve">2024 թվականի </w:t>
      </w:r>
      <w:r w:rsidRPr="0094799F">
        <w:rPr>
          <w:rFonts w:ascii="GHEA Grapalat" w:hAnsi="GHEA Grapalat" w:cs="GHEA Grapalat"/>
          <w:color w:val="000000"/>
        </w:rPr>
        <w:t xml:space="preserve">հունվար-մայիս ամիսների </w:t>
      </w:r>
      <w:r w:rsidRPr="0094799F">
        <w:rPr>
          <w:rFonts w:ascii="GHEA Grapalat" w:hAnsi="GHEA Grapalat" w:cs="GHEA Grapalat"/>
          <w:color w:val="000000"/>
          <w:lang w:val="hy-AM"/>
        </w:rPr>
        <w:t>համեմատ կառավարության պարտքի սպասարկման ծախսերն</w:t>
      </w:r>
      <w:r w:rsidRPr="0094799F">
        <w:rPr>
          <w:rFonts w:ascii="GHEA Grapalat" w:hAnsi="GHEA Grapalat" w:cs="GHEA Grapalat"/>
          <w:color w:val="000000"/>
        </w:rPr>
        <w:t xml:space="preserve"> </w:t>
      </w:r>
      <w:r w:rsidRPr="0094799F">
        <w:rPr>
          <w:rFonts w:ascii="GHEA Grapalat" w:hAnsi="GHEA Grapalat" w:cs="GHEA Grapalat"/>
          <w:color w:val="000000"/>
          <w:lang w:val="hy-AM"/>
        </w:rPr>
        <w:t>ա</w:t>
      </w:r>
      <w:r w:rsidRPr="0094799F">
        <w:rPr>
          <w:rFonts w:ascii="GHEA Grapalat" w:hAnsi="GHEA Grapalat" w:cs="GHEA Grapalat"/>
          <w:color w:val="000000"/>
        </w:rPr>
        <w:t>ճ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ել են </w:t>
      </w:r>
      <w:r w:rsidRPr="0094799F">
        <w:rPr>
          <w:rFonts w:ascii="GHEA Grapalat" w:hAnsi="GHEA Grapalat" w:cs="GHEA Grapalat"/>
          <w:color w:val="000000"/>
        </w:rPr>
        <w:t>9.7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%-ով կամ </w:t>
      </w:r>
      <w:r w:rsidRPr="0094799F">
        <w:rPr>
          <w:rFonts w:ascii="GHEA Grapalat" w:hAnsi="GHEA Grapalat" w:cs="GHEA Grapalat"/>
          <w:color w:val="000000"/>
        </w:rPr>
        <w:t>14.6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մլ</w:t>
      </w:r>
      <w:r w:rsidRPr="0094799F">
        <w:rPr>
          <w:rFonts w:ascii="GHEA Grapalat" w:hAnsi="GHEA Grapalat" w:cs="GHEA Grapalat"/>
          <w:color w:val="000000"/>
        </w:rPr>
        <w:t>րդ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դրամով</w:t>
      </w:r>
      <w:r w:rsidRPr="0094799F">
        <w:rPr>
          <w:rFonts w:ascii="GHEA Grapalat" w:hAnsi="GHEA Grapalat" w:cs="GHEA Grapalat"/>
          <w:color w:val="000000"/>
        </w:rPr>
        <w:t>: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</w:rPr>
        <w:t>Աճը արձանագրվել է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</w:rPr>
        <w:t>ներքին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տոկոսավճարներ</w:t>
      </w:r>
      <w:r w:rsidRPr="0094799F">
        <w:rPr>
          <w:rFonts w:ascii="GHEA Grapalat" w:hAnsi="GHEA Grapalat" w:cs="GHEA Grapalat"/>
          <w:color w:val="000000"/>
        </w:rPr>
        <w:t>ում՝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</w:rPr>
        <w:t>հիմնականում պայմանավորված շրջանառության մեջ գտնվող գանձապետական պարտատոմսերի ծավալների աճով: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Կառավարության պարտքի սպասարկման ծախսերը (մլրդ դրամ)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275"/>
        <w:gridCol w:w="1701"/>
        <w:gridCol w:w="1695"/>
      </w:tblGrid>
      <w:tr w:rsidR="00E16DDE" w:rsidRPr="0094799F" w:rsidTr="005D0503">
        <w:trPr>
          <w:trHeight w:val="1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5D0503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</w:t>
            </w:r>
            <w:r w:rsidR="00E16DDE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ղա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-</w:t>
            </w:r>
            <w:r w:rsidR="00E16DDE"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կանն առաջին կիսամյակի ճշտված պլանի նկատմամբ 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հունվար-մայիսը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E16DDE" w:rsidRPr="0094799F" w:rsidTr="005D050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b/>
                <w:sz w:val="20"/>
                <w:szCs w:val="20"/>
              </w:rPr>
              <w:t>Տոկոսավճարներ,</w:t>
            </w:r>
          </w:p>
          <w:p w:rsidR="00E16DDE" w:rsidRPr="0094799F" w:rsidRDefault="00E16DDE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այդ թվում՝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149.7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189.8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164.2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86.5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109.7</w:t>
            </w:r>
          </w:p>
        </w:tc>
      </w:tr>
      <w:tr w:rsidR="00E16DDE" w:rsidRPr="0094799F" w:rsidTr="005D050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 xml:space="preserve"> Ներքին տոկոսավճարներ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124.2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121.8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98.0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115.6</w:t>
            </w:r>
          </w:p>
        </w:tc>
      </w:tr>
      <w:tr w:rsidR="00E16DDE" w:rsidRPr="0094799F" w:rsidTr="005D050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 xml:space="preserve"> Արտաքին տոկոսավճարներ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65.6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64.7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95.8</w:t>
            </w:r>
          </w:p>
        </w:tc>
      </w:tr>
    </w:tbl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94799F">
        <w:rPr>
          <w:rFonts w:ascii="GHEA Grapalat" w:hAnsi="GHEA Grapalat" w:cs="GHEA Grapalat"/>
          <w:color w:val="000000"/>
          <w:lang w:val="hy-AM"/>
        </w:rPr>
        <w:t>202</w:t>
      </w:r>
      <w:r w:rsidRPr="0094799F">
        <w:rPr>
          <w:rFonts w:ascii="GHEA Grapalat" w:hAnsi="GHEA Grapalat" w:cs="GHEA Grapalat"/>
          <w:color w:val="000000"/>
        </w:rPr>
        <w:t>4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Pr="0094799F">
        <w:rPr>
          <w:rFonts w:ascii="GHEA Grapalat" w:hAnsi="GHEA Grapalat" w:cs="GHEA Grapalat"/>
          <w:color w:val="000000"/>
        </w:rPr>
        <w:t xml:space="preserve">հունվար-մայիս ամիսների </w:t>
      </w:r>
      <w:r w:rsidRPr="0094799F">
        <w:rPr>
          <w:rFonts w:ascii="GHEA Grapalat" w:hAnsi="GHEA Grapalat" w:cs="GHEA Grapalat"/>
          <w:color w:val="000000"/>
          <w:lang w:val="hy-AM"/>
        </w:rPr>
        <w:t>համեմատ</w:t>
      </w:r>
      <w:r w:rsidRPr="0094799F">
        <w:rPr>
          <w:rFonts w:ascii="GHEA Grapalat" w:hAnsi="GHEA Grapalat" w:cs="GHEA Grapalat"/>
          <w:color w:val="000000"/>
        </w:rPr>
        <w:t xml:space="preserve"> պետական բյուջեից տրամադրված սուբսիդիաների 9.2% (6.2 մլրդ դրամ) աճը հիմնականում պայմանավորված է հանրակրթության ծրագրի ծախսերի՝ 10.4% (4.5 մլրդ դրամ), տնտեսության արդիականացման միջոցառմանը պետական աջակցության ծախսերի՝ 30.3% (1.7 մլրդ դրամ), գյուղատնտեսության արդիականացման ծրագրի ծախսերի՝ 18.3% (1.5 մլրդ դրամ) և բնակարանների ու անհատական բնակելի տների էներգաարդյունավետ վերանորոգման աշխատանքների իրականացման միջոցառմանը պետական աջակցության ծախսերի 2.7 անգամ (1.4 մլրդ դրամ) աճով: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94799F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Pr="0094799F">
        <w:rPr>
          <w:rFonts w:ascii="GHEA Grapalat" w:hAnsi="GHEA Grapalat" w:cs="GHEA Grapalat"/>
          <w:color w:val="000000"/>
        </w:rPr>
        <w:t>հունվար-մայիս ամիսների համեմատ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պետական բյուջեից տրամադրված դրամաշնորհների</w:t>
      </w:r>
      <w:r w:rsidRPr="0094799F">
        <w:rPr>
          <w:rFonts w:ascii="GHEA Grapalat" w:hAnsi="GHEA Grapalat" w:cs="GHEA Grapalat"/>
          <w:color w:val="000000"/>
        </w:rPr>
        <w:t xml:space="preserve"> 2.6% (2.8 մլրդ դրամ)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</w:t>
      </w:r>
      <w:r w:rsidRPr="0094799F">
        <w:rPr>
          <w:rFonts w:ascii="GHEA Grapalat" w:hAnsi="GHEA Grapalat" w:cs="GHEA Grapalat"/>
          <w:color w:val="000000"/>
        </w:rPr>
        <w:t>աճը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հիմնականում </w:t>
      </w:r>
      <w:r w:rsidRPr="0094799F">
        <w:rPr>
          <w:rFonts w:ascii="GHEA Grapalat" w:hAnsi="GHEA Grapalat" w:cs="GHEA Grapalat"/>
          <w:color w:val="000000"/>
        </w:rPr>
        <w:t>պայմանավորված է պետական բյուջեից համայնքների բյուջեներին համահարթեցման սկզբունքով տրվող դոտացիաների՝ 15.1% (5.4 մլրդ դրամ), ՀՀ պաշտպանության ժամանակ զինծառայողների կյանքին կամ առողջությանը պատճառված վնասների հատուցման ծախսերի՝ 9.8% (1.9 մլրդ դրամ)</w:t>
      </w:r>
      <w:r w:rsidR="008C538C" w:rsidRPr="0094799F">
        <w:rPr>
          <w:rFonts w:ascii="GHEA Grapalat" w:hAnsi="GHEA Grapalat" w:cs="GHEA Grapalat"/>
          <w:color w:val="000000"/>
        </w:rPr>
        <w:t>, տեղեկատվական տեխնոլոգիաների ոլորտում գործունեություն իրականացնող առևտրային կազմակերպություններին և անհատ ձեռնարկատերերին պետական աջակցության 2.4 անգամ (1.8 մլրդ դրամ)</w:t>
      </w:r>
      <w:r w:rsidR="008C538C" w:rsidRPr="0094799F">
        <w:rPr>
          <w:rFonts w:ascii="GHEA Grapalat" w:hAnsi="GHEA Grapalat" w:cs="GHEA Grapalat"/>
          <w:color w:val="000000"/>
          <w:lang w:val="hy-AM"/>
        </w:rPr>
        <w:t>,</w:t>
      </w:r>
      <w:r w:rsidR="008C538C" w:rsidRPr="0094799F">
        <w:rPr>
          <w:rFonts w:ascii="GHEA Grapalat" w:hAnsi="GHEA Grapalat" w:cs="GHEA Grapalat"/>
          <w:color w:val="000000"/>
        </w:rPr>
        <w:t xml:space="preserve"> </w:t>
      </w:r>
      <w:r w:rsidR="008C538C" w:rsidRPr="0094799F">
        <w:rPr>
          <w:rFonts w:ascii="GHEA Grapalat" w:hAnsi="GHEA Grapalat" w:cs="GHEA Grapalat"/>
          <w:color w:val="000000"/>
          <w:lang w:val="hy-AM"/>
        </w:rPr>
        <w:t>ինչպես նա</w:t>
      </w:r>
      <w:r w:rsidR="008C538C" w:rsidRPr="0094799F">
        <w:rPr>
          <w:rFonts w:ascii="GHEA Grapalat" w:hAnsi="GHEA Grapalat" w:cs="GHEA Grapalat"/>
          <w:color w:val="000000"/>
        </w:rPr>
        <w:t>և</w:t>
      </w:r>
      <w:r w:rsidRPr="0094799F">
        <w:rPr>
          <w:rFonts w:ascii="GHEA Grapalat" w:hAnsi="GHEA Grapalat" w:cs="GHEA Grapalat"/>
          <w:color w:val="000000"/>
          <w:lang w:val="hy-AM"/>
        </w:rPr>
        <w:t xml:space="preserve"> Գիտական և գիտատեխնիկական հետազոտությունների ծրագրի շրջանակներում կատարված</w:t>
      </w:r>
      <w:r w:rsidRPr="0094799F">
        <w:rPr>
          <w:rFonts w:ascii="GHEA Grapalat" w:hAnsi="GHEA Grapalat" w:cs="GHEA Grapalat"/>
          <w:color w:val="000000"/>
        </w:rPr>
        <w:t xml:space="preserve"> ծախսերի 9.5% (0.7 մլրդ դրամ) աճով: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94799F">
        <w:rPr>
          <w:rFonts w:ascii="GHEA Grapalat" w:hAnsi="GHEA Grapalat" w:cs="GHEA Grapalat"/>
          <w:color w:val="000000"/>
        </w:rPr>
        <w:t xml:space="preserve">Միևնույն ժամանակ, զգալի անկում է արձանագրվել պետական հատվածի այլ մակարդակներին տրամադրվող կապիտալ դրամաշնորհների գծով՝ հիմնականում պայմանավորված ենթակառուցվածքների զարգացման նպատակով մարզերին տրամադրված սուբվենցիաների նվազմամբ: </w:t>
      </w:r>
    </w:p>
    <w:p w:rsidR="00E16DDE" w:rsidRPr="0094799F" w:rsidRDefault="00E16DDE" w:rsidP="0094799F">
      <w:pPr>
        <w:ind w:firstLine="567"/>
        <w:jc w:val="both"/>
        <w:rPr>
          <w:rFonts w:ascii="GHEA Grapalat" w:hAnsi="GHEA Grapalat" w:cs="GHEA Grapalat"/>
          <w:color w:val="000000"/>
        </w:rPr>
      </w:pPr>
    </w:p>
    <w:p w:rsidR="00E16DDE" w:rsidRPr="0094799F" w:rsidRDefault="00E16DDE" w:rsidP="0094799F">
      <w:pPr>
        <w:ind w:firstLine="567"/>
        <w:jc w:val="both"/>
        <w:rPr>
          <w:rFonts w:ascii="GHEA Grapalat" w:hAnsi="GHEA Grapalat" w:cs="GHEA Grapalat"/>
          <w:color w:val="000000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դրամաշնորհները (մլրդ դրամ)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418"/>
        <w:gridCol w:w="1417"/>
        <w:gridCol w:w="1613"/>
      </w:tblGrid>
      <w:tr w:rsidR="00E16DDE" w:rsidRPr="0094799F" w:rsidTr="00E16DDE">
        <w:trPr>
          <w:trHeight w:val="1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հունվար-մայիսը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E16DDE" w:rsidRPr="0094799F" w:rsidTr="00E16D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Դրամաշնորհներ,</w:t>
            </w:r>
            <w:r w:rsidRPr="0094799F"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107.7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159.2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102.6</w:t>
            </w:r>
          </w:p>
        </w:tc>
      </w:tr>
      <w:tr w:rsidR="00E16DDE" w:rsidRPr="0094799F" w:rsidTr="00E16D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 xml:space="preserve"> Միջազգային կազմակերպու-թյուններին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87.2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88.2</w:t>
            </w:r>
          </w:p>
        </w:tc>
      </w:tr>
      <w:tr w:rsidR="00E16DDE" w:rsidRPr="0094799F" w:rsidTr="00E16D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 xml:space="preserve"> Պետական հատվածի այլ մակարդակներին (ընթացիկ), այդ թվում`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95.7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143.5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104.6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72.9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109.2</w:t>
            </w:r>
          </w:p>
        </w:tc>
      </w:tr>
      <w:tr w:rsidR="00E16DDE" w:rsidRPr="0094799F" w:rsidTr="00E16D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- </w:t>
            </w:r>
            <w:r w:rsidRPr="0094799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Համայնքների բյուջեներին համահարթեցման սկզբուն</w:t>
            </w:r>
            <w:r w:rsidRPr="0094799F">
              <w:rPr>
                <w:rFonts w:ascii="GHEA Grapalat" w:eastAsia="Times New Roman" w:hAnsi="GHEA Grapalat" w:cs="Calibri"/>
                <w:sz w:val="20"/>
                <w:szCs w:val="20"/>
              </w:rPr>
              <w:t>-</w:t>
            </w:r>
            <w:r w:rsidRPr="0094799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քով տրվող դոտացիաներ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83.3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115.1</w:t>
            </w:r>
          </w:p>
        </w:tc>
      </w:tr>
      <w:tr w:rsidR="00E16DDE" w:rsidRPr="0094799F" w:rsidTr="00E16D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/>
                <w:sz w:val="20"/>
                <w:szCs w:val="20"/>
              </w:rPr>
            </w:pPr>
            <w:r w:rsidRPr="0094799F">
              <w:rPr>
                <w:rFonts w:ascii="GHEA Grapalat" w:hAnsi="GHEA Grapalat"/>
                <w:sz w:val="20"/>
                <w:szCs w:val="20"/>
              </w:rPr>
              <w:t>Պետական հատվածի այլ մակարդակներին (կապիտալ)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29.5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40.7</w:t>
            </w:r>
          </w:p>
        </w:tc>
      </w:tr>
    </w:tbl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94799F">
        <w:rPr>
          <w:rFonts w:ascii="GHEA Grapalat" w:hAnsi="GHEA Grapalat" w:cs="GHEA Grapalat"/>
          <w:color w:val="000000"/>
        </w:rPr>
        <w:t>Նախորդ տարվա նույն ժամանակա</w:t>
      </w:r>
      <w:r w:rsidRPr="0094799F">
        <w:rPr>
          <w:rFonts w:ascii="GHEA Grapalat" w:hAnsi="GHEA Grapalat" w:cs="GHEA Grapalat"/>
          <w:color w:val="000000"/>
          <w:lang w:val="hy-AM"/>
        </w:rPr>
        <w:t>հատված</w:t>
      </w:r>
      <w:r w:rsidRPr="0094799F">
        <w:rPr>
          <w:rFonts w:ascii="GHEA Grapalat" w:hAnsi="GHEA Grapalat" w:cs="GHEA Grapalat"/>
          <w:color w:val="000000"/>
        </w:rPr>
        <w:t>ի համեմատ սոցիալական նպաստների և կենսաթոշակների գծով ծախսերի 10.1% (շուրջ 40.8 մլրդ դրամ) աճը հիմնականում պայմանավորված է հիպոտեկային վարկի վճարված տոկոսների գումարների վերադարձի՝ 34.7% (11.6 մլրդ դրամ), կուտակային կենսաթոշակային համակարգի մասնակիցների կենսաթոշակային հաշիվներին հատկացումների՝ 15.9% (11.5 մլրդ դրամ), ընտանիքում 3 և ավելի երեխա ունեցող ընտանիքներին դրամական աջակցության՝ 45.8% (6.4 մլրդ դրամ), սոցիալապես անապահով և առանձին խմբերի անձանց բժշկական օգնության ծախսերի՝ 28.3% (3.5 մլրդ դրամ) և անկանխիկ եղանակով վճարումներից կենսաթոշակառուներին հետվճարի տրամադրման ծախսերի 83% (2.8 մլրդ դրամ) աճով: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նպաստները և կենսաթոշակները (մլրդ դրամ)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417"/>
        <w:gridCol w:w="1701"/>
        <w:gridCol w:w="1598"/>
      </w:tblGrid>
      <w:tr w:rsidR="00E16DDE" w:rsidRPr="0094799F" w:rsidTr="00E16DDE">
        <w:trPr>
          <w:trHeight w:val="1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հունվար-մայիսը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E16DDE" w:rsidRPr="0094799F" w:rsidTr="00E16DDE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Courier New" w:hAnsi="Courier New" w:cs="Courier New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Սոցիալական նպաստներ և կենսաթոշակներ,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405.7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585.4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110.1</w:t>
            </w:r>
          </w:p>
        </w:tc>
      </w:tr>
      <w:tr w:rsidR="00E16DDE" w:rsidRPr="0094799F" w:rsidTr="00E16DDE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Նպաստներ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192.8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283.9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223.1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78.6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115.7</w:t>
            </w:r>
          </w:p>
        </w:tc>
      </w:tr>
      <w:tr w:rsidR="00E16DDE" w:rsidRPr="0094799F" w:rsidTr="00E16DDE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Կենսաթոշակներ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213.0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301.5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223.4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74.1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104.9</w:t>
            </w:r>
          </w:p>
        </w:tc>
      </w:tr>
    </w:tbl>
    <w:p w:rsidR="00E16DDE" w:rsidRPr="0094799F" w:rsidRDefault="00E16DDE" w:rsidP="0094799F">
      <w:pPr>
        <w:spacing w:line="360" w:lineRule="auto"/>
        <w:ind w:firstLine="567"/>
        <w:jc w:val="both"/>
      </w:pP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lang w:val="hy-AM"/>
        </w:rPr>
        <w:t xml:space="preserve">Նախորդ տարվա նույն ժամանակահատվածի համեմատ </w:t>
      </w:r>
      <w:r w:rsidRPr="0094799F">
        <w:rPr>
          <w:rFonts w:ascii="GHEA Grapalat" w:hAnsi="GHEA Grapalat" w:cs="GHEA Grapalat"/>
        </w:rPr>
        <w:t>կապիտալ ծախսեր</w:t>
      </w:r>
      <w:r w:rsidRPr="0094799F">
        <w:rPr>
          <w:rFonts w:ascii="GHEA Grapalat" w:hAnsi="GHEA Grapalat" w:cs="GHEA Grapalat"/>
          <w:lang w:val="hy-AM"/>
        </w:rPr>
        <w:t xml:space="preserve">ն </w:t>
      </w:r>
      <w:r w:rsidRPr="0094799F">
        <w:rPr>
          <w:rFonts w:ascii="GHEA Grapalat" w:hAnsi="GHEA Grapalat" w:cs="GHEA Grapalat"/>
          <w:color w:val="000000"/>
        </w:rPr>
        <w:t xml:space="preserve">աճել են 65.5%-ով (81.1 մլրդ դրամով)՝ պայմանավորված </w:t>
      </w:r>
      <w:r w:rsidR="00BB1E97" w:rsidRPr="0094799F">
        <w:rPr>
          <w:rFonts w:ascii="GHEA Grapalat" w:hAnsi="GHEA Grapalat" w:cs="GHEA Grapalat"/>
          <w:color w:val="000000"/>
        </w:rPr>
        <w:t xml:space="preserve">հիմնականում </w:t>
      </w:r>
      <w:r w:rsidRPr="0094799F">
        <w:rPr>
          <w:rFonts w:ascii="GHEA Grapalat" w:hAnsi="GHEA Grapalat" w:cs="GHEA Grapalat"/>
          <w:color w:val="000000"/>
        </w:rPr>
        <w:t>ներքին ռեսուրսների հաշվին իրականացված ծրագրերի շրջանակներում կատարված ծախսերի 76.4% (80.6 մլրդ դրամ) աճով: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lastRenderedPageBreak/>
        <w:t xml:space="preserve">Ոչ ֆինանսական ակտիվների օտարումից մուտքերը կազմել են 595.5 մլն դրամ՝ նախատեսված 6.8 մլրդ դրամի և նախորդ տարվա նույն ժամանակահատվածի 6.7 մլրդ դրամի դիմաց: </w:t>
      </w:r>
    </w:p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E16DDE" w:rsidRPr="0094799F" w:rsidRDefault="00E16DDE" w:rsidP="0094799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ոչ ֆինանսական ակտիվների հետ գործառնությունները (մլրդ դրամ)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275"/>
        <w:gridCol w:w="1418"/>
        <w:gridCol w:w="1417"/>
      </w:tblGrid>
      <w:tr w:rsidR="00E16DDE" w:rsidRPr="0094799F" w:rsidTr="00E16DDE">
        <w:trPr>
          <w:trHeight w:val="1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հունվար-մայիսը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E16DDE" w:rsidRPr="0094799F" w:rsidRDefault="00E16DDE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E16DDE" w:rsidRPr="0094799F" w:rsidTr="00E16DDE">
        <w:trPr>
          <w:trHeight w:val="6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Ոչ ֆինանսական ակտիվների հետ գործառնություններ, 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397.9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204.3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174.5</w:t>
            </w:r>
          </w:p>
        </w:tc>
      </w:tr>
      <w:tr w:rsidR="00E16DDE" w:rsidRPr="0094799F" w:rsidTr="00E16DDE">
        <w:trPr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գծով ծախսեր, 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404.7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204.9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50.6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165.5</w:t>
            </w:r>
          </w:p>
        </w:tc>
      </w:tr>
      <w:tr w:rsidR="00E16DDE" w:rsidRPr="0094799F" w:rsidTr="00E16DDE">
        <w:trPr>
          <w:trHeight w:val="2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ind w:left="28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շենքեր և շինություններ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113.9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370.8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195.0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52.6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171.2</w:t>
            </w:r>
          </w:p>
        </w:tc>
      </w:tr>
      <w:tr w:rsidR="00E16DDE" w:rsidRPr="0094799F" w:rsidTr="00E16DDE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ind w:left="28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մեքենաների և սարքավորումների ձեռք բերում, պահպանում և հիմնանորոգում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36.3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100.1</w:t>
            </w:r>
          </w:p>
        </w:tc>
      </w:tr>
      <w:tr w:rsidR="00E16DDE" w:rsidRPr="0094799F" w:rsidTr="00E16DDE">
        <w:trPr>
          <w:trHeight w:val="3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ind w:left="28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այլ հիմնական միջոցներ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98.0</w:t>
            </w:r>
          </w:p>
        </w:tc>
      </w:tr>
      <w:tr w:rsidR="00E16DDE" w:rsidRPr="0094799F" w:rsidTr="00E16DDE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օտարումից մուտքեր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(6.7)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(6.8)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(0.6)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DDE" w:rsidRPr="0094799F" w:rsidRDefault="00E16DDE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8.9</w:t>
            </w:r>
          </w:p>
        </w:tc>
      </w:tr>
    </w:tbl>
    <w:p w:rsidR="00E16DDE" w:rsidRPr="0094799F" w:rsidRDefault="00E16DDE" w:rsidP="0094799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821D9D" w:rsidRPr="0094799F" w:rsidRDefault="00821D9D" w:rsidP="0094799F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94799F">
        <w:rPr>
          <w:rFonts w:ascii="GHEA Grapalat" w:hAnsi="GHEA Grapalat" w:cs="GHEA Grapalat"/>
          <w:i/>
          <w:u w:val="single"/>
          <w:lang w:val="hy-AM"/>
        </w:rPr>
        <w:t>ՀՀ պետական բյուջեի պակասուրդը (հավելուրդը)</w:t>
      </w:r>
    </w:p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color w:val="000000"/>
          <w:lang w:val="hy-AM"/>
        </w:rPr>
        <w:t>2025 թվականի հունվար-մայիս ամիսներին ՀՀ պետական բյուջեն կատարվել է 23.2</w:t>
      </w:r>
      <w:r w:rsidRPr="0094799F">
        <w:rPr>
          <w:rFonts w:ascii="Calibri" w:hAnsi="Calibri" w:cs="Calibri"/>
          <w:color w:val="000000"/>
          <w:lang w:val="hy-AM"/>
        </w:rPr>
        <w:t> </w:t>
      </w:r>
      <w:r w:rsidRPr="0094799F">
        <w:rPr>
          <w:rFonts w:ascii="GHEA Grapalat" w:hAnsi="GHEA Grapalat" w:cs="GHEA Grapalat"/>
          <w:color w:val="000000"/>
          <w:lang w:val="hy-AM"/>
        </w:rPr>
        <w:t>մլրդ դրամ պակասուրդով՝</w:t>
      </w:r>
      <w:r w:rsidRPr="0094799F">
        <w:rPr>
          <w:rFonts w:ascii="GHEA Grapalat" w:hAnsi="GHEA Grapalat" w:cs="GHEA Grapalat"/>
          <w:lang w:val="hy-AM"/>
        </w:rPr>
        <w:t xml:space="preserve"> առաջին կիսամյակի համար ծրագրված 325.3 մլրդ դրամի և նախորդ տարվա նույն ժամանակահատվածի 64.5 մլն դրամի դիմաց: Բյուջեի պակասուրդի</w:t>
      </w:r>
      <w:r w:rsidR="005A4014" w:rsidRPr="0094799F">
        <w:rPr>
          <w:rFonts w:ascii="GHEA Grapalat" w:hAnsi="GHEA Grapalat" w:cs="GHEA Grapalat"/>
          <w:lang w:val="hy-AM"/>
        </w:rPr>
        <w:t>՝</w:t>
      </w:r>
      <w:r w:rsidRPr="0094799F">
        <w:rPr>
          <w:rFonts w:ascii="GHEA Grapalat" w:hAnsi="GHEA Grapalat" w:cs="GHEA Grapalat"/>
          <w:lang w:val="hy-AM"/>
        </w:rPr>
        <w:t xml:space="preserve"> կիսամյակային ծրագրի համեմատ ցածր մակարդակը հիմնականում պայմանավորված է ծախսերի համեմատ եկամուտների ավելի բարձր կատարողականով, որը հանգեցրել է ֆինանսավորման ներքին աղբյուրներում բյուջեի ազատ միջոցների աճի: Բացի այդ, ցածր ցուցանիշ է արձանագրվել արտաքին աղբյուրներից ստացվող վարկերի գծով, որոնք կազմել են 13.3 մլրդ դրամ կամ կիսամյակային ծրագրի 10.7%</w:t>
      </w:r>
      <w:r w:rsidRPr="0094799F">
        <w:rPr>
          <w:rFonts w:ascii="GHEA Grapalat" w:hAnsi="GHEA Grapalat" w:cs="GHEA Grapalat"/>
          <w:lang w:val="hy-AM"/>
        </w:rPr>
        <w:noBreakHyphen/>
        <w:t>ը:</w:t>
      </w:r>
    </w:p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 xml:space="preserve">Հաշվետու ժամանակահատվածում ֆինանսավորման ներքին աղբյուրներից փոխառու միջոցների հաշվին պետական բյուջեի պակասուրդի ֆինանսավորումն ապահովվել է գանձապետական պարտատոմսերի տեղաբաշխումից զուտ մուտքերի հաշվին, որոնք կազմել </w:t>
      </w:r>
      <w:r w:rsidRPr="0094799F">
        <w:rPr>
          <w:rFonts w:ascii="GHEA Grapalat" w:hAnsi="GHEA Grapalat" w:cs="GHEA Grapalat"/>
          <w:lang w:val="hy-AM"/>
        </w:rPr>
        <w:lastRenderedPageBreak/>
        <w:t>են 85.4 մլրդ դրամ և 2.4 անգամ գերազանցել կիսամյակային ծրագիրը: Վերջինս պայմանավորված է գանձապետական պարտատոմսերի լրացուցիչ տեղաբաշխմամբ՝ տարեկան թողարկումների ծրագրի կատարման ռիսկերի մեղմման և ֆինանսավորումը հարթ ու առանց ցնցումների ապահովելու նպատակով:</w:t>
      </w:r>
    </w:p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 xml:space="preserve">2025 թվականի հունվար-մայիս ամիսների ընթացքում ներքին աղբյուրներից ֆինանսական զուտ ակտիվների հաշվին բյուջեի պակասուրդի ֆինանսավորումը կազմել է </w:t>
      </w:r>
      <w:r w:rsidRPr="0094799F">
        <w:rPr>
          <w:rFonts w:ascii="GHEA Grapalat" w:hAnsi="GHEA Grapalat" w:cs="GHEA Grapalat"/>
          <w:lang w:val="hy-AM"/>
        </w:rPr>
        <w:noBreakHyphen/>
        <w:t>164.6 մլրդ դրամ` առաջին կիսամյակում ծրագրված 103.1 մլրդ դրամի դիմաց, որը հիմնականում պայմանավորված է ֆինանսավորման ներքին աղբյուրներում բյուջեի ազատ միջոցների՝ առաջին կիսամյակում նախատեսված 213.6</w:t>
      </w:r>
      <w:r w:rsidRPr="0094799F">
        <w:rPr>
          <w:rFonts w:ascii="Calibri" w:hAnsi="Calibri" w:cs="Calibri"/>
          <w:lang w:val="hy-AM"/>
        </w:rPr>
        <w:t> </w:t>
      </w:r>
      <w:r w:rsidRPr="0094799F">
        <w:rPr>
          <w:rFonts w:ascii="GHEA Grapalat" w:hAnsi="GHEA Grapalat" w:cs="GHEA Grapalat"/>
          <w:lang w:val="hy-AM"/>
        </w:rPr>
        <w:t xml:space="preserve">մլրդ դրամ օգտագործման փոխարեն 168.5 մլրդ դրամ աճով, որից 164 մլրդ դրամն ավելացել է արտարժութային պարտատոմսերի թողարկումից զուտ մուտքի հաշվին: Կիսամյակային ծրագրով նախատեսվել է 18.6 մլրդ դրամ վարկերի տրամադրում ՀՀ ռեզիդենտներին, որի դիմաց հաշվետու ժամանակահատվածում տրամադրվել է 1.3 մլրդ դրամ, որից 866.5 մլն դրամը ներքին ռեսուրսների հաշվին տրամադրվել է «Հայփոստ» ՓԲԸ-ին: Արտաքին աջակցությամբ իրականացվող ծրագրերի շրջանակներում հաշվետու ժամանակահատվածում տրամադրվել են 425 մլն դրամի վարկեր, որից 287.4 մլն դրամը՝ Էլեկտրաէներգետիկ համակարգի զարգացման, </w:t>
      </w:r>
      <w:r w:rsidR="00F14ADD" w:rsidRPr="0094799F">
        <w:rPr>
          <w:rFonts w:ascii="GHEA Grapalat" w:hAnsi="GHEA Grapalat" w:cs="GHEA Grapalat"/>
          <w:lang w:val="hy-AM"/>
        </w:rPr>
        <w:t>137.7</w:t>
      </w:r>
      <w:r w:rsidR="00F14ADD" w:rsidRPr="0094799F">
        <w:rPr>
          <w:rFonts w:ascii="Calibri" w:hAnsi="Calibri" w:cs="Calibri"/>
          <w:lang w:val="hy-AM"/>
        </w:rPr>
        <w:t> </w:t>
      </w:r>
      <w:r w:rsidRPr="0094799F">
        <w:rPr>
          <w:rFonts w:ascii="GHEA Grapalat" w:hAnsi="GHEA Grapalat" w:cs="GHEA Grapalat"/>
          <w:lang w:val="hy-AM"/>
        </w:rPr>
        <w:t>մլն դրամը՝ Քաղաքային զարգացման ծրագր</w:t>
      </w:r>
      <w:r w:rsidR="00705087" w:rsidRPr="0094799F">
        <w:rPr>
          <w:rFonts w:ascii="GHEA Grapalat" w:hAnsi="GHEA Grapalat" w:cs="GHEA Grapalat"/>
          <w:lang w:val="hy-AM"/>
        </w:rPr>
        <w:t>եր</w:t>
      </w:r>
      <w:r w:rsidRPr="0094799F">
        <w:rPr>
          <w:rFonts w:ascii="GHEA Grapalat" w:hAnsi="GHEA Grapalat" w:cs="GHEA Grapalat"/>
          <w:lang w:val="hy-AM"/>
        </w:rPr>
        <w:t>ի շրջանակներում: Նախկինում պետական բյուջեից ռեզիդենտներին տրամադրված վարկերից վերադարձվել է 8.8 մլրդ դրամ՝ առաջին կիսամյակում ծրագրված 14.6</w:t>
      </w:r>
      <w:r w:rsidRPr="0094799F">
        <w:rPr>
          <w:rFonts w:ascii="Calibri" w:hAnsi="Calibri" w:cs="Calibri"/>
          <w:lang w:val="hy-AM"/>
        </w:rPr>
        <w:t> </w:t>
      </w:r>
      <w:r w:rsidRPr="0094799F">
        <w:rPr>
          <w:rFonts w:ascii="GHEA Grapalat" w:hAnsi="GHEA Grapalat" w:cs="GHEA Grapalat"/>
          <w:lang w:val="hy-AM"/>
        </w:rPr>
        <w:t xml:space="preserve">մլրդ դրամի դիմաց: </w:t>
      </w:r>
    </w:p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821D9D" w:rsidRPr="0094799F" w:rsidRDefault="00821D9D" w:rsidP="0094799F">
      <w:pPr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/>
          <w:sz w:val="20"/>
          <w:szCs w:val="20"/>
          <w:lang w:val="hy-AM"/>
        </w:rPr>
        <w:t>ՀՀ պետական բյուջեի պակասուրդի ֆինանսավորման աղբյուրները (մլրդ դրամ)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1276"/>
        <w:gridCol w:w="1559"/>
        <w:gridCol w:w="1417"/>
      </w:tblGrid>
      <w:tr w:rsidR="00821D9D" w:rsidRPr="0094799F" w:rsidTr="00FB6FA9">
        <w:trPr>
          <w:trHeight w:val="1738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821D9D" w:rsidRPr="0094799F" w:rsidRDefault="00821D9D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5" w:type="dxa"/>
          </w:tcPr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shd w:val="clear" w:color="000000" w:fill="FFFFFF"/>
            <w:hideMark/>
          </w:tcPr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276" w:type="dxa"/>
            <w:shd w:val="clear" w:color="000000" w:fill="FFFFFF"/>
            <w:hideMark/>
          </w:tcPr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559" w:type="dxa"/>
            <w:shd w:val="clear" w:color="000000" w:fill="FFFFFF"/>
            <w:hideMark/>
          </w:tcPr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կիսամյակի ճշտված պլանի նկատմամբ </w:t>
            </w:r>
          </w:p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shd w:val="clear" w:color="000000" w:fill="FFFFFF"/>
          </w:tcPr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հունվար-մայիսը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հունվար-մայիսի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821D9D" w:rsidRPr="0094799F" w:rsidTr="00FB6FA9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821D9D" w:rsidRPr="0094799F" w:rsidRDefault="00821D9D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Դեֆիցիտ </w:t>
            </w: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(</w:t>
            </w: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հավելուրդ</w:t>
            </w: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)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,</w:t>
            </w: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0.1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325.3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23.2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7.1</w:t>
            </w:r>
          </w:p>
        </w:tc>
        <w:tc>
          <w:tcPr>
            <w:tcW w:w="1417" w:type="dxa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35,955.6</w:t>
            </w:r>
          </w:p>
        </w:tc>
      </w:tr>
      <w:tr w:rsidR="00821D9D" w:rsidRPr="0094799F" w:rsidTr="00FB6FA9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821D9D" w:rsidRPr="0094799F" w:rsidRDefault="00821D9D" w:rsidP="0094799F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t>Ներքին աղբյուրներ, այդ թվում`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60.9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139.0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79.2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57.0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(130.0)</w:t>
            </w:r>
          </w:p>
        </w:tc>
      </w:tr>
      <w:tr w:rsidR="00821D9D" w:rsidRPr="0094799F" w:rsidTr="00FB6FA9">
        <w:trPr>
          <w:trHeight w:val="310"/>
        </w:trPr>
        <w:tc>
          <w:tcPr>
            <w:tcW w:w="3256" w:type="dxa"/>
            <w:shd w:val="clear" w:color="auto" w:fill="auto"/>
            <w:vAlign w:val="bottom"/>
          </w:tcPr>
          <w:p w:rsidR="00821D9D" w:rsidRPr="0094799F" w:rsidRDefault="00821D9D" w:rsidP="0094799F">
            <w:pPr>
              <w:ind w:left="170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Փոխառու </w:t>
            </w:r>
            <w:r w:rsidRPr="0094799F">
              <w:rPr>
                <w:rFonts w:ascii="GHEA Grapalat" w:eastAsia="Calibri" w:hAnsi="GHEA Grapalat" w:cs="Calibri"/>
                <w:sz w:val="20"/>
                <w:szCs w:val="20"/>
              </w:rPr>
              <w:t xml:space="preserve">զուտ </w:t>
            </w:r>
            <w:r w:rsidRPr="0094799F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98.3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36.0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85.4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237.5</w:t>
            </w:r>
          </w:p>
        </w:tc>
        <w:tc>
          <w:tcPr>
            <w:tcW w:w="1417" w:type="dxa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86.9</w:t>
            </w:r>
          </w:p>
        </w:tc>
      </w:tr>
      <w:tr w:rsidR="00821D9D" w:rsidRPr="0094799F" w:rsidTr="00FB6FA9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821D9D" w:rsidRPr="0094799F" w:rsidRDefault="00821D9D" w:rsidP="0094799F">
            <w:pPr>
              <w:ind w:left="170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37.4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103.1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164.6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159.6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440.4</w:t>
            </w:r>
          </w:p>
        </w:tc>
      </w:tr>
      <w:tr w:rsidR="00821D9D" w:rsidRPr="0094799F" w:rsidTr="00FB6FA9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821D9D" w:rsidRPr="0094799F" w:rsidRDefault="00821D9D" w:rsidP="0094799F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Արտաքին աղբյուրներ, այդ թվում`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60.8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186.2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102.4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55.0</w:t>
            </w:r>
          </w:p>
        </w:tc>
        <w:tc>
          <w:tcPr>
            <w:tcW w:w="1417" w:type="dxa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168.3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)</w:t>
            </w:r>
          </w:p>
        </w:tc>
      </w:tr>
      <w:tr w:rsidR="00821D9D" w:rsidRPr="0094799F" w:rsidTr="00FB6FA9">
        <w:trPr>
          <w:trHeight w:val="328"/>
        </w:trPr>
        <w:tc>
          <w:tcPr>
            <w:tcW w:w="3256" w:type="dxa"/>
            <w:shd w:val="clear" w:color="auto" w:fill="auto"/>
            <w:vAlign w:val="bottom"/>
          </w:tcPr>
          <w:p w:rsidR="00821D9D" w:rsidRPr="0094799F" w:rsidRDefault="00821D9D" w:rsidP="0094799F">
            <w:pPr>
              <w:ind w:left="170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Փոխառու զուտ միջոցներ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56.5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188.1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101.2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53.8</w:t>
            </w:r>
          </w:p>
        </w:tc>
        <w:tc>
          <w:tcPr>
            <w:tcW w:w="1417" w:type="dxa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179.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)</w:t>
            </w:r>
          </w:p>
        </w:tc>
      </w:tr>
      <w:tr w:rsidR="00821D9D" w:rsidRPr="0094799F" w:rsidTr="00FB6FA9">
        <w:trPr>
          <w:trHeight w:val="377"/>
        </w:trPr>
        <w:tc>
          <w:tcPr>
            <w:tcW w:w="3256" w:type="dxa"/>
            <w:shd w:val="clear" w:color="auto" w:fill="auto"/>
            <w:vAlign w:val="bottom"/>
          </w:tcPr>
          <w:p w:rsidR="00821D9D" w:rsidRPr="0094799F" w:rsidRDefault="00821D9D" w:rsidP="0094799F">
            <w:pPr>
              <w:ind w:left="170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4.3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1.9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64.5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27.9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</w:tr>
    </w:tbl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>Հաշվետու ժամանակահատվածում արտաքին աղբյուրներից փոխառու զուտ միջոցների հաշվին ֆինանսավորումը կազմել է 101.2 մլրդ դրամ, որը հիմնականում</w:t>
      </w:r>
      <w:r w:rsidRPr="0094799F">
        <w:rPr>
          <w:rFonts w:ascii="GHEA Grapalat" w:hAnsi="GHEA Grapalat" w:cs="GHEA Grapalat"/>
        </w:rPr>
        <w:t xml:space="preserve"> ապահովվել է</w:t>
      </w:r>
      <w:r w:rsidRPr="0094799F">
        <w:rPr>
          <w:rFonts w:ascii="GHEA Grapalat" w:hAnsi="GHEA Grapalat" w:cs="GHEA Grapalat"/>
          <w:lang w:val="hy-AM"/>
        </w:rPr>
        <w:t xml:space="preserve"> արտարժութային պարտատոմսերի թողարկման հաշվին: Հաշվետու ժամանակահատվածում թողարկվել է 287.4 մլրդ դրամի արտարժութային պարտատոմս, որից 123.4 մլրդ դրամն ուղղվել է նախկինում թողարկված արտարժութային պարտատոմսերի մարմանը՝ </w:t>
      </w:r>
      <w:r w:rsidRPr="0094799F">
        <w:rPr>
          <w:rFonts w:ascii="GHEA Grapalat" w:hAnsi="GHEA Grapalat" w:cs="GHEA Grapalat"/>
        </w:rPr>
        <w:t>100</w:t>
      </w:r>
      <w:r w:rsidRPr="0094799F">
        <w:rPr>
          <w:rFonts w:ascii="GHEA Grapalat" w:hAnsi="GHEA Grapalat" w:cs="GHEA Grapalat"/>
          <w:lang w:val="hy-AM"/>
        </w:rPr>
        <w:t>%-ով ապահովելով կիսամյակի ծրագրային ցուցանիշը:</w:t>
      </w:r>
    </w:p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>Արտաքին վարկատուների աջակցությամբ իրականացվող նպատակային վարկային ծրագրերի շրջանակներում ստացված միջոցների հաշվին ֆինանսավորումը հաշվետու ժամանակահատվածում կազմել է 13.3</w:t>
      </w:r>
      <w:r w:rsidRPr="0094799F">
        <w:rPr>
          <w:rFonts w:ascii="Calibri" w:hAnsi="Calibri" w:cs="Calibri"/>
          <w:lang w:val="hy-AM"/>
        </w:rPr>
        <w:t> </w:t>
      </w:r>
      <w:r w:rsidRPr="0094799F">
        <w:rPr>
          <w:rFonts w:ascii="GHEA Grapalat" w:hAnsi="GHEA Grapalat" w:cs="GHEA Grapalat"/>
          <w:lang w:val="hy-AM"/>
        </w:rPr>
        <w:t>մլրդ դրամ կամ առաջին կիսամյակի ծրագրված ցուցանիշի 10.7%-ը:</w:t>
      </w:r>
    </w:p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821D9D" w:rsidRPr="0094799F" w:rsidRDefault="00821D9D" w:rsidP="0094799F">
      <w:pPr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94799F">
        <w:rPr>
          <w:rFonts w:ascii="GHEA Grapalat" w:hAnsi="GHEA Grapalat"/>
          <w:b/>
          <w:bCs/>
          <w:i/>
          <w:sz w:val="20"/>
          <w:szCs w:val="20"/>
          <w:lang w:val="hy-AM"/>
        </w:rPr>
        <w:t>Արտաքին աղբյուրներից նպատակային վարկերի ստացում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2126"/>
      </w:tblGrid>
      <w:tr w:rsidR="00821D9D" w:rsidRPr="0094799F" w:rsidTr="00FB6FA9">
        <w:trPr>
          <w:trHeight w:val="1054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821D9D" w:rsidRPr="0094799F" w:rsidRDefault="00821D9D" w:rsidP="0094799F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կիսամյակի ճշտված պլան</w:t>
            </w:r>
          </w:p>
        </w:tc>
        <w:tc>
          <w:tcPr>
            <w:tcW w:w="1559" w:type="dxa"/>
            <w:shd w:val="clear" w:color="000000" w:fill="FFFFFF"/>
            <w:hideMark/>
          </w:tcPr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հունվար-մայիս ամիսների </w:t>
            </w: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2126" w:type="dxa"/>
            <w:shd w:val="clear" w:color="000000" w:fill="FFFFFF"/>
            <w:hideMark/>
          </w:tcPr>
          <w:p w:rsidR="00821D9D" w:rsidRPr="0094799F" w:rsidRDefault="00821D9D" w:rsidP="0094799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Կատարողականն առաջին կիսամյակի ճշտված պլանի նկատմամբ (%)</w:t>
            </w:r>
          </w:p>
        </w:tc>
      </w:tr>
      <w:tr w:rsidR="00821D9D" w:rsidRPr="0094799F" w:rsidTr="00FB6FA9">
        <w:trPr>
          <w:trHeight w:val="377"/>
        </w:trPr>
        <w:tc>
          <w:tcPr>
            <w:tcW w:w="4820" w:type="dxa"/>
            <w:shd w:val="clear" w:color="auto" w:fill="auto"/>
            <w:vAlign w:val="bottom"/>
          </w:tcPr>
          <w:p w:rsidR="00821D9D" w:rsidRPr="0094799F" w:rsidRDefault="00821D9D" w:rsidP="0094799F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Նպատակային վարկերի ստացում</w:t>
            </w:r>
            <w:r w:rsidRPr="0094799F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,</w:t>
            </w:r>
          </w:p>
          <w:p w:rsidR="00821D9D" w:rsidRPr="0094799F" w:rsidRDefault="00821D9D" w:rsidP="0094799F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թվում`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124.0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13.3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10.7</w:t>
            </w:r>
          </w:p>
        </w:tc>
      </w:tr>
      <w:tr w:rsidR="00821D9D" w:rsidRPr="0094799F" w:rsidTr="00FB6FA9">
        <w:trPr>
          <w:trHeight w:val="335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</w:rPr>
              <w:t xml:space="preserve"> Միջազգային կազմակերպություններից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</w:rPr>
              <w:t>112.3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12.4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11.0</w:t>
            </w:r>
          </w:p>
        </w:tc>
      </w:tr>
      <w:tr w:rsidR="00821D9D" w:rsidRPr="0094799F" w:rsidTr="00FB6FA9">
        <w:trPr>
          <w:trHeight w:val="321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Համաշխարհային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6.2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1.1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17.5</w:t>
            </w:r>
          </w:p>
        </w:tc>
      </w:tr>
      <w:tr w:rsidR="00821D9D" w:rsidRPr="0094799F" w:rsidTr="00FB6FA9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Վերակառուցման և զարգացման եվրոպական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1.2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97.1</w:t>
            </w:r>
          </w:p>
        </w:tc>
      </w:tr>
      <w:tr w:rsidR="00821D9D" w:rsidRPr="0094799F" w:rsidTr="00FB6FA9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Եվրոպական ներդրումային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2.9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821D9D" w:rsidRPr="0094799F" w:rsidTr="00FB6FA9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Ասիական զարգացման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9.0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4.2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47.0</w:t>
            </w:r>
          </w:p>
        </w:tc>
      </w:tr>
      <w:tr w:rsidR="00821D9D" w:rsidRPr="0094799F" w:rsidTr="00FB6FA9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Եվրասիական զարգացման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7.6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5.8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77.1</w:t>
            </w:r>
          </w:p>
        </w:tc>
      </w:tr>
      <w:tr w:rsidR="00821D9D" w:rsidRPr="0094799F" w:rsidTr="00FB6FA9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ind w:left="113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85.3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821D9D" w:rsidRPr="0094799F" w:rsidTr="00FB6FA9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</w:rPr>
              <w:t xml:space="preserve"> Օտարերկրյա պետություններից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</w:rPr>
              <w:t>11.8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</w:rPr>
              <w:t>0.9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b/>
                <w:sz w:val="20"/>
                <w:szCs w:val="20"/>
              </w:rPr>
              <w:t>7.7</w:t>
            </w:r>
          </w:p>
        </w:tc>
      </w:tr>
      <w:tr w:rsidR="00821D9D" w:rsidRPr="0094799F" w:rsidTr="00FB6FA9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Գերմանիա (Վերականգնման վարկերի բանկ)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10.3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4.8</w:t>
            </w:r>
          </w:p>
        </w:tc>
      </w:tr>
      <w:tr w:rsidR="00821D9D" w:rsidRPr="0094799F" w:rsidTr="00FB6FA9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ind w:left="113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 xml:space="preserve"> Ֆրանսիա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0.</w:t>
            </w:r>
            <w:r w:rsidRPr="0094799F">
              <w:rPr>
                <w:rFonts w:ascii="GHEA Grapalat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21D9D" w:rsidRPr="0094799F" w:rsidRDefault="00821D9D" w:rsidP="0094799F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94799F">
              <w:rPr>
                <w:rFonts w:ascii="GHEA Grapalat" w:hAnsi="GHEA Grapalat" w:cs="Calibri"/>
                <w:sz w:val="20"/>
                <w:szCs w:val="20"/>
              </w:rPr>
              <w:t>29.0</w:t>
            </w:r>
          </w:p>
        </w:tc>
      </w:tr>
    </w:tbl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821D9D" w:rsidRPr="0094799F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</w:rPr>
        <w:t>2025 թվականի հունվար-</w:t>
      </w:r>
      <w:r w:rsidRPr="0094799F">
        <w:rPr>
          <w:rFonts w:ascii="GHEA Grapalat" w:hAnsi="GHEA Grapalat" w:cs="GHEA Grapalat"/>
          <w:lang w:val="hy-AM"/>
        </w:rPr>
        <w:t>մայիս</w:t>
      </w:r>
      <w:r w:rsidRPr="0094799F">
        <w:rPr>
          <w:rFonts w:ascii="GHEA Grapalat" w:hAnsi="GHEA Grapalat" w:cs="GHEA Grapalat"/>
        </w:rPr>
        <w:t xml:space="preserve"> ամիսներին արտաքին զուտ փոխառու միջոցներում </w:t>
      </w:r>
      <w:r w:rsidRPr="0094799F">
        <w:rPr>
          <w:rFonts w:ascii="GHEA Grapalat" w:hAnsi="GHEA Grapalat" w:cs="GHEA Grapalat"/>
          <w:lang w:val="hy-AM"/>
        </w:rPr>
        <w:t>76.1</w:t>
      </w:r>
      <w:r w:rsidRPr="0094799F">
        <w:rPr>
          <w:rFonts w:ascii="Calibri" w:hAnsi="Calibri" w:cs="Calibri"/>
        </w:rPr>
        <w:t> </w:t>
      </w:r>
      <w:r w:rsidRPr="0094799F">
        <w:rPr>
          <w:rFonts w:ascii="GHEA Grapalat" w:hAnsi="GHEA Grapalat" w:cs="GHEA Grapalat"/>
          <w:lang w:val="hy-AM"/>
        </w:rPr>
        <w:t xml:space="preserve">մլրդ դրամ ուղղվել է արտաքին վարկերի մարմանը՝ կազմելով </w:t>
      </w:r>
      <w:r w:rsidRPr="0094799F">
        <w:rPr>
          <w:rFonts w:ascii="GHEA Grapalat" w:hAnsi="GHEA Grapalat" w:cs="GHEA Grapalat"/>
        </w:rPr>
        <w:t xml:space="preserve">կիսամյակային </w:t>
      </w:r>
      <w:r w:rsidRPr="0094799F">
        <w:rPr>
          <w:rFonts w:ascii="GHEA Grapalat" w:hAnsi="GHEA Grapalat" w:cs="GHEA Grapalat"/>
          <w:lang w:val="hy-AM"/>
        </w:rPr>
        <w:t xml:space="preserve">ծրագրի </w:t>
      </w:r>
      <w:r w:rsidRPr="0094799F">
        <w:rPr>
          <w:rFonts w:ascii="GHEA Grapalat" w:hAnsi="GHEA Grapalat" w:cs="GHEA Grapalat"/>
          <w:lang w:val="hy-AM"/>
        </w:rPr>
        <w:lastRenderedPageBreak/>
        <w:t>76.2%-ը: Նշված գումարից 59.8 մլրդ դրամն ուղղվել է միջազգային կազմակերպությունների, 16 մլրդ դրամը` օտարերկրյա պետությունների և շուրջ 414.5 մլն դրամը` օտարերկրյա առևտրային բանկերի նկատմամբ պարտավորությունների մարմանը:</w:t>
      </w:r>
    </w:p>
    <w:p w:rsidR="00821D9D" w:rsidRPr="002C2D5A" w:rsidRDefault="00821D9D" w:rsidP="0094799F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94799F">
        <w:rPr>
          <w:rFonts w:ascii="GHEA Grapalat" w:hAnsi="GHEA Grapalat" w:cs="GHEA Grapalat"/>
          <w:lang w:val="hy-AM"/>
        </w:rPr>
        <w:t xml:space="preserve">Արտաքին ֆինանսական զուտ ակտիվների հաշվին պետական բյուջեի պակասուրդի ֆինանսավորումը հաշվետու ժամանակահատվածում կազմել է </w:t>
      </w:r>
      <w:r w:rsidR="00A3422E" w:rsidRPr="0094799F">
        <w:rPr>
          <w:rFonts w:ascii="GHEA Grapalat" w:hAnsi="GHEA Grapalat" w:cs="GHEA Grapalat"/>
          <w:lang w:val="hy-AM"/>
        </w:rPr>
        <w:t>1.2</w:t>
      </w:r>
      <w:r w:rsidRPr="0094799F">
        <w:rPr>
          <w:rFonts w:ascii="GHEA Grapalat" w:hAnsi="GHEA Grapalat" w:cs="GHEA Grapalat"/>
          <w:lang w:val="hy-AM"/>
        </w:rPr>
        <w:t xml:space="preserve"> մլ</w:t>
      </w:r>
      <w:r w:rsidR="00A3422E" w:rsidRPr="0094799F">
        <w:rPr>
          <w:rFonts w:ascii="GHEA Grapalat" w:hAnsi="GHEA Grapalat" w:cs="GHEA Grapalat"/>
          <w:lang w:val="hy-AM"/>
        </w:rPr>
        <w:t>րդ</w:t>
      </w:r>
      <w:r w:rsidRPr="0094799F">
        <w:rPr>
          <w:rFonts w:ascii="GHEA Grapalat" w:hAnsi="GHEA Grapalat" w:cs="GHEA Grapalat"/>
          <w:lang w:val="hy-AM"/>
        </w:rPr>
        <w:t xml:space="preserve"> դրամ: Մասնավորապես՝ 195.6 մլն դրամ է կազմել Վրաստանի կողմից ՀՀ նկատմամբ պարտավորությունների մարումից մուտքը, 577.1 մլն դրամ՝ միջազգային ֆինանսական կազմակերպությունների կապիտալում մասնակցության գծով ստանձն</w:t>
      </w:r>
      <w:r w:rsidR="00A3422E" w:rsidRPr="0094799F">
        <w:rPr>
          <w:rFonts w:ascii="GHEA Grapalat" w:hAnsi="GHEA Grapalat" w:cs="GHEA Grapalat"/>
          <w:lang w:val="hy-AM"/>
        </w:rPr>
        <w:t>վ</w:t>
      </w:r>
      <w:r w:rsidRPr="0094799F">
        <w:rPr>
          <w:rFonts w:ascii="GHEA Grapalat" w:hAnsi="GHEA Grapalat" w:cs="GHEA Grapalat"/>
          <w:lang w:val="hy-AM"/>
        </w:rPr>
        <w:t>ած պարտավորությունների կատարումը, 1.</w:t>
      </w:r>
      <w:r w:rsidR="00666914" w:rsidRPr="0094799F">
        <w:rPr>
          <w:rFonts w:ascii="GHEA Grapalat" w:hAnsi="GHEA Grapalat" w:cs="GHEA Grapalat"/>
          <w:lang w:val="hy-AM"/>
        </w:rPr>
        <w:t>6</w:t>
      </w:r>
      <w:r w:rsidRPr="0094799F">
        <w:rPr>
          <w:rFonts w:ascii="GHEA Grapalat" w:hAnsi="GHEA Grapalat" w:cs="GHEA Grapalat"/>
          <w:lang w:val="hy-AM"/>
        </w:rPr>
        <w:t xml:space="preserve"> մլրդ դրամ</w:t>
      </w:r>
      <w:r w:rsidR="00666914" w:rsidRPr="0094799F">
        <w:rPr>
          <w:rFonts w:ascii="GHEA Grapalat" w:hAnsi="GHEA Grapalat" w:cs="GHEA Grapalat"/>
          <w:lang w:val="hy-AM"/>
        </w:rPr>
        <w:t>՝</w:t>
      </w:r>
      <w:r w:rsidRPr="0094799F">
        <w:rPr>
          <w:rFonts w:ascii="GHEA Grapalat" w:hAnsi="GHEA Grapalat" w:cs="GHEA Grapalat"/>
          <w:lang w:val="hy-AM"/>
        </w:rPr>
        <w:t xml:space="preserve"> արտաքին աղբյուրներից ստացված վարկային և դրամաշնորհային միջոցների մնացորդ</w:t>
      </w:r>
      <w:r w:rsidR="00666914" w:rsidRPr="0094799F">
        <w:rPr>
          <w:rFonts w:ascii="GHEA Grapalat" w:hAnsi="GHEA Grapalat" w:cs="GHEA Grapalat"/>
          <w:lang w:val="hy-AM"/>
        </w:rPr>
        <w:t>ից օգտագործումը</w:t>
      </w:r>
      <w:r w:rsidRPr="0094799F">
        <w:rPr>
          <w:rFonts w:ascii="GHEA Grapalat" w:hAnsi="GHEA Grapalat" w:cs="GHEA Grapalat"/>
          <w:lang w:val="hy-AM"/>
        </w:rPr>
        <w:t>:</w:t>
      </w:r>
    </w:p>
    <w:sectPr w:rsidR="00821D9D" w:rsidRPr="002C2D5A" w:rsidSect="00417E4B">
      <w:footerReference w:type="even" r:id="rId8"/>
      <w:footerReference w:type="default" r:id="rId9"/>
      <w:pgSz w:w="11907" w:h="16839" w:code="9"/>
      <w:pgMar w:top="1134" w:right="567" w:bottom="567" w:left="1134" w:header="720" w:footer="62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3F5C" w16cex:dateUtc="2021-04-23T08:43:00Z"/>
  <w16cex:commentExtensible w16cex:durableId="242D5254" w16cex:dateUtc="2021-04-23T10:04:00Z"/>
  <w16cex:commentExtensible w16cex:durableId="242D52CC" w16cex:dateUtc="2021-04-23T10:06:00Z"/>
  <w16cex:commentExtensible w16cex:durableId="242D5364" w16cex:dateUtc="2021-04-23T10:08:00Z"/>
  <w16cex:commentExtensible w16cex:durableId="242D53AF" w16cex:dateUtc="2021-04-23T10:09:00Z"/>
  <w16cex:commentExtensible w16cex:durableId="242D53ED" w16cex:dateUtc="2021-04-23T1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EC" w:rsidRDefault="007617EC" w:rsidP="00F178F6">
      <w:r>
        <w:separator/>
      </w:r>
    </w:p>
  </w:endnote>
  <w:endnote w:type="continuationSeparator" w:id="0">
    <w:p w:rsidR="007617EC" w:rsidRDefault="007617EC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14" w:rsidRDefault="005A4014" w:rsidP="00225E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014" w:rsidRDefault="005A4014" w:rsidP="00225E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14" w:rsidRPr="000E33E1" w:rsidRDefault="005A4014" w:rsidP="00225E96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94799F">
      <w:rPr>
        <w:rStyle w:val="PageNumber"/>
        <w:rFonts w:ascii="GHEA Grapalat" w:hAnsi="GHEA Grapalat"/>
        <w:noProof/>
      </w:rPr>
      <w:t>18</w:t>
    </w:r>
    <w:r w:rsidRPr="000E33E1">
      <w:rPr>
        <w:rStyle w:val="PageNumber"/>
        <w:rFonts w:ascii="GHEA Grapalat" w:hAnsi="GHEA Grapalat"/>
      </w:rPr>
      <w:fldChar w:fldCharType="end"/>
    </w:r>
  </w:p>
  <w:p w:rsidR="005A4014" w:rsidRDefault="005A4014" w:rsidP="00225E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EC" w:rsidRDefault="007617EC" w:rsidP="00F178F6">
      <w:r>
        <w:separator/>
      </w:r>
    </w:p>
  </w:footnote>
  <w:footnote w:type="continuationSeparator" w:id="0">
    <w:p w:rsidR="007617EC" w:rsidRDefault="007617EC" w:rsidP="00F178F6">
      <w:r>
        <w:continuationSeparator/>
      </w:r>
    </w:p>
  </w:footnote>
  <w:footnote w:id="1">
    <w:p w:rsidR="005A4014" w:rsidRPr="0022046E" w:rsidRDefault="005A4014" w:rsidP="0022046E">
      <w:pPr>
        <w:pStyle w:val="FootnoteText"/>
        <w:jc w:val="both"/>
        <w:rPr>
          <w:rFonts w:ascii="GHEA Grapalat" w:hAnsi="GHEA Grapalat"/>
        </w:rPr>
      </w:pPr>
      <w:r w:rsidRPr="0022046E">
        <w:rPr>
          <w:rStyle w:val="FootnoteReference"/>
          <w:rFonts w:ascii="GHEA Grapalat" w:hAnsi="GHEA Grapalat"/>
        </w:rPr>
        <w:footnoteRef/>
      </w:r>
      <w:r w:rsidRPr="0022046E">
        <w:rPr>
          <w:rFonts w:ascii="GHEA Grapalat" w:hAnsi="GHEA Grapalat"/>
        </w:rPr>
        <w:t xml:space="preserve"> Հաշվետվության մեջ ներկայացված ցուցանիշների հանրագումարների և դրանց բաղադրիչների միջև շեղումները պայմանավորված են կլորացումներով: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49C3"/>
    <w:multiLevelType w:val="hybridMultilevel"/>
    <w:tmpl w:val="49C8FF18"/>
    <w:lvl w:ilvl="0" w:tplc="5FDCFCF8">
      <w:start w:val="105"/>
      <w:numFmt w:val="bullet"/>
      <w:lvlText w:val="-"/>
      <w:lvlJc w:val="left"/>
      <w:pPr>
        <w:ind w:left="63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E138E8"/>
    <w:multiLevelType w:val="hybridMultilevel"/>
    <w:tmpl w:val="A2D6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87F1A"/>
    <w:multiLevelType w:val="hybridMultilevel"/>
    <w:tmpl w:val="21A653D8"/>
    <w:lvl w:ilvl="0" w:tplc="B78E53AA">
      <w:start w:val="1"/>
      <w:numFmt w:val="decimal"/>
      <w:lvlText w:val="Աղյուսակ %1."/>
      <w:lvlJc w:val="left"/>
      <w:pPr>
        <w:ind w:left="2771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960EC"/>
    <w:multiLevelType w:val="hybridMultilevel"/>
    <w:tmpl w:val="0A34C014"/>
    <w:lvl w:ilvl="0" w:tplc="B78E53AA">
      <w:start w:val="1"/>
      <w:numFmt w:val="decimal"/>
      <w:lvlText w:val="Աղյուսակ %1."/>
      <w:lvlJc w:val="left"/>
      <w:pPr>
        <w:ind w:left="1287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6"/>
    <w:rsid w:val="0000084F"/>
    <w:rsid w:val="00000A3E"/>
    <w:rsid w:val="00001D5B"/>
    <w:rsid w:val="0000235A"/>
    <w:rsid w:val="00002AF5"/>
    <w:rsid w:val="00002DB1"/>
    <w:rsid w:val="000032D5"/>
    <w:rsid w:val="00003B1E"/>
    <w:rsid w:val="00004260"/>
    <w:rsid w:val="0000539F"/>
    <w:rsid w:val="0000763C"/>
    <w:rsid w:val="000079CC"/>
    <w:rsid w:val="00011199"/>
    <w:rsid w:val="00011283"/>
    <w:rsid w:val="0001150F"/>
    <w:rsid w:val="0001161C"/>
    <w:rsid w:val="000125D6"/>
    <w:rsid w:val="00012A87"/>
    <w:rsid w:val="00012CFA"/>
    <w:rsid w:val="00012E50"/>
    <w:rsid w:val="00012FA6"/>
    <w:rsid w:val="00012FF9"/>
    <w:rsid w:val="0001308B"/>
    <w:rsid w:val="000137CD"/>
    <w:rsid w:val="000157B5"/>
    <w:rsid w:val="00015F84"/>
    <w:rsid w:val="00017782"/>
    <w:rsid w:val="0002023B"/>
    <w:rsid w:val="0002063C"/>
    <w:rsid w:val="00020EB2"/>
    <w:rsid w:val="0002148D"/>
    <w:rsid w:val="000216B5"/>
    <w:rsid w:val="00022663"/>
    <w:rsid w:val="000231BE"/>
    <w:rsid w:val="00023481"/>
    <w:rsid w:val="00023731"/>
    <w:rsid w:val="00024019"/>
    <w:rsid w:val="00024217"/>
    <w:rsid w:val="0002447C"/>
    <w:rsid w:val="00024F0E"/>
    <w:rsid w:val="00026007"/>
    <w:rsid w:val="000270C2"/>
    <w:rsid w:val="0003000E"/>
    <w:rsid w:val="00030109"/>
    <w:rsid w:val="0003069E"/>
    <w:rsid w:val="00030BF3"/>
    <w:rsid w:val="00031AAD"/>
    <w:rsid w:val="000323DC"/>
    <w:rsid w:val="00033220"/>
    <w:rsid w:val="00033552"/>
    <w:rsid w:val="00033D71"/>
    <w:rsid w:val="0003401B"/>
    <w:rsid w:val="00034555"/>
    <w:rsid w:val="00035260"/>
    <w:rsid w:val="000359D2"/>
    <w:rsid w:val="00036BA9"/>
    <w:rsid w:val="00037BB6"/>
    <w:rsid w:val="00041605"/>
    <w:rsid w:val="000419FE"/>
    <w:rsid w:val="000427C5"/>
    <w:rsid w:val="00044AFC"/>
    <w:rsid w:val="00044F29"/>
    <w:rsid w:val="00045336"/>
    <w:rsid w:val="00046299"/>
    <w:rsid w:val="000471EE"/>
    <w:rsid w:val="00047851"/>
    <w:rsid w:val="0005016A"/>
    <w:rsid w:val="0005090B"/>
    <w:rsid w:val="0005201E"/>
    <w:rsid w:val="00052A8C"/>
    <w:rsid w:val="0005344C"/>
    <w:rsid w:val="00053BBE"/>
    <w:rsid w:val="00053F62"/>
    <w:rsid w:val="00054C35"/>
    <w:rsid w:val="0005539C"/>
    <w:rsid w:val="0005600A"/>
    <w:rsid w:val="0005668F"/>
    <w:rsid w:val="000566E6"/>
    <w:rsid w:val="00056F48"/>
    <w:rsid w:val="00056F4D"/>
    <w:rsid w:val="0005729E"/>
    <w:rsid w:val="000605F3"/>
    <w:rsid w:val="00060DAA"/>
    <w:rsid w:val="00060F73"/>
    <w:rsid w:val="000612D8"/>
    <w:rsid w:val="000617F8"/>
    <w:rsid w:val="000618C6"/>
    <w:rsid w:val="00061D0D"/>
    <w:rsid w:val="00061DD5"/>
    <w:rsid w:val="00063471"/>
    <w:rsid w:val="00063760"/>
    <w:rsid w:val="00063B4C"/>
    <w:rsid w:val="00064F93"/>
    <w:rsid w:val="00065CD4"/>
    <w:rsid w:val="00065D15"/>
    <w:rsid w:val="00066CEA"/>
    <w:rsid w:val="0006751E"/>
    <w:rsid w:val="00067BAF"/>
    <w:rsid w:val="000711DA"/>
    <w:rsid w:val="00072C7D"/>
    <w:rsid w:val="00073150"/>
    <w:rsid w:val="00074703"/>
    <w:rsid w:val="00074E1E"/>
    <w:rsid w:val="000753BE"/>
    <w:rsid w:val="000758B4"/>
    <w:rsid w:val="00075C2C"/>
    <w:rsid w:val="00075C5A"/>
    <w:rsid w:val="000761A8"/>
    <w:rsid w:val="00076335"/>
    <w:rsid w:val="0008204B"/>
    <w:rsid w:val="00082406"/>
    <w:rsid w:val="000824BE"/>
    <w:rsid w:val="00082F8C"/>
    <w:rsid w:val="00083D39"/>
    <w:rsid w:val="000848ED"/>
    <w:rsid w:val="00085BF0"/>
    <w:rsid w:val="00086CE6"/>
    <w:rsid w:val="00087314"/>
    <w:rsid w:val="00087499"/>
    <w:rsid w:val="0008770F"/>
    <w:rsid w:val="00087D57"/>
    <w:rsid w:val="00087FE3"/>
    <w:rsid w:val="00091A95"/>
    <w:rsid w:val="000920EE"/>
    <w:rsid w:val="0009269F"/>
    <w:rsid w:val="00092E4B"/>
    <w:rsid w:val="00095EA7"/>
    <w:rsid w:val="0009603E"/>
    <w:rsid w:val="000960D3"/>
    <w:rsid w:val="00096151"/>
    <w:rsid w:val="00097AA9"/>
    <w:rsid w:val="00097AFE"/>
    <w:rsid w:val="000A0520"/>
    <w:rsid w:val="000A0587"/>
    <w:rsid w:val="000A0F5B"/>
    <w:rsid w:val="000A1853"/>
    <w:rsid w:val="000A1A23"/>
    <w:rsid w:val="000A1A80"/>
    <w:rsid w:val="000A24A1"/>
    <w:rsid w:val="000A3DB8"/>
    <w:rsid w:val="000A4349"/>
    <w:rsid w:val="000A4EBC"/>
    <w:rsid w:val="000A5936"/>
    <w:rsid w:val="000A6032"/>
    <w:rsid w:val="000A6088"/>
    <w:rsid w:val="000A6A74"/>
    <w:rsid w:val="000A7238"/>
    <w:rsid w:val="000A7A5D"/>
    <w:rsid w:val="000B0230"/>
    <w:rsid w:val="000B03EE"/>
    <w:rsid w:val="000B0F7D"/>
    <w:rsid w:val="000B1226"/>
    <w:rsid w:val="000B1475"/>
    <w:rsid w:val="000B19DD"/>
    <w:rsid w:val="000B1B77"/>
    <w:rsid w:val="000B1CBE"/>
    <w:rsid w:val="000B1E20"/>
    <w:rsid w:val="000B30FF"/>
    <w:rsid w:val="000B3C76"/>
    <w:rsid w:val="000B3ECA"/>
    <w:rsid w:val="000B44B6"/>
    <w:rsid w:val="000B507C"/>
    <w:rsid w:val="000B550C"/>
    <w:rsid w:val="000B5A94"/>
    <w:rsid w:val="000B5CAC"/>
    <w:rsid w:val="000B60E1"/>
    <w:rsid w:val="000B60F4"/>
    <w:rsid w:val="000B6195"/>
    <w:rsid w:val="000B6202"/>
    <w:rsid w:val="000B691C"/>
    <w:rsid w:val="000B7A05"/>
    <w:rsid w:val="000C04F1"/>
    <w:rsid w:val="000C06DF"/>
    <w:rsid w:val="000C0B4D"/>
    <w:rsid w:val="000C14C6"/>
    <w:rsid w:val="000C15F9"/>
    <w:rsid w:val="000C3D9F"/>
    <w:rsid w:val="000C4203"/>
    <w:rsid w:val="000C44DB"/>
    <w:rsid w:val="000C635A"/>
    <w:rsid w:val="000C6D57"/>
    <w:rsid w:val="000C6EE2"/>
    <w:rsid w:val="000C72FA"/>
    <w:rsid w:val="000C75E2"/>
    <w:rsid w:val="000C77FF"/>
    <w:rsid w:val="000D06C7"/>
    <w:rsid w:val="000D0CDE"/>
    <w:rsid w:val="000D2594"/>
    <w:rsid w:val="000D284E"/>
    <w:rsid w:val="000D2854"/>
    <w:rsid w:val="000D31B8"/>
    <w:rsid w:val="000D38A9"/>
    <w:rsid w:val="000D59A7"/>
    <w:rsid w:val="000D5B34"/>
    <w:rsid w:val="000D5C0F"/>
    <w:rsid w:val="000D6618"/>
    <w:rsid w:val="000D7974"/>
    <w:rsid w:val="000E00D5"/>
    <w:rsid w:val="000E0102"/>
    <w:rsid w:val="000E019A"/>
    <w:rsid w:val="000E0218"/>
    <w:rsid w:val="000E1CAD"/>
    <w:rsid w:val="000E1CED"/>
    <w:rsid w:val="000E1FEC"/>
    <w:rsid w:val="000E33E1"/>
    <w:rsid w:val="000E3C5D"/>
    <w:rsid w:val="000E3D19"/>
    <w:rsid w:val="000E4661"/>
    <w:rsid w:val="000E484A"/>
    <w:rsid w:val="000E575C"/>
    <w:rsid w:val="000E6544"/>
    <w:rsid w:val="000E6A2D"/>
    <w:rsid w:val="000E719F"/>
    <w:rsid w:val="000E736F"/>
    <w:rsid w:val="000F09FD"/>
    <w:rsid w:val="000F131C"/>
    <w:rsid w:val="000F14B8"/>
    <w:rsid w:val="000F2E07"/>
    <w:rsid w:val="000F2E93"/>
    <w:rsid w:val="000F38D4"/>
    <w:rsid w:val="000F4D7D"/>
    <w:rsid w:val="000F5CCC"/>
    <w:rsid w:val="000F6696"/>
    <w:rsid w:val="000F6EC0"/>
    <w:rsid w:val="000F74A8"/>
    <w:rsid w:val="000F7A93"/>
    <w:rsid w:val="0010042E"/>
    <w:rsid w:val="001006A7"/>
    <w:rsid w:val="00101664"/>
    <w:rsid w:val="00101727"/>
    <w:rsid w:val="0010243A"/>
    <w:rsid w:val="0010299E"/>
    <w:rsid w:val="00102B96"/>
    <w:rsid w:val="00103304"/>
    <w:rsid w:val="00103A81"/>
    <w:rsid w:val="00104C87"/>
    <w:rsid w:val="00104D6C"/>
    <w:rsid w:val="00104EC5"/>
    <w:rsid w:val="00104FAD"/>
    <w:rsid w:val="00106052"/>
    <w:rsid w:val="00106375"/>
    <w:rsid w:val="00106640"/>
    <w:rsid w:val="0010691E"/>
    <w:rsid w:val="00107D53"/>
    <w:rsid w:val="001101CA"/>
    <w:rsid w:val="001113A6"/>
    <w:rsid w:val="00112617"/>
    <w:rsid w:val="00112ADA"/>
    <w:rsid w:val="00112B01"/>
    <w:rsid w:val="00112CB5"/>
    <w:rsid w:val="00112CED"/>
    <w:rsid w:val="00112E53"/>
    <w:rsid w:val="0011314B"/>
    <w:rsid w:val="00113424"/>
    <w:rsid w:val="00113C2E"/>
    <w:rsid w:val="00113EF2"/>
    <w:rsid w:val="0011457B"/>
    <w:rsid w:val="001146DA"/>
    <w:rsid w:val="00114F1E"/>
    <w:rsid w:val="0011585E"/>
    <w:rsid w:val="001162EF"/>
    <w:rsid w:val="0011719B"/>
    <w:rsid w:val="00117509"/>
    <w:rsid w:val="0011752B"/>
    <w:rsid w:val="00117948"/>
    <w:rsid w:val="00120663"/>
    <w:rsid w:val="00120B25"/>
    <w:rsid w:val="00120CA2"/>
    <w:rsid w:val="00121061"/>
    <w:rsid w:val="001213FA"/>
    <w:rsid w:val="00121BCC"/>
    <w:rsid w:val="00121BF5"/>
    <w:rsid w:val="0012209A"/>
    <w:rsid w:val="00122201"/>
    <w:rsid w:val="00123FEE"/>
    <w:rsid w:val="0012415E"/>
    <w:rsid w:val="0012428E"/>
    <w:rsid w:val="001242B4"/>
    <w:rsid w:val="0012553C"/>
    <w:rsid w:val="001255CE"/>
    <w:rsid w:val="00125898"/>
    <w:rsid w:val="00126404"/>
    <w:rsid w:val="001273F5"/>
    <w:rsid w:val="00127A27"/>
    <w:rsid w:val="00127C0D"/>
    <w:rsid w:val="00130437"/>
    <w:rsid w:val="00130479"/>
    <w:rsid w:val="001306B6"/>
    <w:rsid w:val="00130B6B"/>
    <w:rsid w:val="00130CD2"/>
    <w:rsid w:val="00130F23"/>
    <w:rsid w:val="0013108F"/>
    <w:rsid w:val="00131530"/>
    <w:rsid w:val="00131EF2"/>
    <w:rsid w:val="001320ED"/>
    <w:rsid w:val="001321F7"/>
    <w:rsid w:val="001324B3"/>
    <w:rsid w:val="001324C5"/>
    <w:rsid w:val="00132929"/>
    <w:rsid w:val="00132A4B"/>
    <w:rsid w:val="00132FF4"/>
    <w:rsid w:val="00133DE4"/>
    <w:rsid w:val="001347D3"/>
    <w:rsid w:val="00134E14"/>
    <w:rsid w:val="00135285"/>
    <w:rsid w:val="00135A81"/>
    <w:rsid w:val="00135FF9"/>
    <w:rsid w:val="0013603C"/>
    <w:rsid w:val="00136F19"/>
    <w:rsid w:val="00136F26"/>
    <w:rsid w:val="00140777"/>
    <w:rsid w:val="00141170"/>
    <w:rsid w:val="0014360A"/>
    <w:rsid w:val="00144292"/>
    <w:rsid w:val="00144F86"/>
    <w:rsid w:val="0014518B"/>
    <w:rsid w:val="00146820"/>
    <w:rsid w:val="001475D0"/>
    <w:rsid w:val="001477EC"/>
    <w:rsid w:val="001478F0"/>
    <w:rsid w:val="0015031B"/>
    <w:rsid w:val="00151BF2"/>
    <w:rsid w:val="00152182"/>
    <w:rsid w:val="0015281F"/>
    <w:rsid w:val="00152B24"/>
    <w:rsid w:val="001530B4"/>
    <w:rsid w:val="00153172"/>
    <w:rsid w:val="00153432"/>
    <w:rsid w:val="00153672"/>
    <w:rsid w:val="00153A9F"/>
    <w:rsid w:val="00153B75"/>
    <w:rsid w:val="00153E6A"/>
    <w:rsid w:val="00154F03"/>
    <w:rsid w:val="00155194"/>
    <w:rsid w:val="00155452"/>
    <w:rsid w:val="00155B0D"/>
    <w:rsid w:val="00155C17"/>
    <w:rsid w:val="00155D00"/>
    <w:rsid w:val="00155F68"/>
    <w:rsid w:val="00155FC0"/>
    <w:rsid w:val="00156351"/>
    <w:rsid w:val="00160301"/>
    <w:rsid w:val="00160442"/>
    <w:rsid w:val="0016068A"/>
    <w:rsid w:val="001610B2"/>
    <w:rsid w:val="0016273C"/>
    <w:rsid w:val="00162A25"/>
    <w:rsid w:val="00162A4B"/>
    <w:rsid w:val="0016451B"/>
    <w:rsid w:val="00164BE2"/>
    <w:rsid w:val="0016544B"/>
    <w:rsid w:val="001655AD"/>
    <w:rsid w:val="001657FA"/>
    <w:rsid w:val="00165877"/>
    <w:rsid w:val="00165AA2"/>
    <w:rsid w:val="00165F15"/>
    <w:rsid w:val="00166354"/>
    <w:rsid w:val="00166C16"/>
    <w:rsid w:val="0016709E"/>
    <w:rsid w:val="001672E9"/>
    <w:rsid w:val="00171990"/>
    <w:rsid w:val="00171A0F"/>
    <w:rsid w:val="00172502"/>
    <w:rsid w:val="0017347B"/>
    <w:rsid w:val="00173744"/>
    <w:rsid w:val="00173E19"/>
    <w:rsid w:val="00174209"/>
    <w:rsid w:val="00174E4C"/>
    <w:rsid w:val="00175376"/>
    <w:rsid w:val="00175F52"/>
    <w:rsid w:val="001762FE"/>
    <w:rsid w:val="001768E4"/>
    <w:rsid w:val="00176A4A"/>
    <w:rsid w:val="001776B7"/>
    <w:rsid w:val="00177E6C"/>
    <w:rsid w:val="00180713"/>
    <w:rsid w:val="00180778"/>
    <w:rsid w:val="00182016"/>
    <w:rsid w:val="00182040"/>
    <w:rsid w:val="00182220"/>
    <w:rsid w:val="001824E0"/>
    <w:rsid w:val="0018281A"/>
    <w:rsid w:val="001844F8"/>
    <w:rsid w:val="00184872"/>
    <w:rsid w:val="001848AF"/>
    <w:rsid w:val="00184BA5"/>
    <w:rsid w:val="00184E8E"/>
    <w:rsid w:val="0018579D"/>
    <w:rsid w:val="00185ECA"/>
    <w:rsid w:val="00186365"/>
    <w:rsid w:val="00186572"/>
    <w:rsid w:val="00186A30"/>
    <w:rsid w:val="00186CD4"/>
    <w:rsid w:val="001907BD"/>
    <w:rsid w:val="00190991"/>
    <w:rsid w:val="00190EA4"/>
    <w:rsid w:val="0019100D"/>
    <w:rsid w:val="0019160C"/>
    <w:rsid w:val="00191955"/>
    <w:rsid w:val="001919DE"/>
    <w:rsid w:val="00191C98"/>
    <w:rsid w:val="001924AF"/>
    <w:rsid w:val="001929F3"/>
    <w:rsid w:val="0019343C"/>
    <w:rsid w:val="00193A65"/>
    <w:rsid w:val="00193D73"/>
    <w:rsid w:val="00195EE6"/>
    <w:rsid w:val="001963B9"/>
    <w:rsid w:val="00196D02"/>
    <w:rsid w:val="00196D66"/>
    <w:rsid w:val="001970DC"/>
    <w:rsid w:val="00197786"/>
    <w:rsid w:val="00197959"/>
    <w:rsid w:val="001A111B"/>
    <w:rsid w:val="001A1335"/>
    <w:rsid w:val="001A3646"/>
    <w:rsid w:val="001A3E7C"/>
    <w:rsid w:val="001A4448"/>
    <w:rsid w:val="001A4F40"/>
    <w:rsid w:val="001A5BA4"/>
    <w:rsid w:val="001A5E4F"/>
    <w:rsid w:val="001A5E5B"/>
    <w:rsid w:val="001A6C37"/>
    <w:rsid w:val="001A6DA1"/>
    <w:rsid w:val="001A6FF0"/>
    <w:rsid w:val="001A7B45"/>
    <w:rsid w:val="001A7ED4"/>
    <w:rsid w:val="001B0197"/>
    <w:rsid w:val="001B052D"/>
    <w:rsid w:val="001B07FB"/>
    <w:rsid w:val="001B0A3E"/>
    <w:rsid w:val="001B0C24"/>
    <w:rsid w:val="001B2207"/>
    <w:rsid w:val="001B22DC"/>
    <w:rsid w:val="001B3817"/>
    <w:rsid w:val="001B3D79"/>
    <w:rsid w:val="001B417F"/>
    <w:rsid w:val="001B5283"/>
    <w:rsid w:val="001B5355"/>
    <w:rsid w:val="001B59FB"/>
    <w:rsid w:val="001B5EFF"/>
    <w:rsid w:val="001B67B9"/>
    <w:rsid w:val="001B70DF"/>
    <w:rsid w:val="001B761C"/>
    <w:rsid w:val="001B78BD"/>
    <w:rsid w:val="001C310B"/>
    <w:rsid w:val="001C31F7"/>
    <w:rsid w:val="001C3BCC"/>
    <w:rsid w:val="001C3D9B"/>
    <w:rsid w:val="001C3EED"/>
    <w:rsid w:val="001C7A91"/>
    <w:rsid w:val="001D0161"/>
    <w:rsid w:val="001D0746"/>
    <w:rsid w:val="001D0D27"/>
    <w:rsid w:val="001D0E2A"/>
    <w:rsid w:val="001D1118"/>
    <w:rsid w:val="001D182E"/>
    <w:rsid w:val="001D2CA5"/>
    <w:rsid w:val="001D399D"/>
    <w:rsid w:val="001D411F"/>
    <w:rsid w:val="001D4BE6"/>
    <w:rsid w:val="001D4E7B"/>
    <w:rsid w:val="001D51E2"/>
    <w:rsid w:val="001D7A02"/>
    <w:rsid w:val="001D7B9A"/>
    <w:rsid w:val="001E1CC6"/>
    <w:rsid w:val="001E2664"/>
    <w:rsid w:val="001E3115"/>
    <w:rsid w:val="001E317C"/>
    <w:rsid w:val="001E341A"/>
    <w:rsid w:val="001E3AC6"/>
    <w:rsid w:val="001E4187"/>
    <w:rsid w:val="001E476E"/>
    <w:rsid w:val="001E5D02"/>
    <w:rsid w:val="001E6B1F"/>
    <w:rsid w:val="001E7648"/>
    <w:rsid w:val="001E7B6C"/>
    <w:rsid w:val="001E7ED8"/>
    <w:rsid w:val="001F0F8C"/>
    <w:rsid w:val="001F1D8A"/>
    <w:rsid w:val="001F1E14"/>
    <w:rsid w:val="001F1E69"/>
    <w:rsid w:val="001F27FF"/>
    <w:rsid w:val="001F3386"/>
    <w:rsid w:val="001F3E4F"/>
    <w:rsid w:val="001F496E"/>
    <w:rsid w:val="001F4B5E"/>
    <w:rsid w:val="001F4C57"/>
    <w:rsid w:val="001F4CCB"/>
    <w:rsid w:val="001F4F14"/>
    <w:rsid w:val="001F5291"/>
    <w:rsid w:val="001F5C3D"/>
    <w:rsid w:val="001F5E72"/>
    <w:rsid w:val="001F6246"/>
    <w:rsid w:val="001F6726"/>
    <w:rsid w:val="001F73B8"/>
    <w:rsid w:val="001F7624"/>
    <w:rsid w:val="001F7CCF"/>
    <w:rsid w:val="00200026"/>
    <w:rsid w:val="0020231A"/>
    <w:rsid w:val="002034FE"/>
    <w:rsid w:val="00203C20"/>
    <w:rsid w:val="00203CC9"/>
    <w:rsid w:val="00203D68"/>
    <w:rsid w:val="00203F1E"/>
    <w:rsid w:val="002040BE"/>
    <w:rsid w:val="00204DA1"/>
    <w:rsid w:val="0020579E"/>
    <w:rsid w:val="00205BA7"/>
    <w:rsid w:val="00205F35"/>
    <w:rsid w:val="00205FEB"/>
    <w:rsid w:val="002060A8"/>
    <w:rsid w:val="00206A9F"/>
    <w:rsid w:val="002074A5"/>
    <w:rsid w:val="00210505"/>
    <w:rsid w:val="002115A2"/>
    <w:rsid w:val="00211BDE"/>
    <w:rsid w:val="00212AA9"/>
    <w:rsid w:val="00212D70"/>
    <w:rsid w:val="00213A41"/>
    <w:rsid w:val="00214A0B"/>
    <w:rsid w:val="00215DAF"/>
    <w:rsid w:val="00217B9B"/>
    <w:rsid w:val="00217C66"/>
    <w:rsid w:val="0022046E"/>
    <w:rsid w:val="0022073F"/>
    <w:rsid w:val="0022111D"/>
    <w:rsid w:val="0022125B"/>
    <w:rsid w:val="00221C67"/>
    <w:rsid w:val="002220A2"/>
    <w:rsid w:val="00223E36"/>
    <w:rsid w:val="00224244"/>
    <w:rsid w:val="00224E77"/>
    <w:rsid w:val="002255E6"/>
    <w:rsid w:val="0022596E"/>
    <w:rsid w:val="00225C1C"/>
    <w:rsid w:val="00225E96"/>
    <w:rsid w:val="002264CA"/>
    <w:rsid w:val="00227624"/>
    <w:rsid w:val="00230942"/>
    <w:rsid w:val="00230A3F"/>
    <w:rsid w:val="002314CC"/>
    <w:rsid w:val="0023183B"/>
    <w:rsid w:val="002329D9"/>
    <w:rsid w:val="00232C4E"/>
    <w:rsid w:val="002330D1"/>
    <w:rsid w:val="002330DE"/>
    <w:rsid w:val="00233191"/>
    <w:rsid w:val="002332F7"/>
    <w:rsid w:val="00233C93"/>
    <w:rsid w:val="002353CD"/>
    <w:rsid w:val="00236952"/>
    <w:rsid w:val="00236BEF"/>
    <w:rsid w:val="00236FC8"/>
    <w:rsid w:val="0023799B"/>
    <w:rsid w:val="00237BEC"/>
    <w:rsid w:val="00237EB4"/>
    <w:rsid w:val="00237EC0"/>
    <w:rsid w:val="00240053"/>
    <w:rsid w:val="002412FA"/>
    <w:rsid w:val="00241761"/>
    <w:rsid w:val="00242F14"/>
    <w:rsid w:val="00244286"/>
    <w:rsid w:val="00244958"/>
    <w:rsid w:val="002456B7"/>
    <w:rsid w:val="002458BF"/>
    <w:rsid w:val="00245A43"/>
    <w:rsid w:val="00246262"/>
    <w:rsid w:val="00246978"/>
    <w:rsid w:val="002472A9"/>
    <w:rsid w:val="002473B7"/>
    <w:rsid w:val="00247A8C"/>
    <w:rsid w:val="00247ADB"/>
    <w:rsid w:val="00247B05"/>
    <w:rsid w:val="00251012"/>
    <w:rsid w:val="00251CE5"/>
    <w:rsid w:val="002532A5"/>
    <w:rsid w:val="002539B2"/>
    <w:rsid w:val="0025402B"/>
    <w:rsid w:val="00255ABD"/>
    <w:rsid w:val="00260006"/>
    <w:rsid w:val="002602D9"/>
    <w:rsid w:val="00260746"/>
    <w:rsid w:val="00264252"/>
    <w:rsid w:val="00264C92"/>
    <w:rsid w:val="00265286"/>
    <w:rsid w:val="0026589D"/>
    <w:rsid w:val="00265CFF"/>
    <w:rsid w:val="0026636F"/>
    <w:rsid w:val="002669C5"/>
    <w:rsid w:val="00266BB7"/>
    <w:rsid w:val="00266BF7"/>
    <w:rsid w:val="00266C40"/>
    <w:rsid w:val="00266C9D"/>
    <w:rsid w:val="00267077"/>
    <w:rsid w:val="00267B38"/>
    <w:rsid w:val="00267BBA"/>
    <w:rsid w:val="00267C22"/>
    <w:rsid w:val="00270407"/>
    <w:rsid w:val="00271042"/>
    <w:rsid w:val="0027236A"/>
    <w:rsid w:val="00272A34"/>
    <w:rsid w:val="00272C34"/>
    <w:rsid w:val="00272F9A"/>
    <w:rsid w:val="002741E6"/>
    <w:rsid w:val="00274426"/>
    <w:rsid w:val="00274B5E"/>
    <w:rsid w:val="002756FB"/>
    <w:rsid w:val="0027598B"/>
    <w:rsid w:val="0027649D"/>
    <w:rsid w:val="00276FDF"/>
    <w:rsid w:val="00281308"/>
    <w:rsid w:val="00281A32"/>
    <w:rsid w:val="0028244B"/>
    <w:rsid w:val="00284374"/>
    <w:rsid w:val="00284392"/>
    <w:rsid w:val="00284419"/>
    <w:rsid w:val="00284494"/>
    <w:rsid w:val="002849B2"/>
    <w:rsid w:val="00285C8B"/>
    <w:rsid w:val="00287F9D"/>
    <w:rsid w:val="0029091A"/>
    <w:rsid w:val="00290E82"/>
    <w:rsid w:val="00290EA1"/>
    <w:rsid w:val="00290FDC"/>
    <w:rsid w:val="0029162A"/>
    <w:rsid w:val="00292A69"/>
    <w:rsid w:val="00292B86"/>
    <w:rsid w:val="00292E49"/>
    <w:rsid w:val="00292FD7"/>
    <w:rsid w:val="00293594"/>
    <w:rsid w:val="002946BF"/>
    <w:rsid w:val="00295072"/>
    <w:rsid w:val="0029683B"/>
    <w:rsid w:val="00296E15"/>
    <w:rsid w:val="00296EFE"/>
    <w:rsid w:val="00297F5E"/>
    <w:rsid w:val="002A02E1"/>
    <w:rsid w:val="002A0340"/>
    <w:rsid w:val="002A07D3"/>
    <w:rsid w:val="002A17E4"/>
    <w:rsid w:val="002A24A9"/>
    <w:rsid w:val="002A30BC"/>
    <w:rsid w:val="002A377B"/>
    <w:rsid w:val="002A4689"/>
    <w:rsid w:val="002A47CA"/>
    <w:rsid w:val="002A4994"/>
    <w:rsid w:val="002A4B8D"/>
    <w:rsid w:val="002A4C75"/>
    <w:rsid w:val="002A4CFE"/>
    <w:rsid w:val="002A53E8"/>
    <w:rsid w:val="002A566D"/>
    <w:rsid w:val="002A5889"/>
    <w:rsid w:val="002A6062"/>
    <w:rsid w:val="002A61C7"/>
    <w:rsid w:val="002A675F"/>
    <w:rsid w:val="002A69F2"/>
    <w:rsid w:val="002A6DC7"/>
    <w:rsid w:val="002A6FB8"/>
    <w:rsid w:val="002A7157"/>
    <w:rsid w:val="002A7988"/>
    <w:rsid w:val="002A7D88"/>
    <w:rsid w:val="002B03D6"/>
    <w:rsid w:val="002B0F42"/>
    <w:rsid w:val="002B1FB5"/>
    <w:rsid w:val="002B21E3"/>
    <w:rsid w:val="002B29DA"/>
    <w:rsid w:val="002B307D"/>
    <w:rsid w:val="002B3AA7"/>
    <w:rsid w:val="002B41E5"/>
    <w:rsid w:val="002B5F5C"/>
    <w:rsid w:val="002B65E7"/>
    <w:rsid w:val="002B7CFA"/>
    <w:rsid w:val="002B7DF9"/>
    <w:rsid w:val="002C0952"/>
    <w:rsid w:val="002C0C67"/>
    <w:rsid w:val="002C13EF"/>
    <w:rsid w:val="002C1722"/>
    <w:rsid w:val="002C17A1"/>
    <w:rsid w:val="002C1ADB"/>
    <w:rsid w:val="002C1B78"/>
    <w:rsid w:val="002C2C78"/>
    <w:rsid w:val="002C388C"/>
    <w:rsid w:val="002C5809"/>
    <w:rsid w:val="002C5995"/>
    <w:rsid w:val="002C5F14"/>
    <w:rsid w:val="002C65F7"/>
    <w:rsid w:val="002C7EDB"/>
    <w:rsid w:val="002D01E4"/>
    <w:rsid w:val="002D079C"/>
    <w:rsid w:val="002D085B"/>
    <w:rsid w:val="002D0E8F"/>
    <w:rsid w:val="002D1FAB"/>
    <w:rsid w:val="002D222A"/>
    <w:rsid w:val="002D33C7"/>
    <w:rsid w:val="002D3C51"/>
    <w:rsid w:val="002D486A"/>
    <w:rsid w:val="002D4AB9"/>
    <w:rsid w:val="002D5A58"/>
    <w:rsid w:val="002D6E59"/>
    <w:rsid w:val="002D73AD"/>
    <w:rsid w:val="002D7651"/>
    <w:rsid w:val="002D77A4"/>
    <w:rsid w:val="002E004A"/>
    <w:rsid w:val="002E0168"/>
    <w:rsid w:val="002E211A"/>
    <w:rsid w:val="002E275B"/>
    <w:rsid w:val="002E2A30"/>
    <w:rsid w:val="002E2B7F"/>
    <w:rsid w:val="002E2C2F"/>
    <w:rsid w:val="002E32B8"/>
    <w:rsid w:val="002E3E66"/>
    <w:rsid w:val="002E447E"/>
    <w:rsid w:val="002E4E3E"/>
    <w:rsid w:val="002E57D6"/>
    <w:rsid w:val="002E59F6"/>
    <w:rsid w:val="002E5A8B"/>
    <w:rsid w:val="002E5FC8"/>
    <w:rsid w:val="002E745B"/>
    <w:rsid w:val="002E7B88"/>
    <w:rsid w:val="002E7D7C"/>
    <w:rsid w:val="002F0345"/>
    <w:rsid w:val="002F0FA0"/>
    <w:rsid w:val="002F1827"/>
    <w:rsid w:val="002F3411"/>
    <w:rsid w:val="002F3650"/>
    <w:rsid w:val="002F39E4"/>
    <w:rsid w:val="002F3D65"/>
    <w:rsid w:val="002F3F4E"/>
    <w:rsid w:val="002F3FBD"/>
    <w:rsid w:val="002F4231"/>
    <w:rsid w:val="002F484C"/>
    <w:rsid w:val="002F4B62"/>
    <w:rsid w:val="002F5596"/>
    <w:rsid w:val="002F570A"/>
    <w:rsid w:val="002F5C73"/>
    <w:rsid w:val="00300235"/>
    <w:rsid w:val="0030048E"/>
    <w:rsid w:val="003005F3"/>
    <w:rsid w:val="00300EFF"/>
    <w:rsid w:val="003016A2"/>
    <w:rsid w:val="00301D42"/>
    <w:rsid w:val="00301EB5"/>
    <w:rsid w:val="00302220"/>
    <w:rsid w:val="00302F21"/>
    <w:rsid w:val="00303C54"/>
    <w:rsid w:val="00303D36"/>
    <w:rsid w:val="00303E89"/>
    <w:rsid w:val="0030417B"/>
    <w:rsid w:val="00304BBD"/>
    <w:rsid w:val="0030520B"/>
    <w:rsid w:val="003056A3"/>
    <w:rsid w:val="00305828"/>
    <w:rsid w:val="00305A9C"/>
    <w:rsid w:val="003066F7"/>
    <w:rsid w:val="00306F4A"/>
    <w:rsid w:val="00310392"/>
    <w:rsid w:val="00310809"/>
    <w:rsid w:val="003109D4"/>
    <w:rsid w:val="00311B70"/>
    <w:rsid w:val="00311BD8"/>
    <w:rsid w:val="003121A9"/>
    <w:rsid w:val="003126D7"/>
    <w:rsid w:val="00313431"/>
    <w:rsid w:val="00314362"/>
    <w:rsid w:val="003143CA"/>
    <w:rsid w:val="00314699"/>
    <w:rsid w:val="00314C75"/>
    <w:rsid w:val="00315402"/>
    <w:rsid w:val="00315963"/>
    <w:rsid w:val="00315A83"/>
    <w:rsid w:val="00315CA5"/>
    <w:rsid w:val="00317345"/>
    <w:rsid w:val="0032099F"/>
    <w:rsid w:val="00320D68"/>
    <w:rsid w:val="00321A41"/>
    <w:rsid w:val="00322135"/>
    <w:rsid w:val="0032213A"/>
    <w:rsid w:val="00322901"/>
    <w:rsid w:val="0032319F"/>
    <w:rsid w:val="003234C3"/>
    <w:rsid w:val="00323E3A"/>
    <w:rsid w:val="0032427C"/>
    <w:rsid w:val="00324303"/>
    <w:rsid w:val="00326BAB"/>
    <w:rsid w:val="00326D48"/>
    <w:rsid w:val="003270AC"/>
    <w:rsid w:val="0033044D"/>
    <w:rsid w:val="00330AAB"/>
    <w:rsid w:val="0033156F"/>
    <w:rsid w:val="0033177F"/>
    <w:rsid w:val="00331BD5"/>
    <w:rsid w:val="00331C76"/>
    <w:rsid w:val="0033294D"/>
    <w:rsid w:val="00332B28"/>
    <w:rsid w:val="00332FE7"/>
    <w:rsid w:val="003330A9"/>
    <w:rsid w:val="0033506E"/>
    <w:rsid w:val="003360ED"/>
    <w:rsid w:val="00336AA9"/>
    <w:rsid w:val="00336FA4"/>
    <w:rsid w:val="003375FE"/>
    <w:rsid w:val="003377E2"/>
    <w:rsid w:val="003379BF"/>
    <w:rsid w:val="00340D0D"/>
    <w:rsid w:val="00341DB4"/>
    <w:rsid w:val="00342220"/>
    <w:rsid w:val="00343D7E"/>
    <w:rsid w:val="00344216"/>
    <w:rsid w:val="00344645"/>
    <w:rsid w:val="00345438"/>
    <w:rsid w:val="0034588D"/>
    <w:rsid w:val="003458D3"/>
    <w:rsid w:val="00345E87"/>
    <w:rsid w:val="003462C9"/>
    <w:rsid w:val="00346456"/>
    <w:rsid w:val="0034664A"/>
    <w:rsid w:val="003513AC"/>
    <w:rsid w:val="003514C6"/>
    <w:rsid w:val="00352038"/>
    <w:rsid w:val="003526CF"/>
    <w:rsid w:val="00354A03"/>
    <w:rsid w:val="00356B3D"/>
    <w:rsid w:val="00356BC4"/>
    <w:rsid w:val="00360EEC"/>
    <w:rsid w:val="00361EE3"/>
    <w:rsid w:val="003624BA"/>
    <w:rsid w:val="00362C7A"/>
    <w:rsid w:val="0036321E"/>
    <w:rsid w:val="00363BD5"/>
    <w:rsid w:val="0036401C"/>
    <w:rsid w:val="00364E3D"/>
    <w:rsid w:val="003657EF"/>
    <w:rsid w:val="00365E82"/>
    <w:rsid w:val="003662FB"/>
    <w:rsid w:val="0036654A"/>
    <w:rsid w:val="00366991"/>
    <w:rsid w:val="00366C8C"/>
    <w:rsid w:val="00367B53"/>
    <w:rsid w:val="00367D9D"/>
    <w:rsid w:val="0037121E"/>
    <w:rsid w:val="003720B6"/>
    <w:rsid w:val="00372E7F"/>
    <w:rsid w:val="003738C8"/>
    <w:rsid w:val="00373A92"/>
    <w:rsid w:val="00374D4A"/>
    <w:rsid w:val="0037518E"/>
    <w:rsid w:val="003757B7"/>
    <w:rsid w:val="003759D1"/>
    <w:rsid w:val="00375EE8"/>
    <w:rsid w:val="00376371"/>
    <w:rsid w:val="003768D2"/>
    <w:rsid w:val="00377194"/>
    <w:rsid w:val="00380726"/>
    <w:rsid w:val="00380F3B"/>
    <w:rsid w:val="0038161B"/>
    <w:rsid w:val="003819BB"/>
    <w:rsid w:val="00381EAE"/>
    <w:rsid w:val="00382059"/>
    <w:rsid w:val="0038241F"/>
    <w:rsid w:val="0038254F"/>
    <w:rsid w:val="00382A91"/>
    <w:rsid w:val="00382F33"/>
    <w:rsid w:val="0038346A"/>
    <w:rsid w:val="0038444A"/>
    <w:rsid w:val="003849C4"/>
    <w:rsid w:val="00384DB1"/>
    <w:rsid w:val="003856DC"/>
    <w:rsid w:val="00386008"/>
    <w:rsid w:val="003860A6"/>
    <w:rsid w:val="003862E9"/>
    <w:rsid w:val="0038658E"/>
    <w:rsid w:val="00386806"/>
    <w:rsid w:val="00386AE5"/>
    <w:rsid w:val="00386BA0"/>
    <w:rsid w:val="00387B7C"/>
    <w:rsid w:val="00387CE1"/>
    <w:rsid w:val="00387D02"/>
    <w:rsid w:val="00390227"/>
    <w:rsid w:val="00392300"/>
    <w:rsid w:val="00392B98"/>
    <w:rsid w:val="00393119"/>
    <w:rsid w:val="00394013"/>
    <w:rsid w:val="00394E77"/>
    <w:rsid w:val="0039538B"/>
    <w:rsid w:val="00395789"/>
    <w:rsid w:val="003958A2"/>
    <w:rsid w:val="00395B85"/>
    <w:rsid w:val="00396793"/>
    <w:rsid w:val="00396851"/>
    <w:rsid w:val="003970B8"/>
    <w:rsid w:val="003971C2"/>
    <w:rsid w:val="003977B8"/>
    <w:rsid w:val="0039783C"/>
    <w:rsid w:val="003A02E6"/>
    <w:rsid w:val="003A0CA4"/>
    <w:rsid w:val="003A1110"/>
    <w:rsid w:val="003A1EF1"/>
    <w:rsid w:val="003A23F6"/>
    <w:rsid w:val="003A39C6"/>
    <w:rsid w:val="003A3B13"/>
    <w:rsid w:val="003A3BB2"/>
    <w:rsid w:val="003A4B39"/>
    <w:rsid w:val="003A551F"/>
    <w:rsid w:val="003A5D11"/>
    <w:rsid w:val="003A7A9A"/>
    <w:rsid w:val="003B0130"/>
    <w:rsid w:val="003B0399"/>
    <w:rsid w:val="003B11AC"/>
    <w:rsid w:val="003B1320"/>
    <w:rsid w:val="003B145F"/>
    <w:rsid w:val="003B1AE7"/>
    <w:rsid w:val="003B1D44"/>
    <w:rsid w:val="003B1F56"/>
    <w:rsid w:val="003B2C01"/>
    <w:rsid w:val="003B2D9D"/>
    <w:rsid w:val="003B38D1"/>
    <w:rsid w:val="003B3CF5"/>
    <w:rsid w:val="003B433C"/>
    <w:rsid w:val="003B45C2"/>
    <w:rsid w:val="003B53B8"/>
    <w:rsid w:val="003B5DFA"/>
    <w:rsid w:val="003B6D6D"/>
    <w:rsid w:val="003B70A2"/>
    <w:rsid w:val="003B785C"/>
    <w:rsid w:val="003C0363"/>
    <w:rsid w:val="003C04EF"/>
    <w:rsid w:val="003C0CF3"/>
    <w:rsid w:val="003C0FA7"/>
    <w:rsid w:val="003C1293"/>
    <w:rsid w:val="003C1675"/>
    <w:rsid w:val="003C16DC"/>
    <w:rsid w:val="003C1EEC"/>
    <w:rsid w:val="003C24E4"/>
    <w:rsid w:val="003C29D0"/>
    <w:rsid w:val="003C4339"/>
    <w:rsid w:val="003C4348"/>
    <w:rsid w:val="003C4873"/>
    <w:rsid w:val="003C61D1"/>
    <w:rsid w:val="003C6C84"/>
    <w:rsid w:val="003C77D0"/>
    <w:rsid w:val="003D0D50"/>
    <w:rsid w:val="003D1C40"/>
    <w:rsid w:val="003D3023"/>
    <w:rsid w:val="003D390A"/>
    <w:rsid w:val="003D3AE9"/>
    <w:rsid w:val="003D3FED"/>
    <w:rsid w:val="003D4BE0"/>
    <w:rsid w:val="003D5521"/>
    <w:rsid w:val="003D5B7B"/>
    <w:rsid w:val="003D5DF8"/>
    <w:rsid w:val="003D6321"/>
    <w:rsid w:val="003E04B9"/>
    <w:rsid w:val="003E0B42"/>
    <w:rsid w:val="003E138C"/>
    <w:rsid w:val="003E17F4"/>
    <w:rsid w:val="003E1BF8"/>
    <w:rsid w:val="003E1C6F"/>
    <w:rsid w:val="003E2AF9"/>
    <w:rsid w:val="003E3733"/>
    <w:rsid w:val="003E3ABA"/>
    <w:rsid w:val="003E3AC8"/>
    <w:rsid w:val="003E491A"/>
    <w:rsid w:val="003E4A96"/>
    <w:rsid w:val="003E58BD"/>
    <w:rsid w:val="003E61C7"/>
    <w:rsid w:val="003E661F"/>
    <w:rsid w:val="003E67D4"/>
    <w:rsid w:val="003E6A4C"/>
    <w:rsid w:val="003E6F82"/>
    <w:rsid w:val="003E7883"/>
    <w:rsid w:val="003F012D"/>
    <w:rsid w:val="003F0599"/>
    <w:rsid w:val="003F17C6"/>
    <w:rsid w:val="003F2B74"/>
    <w:rsid w:val="003F40FF"/>
    <w:rsid w:val="003F43E1"/>
    <w:rsid w:val="003F4852"/>
    <w:rsid w:val="003F4B8E"/>
    <w:rsid w:val="003F5A15"/>
    <w:rsid w:val="003F5E32"/>
    <w:rsid w:val="003F6165"/>
    <w:rsid w:val="003F6B3E"/>
    <w:rsid w:val="003F727F"/>
    <w:rsid w:val="003F7592"/>
    <w:rsid w:val="003F7941"/>
    <w:rsid w:val="004001F5"/>
    <w:rsid w:val="00400370"/>
    <w:rsid w:val="004003AA"/>
    <w:rsid w:val="00400E21"/>
    <w:rsid w:val="00400E8E"/>
    <w:rsid w:val="00401DA4"/>
    <w:rsid w:val="0040256D"/>
    <w:rsid w:val="00403307"/>
    <w:rsid w:val="00403489"/>
    <w:rsid w:val="00403B62"/>
    <w:rsid w:val="00404A81"/>
    <w:rsid w:val="0040501D"/>
    <w:rsid w:val="00405C60"/>
    <w:rsid w:val="00405CF0"/>
    <w:rsid w:val="00406635"/>
    <w:rsid w:val="00406C88"/>
    <w:rsid w:val="00407F96"/>
    <w:rsid w:val="004100E0"/>
    <w:rsid w:val="004105D5"/>
    <w:rsid w:val="004107E6"/>
    <w:rsid w:val="00410A56"/>
    <w:rsid w:val="00410B93"/>
    <w:rsid w:val="00411374"/>
    <w:rsid w:val="0041171B"/>
    <w:rsid w:val="00411851"/>
    <w:rsid w:val="00412E6B"/>
    <w:rsid w:val="0041347E"/>
    <w:rsid w:val="004139E3"/>
    <w:rsid w:val="00414145"/>
    <w:rsid w:val="004141AF"/>
    <w:rsid w:val="00415565"/>
    <w:rsid w:val="0041697E"/>
    <w:rsid w:val="00416BB6"/>
    <w:rsid w:val="00417DAB"/>
    <w:rsid w:val="00417E4B"/>
    <w:rsid w:val="00420568"/>
    <w:rsid w:val="00420FDA"/>
    <w:rsid w:val="00421146"/>
    <w:rsid w:val="0042116B"/>
    <w:rsid w:val="00421341"/>
    <w:rsid w:val="00421AB4"/>
    <w:rsid w:val="00421C15"/>
    <w:rsid w:val="004226A0"/>
    <w:rsid w:val="004229C2"/>
    <w:rsid w:val="00423348"/>
    <w:rsid w:val="0042343B"/>
    <w:rsid w:val="00424548"/>
    <w:rsid w:val="004246FF"/>
    <w:rsid w:val="0042477F"/>
    <w:rsid w:val="00425566"/>
    <w:rsid w:val="00426F45"/>
    <w:rsid w:val="004274F8"/>
    <w:rsid w:val="004303A8"/>
    <w:rsid w:val="0043092F"/>
    <w:rsid w:val="004310E4"/>
    <w:rsid w:val="004316AB"/>
    <w:rsid w:val="004317DF"/>
    <w:rsid w:val="00431B29"/>
    <w:rsid w:val="0043229A"/>
    <w:rsid w:val="00432393"/>
    <w:rsid w:val="00432A6F"/>
    <w:rsid w:val="00432B4E"/>
    <w:rsid w:val="00432F7B"/>
    <w:rsid w:val="00435181"/>
    <w:rsid w:val="004365E4"/>
    <w:rsid w:val="00437C15"/>
    <w:rsid w:val="00437C79"/>
    <w:rsid w:val="00440C38"/>
    <w:rsid w:val="00441ECE"/>
    <w:rsid w:val="004425D8"/>
    <w:rsid w:val="00443C5A"/>
    <w:rsid w:val="00444621"/>
    <w:rsid w:val="004450D0"/>
    <w:rsid w:val="00445823"/>
    <w:rsid w:val="004459F5"/>
    <w:rsid w:val="00446311"/>
    <w:rsid w:val="00446446"/>
    <w:rsid w:val="00446A6E"/>
    <w:rsid w:val="00446CDE"/>
    <w:rsid w:val="00446EED"/>
    <w:rsid w:val="004507E3"/>
    <w:rsid w:val="004508C5"/>
    <w:rsid w:val="00450FD0"/>
    <w:rsid w:val="00451145"/>
    <w:rsid w:val="004518B9"/>
    <w:rsid w:val="00451E8E"/>
    <w:rsid w:val="00452069"/>
    <w:rsid w:val="0045346B"/>
    <w:rsid w:val="0045418D"/>
    <w:rsid w:val="00454AD5"/>
    <w:rsid w:val="004550A8"/>
    <w:rsid w:val="0045549B"/>
    <w:rsid w:val="004557F0"/>
    <w:rsid w:val="00455EFC"/>
    <w:rsid w:val="004568F8"/>
    <w:rsid w:val="00456D95"/>
    <w:rsid w:val="004575E4"/>
    <w:rsid w:val="004576B0"/>
    <w:rsid w:val="00460216"/>
    <w:rsid w:val="0046045F"/>
    <w:rsid w:val="00460CA8"/>
    <w:rsid w:val="0046216C"/>
    <w:rsid w:val="004631EA"/>
    <w:rsid w:val="00463FF9"/>
    <w:rsid w:val="004649FF"/>
    <w:rsid w:val="00464D80"/>
    <w:rsid w:val="00465088"/>
    <w:rsid w:val="00465990"/>
    <w:rsid w:val="00465D65"/>
    <w:rsid w:val="00465E9A"/>
    <w:rsid w:val="00466198"/>
    <w:rsid w:val="00466983"/>
    <w:rsid w:val="004701B2"/>
    <w:rsid w:val="00470F2B"/>
    <w:rsid w:val="0047146E"/>
    <w:rsid w:val="004724ED"/>
    <w:rsid w:val="004727EE"/>
    <w:rsid w:val="00472AEC"/>
    <w:rsid w:val="0047442A"/>
    <w:rsid w:val="00475365"/>
    <w:rsid w:val="00475A0A"/>
    <w:rsid w:val="00475D01"/>
    <w:rsid w:val="00475E8E"/>
    <w:rsid w:val="00476713"/>
    <w:rsid w:val="00476A8A"/>
    <w:rsid w:val="00476DA8"/>
    <w:rsid w:val="00477A3D"/>
    <w:rsid w:val="00480C14"/>
    <w:rsid w:val="0048187F"/>
    <w:rsid w:val="004824B8"/>
    <w:rsid w:val="00482599"/>
    <w:rsid w:val="00482EEC"/>
    <w:rsid w:val="00483BAD"/>
    <w:rsid w:val="00483E9E"/>
    <w:rsid w:val="00484FF6"/>
    <w:rsid w:val="0048529B"/>
    <w:rsid w:val="00485BF2"/>
    <w:rsid w:val="00486510"/>
    <w:rsid w:val="00486739"/>
    <w:rsid w:val="0048740C"/>
    <w:rsid w:val="0048785D"/>
    <w:rsid w:val="00487F55"/>
    <w:rsid w:val="0049019F"/>
    <w:rsid w:val="0049067F"/>
    <w:rsid w:val="00491335"/>
    <w:rsid w:val="00491806"/>
    <w:rsid w:val="00493A51"/>
    <w:rsid w:val="00493B86"/>
    <w:rsid w:val="004956E1"/>
    <w:rsid w:val="00495E29"/>
    <w:rsid w:val="00496050"/>
    <w:rsid w:val="00496DB7"/>
    <w:rsid w:val="00497F2C"/>
    <w:rsid w:val="004A03B5"/>
    <w:rsid w:val="004A04B5"/>
    <w:rsid w:val="004A050E"/>
    <w:rsid w:val="004A0AD0"/>
    <w:rsid w:val="004A1608"/>
    <w:rsid w:val="004A1AF1"/>
    <w:rsid w:val="004A211E"/>
    <w:rsid w:val="004A2E07"/>
    <w:rsid w:val="004A30E5"/>
    <w:rsid w:val="004A32A5"/>
    <w:rsid w:val="004A39B2"/>
    <w:rsid w:val="004A4ADA"/>
    <w:rsid w:val="004A50BF"/>
    <w:rsid w:val="004A54F3"/>
    <w:rsid w:val="004A613C"/>
    <w:rsid w:val="004A62B2"/>
    <w:rsid w:val="004A6641"/>
    <w:rsid w:val="004A6E00"/>
    <w:rsid w:val="004A758C"/>
    <w:rsid w:val="004A7685"/>
    <w:rsid w:val="004A79E1"/>
    <w:rsid w:val="004A7E8C"/>
    <w:rsid w:val="004B003A"/>
    <w:rsid w:val="004B055E"/>
    <w:rsid w:val="004B0AE3"/>
    <w:rsid w:val="004B0B7F"/>
    <w:rsid w:val="004B12C3"/>
    <w:rsid w:val="004B1BF4"/>
    <w:rsid w:val="004B1DE2"/>
    <w:rsid w:val="004B2076"/>
    <w:rsid w:val="004B2A31"/>
    <w:rsid w:val="004B2E55"/>
    <w:rsid w:val="004B3300"/>
    <w:rsid w:val="004B3B03"/>
    <w:rsid w:val="004B40A9"/>
    <w:rsid w:val="004B41FA"/>
    <w:rsid w:val="004B430E"/>
    <w:rsid w:val="004B454F"/>
    <w:rsid w:val="004B5D29"/>
    <w:rsid w:val="004B6165"/>
    <w:rsid w:val="004B67B7"/>
    <w:rsid w:val="004B6FAB"/>
    <w:rsid w:val="004B708E"/>
    <w:rsid w:val="004B7189"/>
    <w:rsid w:val="004B73B2"/>
    <w:rsid w:val="004B7C85"/>
    <w:rsid w:val="004C001E"/>
    <w:rsid w:val="004C17AD"/>
    <w:rsid w:val="004C2020"/>
    <w:rsid w:val="004C2A7A"/>
    <w:rsid w:val="004C2B4D"/>
    <w:rsid w:val="004C365C"/>
    <w:rsid w:val="004C3DDD"/>
    <w:rsid w:val="004C4FF8"/>
    <w:rsid w:val="004C55EA"/>
    <w:rsid w:val="004C5D9B"/>
    <w:rsid w:val="004C5E0A"/>
    <w:rsid w:val="004C6CC8"/>
    <w:rsid w:val="004C7934"/>
    <w:rsid w:val="004C7EE3"/>
    <w:rsid w:val="004D0ADE"/>
    <w:rsid w:val="004D1464"/>
    <w:rsid w:val="004D1E19"/>
    <w:rsid w:val="004D2A71"/>
    <w:rsid w:val="004D2F71"/>
    <w:rsid w:val="004D37B5"/>
    <w:rsid w:val="004D3FB2"/>
    <w:rsid w:val="004D51BA"/>
    <w:rsid w:val="004D53B6"/>
    <w:rsid w:val="004D55B2"/>
    <w:rsid w:val="004D653F"/>
    <w:rsid w:val="004D65D4"/>
    <w:rsid w:val="004D65D6"/>
    <w:rsid w:val="004D7EAE"/>
    <w:rsid w:val="004D7F00"/>
    <w:rsid w:val="004D7F8D"/>
    <w:rsid w:val="004E0029"/>
    <w:rsid w:val="004E043D"/>
    <w:rsid w:val="004E0B64"/>
    <w:rsid w:val="004E1A18"/>
    <w:rsid w:val="004E1E19"/>
    <w:rsid w:val="004E2F55"/>
    <w:rsid w:val="004E316B"/>
    <w:rsid w:val="004E3172"/>
    <w:rsid w:val="004E34BD"/>
    <w:rsid w:val="004E37AB"/>
    <w:rsid w:val="004E39BE"/>
    <w:rsid w:val="004E4105"/>
    <w:rsid w:val="004E515B"/>
    <w:rsid w:val="004E598D"/>
    <w:rsid w:val="004E5DF9"/>
    <w:rsid w:val="004E7E24"/>
    <w:rsid w:val="004F057D"/>
    <w:rsid w:val="004F0E68"/>
    <w:rsid w:val="004F0F3D"/>
    <w:rsid w:val="004F1AC0"/>
    <w:rsid w:val="004F1BE6"/>
    <w:rsid w:val="004F2F83"/>
    <w:rsid w:val="004F34F4"/>
    <w:rsid w:val="004F3ADE"/>
    <w:rsid w:val="004F4465"/>
    <w:rsid w:val="004F47DC"/>
    <w:rsid w:val="004F5BB9"/>
    <w:rsid w:val="004F6092"/>
    <w:rsid w:val="004F65B0"/>
    <w:rsid w:val="004F6B8E"/>
    <w:rsid w:val="004F6FE2"/>
    <w:rsid w:val="004F7907"/>
    <w:rsid w:val="00500C91"/>
    <w:rsid w:val="00500F75"/>
    <w:rsid w:val="0050103A"/>
    <w:rsid w:val="00501917"/>
    <w:rsid w:val="005021CA"/>
    <w:rsid w:val="00502ACC"/>
    <w:rsid w:val="00502B09"/>
    <w:rsid w:val="00503BCE"/>
    <w:rsid w:val="005044B5"/>
    <w:rsid w:val="00504570"/>
    <w:rsid w:val="005103AC"/>
    <w:rsid w:val="0051054E"/>
    <w:rsid w:val="0051163D"/>
    <w:rsid w:val="00511A00"/>
    <w:rsid w:val="00511AB2"/>
    <w:rsid w:val="00512551"/>
    <w:rsid w:val="0051388B"/>
    <w:rsid w:val="00513F9E"/>
    <w:rsid w:val="005141C4"/>
    <w:rsid w:val="00514A1E"/>
    <w:rsid w:val="00515246"/>
    <w:rsid w:val="00515F76"/>
    <w:rsid w:val="00516455"/>
    <w:rsid w:val="00516456"/>
    <w:rsid w:val="00516C5F"/>
    <w:rsid w:val="005170C2"/>
    <w:rsid w:val="00517263"/>
    <w:rsid w:val="00517D8E"/>
    <w:rsid w:val="00520C70"/>
    <w:rsid w:val="00520EA0"/>
    <w:rsid w:val="00520F7D"/>
    <w:rsid w:val="0052111B"/>
    <w:rsid w:val="0052149F"/>
    <w:rsid w:val="00521E5A"/>
    <w:rsid w:val="00521EA5"/>
    <w:rsid w:val="00521FB0"/>
    <w:rsid w:val="005222D7"/>
    <w:rsid w:val="00523636"/>
    <w:rsid w:val="005247DD"/>
    <w:rsid w:val="00524CFF"/>
    <w:rsid w:val="005257B4"/>
    <w:rsid w:val="0052599B"/>
    <w:rsid w:val="00526095"/>
    <w:rsid w:val="005264D9"/>
    <w:rsid w:val="00526505"/>
    <w:rsid w:val="005267AF"/>
    <w:rsid w:val="00526CFC"/>
    <w:rsid w:val="005273E1"/>
    <w:rsid w:val="0052753D"/>
    <w:rsid w:val="005277D9"/>
    <w:rsid w:val="00527D3B"/>
    <w:rsid w:val="005302C8"/>
    <w:rsid w:val="0053035A"/>
    <w:rsid w:val="00530FD5"/>
    <w:rsid w:val="005315EB"/>
    <w:rsid w:val="0053213A"/>
    <w:rsid w:val="00532607"/>
    <w:rsid w:val="005326F9"/>
    <w:rsid w:val="005329E1"/>
    <w:rsid w:val="0053361D"/>
    <w:rsid w:val="00533925"/>
    <w:rsid w:val="00533E23"/>
    <w:rsid w:val="00534005"/>
    <w:rsid w:val="00535031"/>
    <w:rsid w:val="00535BC7"/>
    <w:rsid w:val="00536023"/>
    <w:rsid w:val="00536604"/>
    <w:rsid w:val="00536653"/>
    <w:rsid w:val="0053668F"/>
    <w:rsid w:val="005367D5"/>
    <w:rsid w:val="00536F1A"/>
    <w:rsid w:val="00537ED6"/>
    <w:rsid w:val="00540215"/>
    <w:rsid w:val="00540F5A"/>
    <w:rsid w:val="005415F8"/>
    <w:rsid w:val="00542725"/>
    <w:rsid w:val="00542C6A"/>
    <w:rsid w:val="00543B81"/>
    <w:rsid w:val="00543E32"/>
    <w:rsid w:val="005449BB"/>
    <w:rsid w:val="0054569A"/>
    <w:rsid w:val="00545919"/>
    <w:rsid w:val="00545B7D"/>
    <w:rsid w:val="00545CFA"/>
    <w:rsid w:val="0054783C"/>
    <w:rsid w:val="00547F4B"/>
    <w:rsid w:val="00547FE1"/>
    <w:rsid w:val="00550CD3"/>
    <w:rsid w:val="00550F23"/>
    <w:rsid w:val="0055179D"/>
    <w:rsid w:val="005520DD"/>
    <w:rsid w:val="00552BB7"/>
    <w:rsid w:val="00552F55"/>
    <w:rsid w:val="00554260"/>
    <w:rsid w:val="00554290"/>
    <w:rsid w:val="00554D50"/>
    <w:rsid w:val="00555397"/>
    <w:rsid w:val="005559B3"/>
    <w:rsid w:val="005563AF"/>
    <w:rsid w:val="00556AE2"/>
    <w:rsid w:val="00556D21"/>
    <w:rsid w:val="00560CAD"/>
    <w:rsid w:val="00561A18"/>
    <w:rsid w:val="00561AD8"/>
    <w:rsid w:val="00561C4B"/>
    <w:rsid w:val="00561CC7"/>
    <w:rsid w:val="0056237B"/>
    <w:rsid w:val="00562CBF"/>
    <w:rsid w:val="00562CEA"/>
    <w:rsid w:val="00562E5C"/>
    <w:rsid w:val="005632DF"/>
    <w:rsid w:val="0056350B"/>
    <w:rsid w:val="00563639"/>
    <w:rsid w:val="00564CAD"/>
    <w:rsid w:val="00565F67"/>
    <w:rsid w:val="00566773"/>
    <w:rsid w:val="005669F4"/>
    <w:rsid w:val="00567084"/>
    <w:rsid w:val="00567088"/>
    <w:rsid w:val="00567D5D"/>
    <w:rsid w:val="00567DA5"/>
    <w:rsid w:val="00567F6A"/>
    <w:rsid w:val="00570506"/>
    <w:rsid w:val="00571160"/>
    <w:rsid w:val="005724F6"/>
    <w:rsid w:val="00572E7E"/>
    <w:rsid w:val="00573233"/>
    <w:rsid w:val="00573EF5"/>
    <w:rsid w:val="0057441A"/>
    <w:rsid w:val="00574580"/>
    <w:rsid w:val="00574B05"/>
    <w:rsid w:val="0057604B"/>
    <w:rsid w:val="0057715D"/>
    <w:rsid w:val="00580D98"/>
    <w:rsid w:val="00581834"/>
    <w:rsid w:val="0058238D"/>
    <w:rsid w:val="00582658"/>
    <w:rsid w:val="00583625"/>
    <w:rsid w:val="00583CE8"/>
    <w:rsid w:val="00583DF6"/>
    <w:rsid w:val="00584616"/>
    <w:rsid w:val="005848C3"/>
    <w:rsid w:val="00585A54"/>
    <w:rsid w:val="005864F2"/>
    <w:rsid w:val="0058686A"/>
    <w:rsid w:val="0059009F"/>
    <w:rsid w:val="005903BF"/>
    <w:rsid w:val="005907BE"/>
    <w:rsid w:val="00591348"/>
    <w:rsid w:val="00591AEA"/>
    <w:rsid w:val="00592643"/>
    <w:rsid w:val="0059265E"/>
    <w:rsid w:val="00593328"/>
    <w:rsid w:val="00593868"/>
    <w:rsid w:val="00593DD4"/>
    <w:rsid w:val="005943C8"/>
    <w:rsid w:val="0059492C"/>
    <w:rsid w:val="00595103"/>
    <w:rsid w:val="00595856"/>
    <w:rsid w:val="00595D24"/>
    <w:rsid w:val="0059655E"/>
    <w:rsid w:val="00597111"/>
    <w:rsid w:val="005977B7"/>
    <w:rsid w:val="005A1A4F"/>
    <w:rsid w:val="005A3AF2"/>
    <w:rsid w:val="005A3CA0"/>
    <w:rsid w:val="005A4014"/>
    <w:rsid w:val="005A5102"/>
    <w:rsid w:val="005A510F"/>
    <w:rsid w:val="005A70AA"/>
    <w:rsid w:val="005A78CA"/>
    <w:rsid w:val="005A7924"/>
    <w:rsid w:val="005A7DF9"/>
    <w:rsid w:val="005B064D"/>
    <w:rsid w:val="005B1BEE"/>
    <w:rsid w:val="005B384D"/>
    <w:rsid w:val="005B38AB"/>
    <w:rsid w:val="005B504F"/>
    <w:rsid w:val="005B50FD"/>
    <w:rsid w:val="005B5728"/>
    <w:rsid w:val="005B5830"/>
    <w:rsid w:val="005B74A9"/>
    <w:rsid w:val="005C0014"/>
    <w:rsid w:val="005C010F"/>
    <w:rsid w:val="005C0473"/>
    <w:rsid w:val="005C0768"/>
    <w:rsid w:val="005C0948"/>
    <w:rsid w:val="005C0CA8"/>
    <w:rsid w:val="005C0CD8"/>
    <w:rsid w:val="005C0DFC"/>
    <w:rsid w:val="005C0F02"/>
    <w:rsid w:val="005C24CC"/>
    <w:rsid w:val="005C2D35"/>
    <w:rsid w:val="005C2F31"/>
    <w:rsid w:val="005C45A6"/>
    <w:rsid w:val="005C4620"/>
    <w:rsid w:val="005C4896"/>
    <w:rsid w:val="005C54C3"/>
    <w:rsid w:val="005C5607"/>
    <w:rsid w:val="005C58E0"/>
    <w:rsid w:val="005C69E4"/>
    <w:rsid w:val="005C6B03"/>
    <w:rsid w:val="005C7D5F"/>
    <w:rsid w:val="005C7E69"/>
    <w:rsid w:val="005C7ED8"/>
    <w:rsid w:val="005D0503"/>
    <w:rsid w:val="005D0A34"/>
    <w:rsid w:val="005D0AA0"/>
    <w:rsid w:val="005D0CDD"/>
    <w:rsid w:val="005D210D"/>
    <w:rsid w:val="005D2627"/>
    <w:rsid w:val="005D2724"/>
    <w:rsid w:val="005D3056"/>
    <w:rsid w:val="005D3701"/>
    <w:rsid w:val="005D3B9B"/>
    <w:rsid w:val="005D3FC8"/>
    <w:rsid w:val="005D46E1"/>
    <w:rsid w:val="005D4E18"/>
    <w:rsid w:val="005D4E7A"/>
    <w:rsid w:val="005D5A34"/>
    <w:rsid w:val="005D6422"/>
    <w:rsid w:val="005E0755"/>
    <w:rsid w:val="005E0FA0"/>
    <w:rsid w:val="005E1756"/>
    <w:rsid w:val="005E247C"/>
    <w:rsid w:val="005E25FA"/>
    <w:rsid w:val="005E2798"/>
    <w:rsid w:val="005E27D5"/>
    <w:rsid w:val="005E3A65"/>
    <w:rsid w:val="005E434B"/>
    <w:rsid w:val="005E4F7D"/>
    <w:rsid w:val="005E5AFE"/>
    <w:rsid w:val="005E5BA1"/>
    <w:rsid w:val="005E5D2D"/>
    <w:rsid w:val="005E6145"/>
    <w:rsid w:val="005E6174"/>
    <w:rsid w:val="005E6750"/>
    <w:rsid w:val="005E6AD1"/>
    <w:rsid w:val="005E6CBA"/>
    <w:rsid w:val="005E6DFD"/>
    <w:rsid w:val="005E7738"/>
    <w:rsid w:val="005F0DCB"/>
    <w:rsid w:val="005F16FE"/>
    <w:rsid w:val="005F3F44"/>
    <w:rsid w:val="005F490F"/>
    <w:rsid w:val="005F4E09"/>
    <w:rsid w:val="005F4FDF"/>
    <w:rsid w:val="005F5181"/>
    <w:rsid w:val="005F57B7"/>
    <w:rsid w:val="005F7022"/>
    <w:rsid w:val="005F7B00"/>
    <w:rsid w:val="005F7E70"/>
    <w:rsid w:val="005F7EC9"/>
    <w:rsid w:val="00600F0A"/>
    <w:rsid w:val="00601EBA"/>
    <w:rsid w:val="006035F5"/>
    <w:rsid w:val="00603A1B"/>
    <w:rsid w:val="00604059"/>
    <w:rsid w:val="00604124"/>
    <w:rsid w:val="006045B4"/>
    <w:rsid w:val="00605399"/>
    <w:rsid w:val="00605EE2"/>
    <w:rsid w:val="0060608A"/>
    <w:rsid w:val="0060667A"/>
    <w:rsid w:val="00606900"/>
    <w:rsid w:val="00606BCF"/>
    <w:rsid w:val="00606E8C"/>
    <w:rsid w:val="006111B8"/>
    <w:rsid w:val="006117EE"/>
    <w:rsid w:val="00611A8E"/>
    <w:rsid w:val="00611BB0"/>
    <w:rsid w:val="00611BCB"/>
    <w:rsid w:val="006121A1"/>
    <w:rsid w:val="00612C33"/>
    <w:rsid w:val="006137A1"/>
    <w:rsid w:val="00613C79"/>
    <w:rsid w:val="00614039"/>
    <w:rsid w:val="00614114"/>
    <w:rsid w:val="0061417A"/>
    <w:rsid w:val="00614444"/>
    <w:rsid w:val="0061527B"/>
    <w:rsid w:val="0061590C"/>
    <w:rsid w:val="00616798"/>
    <w:rsid w:val="0061692E"/>
    <w:rsid w:val="00616C44"/>
    <w:rsid w:val="00617D58"/>
    <w:rsid w:val="006215B2"/>
    <w:rsid w:val="00622331"/>
    <w:rsid w:val="006223E4"/>
    <w:rsid w:val="0062275B"/>
    <w:rsid w:val="00623DB2"/>
    <w:rsid w:val="00625FFB"/>
    <w:rsid w:val="00626069"/>
    <w:rsid w:val="00626696"/>
    <w:rsid w:val="0062694A"/>
    <w:rsid w:val="00626DDF"/>
    <w:rsid w:val="00627337"/>
    <w:rsid w:val="0062769E"/>
    <w:rsid w:val="00630711"/>
    <w:rsid w:val="00630824"/>
    <w:rsid w:val="00631E7D"/>
    <w:rsid w:val="00631FAB"/>
    <w:rsid w:val="006321BA"/>
    <w:rsid w:val="00633ABE"/>
    <w:rsid w:val="0063428C"/>
    <w:rsid w:val="006342E8"/>
    <w:rsid w:val="00634901"/>
    <w:rsid w:val="00634F9C"/>
    <w:rsid w:val="00635B22"/>
    <w:rsid w:val="00636B69"/>
    <w:rsid w:val="006403E0"/>
    <w:rsid w:val="00640BB1"/>
    <w:rsid w:val="00641472"/>
    <w:rsid w:val="00641900"/>
    <w:rsid w:val="00642741"/>
    <w:rsid w:val="00643943"/>
    <w:rsid w:val="00643E9C"/>
    <w:rsid w:val="00644770"/>
    <w:rsid w:val="006469E0"/>
    <w:rsid w:val="006470CA"/>
    <w:rsid w:val="00650A4A"/>
    <w:rsid w:val="00650B8A"/>
    <w:rsid w:val="00650BA6"/>
    <w:rsid w:val="00650BE0"/>
    <w:rsid w:val="00650CFF"/>
    <w:rsid w:val="00651122"/>
    <w:rsid w:val="00651CD9"/>
    <w:rsid w:val="00652054"/>
    <w:rsid w:val="00652328"/>
    <w:rsid w:val="006535BD"/>
    <w:rsid w:val="00653837"/>
    <w:rsid w:val="00653A39"/>
    <w:rsid w:val="006548F9"/>
    <w:rsid w:val="006554E5"/>
    <w:rsid w:val="0065556D"/>
    <w:rsid w:val="006558E1"/>
    <w:rsid w:val="00656807"/>
    <w:rsid w:val="00656E43"/>
    <w:rsid w:val="00656F65"/>
    <w:rsid w:val="00657E19"/>
    <w:rsid w:val="00657FE6"/>
    <w:rsid w:val="006611E3"/>
    <w:rsid w:val="0066134E"/>
    <w:rsid w:val="0066166C"/>
    <w:rsid w:val="00661C43"/>
    <w:rsid w:val="00661EC4"/>
    <w:rsid w:val="00662316"/>
    <w:rsid w:val="00663375"/>
    <w:rsid w:val="006633B7"/>
    <w:rsid w:val="00665730"/>
    <w:rsid w:val="00666054"/>
    <w:rsid w:val="00666294"/>
    <w:rsid w:val="00666345"/>
    <w:rsid w:val="00666517"/>
    <w:rsid w:val="00666914"/>
    <w:rsid w:val="0066745A"/>
    <w:rsid w:val="00670A91"/>
    <w:rsid w:val="00671363"/>
    <w:rsid w:val="006723CC"/>
    <w:rsid w:val="00672CD8"/>
    <w:rsid w:val="00672E65"/>
    <w:rsid w:val="00675021"/>
    <w:rsid w:val="0067722B"/>
    <w:rsid w:val="00681844"/>
    <w:rsid w:val="00681856"/>
    <w:rsid w:val="00681A92"/>
    <w:rsid w:val="00682587"/>
    <w:rsid w:val="00682E29"/>
    <w:rsid w:val="00683124"/>
    <w:rsid w:val="00683A59"/>
    <w:rsid w:val="00684030"/>
    <w:rsid w:val="006848A3"/>
    <w:rsid w:val="00684CD8"/>
    <w:rsid w:val="0068530F"/>
    <w:rsid w:val="00685322"/>
    <w:rsid w:val="006855F9"/>
    <w:rsid w:val="0068585E"/>
    <w:rsid w:val="006860F8"/>
    <w:rsid w:val="0068613D"/>
    <w:rsid w:val="006863F1"/>
    <w:rsid w:val="0068676A"/>
    <w:rsid w:val="006868BF"/>
    <w:rsid w:val="00686BE7"/>
    <w:rsid w:val="00686FF5"/>
    <w:rsid w:val="00687E7C"/>
    <w:rsid w:val="00687FEC"/>
    <w:rsid w:val="00690C11"/>
    <w:rsid w:val="00690C1E"/>
    <w:rsid w:val="00690E87"/>
    <w:rsid w:val="006912A3"/>
    <w:rsid w:val="00691324"/>
    <w:rsid w:val="00691B23"/>
    <w:rsid w:val="00691FA3"/>
    <w:rsid w:val="00693E2D"/>
    <w:rsid w:val="00694ACA"/>
    <w:rsid w:val="00694ED5"/>
    <w:rsid w:val="006950A6"/>
    <w:rsid w:val="006953EF"/>
    <w:rsid w:val="006970E2"/>
    <w:rsid w:val="00697CA3"/>
    <w:rsid w:val="00697DB1"/>
    <w:rsid w:val="006A0378"/>
    <w:rsid w:val="006A07DA"/>
    <w:rsid w:val="006A132D"/>
    <w:rsid w:val="006A16B2"/>
    <w:rsid w:val="006A201D"/>
    <w:rsid w:val="006A25EE"/>
    <w:rsid w:val="006A2A4C"/>
    <w:rsid w:val="006A2AC3"/>
    <w:rsid w:val="006A35C5"/>
    <w:rsid w:val="006A3DE3"/>
    <w:rsid w:val="006A42D0"/>
    <w:rsid w:val="006A503E"/>
    <w:rsid w:val="006A699B"/>
    <w:rsid w:val="006A6A11"/>
    <w:rsid w:val="006A7253"/>
    <w:rsid w:val="006B2653"/>
    <w:rsid w:val="006B318C"/>
    <w:rsid w:val="006B32D8"/>
    <w:rsid w:val="006B3665"/>
    <w:rsid w:val="006B3F3C"/>
    <w:rsid w:val="006B4AB7"/>
    <w:rsid w:val="006B5625"/>
    <w:rsid w:val="006B616B"/>
    <w:rsid w:val="006B6E62"/>
    <w:rsid w:val="006B721E"/>
    <w:rsid w:val="006B789A"/>
    <w:rsid w:val="006B7DD7"/>
    <w:rsid w:val="006C0320"/>
    <w:rsid w:val="006C0641"/>
    <w:rsid w:val="006C0E26"/>
    <w:rsid w:val="006C1750"/>
    <w:rsid w:val="006C1A1C"/>
    <w:rsid w:val="006C2838"/>
    <w:rsid w:val="006C28F9"/>
    <w:rsid w:val="006C2A03"/>
    <w:rsid w:val="006C3A3F"/>
    <w:rsid w:val="006C3ABF"/>
    <w:rsid w:val="006C3DDB"/>
    <w:rsid w:val="006C49A7"/>
    <w:rsid w:val="006C4AE0"/>
    <w:rsid w:val="006C5597"/>
    <w:rsid w:val="006C57ED"/>
    <w:rsid w:val="006C5875"/>
    <w:rsid w:val="006C5F66"/>
    <w:rsid w:val="006C5FE3"/>
    <w:rsid w:val="006C6DED"/>
    <w:rsid w:val="006C7DC3"/>
    <w:rsid w:val="006C7FB2"/>
    <w:rsid w:val="006D0BEF"/>
    <w:rsid w:val="006D0F33"/>
    <w:rsid w:val="006D1B2A"/>
    <w:rsid w:val="006D2972"/>
    <w:rsid w:val="006D2B5F"/>
    <w:rsid w:val="006D2CA5"/>
    <w:rsid w:val="006D2EE7"/>
    <w:rsid w:val="006D31B3"/>
    <w:rsid w:val="006D3C6F"/>
    <w:rsid w:val="006D3F73"/>
    <w:rsid w:val="006D4266"/>
    <w:rsid w:val="006D47F3"/>
    <w:rsid w:val="006D5989"/>
    <w:rsid w:val="006D5D6E"/>
    <w:rsid w:val="006D76A7"/>
    <w:rsid w:val="006E02FD"/>
    <w:rsid w:val="006E1597"/>
    <w:rsid w:val="006E1A7B"/>
    <w:rsid w:val="006E1AA0"/>
    <w:rsid w:val="006E2134"/>
    <w:rsid w:val="006E315C"/>
    <w:rsid w:val="006E3223"/>
    <w:rsid w:val="006E35E2"/>
    <w:rsid w:val="006E3ADC"/>
    <w:rsid w:val="006E4DB0"/>
    <w:rsid w:val="006E5355"/>
    <w:rsid w:val="006E5623"/>
    <w:rsid w:val="006E5633"/>
    <w:rsid w:val="006E5912"/>
    <w:rsid w:val="006E5B09"/>
    <w:rsid w:val="006E65DA"/>
    <w:rsid w:val="006E6D94"/>
    <w:rsid w:val="006E7F10"/>
    <w:rsid w:val="006F01E1"/>
    <w:rsid w:val="006F0334"/>
    <w:rsid w:val="006F0414"/>
    <w:rsid w:val="006F0567"/>
    <w:rsid w:val="006F0770"/>
    <w:rsid w:val="006F1792"/>
    <w:rsid w:val="006F1CAE"/>
    <w:rsid w:val="006F24B0"/>
    <w:rsid w:val="006F2848"/>
    <w:rsid w:val="006F32FB"/>
    <w:rsid w:val="006F3398"/>
    <w:rsid w:val="006F3C8E"/>
    <w:rsid w:val="006F415D"/>
    <w:rsid w:val="006F49D3"/>
    <w:rsid w:val="006F4E28"/>
    <w:rsid w:val="006F55EE"/>
    <w:rsid w:val="006F5D4B"/>
    <w:rsid w:val="006F5E52"/>
    <w:rsid w:val="006F5FB8"/>
    <w:rsid w:val="006F6703"/>
    <w:rsid w:val="006F6E77"/>
    <w:rsid w:val="006F7A31"/>
    <w:rsid w:val="006F7B0A"/>
    <w:rsid w:val="0070039D"/>
    <w:rsid w:val="00700640"/>
    <w:rsid w:val="00700949"/>
    <w:rsid w:val="00701844"/>
    <w:rsid w:val="00702048"/>
    <w:rsid w:val="00702E4B"/>
    <w:rsid w:val="00703680"/>
    <w:rsid w:val="00705087"/>
    <w:rsid w:val="0070566B"/>
    <w:rsid w:val="00705CEA"/>
    <w:rsid w:val="0070657D"/>
    <w:rsid w:val="0070764F"/>
    <w:rsid w:val="00710344"/>
    <w:rsid w:val="00710AD1"/>
    <w:rsid w:val="00710B40"/>
    <w:rsid w:val="00710FF4"/>
    <w:rsid w:val="0071107F"/>
    <w:rsid w:val="00711849"/>
    <w:rsid w:val="007123D9"/>
    <w:rsid w:val="00712F70"/>
    <w:rsid w:val="0071303D"/>
    <w:rsid w:val="007136D9"/>
    <w:rsid w:val="00713B2E"/>
    <w:rsid w:val="00713DFE"/>
    <w:rsid w:val="0071411D"/>
    <w:rsid w:val="00714E39"/>
    <w:rsid w:val="00715B83"/>
    <w:rsid w:val="007167A2"/>
    <w:rsid w:val="00716C39"/>
    <w:rsid w:val="00716D2D"/>
    <w:rsid w:val="00716FE8"/>
    <w:rsid w:val="00717EE6"/>
    <w:rsid w:val="0072090C"/>
    <w:rsid w:val="0072139B"/>
    <w:rsid w:val="00721949"/>
    <w:rsid w:val="00723C29"/>
    <w:rsid w:val="00724322"/>
    <w:rsid w:val="0072607D"/>
    <w:rsid w:val="0072679F"/>
    <w:rsid w:val="00726BC9"/>
    <w:rsid w:val="00726E9B"/>
    <w:rsid w:val="0072787E"/>
    <w:rsid w:val="00727BFD"/>
    <w:rsid w:val="00727C17"/>
    <w:rsid w:val="00730186"/>
    <w:rsid w:val="00730203"/>
    <w:rsid w:val="00730B48"/>
    <w:rsid w:val="00733656"/>
    <w:rsid w:val="007340E2"/>
    <w:rsid w:val="0073421A"/>
    <w:rsid w:val="00734505"/>
    <w:rsid w:val="0073557D"/>
    <w:rsid w:val="007357FF"/>
    <w:rsid w:val="00735B2E"/>
    <w:rsid w:val="00736147"/>
    <w:rsid w:val="00736A9D"/>
    <w:rsid w:val="00737D97"/>
    <w:rsid w:val="00740627"/>
    <w:rsid w:val="00741286"/>
    <w:rsid w:val="00742736"/>
    <w:rsid w:val="007434FB"/>
    <w:rsid w:val="007441B1"/>
    <w:rsid w:val="00744951"/>
    <w:rsid w:val="00744FEA"/>
    <w:rsid w:val="00745A76"/>
    <w:rsid w:val="00745A84"/>
    <w:rsid w:val="00746B92"/>
    <w:rsid w:val="007472BD"/>
    <w:rsid w:val="00747466"/>
    <w:rsid w:val="007479ED"/>
    <w:rsid w:val="007513E1"/>
    <w:rsid w:val="0075169D"/>
    <w:rsid w:val="00751802"/>
    <w:rsid w:val="00751C00"/>
    <w:rsid w:val="00752D13"/>
    <w:rsid w:val="007531E2"/>
    <w:rsid w:val="007534E4"/>
    <w:rsid w:val="00753E11"/>
    <w:rsid w:val="00754270"/>
    <w:rsid w:val="007545A3"/>
    <w:rsid w:val="00754D76"/>
    <w:rsid w:val="00754F92"/>
    <w:rsid w:val="00755BF9"/>
    <w:rsid w:val="00756147"/>
    <w:rsid w:val="00756C1A"/>
    <w:rsid w:val="00757724"/>
    <w:rsid w:val="007602D3"/>
    <w:rsid w:val="007617EC"/>
    <w:rsid w:val="00761CB7"/>
    <w:rsid w:val="007621FE"/>
    <w:rsid w:val="00762FAE"/>
    <w:rsid w:val="00764166"/>
    <w:rsid w:val="00764C30"/>
    <w:rsid w:val="00764C70"/>
    <w:rsid w:val="00764F76"/>
    <w:rsid w:val="00765D49"/>
    <w:rsid w:val="007665A3"/>
    <w:rsid w:val="007667A3"/>
    <w:rsid w:val="00770426"/>
    <w:rsid w:val="00770C3E"/>
    <w:rsid w:val="00770EA8"/>
    <w:rsid w:val="00772625"/>
    <w:rsid w:val="00773571"/>
    <w:rsid w:val="00773AE6"/>
    <w:rsid w:val="00774AAA"/>
    <w:rsid w:val="00774DD5"/>
    <w:rsid w:val="007750F8"/>
    <w:rsid w:val="007760A9"/>
    <w:rsid w:val="00776259"/>
    <w:rsid w:val="00776DBD"/>
    <w:rsid w:val="00777FD8"/>
    <w:rsid w:val="0078047B"/>
    <w:rsid w:val="0078049C"/>
    <w:rsid w:val="00781180"/>
    <w:rsid w:val="00781FE2"/>
    <w:rsid w:val="007828B0"/>
    <w:rsid w:val="00782BDD"/>
    <w:rsid w:val="00785736"/>
    <w:rsid w:val="00785B89"/>
    <w:rsid w:val="0078622B"/>
    <w:rsid w:val="00786C37"/>
    <w:rsid w:val="0078751D"/>
    <w:rsid w:val="007876B0"/>
    <w:rsid w:val="00787952"/>
    <w:rsid w:val="007911D5"/>
    <w:rsid w:val="00791ED3"/>
    <w:rsid w:val="0079261D"/>
    <w:rsid w:val="00793287"/>
    <w:rsid w:val="00793CD9"/>
    <w:rsid w:val="00793F78"/>
    <w:rsid w:val="00794332"/>
    <w:rsid w:val="00794BAE"/>
    <w:rsid w:val="00795C97"/>
    <w:rsid w:val="00795EF9"/>
    <w:rsid w:val="007968A2"/>
    <w:rsid w:val="007975A6"/>
    <w:rsid w:val="0079768A"/>
    <w:rsid w:val="00797E21"/>
    <w:rsid w:val="00797EE6"/>
    <w:rsid w:val="007A06DD"/>
    <w:rsid w:val="007A0FAB"/>
    <w:rsid w:val="007A184A"/>
    <w:rsid w:val="007A2122"/>
    <w:rsid w:val="007A234B"/>
    <w:rsid w:val="007A245D"/>
    <w:rsid w:val="007A2D46"/>
    <w:rsid w:val="007A4B49"/>
    <w:rsid w:val="007A4DE3"/>
    <w:rsid w:val="007A4F71"/>
    <w:rsid w:val="007A51F9"/>
    <w:rsid w:val="007A5AB7"/>
    <w:rsid w:val="007A6A39"/>
    <w:rsid w:val="007A73AB"/>
    <w:rsid w:val="007A78A4"/>
    <w:rsid w:val="007A7AEF"/>
    <w:rsid w:val="007A7DE1"/>
    <w:rsid w:val="007A7E27"/>
    <w:rsid w:val="007B0448"/>
    <w:rsid w:val="007B0E14"/>
    <w:rsid w:val="007B1049"/>
    <w:rsid w:val="007B1A07"/>
    <w:rsid w:val="007B3E8B"/>
    <w:rsid w:val="007B4366"/>
    <w:rsid w:val="007B4DBC"/>
    <w:rsid w:val="007B5146"/>
    <w:rsid w:val="007B5326"/>
    <w:rsid w:val="007B60B9"/>
    <w:rsid w:val="007B68F0"/>
    <w:rsid w:val="007B6B83"/>
    <w:rsid w:val="007C0532"/>
    <w:rsid w:val="007C0F57"/>
    <w:rsid w:val="007C1BB2"/>
    <w:rsid w:val="007C2D1A"/>
    <w:rsid w:val="007C3786"/>
    <w:rsid w:val="007C391B"/>
    <w:rsid w:val="007C3BEA"/>
    <w:rsid w:val="007C49B9"/>
    <w:rsid w:val="007C4A0E"/>
    <w:rsid w:val="007C4BB5"/>
    <w:rsid w:val="007C4DFC"/>
    <w:rsid w:val="007C4FB9"/>
    <w:rsid w:val="007C5A7B"/>
    <w:rsid w:val="007C5D4C"/>
    <w:rsid w:val="007C6349"/>
    <w:rsid w:val="007C6E98"/>
    <w:rsid w:val="007D1237"/>
    <w:rsid w:val="007D1A87"/>
    <w:rsid w:val="007D22EE"/>
    <w:rsid w:val="007D29E9"/>
    <w:rsid w:val="007D2F8F"/>
    <w:rsid w:val="007D2FC8"/>
    <w:rsid w:val="007D379E"/>
    <w:rsid w:val="007D399E"/>
    <w:rsid w:val="007D45C3"/>
    <w:rsid w:val="007D506A"/>
    <w:rsid w:val="007D6B78"/>
    <w:rsid w:val="007D78B2"/>
    <w:rsid w:val="007E0EF0"/>
    <w:rsid w:val="007E23E9"/>
    <w:rsid w:val="007E26DC"/>
    <w:rsid w:val="007E2FC4"/>
    <w:rsid w:val="007E36AB"/>
    <w:rsid w:val="007E466F"/>
    <w:rsid w:val="007E5055"/>
    <w:rsid w:val="007E5AC5"/>
    <w:rsid w:val="007E5B19"/>
    <w:rsid w:val="007E6C77"/>
    <w:rsid w:val="007F0846"/>
    <w:rsid w:val="007F08D7"/>
    <w:rsid w:val="007F0C1C"/>
    <w:rsid w:val="007F1AA1"/>
    <w:rsid w:val="007F22AB"/>
    <w:rsid w:val="007F2578"/>
    <w:rsid w:val="007F2864"/>
    <w:rsid w:val="007F310B"/>
    <w:rsid w:val="007F51E5"/>
    <w:rsid w:val="007F59A7"/>
    <w:rsid w:val="007F671B"/>
    <w:rsid w:val="007F7D5A"/>
    <w:rsid w:val="00802CB7"/>
    <w:rsid w:val="00802D8C"/>
    <w:rsid w:val="00803895"/>
    <w:rsid w:val="00803AB5"/>
    <w:rsid w:val="0080492D"/>
    <w:rsid w:val="00804AA4"/>
    <w:rsid w:val="00805098"/>
    <w:rsid w:val="008053A0"/>
    <w:rsid w:val="00805499"/>
    <w:rsid w:val="00805850"/>
    <w:rsid w:val="00806096"/>
    <w:rsid w:val="00806DEC"/>
    <w:rsid w:val="00806F4F"/>
    <w:rsid w:val="00807727"/>
    <w:rsid w:val="00807C5F"/>
    <w:rsid w:val="008107F3"/>
    <w:rsid w:val="00810D7F"/>
    <w:rsid w:val="00811EDA"/>
    <w:rsid w:val="008124FF"/>
    <w:rsid w:val="0081276A"/>
    <w:rsid w:val="0081291C"/>
    <w:rsid w:val="008132FD"/>
    <w:rsid w:val="0081345E"/>
    <w:rsid w:val="0081424C"/>
    <w:rsid w:val="00814BDE"/>
    <w:rsid w:val="008152CE"/>
    <w:rsid w:val="00815C03"/>
    <w:rsid w:val="00815CA2"/>
    <w:rsid w:val="00816207"/>
    <w:rsid w:val="00816B58"/>
    <w:rsid w:val="00816C8B"/>
    <w:rsid w:val="00816F8E"/>
    <w:rsid w:val="008171E0"/>
    <w:rsid w:val="00817CBC"/>
    <w:rsid w:val="00820244"/>
    <w:rsid w:val="00820463"/>
    <w:rsid w:val="00820991"/>
    <w:rsid w:val="00820A03"/>
    <w:rsid w:val="00820DBB"/>
    <w:rsid w:val="00821199"/>
    <w:rsid w:val="00821AB2"/>
    <w:rsid w:val="00821D9D"/>
    <w:rsid w:val="00823524"/>
    <w:rsid w:val="00823859"/>
    <w:rsid w:val="00823961"/>
    <w:rsid w:val="008250DC"/>
    <w:rsid w:val="00825863"/>
    <w:rsid w:val="00825D58"/>
    <w:rsid w:val="0082618D"/>
    <w:rsid w:val="00826860"/>
    <w:rsid w:val="008269CE"/>
    <w:rsid w:val="00826A13"/>
    <w:rsid w:val="00826B53"/>
    <w:rsid w:val="00826EA2"/>
    <w:rsid w:val="0082702E"/>
    <w:rsid w:val="00827803"/>
    <w:rsid w:val="00827878"/>
    <w:rsid w:val="00830286"/>
    <w:rsid w:val="008309AD"/>
    <w:rsid w:val="00830AE5"/>
    <w:rsid w:val="00830CBC"/>
    <w:rsid w:val="0083110A"/>
    <w:rsid w:val="008312A7"/>
    <w:rsid w:val="0083133B"/>
    <w:rsid w:val="008320AA"/>
    <w:rsid w:val="00832A13"/>
    <w:rsid w:val="008331D7"/>
    <w:rsid w:val="00833449"/>
    <w:rsid w:val="00833738"/>
    <w:rsid w:val="0083397B"/>
    <w:rsid w:val="00833E21"/>
    <w:rsid w:val="00833F8E"/>
    <w:rsid w:val="00834031"/>
    <w:rsid w:val="0083433F"/>
    <w:rsid w:val="008361DC"/>
    <w:rsid w:val="0083660A"/>
    <w:rsid w:val="008371F8"/>
    <w:rsid w:val="00840A2D"/>
    <w:rsid w:val="00841401"/>
    <w:rsid w:val="0084164B"/>
    <w:rsid w:val="0084166C"/>
    <w:rsid w:val="0084222D"/>
    <w:rsid w:val="0084288F"/>
    <w:rsid w:val="00842E42"/>
    <w:rsid w:val="0084339A"/>
    <w:rsid w:val="0084377E"/>
    <w:rsid w:val="00843B7E"/>
    <w:rsid w:val="00843BEC"/>
    <w:rsid w:val="00844876"/>
    <w:rsid w:val="008460EF"/>
    <w:rsid w:val="0084680E"/>
    <w:rsid w:val="00846AB1"/>
    <w:rsid w:val="00850D25"/>
    <w:rsid w:val="00851451"/>
    <w:rsid w:val="0085171B"/>
    <w:rsid w:val="00851D9A"/>
    <w:rsid w:val="00853288"/>
    <w:rsid w:val="00853976"/>
    <w:rsid w:val="00854C9D"/>
    <w:rsid w:val="00854DBA"/>
    <w:rsid w:val="00854E38"/>
    <w:rsid w:val="00854EBE"/>
    <w:rsid w:val="00855027"/>
    <w:rsid w:val="008551F1"/>
    <w:rsid w:val="008552C0"/>
    <w:rsid w:val="00856C2D"/>
    <w:rsid w:val="00857535"/>
    <w:rsid w:val="0085762E"/>
    <w:rsid w:val="00857EA1"/>
    <w:rsid w:val="00860A4C"/>
    <w:rsid w:val="00860F37"/>
    <w:rsid w:val="008614D9"/>
    <w:rsid w:val="0086174D"/>
    <w:rsid w:val="00863764"/>
    <w:rsid w:val="00863D4E"/>
    <w:rsid w:val="008659AB"/>
    <w:rsid w:val="00866919"/>
    <w:rsid w:val="00866FBD"/>
    <w:rsid w:val="00867327"/>
    <w:rsid w:val="0087015F"/>
    <w:rsid w:val="008706E6"/>
    <w:rsid w:val="00870A0C"/>
    <w:rsid w:val="00870AC9"/>
    <w:rsid w:val="00871127"/>
    <w:rsid w:val="00871F7B"/>
    <w:rsid w:val="00872434"/>
    <w:rsid w:val="00872DE4"/>
    <w:rsid w:val="00872F0E"/>
    <w:rsid w:val="0087326D"/>
    <w:rsid w:val="0087412F"/>
    <w:rsid w:val="00874DC8"/>
    <w:rsid w:val="008754DA"/>
    <w:rsid w:val="00876A47"/>
    <w:rsid w:val="008771FC"/>
    <w:rsid w:val="00877B46"/>
    <w:rsid w:val="0088087E"/>
    <w:rsid w:val="00880AEF"/>
    <w:rsid w:val="00880CB1"/>
    <w:rsid w:val="008825F9"/>
    <w:rsid w:val="00882BF7"/>
    <w:rsid w:val="00883B06"/>
    <w:rsid w:val="00883E8B"/>
    <w:rsid w:val="00885361"/>
    <w:rsid w:val="008855D6"/>
    <w:rsid w:val="0088597C"/>
    <w:rsid w:val="00886405"/>
    <w:rsid w:val="00886CDC"/>
    <w:rsid w:val="00886D1A"/>
    <w:rsid w:val="00886F74"/>
    <w:rsid w:val="008870E6"/>
    <w:rsid w:val="008903DB"/>
    <w:rsid w:val="008904DC"/>
    <w:rsid w:val="00890791"/>
    <w:rsid w:val="00890A97"/>
    <w:rsid w:val="00892224"/>
    <w:rsid w:val="008923AF"/>
    <w:rsid w:val="00892534"/>
    <w:rsid w:val="0089371C"/>
    <w:rsid w:val="00895A16"/>
    <w:rsid w:val="00895D92"/>
    <w:rsid w:val="0089644B"/>
    <w:rsid w:val="00896CC4"/>
    <w:rsid w:val="008973A5"/>
    <w:rsid w:val="00897F8D"/>
    <w:rsid w:val="008A008B"/>
    <w:rsid w:val="008A030D"/>
    <w:rsid w:val="008A0C33"/>
    <w:rsid w:val="008A180C"/>
    <w:rsid w:val="008A1ED1"/>
    <w:rsid w:val="008A21FC"/>
    <w:rsid w:val="008A294B"/>
    <w:rsid w:val="008A6756"/>
    <w:rsid w:val="008A682F"/>
    <w:rsid w:val="008A7142"/>
    <w:rsid w:val="008A79AB"/>
    <w:rsid w:val="008B1A0B"/>
    <w:rsid w:val="008B2581"/>
    <w:rsid w:val="008B2698"/>
    <w:rsid w:val="008B4448"/>
    <w:rsid w:val="008B4782"/>
    <w:rsid w:val="008B4E8E"/>
    <w:rsid w:val="008B5E00"/>
    <w:rsid w:val="008B69F1"/>
    <w:rsid w:val="008B7B62"/>
    <w:rsid w:val="008B7C99"/>
    <w:rsid w:val="008B7D3C"/>
    <w:rsid w:val="008B7DEE"/>
    <w:rsid w:val="008B7F1E"/>
    <w:rsid w:val="008C03A4"/>
    <w:rsid w:val="008C0A6F"/>
    <w:rsid w:val="008C0BEE"/>
    <w:rsid w:val="008C0EE9"/>
    <w:rsid w:val="008C158C"/>
    <w:rsid w:val="008C1DB3"/>
    <w:rsid w:val="008C2DA2"/>
    <w:rsid w:val="008C363B"/>
    <w:rsid w:val="008C449A"/>
    <w:rsid w:val="008C538C"/>
    <w:rsid w:val="008C59D2"/>
    <w:rsid w:val="008C601C"/>
    <w:rsid w:val="008C61E2"/>
    <w:rsid w:val="008C6CD4"/>
    <w:rsid w:val="008C6FE6"/>
    <w:rsid w:val="008C74A9"/>
    <w:rsid w:val="008C74EE"/>
    <w:rsid w:val="008C7BA4"/>
    <w:rsid w:val="008D043B"/>
    <w:rsid w:val="008D0634"/>
    <w:rsid w:val="008D06D0"/>
    <w:rsid w:val="008D36AA"/>
    <w:rsid w:val="008D38A4"/>
    <w:rsid w:val="008D3C6D"/>
    <w:rsid w:val="008D400D"/>
    <w:rsid w:val="008D4709"/>
    <w:rsid w:val="008D6580"/>
    <w:rsid w:val="008D6E05"/>
    <w:rsid w:val="008D7762"/>
    <w:rsid w:val="008E0300"/>
    <w:rsid w:val="008E1845"/>
    <w:rsid w:val="008E229B"/>
    <w:rsid w:val="008E2385"/>
    <w:rsid w:val="008E297B"/>
    <w:rsid w:val="008E2E76"/>
    <w:rsid w:val="008E34E2"/>
    <w:rsid w:val="008E4B2A"/>
    <w:rsid w:val="008E50F5"/>
    <w:rsid w:val="008E55C9"/>
    <w:rsid w:val="008E5A2E"/>
    <w:rsid w:val="008E691A"/>
    <w:rsid w:val="008E6AFF"/>
    <w:rsid w:val="008F0BFC"/>
    <w:rsid w:val="008F0D11"/>
    <w:rsid w:val="008F0E66"/>
    <w:rsid w:val="008F0F37"/>
    <w:rsid w:val="008F1110"/>
    <w:rsid w:val="008F123B"/>
    <w:rsid w:val="008F16A9"/>
    <w:rsid w:val="008F2E89"/>
    <w:rsid w:val="008F3E1B"/>
    <w:rsid w:val="008F3E38"/>
    <w:rsid w:val="008F43D4"/>
    <w:rsid w:val="008F4555"/>
    <w:rsid w:val="008F558A"/>
    <w:rsid w:val="008F62F4"/>
    <w:rsid w:val="008F695E"/>
    <w:rsid w:val="008F6CCC"/>
    <w:rsid w:val="008F6FB9"/>
    <w:rsid w:val="008F723A"/>
    <w:rsid w:val="008F79A2"/>
    <w:rsid w:val="008F7B58"/>
    <w:rsid w:val="0090023D"/>
    <w:rsid w:val="009008E3"/>
    <w:rsid w:val="00901258"/>
    <w:rsid w:val="009012B1"/>
    <w:rsid w:val="009012DC"/>
    <w:rsid w:val="00901957"/>
    <w:rsid w:val="00904386"/>
    <w:rsid w:val="0090451F"/>
    <w:rsid w:val="009049A7"/>
    <w:rsid w:val="00905E46"/>
    <w:rsid w:val="009062C0"/>
    <w:rsid w:val="00906456"/>
    <w:rsid w:val="0091063B"/>
    <w:rsid w:val="0091110A"/>
    <w:rsid w:val="0091195F"/>
    <w:rsid w:val="00911D47"/>
    <w:rsid w:val="00912988"/>
    <w:rsid w:val="0091303D"/>
    <w:rsid w:val="009140BC"/>
    <w:rsid w:val="0091410C"/>
    <w:rsid w:val="00914121"/>
    <w:rsid w:val="00914875"/>
    <w:rsid w:val="0091538F"/>
    <w:rsid w:val="00915A7F"/>
    <w:rsid w:val="00915F1C"/>
    <w:rsid w:val="00916858"/>
    <w:rsid w:val="00917186"/>
    <w:rsid w:val="00917B46"/>
    <w:rsid w:val="00920F24"/>
    <w:rsid w:val="00921D8B"/>
    <w:rsid w:val="009225F0"/>
    <w:rsid w:val="00922A9A"/>
    <w:rsid w:val="00923B9D"/>
    <w:rsid w:val="0092489C"/>
    <w:rsid w:val="00924CFB"/>
    <w:rsid w:val="0092516B"/>
    <w:rsid w:val="00925427"/>
    <w:rsid w:val="009258F0"/>
    <w:rsid w:val="00925D37"/>
    <w:rsid w:val="00925E61"/>
    <w:rsid w:val="00926474"/>
    <w:rsid w:val="00926682"/>
    <w:rsid w:val="009269D8"/>
    <w:rsid w:val="009271A8"/>
    <w:rsid w:val="0093078F"/>
    <w:rsid w:val="009308BE"/>
    <w:rsid w:val="00930D2B"/>
    <w:rsid w:val="00931456"/>
    <w:rsid w:val="0093187C"/>
    <w:rsid w:val="009319F6"/>
    <w:rsid w:val="00931F3E"/>
    <w:rsid w:val="00932563"/>
    <w:rsid w:val="009327A7"/>
    <w:rsid w:val="00932FFE"/>
    <w:rsid w:val="0093361D"/>
    <w:rsid w:val="00933A80"/>
    <w:rsid w:val="009340A6"/>
    <w:rsid w:val="00934263"/>
    <w:rsid w:val="009342EC"/>
    <w:rsid w:val="009345BD"/>
    <w:rsid w:val="00934771"/>
    <w:rsid w:val="00935436"/>
    <w:rsid w:val="00935B1D"/>
    <w:rsid w:val="009360B0"/>
    <w:rsid w:val="0093639A"/>
    <w:rsid w:val="009366CD"/>
    <w:rsid w:val="00940563"/>
    <w:rsid w:val="0094091A"/>
    <w:rsid w:val="00942DC0"/>
    <w:rsid w:val="00943223"/>
    <w:rsid w:val="009435B3"/>
    <w:rsid w:val="00943677"/>
    <w:rsid w:val="00943F2B"/>
    <w:rsid w:val="0094450D"/>
    <w:rsid w:val="00944B7C"/>
    <w:rsid w:val="009458B1"/>
    <w:rsid w:val="009468F5"/>
    <w:rsid w:val="0094750C"/>
    <w:rsid w:val="0094799F"/>
    <w:rsid w:val="0095001E"/>
    <w:rsid w:val="00950884"/>
    <w:rsid w:val="00950C88"/>
    <w:rsid w:val="009519D4"/>
    <w:rsid w:val="00951C59"/>
    <w:rsid w:val="00951C7B"/>
    <w:rsid w:val="00952170"/>
    <w:rsid w:val="00952271"/>
    <w:rsid w:val="0095229B"/>
    <w:rsid w:val="00952C60"/>
    <w:rsid w:val="00952CDD"/>
    <w:rsid w:val="00953C0F"/>
    <w:rsid w:val="0095513B"/>
    <w:rsid w:val="0095525D"/>
    <w:rsid w:val="00955C91"/>
    <w:rsid w:val="00955F76"/>
    <w:rsid w:val="009561C3"/>
    <w:rsid w:val="009574A9"/>
    <w:rsid w:val="00960021"/>
    <w:rsid w:val="009602E2"/>
    <w:rsid w:val="0096245A"/>
    <w:rsid w:val="009627F0"/>
    <w:rsid w:val="009638D0"/>
    <w:rsid w:val="00963F68"/>
    <w:rsid w:val="00964D6E"/>
    <w:rsid w:val="00964EA5"/>
    <w:rsid w:val="0096505C"/>
    <w:rsid w:val="009650F0"/>
    <w:rsid w:val="00965C7F"/>
    <w:rsid w:val="00965FE5"/>
    <w:rsid w:val="00967729"/>
    <w:rsid w:val="009678C8"/>
    <w:rsid w:val="00967B36"/>
    <w:rsid w:val="00970998"/>
    <w:rsid w:val="00970EE2"/>
    <w:rsid w:val="009712F3"/>
    <w:rsid w:val="009715E2"/>
    <w:rsid w:val="00971C25"/>
    <w:rsid w:val="00972051"/>
    <w:rsid w:val="00974B57"/>
    <w:rsid w:val="00975122"/>
    <w:rsid w:val="0097527A"/>
    <w:rsid w:val="0097527B"/>
    <w:rsid w:val="00975AD2"/>
    <w:rsid w:val="00975F21"/>
    <w:rsid w:val="00976713"/>
    <w:rsid w:val="0097740B"/>
    <w:rsid w:val="00977E0A"/>
    <w:rsid w:val="0098018B"/>
    <w:rsid w:val="00980933"/>
    <w:rsid w:val="00980C03"/>
    <w:rsid w:val="0098124B"/>
    <w:rsid w:val="0098213C"/>
    <w:rsid w:val="00982628"/>
    <w:rsid w:val="0098299A"/>
    <w:rsid w:val="00982B09"/>
    <w:rsid w:val="00982ECB"/>
    <w:rsid w:val="0098458F"/>
    <w:rsid w:val="00984FAF"/>
    <w:rsid w:val="00985AFC"/>
    <w:rsid w:val="00985B2F"/>
    <w:rsid w:val="0098620A"/>
    <w:rsid w:val="0098661F"/>
    <w:rsid w:val="00986C77"/>
    <w:rsid w:val="00990B8D"/>
    <w:rsid w:val="009914B6"/>
    <w:rsid w:val="009918B7"/>
    <w:rsid w:val="00991B5D"/>
    <w:rsid w:val="00991B75"/>
    <w:rsid w:val="00991CE3"/>
    <w:rsid w:val="00991F4A"/>
    <w:rsid w:val="00994509"/>
    <w:rsid w:val="00994862"/>
    <w:rsid w:val="00996355"/>
    <w:rsid w:val="009963F5"/>
    <w:rsid w:val="009968EF"/>
    <w:rsid w:val="009A028E"/>
    <w:rsid w:val="009A0B7C"/>
    <w:rsid w:val="009A19D2"/>
    <w:rsid w:val="009A28B5"/>
    <w:rsid w:val="009A2C2A"/>
    <w:rsid w:val="009A2CAF"/>
    <w:rsid w:val="009A3C2A"/>
    <w:rsid w:val="009A48B4"/>
    <w:rsid w:val="009A4F7A"/>
    <w:rsid w:val="009A5581"/>
    <w:rsid w:val="009A5F6D"/>
    <w:rsid w:val="009A5F76"/>
    <w:rsid w:val="009A6608"/>
    <w:rsid w:val="009A66B3"/>
    <w:rsid w:val="009A6A6F"/>
    <w:rsid w:val="009A6F76"/>
    <w:rsid w:val="009A7170"/>
    <w:rsid w:val="009A7E0A"/>
    <w:rsid w:val="009B0105"/>
    <w:rsid w:val="009B0892"/>
    <w:rsid w:val="009B0F7D"/>
    <w:rsid w:val="009B2DB9"/>
    <w:rsid w:val="009B3756"/>
    <w:rsid w:val="009B3BAA"/>
    <w:rsid w:val="009B4078"/>
    <w:rsid w:val="009B471A"/>
    <w:rsid w:val="009B4781"/>
    <w:rsid w:val="009B4E8A"/>
    <w:rsid w:val="009B5A20"/>
    <w:rsid w:val="009B5B59"/>
    <w:rsid w:val="009B5D54"/>
    <w:rsid w:val="009B70AB"/>
    <w:rsid w:val="009B7438"/>
    <w:rsid w:val="009B7913"/>
    <w:rsid w:val="009C02FB"/>
    <w:rsid w:val="009C0B1D"/>
    <w:rsid w:val="009C24C6"/>
    <w:rsid w:val="009C28AA"/>
    <w:rsid w:val="009C3933"/>
    <w:rsid w:val="009C3AEE"/>
    <w:rsid w:val="009C503B"/>
    <w:rsid w:val="009C5122"/>
    <w:rsid w:val="009C55A2"/>
    <w:rsid w:val="009C614F"/>
    <w:rsid w:val="009D0F7C"/>
    <w:rsid w:val="009D1E23"/>
    <w:rsid w:val="009D3385"/>
    <w:rsid w:val="009D3E42"/>
    <w:rsid w:val="009D438D"/>
    <w:rsid w:val="009D5614"/>
    <w:rsid w:val="009D5768"/>
    <w:rsid w:val="009D6A33"/>
    <w:rsid w:val="009D728A"/>
    <w:rsid w:val="009D758C"/>
    <w:rsid w:val="009E00AB"/>
    <w:rsid w:val="009E0336"/>
    <w:rsid w:val="009E049B"/>
    <w:rsid w:val="009E0E37"/>
    <w:rsid w:val="009E1E91"/>
    <w:rsid w:val="009E250F"/>
    <w:rsid w:val="009E2626"/>
    <w:rsid w:val="009E2CBF"/>
    <w:rsid w:val="009E3B1D"/>
    <w:rsid w:val="009E3BFA"/>
    <w:rsid w:val="009E4336"/>
    <w:rsid w:val="009E4455"/>
    <w:rsid w:val="009E5499"/>
    <w:rsid w:val="009E6D6B"/>
    <w:rsid w:val="009E6E79"/>
    <w:rsid w:val="009F0187"/>
    <w:rsid w:val="009F03D6"/>
    <w:rsid w:val="009F06DC"/>
    <w:rsid w:val="009F107F"/>
    <w:rsid w:val="009F2167"/>
    <w:rsid w:val="009F2E1B"/>
    <w:rsid w:val="009F32D7"/>
    <w:rsid w:val="009F46AD"/>
    <w:rsid w:val="009F49DC"/>
    <w:rsid w:val="009F51C2"/>
    <w:rsid w:val="009F5B7A"/>
    <w:rsid w:val="009F71C5"/>
    <w:rsid w:val="00A01204"/>
    <w:rsid w:val="00A01653"/>
    <w:rsid w:val="00A019DF"/>
    <w:rsid w:val="00A01B0C"/>
    <w:rsid w:val="00A02FA2"/>
    <w:rsid w:val="00A032CE"/>
    <w:rsid w:val="00A034D5"/>
    <w:rsid w:val="00A039F6"/>
    <w:rsid w:val="00A04FE1"/>
    <w:rsid w:val="00A05EFA"/>
    <w:rsid w:val="00A065E8"/>
    <w:rsid w:val="00A066A2"/>
    <w:rsid w:val="00A10483"/>
    <w:rsid w:val="00A11BCD"/>
    <w:rsid w:val="00A11DDF"/>
    <w:rsid w:val="00A12075"/>
    <w:rsid w:val="00A13258"/>
    <w:rsid w:val="00A13622"/>
    <w:rsid w:val="00A1403E"/>
    <w:rsid w:val="00A147C3"/>
    <w:rsid w:val="00A1765B"/>
    <w:rsid w:val="00A17F8E"/>
    <w:rsid w:val="00A207E8"/>
    <w:rsid w:val="00A21BCE"/>
    <w:rsid w:val="00A21DFA"/>
    <w:rsid w:val="00A21F1F"/>
    <w:rsid w:val="00A225BE"/>
    <w:rsid w:val="00A22C86"/>
    <w:rsid w:val="00A23AC2"/>
    <w:rsid w:val="00A23D63"/>
    <w:rsid w:val="00A242B3"/>
    <w:rsid w:val="00A2473C"/>
    <w:rsid w:val="00A24B0D"/>
    <w:rsid w:val="00A256F8"/>
    <w:rsid w:val="00A26A6D"/>
    <w:rsid w:val="00A30006"/>
    <w:rsid w:val="00A30B52"/>
    <w:rsid w:val="00A30C88"/>
    <w:rsid w:val="00A30E70"/>
    <w:rsid w:val="00A30F12"/>
    <w:rsid w:val="00A31277"/>
    <w:rsid w:val="00A315FB"/>
    <w:rsid w:val="00A31F4A"/>
    <w:rsid w:val="00A32091"/>
    <w:rsid w:val="00A322C1"/>
    <w:rsid w:val="00A329A1"/>
    <w:rsid w:val="00A3354E"/>
    <w:rsid w:val="00A33DEB"/>
    <w:rsid w:val="00A34054"/>
    <w:rsid w:val="00A3422E"/>
    <w:rsid w:val="00A3488C"/>
    <w:rsid w:val="00A34FCA"/>
    <w:rsid w:val="00A35201"/>
    <w:rsid w:val="00A3716A"/>
    <w:rsid w:val="00A372E7"/>
    <w:rsid w:val="00A37F2A"/>
    <w:rsid w:val="00A40203"/>
    <w:rsid w:val="00A4071F"/>
    <w:rsid w:val="00A41280"/>
    <w:rsid w:val="00A41723"/>
    <w:rsid w:val="00A41A8F"/>
    <w:rsid w:val="00A41F8C"/>
    <w:rsid w:val="00A42612"/>
    <w:rsid w:val="00A42855"/>
    <w:rsid w:val="00A42A3E"/>
    <w:rsid w:val="00A42F7F"/>
    <w:rsid w:val="00A4303C"/>
    <w:rsid w:val="00A441DE"/>
    <w:rsid w:val="00A4446F"/>
    <w:rsid w:val="00A44BD6"/>
    <w:rsid w:val="00A44E19"/>
    <w:rsid w:val="00A45699"/>
    <w:rsid w:val="00A46495"/>
    <w:rsid w:val="00A46B6D"/>
    <w:rsid w:val="00A50EAC"/>
    <w:rsid w:val="00A5186B"/>
    <w:rsid w:val="00A51E35"/>
    <w:rsid w:val="00A5248E"/>
    <w:rsid w:val="00A525C1"/>
    <w:rsid w:val="00A52753"/>
    <w:rsid w:val="00A53256"/>
    <w:rsid w:val="00A53579"/>
    <w:rsid w:val="00A53EAD"/>
    <w:rsid w:val="00A5439F"/>
    <w:rsid w:val="00A5443E"/>
    <w:rsid w:val="00A547DC"/>
    <w:rsid w:val="00A5487F"/>
    <w:rsid w:val="00A54B00"/>
    <w:rsid w:val="00A559CE"/>
    <w:rsid w:val="00A55F0B"/>
    <w:rsid w:val="00A5673D"/>
    <w:rsid w:val="00A57830"/>
    <w:rsid w:val="00A57E91"/>
    <w:rsid w:val="00A607CD"/>
    <w:rsid w:val="00A60CE2"/>
    <w:rsid w:val="00A618A5"/>
    <w:rsid w:val="00A62925"/>
    <w:rsid w:val="00A6354A"/>
    <w:rsid w:val="00A64D14"/>
    <w:rsid w:val="00A64DFE"/>
    <w:rsid w:val="00A64F69"/>
    <w:rsid w:val="00A65DB9"/>
    <w:rsid w:val="00A6656D"/>
    <w:rsid w:val="00A66842"/>
    <w:rsid w:val="00A6701D"/>
    <w:rsid w:val="00A67726"/>
    <w:rsid w:val="00A67E12"/>
    <w:rsid w:val="00A700D0"/>
    <w:rsid w:val="00A70589"/>
    <w:rsid w:val="00A70B6D"/>
    <w:rsid w:val="00A70DF9"/>
    <w:rsid w:val="00A710DD"/>
    <w:rsid w:val="00A7136A"/>
    <w:rsid w:val="00A716B3"/>
    <w:rsid w:val="00A7182A"/>
    <w:rsid w:val="00A72221"/>
    <w:rsid w:val="00A72E4B"/>
    <w:rsid w:val="00A7312B"/>
    <w:rsid w:val="00A73DA8"/>
    <w:rsid w:val="00A75650"/>
    <w:rsid w:val="00A759ED"/>
    <w:rsid w:val="00A7619D"/>
    <w:rsid w:val="00A763B4"/>
    <w:rsid w:val="00A76C1F"/>
    <w:rsid w:val="00A8054D"/>
    <w:rsid w:val="00A8079A"/>
    <w:rsid w:val="00A80F72"/>
    <w:rsid w:val="00A817D4"/>
    <w:rsid w:val="00A8276F"/>
    <w:rsid w:val="00A84B26"/>
    <w:rsid w:val="00A84BCB"/>
    <w:rsid w:val="00A85A63"/>
    <w:rsid w:val="00A85AC7"/>
    <w:rsid w:val="00A85C77"/>
    <w:rsid w:val="00A85F7B"/>
    <w:rsid w:val="00A86A45"/>
    <w:rsid w:val="00A86DD9"/>
    <w:rsid w:val="00A870A2"/>
    <w:rsid w:val="00A87EAD"/>
    <w:rsid w:val="00A91BFE"/>
    <w:rsid w:val="00A91C06"/>
    <w:rsid w:val="00A91DEA"/>
    <w:rsid w:val="00A91FF6"/>
    <w:rsid w:val="00A91FFE"/>
    <w:rsid w:val="00A92F29"/>
    <w:rsid w:val="00A931D2"/>
    <w:rsid w:val="00A93406"/>
    <w:rsid w:val="00A938E6"/>
    <w:rsid w:val="00A95247"/>
    <w:rsid w:val="00A95974"/>
    <w:rsid w:val="00A95FE3"/>
    <w:rsid w:val="00A9642A"/>
    <w:rsid w:val="00A971AB"/>
    <w:rsid w:val="00A9761F"/>
    <w:rsid w:val="00A97D6E"/>
    <w:rsid w:val="00AA01F8"/>
    <w:rsid w:val="00AA09D4"/>
    <w:rsid w:val="00AA0EAE"/>
    <w:rsid w:val="00AA1C99"/>
    <w:rsid w:val="00AA1DE7"/>
    <w:rsid w:val="00AA30C6"/>
    <w:rsid w:val="00AA357B"/>
    <w:rsid w:val="00AA4E6B"/>
    <w:rsid w:val="00AA6315"/>
    <w:rsid w:val="00AA6690"/>
    <w:rsid w:val="00AA6A9E"/>
    <w:rsid w:val="00AA7A36"/>
    <w:rsid w:val="00AA7B9D"/>
    <w:rsid w:val="00AA7FE8"/>
    <w:rsid w:val="00AB118E"/>
    <w:rsid w:val="00AB123D"/>
    <w:rsid w:val="00AB1B19"/>
    <w:rsid w:val="00AB1C7F"/>
    <w:rsid w:val="00AB214E"/>
    <w:rsid w:val="00AB226C"/>
    <w:rsid w:val="00AB289C"/>
    <w:rsid w:val="00AB2E9F"/>
    <w:rsid w:val="00AB30F5"/>
    <w:rsid w:val="00AB3EED"/>
    <w:rsid w:val="00AB4107"/>
    <w:rsid w:val="00AB45C9"/>
    <w:rsid w:val="00AB4A96"/>
    <w:rsid w:val="00AB4CDB"/>
    <w:rsid w:val="00AB5687"/>
    <w:rsid w:val="00AB5A01"/>
    <w:rsid w:val="00AB6BE9"/>
    <w:rsid w:val="00AB6C69"/>
    <w:rsid w:val="00AB6DDC"/>
    <w:rsid w:val="00AB75EE"/>
    <w:rsid w:val="00AC0EB9"/>
    <w:rsid w:val="00AC0EE6"/>
    <w:rsid w:val="00AC116D"/>
    <w:rsid w:val="00AC18F6"/>
    <w:rsid w:val="00AC1962"/>
    <w:rsid w:val="00AC1E72"/>
    <w:rsid w:val="00AC2648"/>
    <w:rsid w:val="00AC2C13"/>
    <w:rsid w:val="00AC30BD"/>
    <w:rsid w:val="00AC3461"/>
    <w:rsid w:val="00AC389D"/>
    <w:rsid w:val="00AC4EB3"/>
    <w:rsid w:val="00AC6BE0"/>
    <w:rsid w:val="00AC6E6C"/>
    <w:rsid w:val="00AD032A"/>
    <w:rsid w:val="00AD1530"/>
    <w:rsid w:val="00AD19BE"/>
    <w:rsid w:val="00AD272D"/>
    <w:rsid w:val="00AD3515"/>
    <w:rsid w:val="00AD3E57"/>
    <w:rsid w:val="00AD3FAB"/>
    <w:rsid w:val="00AD54B0"/>
    <w:rsid w:val="00AD5683"/>
    <w:rsid w:val="00AD5CC1"/>
    <w:rsid w:val="00AD778F"/>
    <w:rsid w:val="00AE04BB"/>
    <w:rsid w:val="00AE056B"/>
    <w:rsid w:val="00AE0615"/>
    <w:rsid w:val="00AE0827"/>
    <w:rsid w:val="00AE0DC8"/>
    <w:rsid w:val="00AE24E1"/>
    <w:rsid w:val="00AE26AD"/>
    <w:rsid w:val="00AE27B7"/>
    <w:rsid w:val="00AE28F3"/>
    <w:rsid w:val="00AE31ED"/>
    <w:rsid w:val="00AE37C0"/>
    <w:rsid w:val="00AE4258"/>
    <w:rsid w:val="00AE4833"/>
    <w:rsid w:val="00AE4C35"/>
    <w:rsid w:val="00AE7125"/>
    <w:rsid w:val="00AE7BB3"/>
    <w:rsid w:val="00AF07FC"/>
    <w:rsid w:val="00AF1BA3"/>
    <w:rsid w:val="00AF24A8"/>
    <w:rsid w:val="00AF2792"/>
    <w:rsid w:val="00AF2828"/>
    <w:rsid w:val="00AF3252"/>
    <w:rsid w:val="00AF37C4"/>
    <w:rsid w:val="00AF3983"/>
    <w:rsid w:val="00AF476B"/>
    <w:rsid w:val="00AF56E1"/>
    <w:rsid w:val="00AF5B18"/>
    <w:rsid w:val="00AF667C"/>
    <w:rsid w:val="00AF70E0"/>
    <w:rsid w:val="00AF766B"/>
    <w:rsid w:val="00AF7DAB"/>
    <w:rsid w:val="00B010F8"/>
    <w:rsid w:val="00B01328"/>
    <w:rsid w:val="00B01720"/>
    <w:rsid w:val="00B02352"/>
    <w:rsid w:val="00B039B3"/>
    <w:rsid w:val="00B04E6E"/>
    <w:rsid w:val="00B05192"/>
    <w:rsid w:val="00B051E1"/>
    <w:rsid w:val="00B05433"/>
    <w:rsid w:val="00B05972"/>
    <w:rsid w:val="00B05DB8"/>
    <w:rsid w:val="00B06F40"/>
    <w:rsid w:val="00B07AEA"/>
    <w:rsid w:val="00B10186"/>
    <w:rsid w:val="00B10479"/>
    <w:rsid w:val="00B115AA"/>
    <w:rsid w:val="00B115E5"/>
    <w:rsid w:val="00B11BF7"/>
    <w:rsid w:val="00B11E47"/>
    <w:rsid w:val="00B123CF"/>
    <w:rsid w:val="00B12464"/>
    <w:rsid w:val="00B12DEA"/>
    <w:rsid w:val="00B130E2"/>
    <w:rsid w:val="00B141E6"/>
    <w:rsid w:val="00B14293"/>
    <w:rsid w:val="00B1530B"/>
    <w:rsid w:val="00B155C2"/>
    <w:rsid w:val="00B162A1"/>
    <w:rsid w:val="00B16462"/>
    <w:rsid w:val="00B17BEC"/>
    <w:rsid w:val="00B21508"/>
    <w:rsid w:val="00B21680"/>
    <w:rsid w:val="00B21C3C"/>
    <w:rsid w:val="00B223ED"/>
    <w:rsid w:val="00B22BC7"/>
    <w:rsid w:val="00B22E40"/>
    <w:rsid w:val="00B22FF7"/>
    <w:rsid w:val="00B233F9"/>
    <w:rsid w:val="00B23CFC"/>
    <w:rsid w:val="00B23D30"/>
    <w:rsid w:val="00B2445F"/>
    <w:rsid w:val="00B24D0D"/>
    <w:rsid w:val="00B251B0"/>
    <w:rsid w:val="00B259B6"/>
    <w:rsid w:val="00B25F29"/>
    <w:rsid w:val="00B26C67"/>
    <w:rsid w:val="00B26D57"/>
    <w:rsid w:val="00B27845"/>
    <w:rsid w:val="00B30D01"/>
    <w:rsid w:val="00B31059"/>
    <w:rsid w:val="00B312C2"/>
    <w:rsid w:val="00B313BE"/>
    <w:rsid w:val="00B31558"/>
    <w:rsid w:val="00B31628"/>
    <w:rsid w:val="00B31777"/>
    <w:rsid w:val="00B31F0F"/>
    <w:rsid w:val="00B320B6"/>
    <w:rsid w:val="00B33DDF"/>
    <w:rsid w:val="00B34557"/>
    <w:rsid w:val="00B34C59"/>
    <w:rsid w:val="00B3548F"/>
    <w:rsid w:val="00B354EB"/>
    <w:rsid w:val="00B355B1"/>
    <w:rsid w:val="00B35940"/>
    <w:rsid w:val="00B3677D"/>
    <w:rsid w:val="00B40D86"/>
    <w:rsid w:val="00B422AD"/>
    <w:rsid w:val="00B43277"/>
    <w:rsid w:val="00B43668"/>
    <w:rsid w:val="00B43A77"/>
    <w:rsid w:val="00B43B04"/>
    <w:rsid w:val="00B441FC"/>
    <w:rsid w:val="00B45349"/>
    <w:rsid w:val="00B45ACD"/>
    <w:rsid w:val="00B46B26"/>
    <w:rsid w:val="00B46DEB"/>
    <w:rsid w:val="00B47BCE"/>
    <w:rsid w:val="00B47BD3"/>
    <w:rsid w:val="00B47C12"/>
    <w:rsid w:val="00B47D0E"/>
    <w:rsid w:val="00B47EE9"/>
    <w:rsid w:val="00B5010A"/>
    <w:rsid w:val="00B508D1"/>
    <w:rsid w:val="00B50AA7"/>
    <w:rsid w:val="00B511FA"/>
    <w:rsid w:val="00B51A90"/>
    <w:rsid w:val="00B52F6C"/>
    <w:rsid w:val="00B5386B"/>
    <w:rsid w:val="00B538E6"/>
    <w:rsid w:val="00B541FF"/>
    <w:rsid w:val="00B5426C"/>
    <w:rsid w:val="00B54C0B"/>
    <w:rsid w:val="00B557AE"/>
    <w:rsid w:val="00B5581A"/>
    <w:rsid w:val="00B5639D"/>
    <w:rsid w:val="00B56F39"/>
    <w:rsid w:val="00B575E3"/>
    <w:rsid w:val="00B57A65"/>
    <w:rsid w:val="00B57B19"/>
    <w:rsid w:val="00B57C02"/>
    <w:rsid w:val="00B57D5C"/>
    <w:rsid w:val="00B6019A"/>
    <w:rsid w:val="00B6156F"/>
    <w:rsid w:val="00B6190A"/>
    <w:rsid w:val="00B621DA"/>
    <w:rsid w:val="00B622AA"/>
    <w:rsid w:val="00B6277A"/>
    <w:rsid w:val="00B62B22"/>
    <w:rsid w:val="00B64A60"/>
    <w:rsid w:val="00B650AA"/>
    <w:rsid w:val="00B65BC3"/>
    <w:rsid w:val="00B661EA"/>
    <w:rsid w:val="00B66295"/>
    <w:rsid w:val="00B66554"/>
    <w:rsid w:val="00B6684A"/>
    <w:rsid w:val="00B708AE"/>
    <w:rsid w:val="00B70D29"/>
    <w:rsid w:val="00B70E67"/>
    <w:rsid w:val="00B70FF0"/>
    <w:rsid w:val="00B71024"/>
    <w:rsid w:val="00B71792"/>
    <w:rsid w:val="00B71A09"/>
    <w:rsid w:val="00B71F6D"/>
    <w:rsid w:val="00B722D3"/>
    <w:rsid w:val="00B726B6"/>
    <w:rsid w:val="00B7273E"/>
    <w:rsid w:val="00B727E5"/>
    <w:rsid w:val="00B728AD"/>
    <w:rsid w:val="00B7389F"/>
    <w:rsid w:val="00B7438C"/>
    <w:rsid w:val="00B74A00"/>
    <w:rsid w:val="00B751E8"/>
    <w:rsid w:val="00B75382"/>
    <w:rsid w:val="00B75C7D"/>
    <w:rsid w:val="00B75D10"/>
    <w:rsid w:val="00B77367"/>
    <w:rsid w:val="00B805FF"/>
    <w:rsid w:val="00B8157E"/>
    <w:rsid w:val="00B81712"/>
    <w:rsid w:val="00B81B1F"/>
    <w:rsid w:val="00B81EC4"/>
    <w:rsid w:val="00B8246D"/>
    <w:rsid w:val="00B8304B"/>
    <w:rsid w:val="00B835F9"/>
    <w:rsid w:val="00B83CAC"/>
    <w:rsid w:val="00B84481"/>
    <w:rsid w:val="00B84C0B"/>
    <w:rsid w:val="00B84E95"/>
    <w:rsid w:val="00B86939"/>
    <w:rsid w:val="00B86DA0"/>
    <w:rsid w:val="00B873F2"/>
    <w:rsid w:val="00B87C5D"/>
    <w:rsid w:val="00B91F76"/>
    <w:rsid w:val="00B91F7D"/>
    <w:rsid w:val="00B9253E"/>
    <w:rsid w:val="00B93082"/>
    <w:rsid w:val="00B93322"/>
    <w:rsid w:val="00B935C9"/>
    <w:rsid w:val="00B93AFC"/>
    <w:rsid w:val="00B93C39"/>
    <w:rsid w:val="00B94320"/>
    <w:rsid w:val="00B943EE"/>
    <w:rsid w:val="00B95467"/>
    <w:rsid w:val="00B965D0"/>
    <w:rsid w:val="00B96764"/>
    <w:rsid w:val="00B96F63"/>
    <w:rsid w:val="00B97A81"/>
    <w:rsid w:val="00BA0392"/>
    <w:rsid w:val="00BA0751"/>
    <w:rsid w:val="00BA097E"/>
    <w:rsid w:val="00BA0D78"/>
    <w:rsid w:val="00BA16C2"/>
    <w:rsid w:val="00BA1C06"/>
    <w:rsid w:val="00BA221F"/>
    <w:rsid w:val="00BA2D04"/>
    <w:rsid w:val="00BA31D5"/>
    <w:rsid w:val="00BA481B"/>
    <w:rsid w:val="00BA5374"/>
    <w:rsid w:val="00BA5780"/>
    <w:rsid w:val="00BA63B5"/>
    <w:rsid w:val="00BA63B8"/>
    <w:rsid w:val="00BB1E97"/>
    <w:rsid w:val="00BB1FFA"/>
    <w:rsid w:val="00BB2C5E"/>
    <w:rsid w:val="00BB32D7"/>
    <w:rsid w:val="00BB38E6"/>
    <w:rsid w:val="00BB3A57"/>
    <w:rsid w:val="00BB3BBA"/>
    <w:rsid w:val="00BB44D3"/>
    <w:rsid w:val="00BB47D5"/>
    <w:rsid w:val="00BB50B3"/>
    <w:rsid w:val="00BB5D2D"/>
    <w:rsid w:val="00BB625E"/>
    <w:rsid w:val="00BB7229"/>
    <w:rsid w:val="00BC10CD"/>
    <w:rsid w:val="00BC119E"/>
    <w:rsid w:val="00BC3773"/>
    <w:rsid w:val="00BC3C9C"/>
    <w:rsid w:val="00BC4C27"/>
    <w:rsid w:val="00BC5327"/>
    <w:rsid w:val="00BC535C"/>
    <w:rsid w:val="00BC5665"/>
    <w:rsid w:val="00BC61E1"/>
    <w:rsid w:val="00BC64B2"/>
    <w:rsid w:val="00BC686E"/>
    <w:rsid w:val="00BC69AC"/>
    <w:rsid w:val="00BC6D2E"/>
    <w:rsid w:val="00BD0625"/>
    <w:rsid w:val="00BD0C3B"/>
    <w:rsid w:val="00BD0EFD"/>
    <w:rsid w:val="00BD1262"/>
    <w:rsid w:val="00BD35E2"/>
    <w:rsid w:val="00BD37C4"/>
    <w:rsid w:val="00BD3801"/>
    <w:rsid w:val="00BD4CD6"/>
    <w:rsid w:val="00BD53C2"/>
    <w:rsid w:val="00BD5F46"/>
    <w:rsid w:val="00BD67BF"/>
    <w:rsid w:val="00BD6ECF"/>
    <w:rsid w:val="00BD7066"/>
    <w:rsid w:val="00BD72C5"/>
    <w:rsid w:val="00BE02A9"/>
    <w:rsid w:val="00BE03A2"/>
    <w:rsid w:val="00BE143C"/>
    <w:rsid w:val="00BE2A69"/>
    <w:rsid w:val="00BE2DA6"/>
    <w:rsid w:val="00BE2DE0"/>
    <w:rsid w:val="00BE3071"/>
    <w:rsid w:val="00BE3657"/>
    <w:rsid w:val="00BE4E5E"/>
    <w:rsid w:val="00BE53C7"/>
    <w:rsid w:val="00BE5B57"/>
    <w:rsid w:val="00BE6441"/>
    <w:rsid w:val="00BE6A31"/>
    <w:rsid w:val="00BE7042"/>
    <w:rsid w:val="00BE73E4"/>
    <w:rsid w:val="00BF131F"/>
    <w:rsid w:val="00BF1756"/>
    <w:rsid w:val="00BF1B03"/>
    <w:rsid w:val="00BF21A5"/>
    <w:rsid w:val="00BF3F14"/>
    <w:rsid w:val="00BF40B0"/>
    <w:rsid w:val="00BF43A1"/>
    <w:rsid w:val="00BF449B"/>
    <w:rsid w:val="00BF44B8"/>
    <w:rsid w:val="00BF48F3"/>
    <w:rsid w:val="00BF50C4"/>
    <w:rsid w:val="00BF57C0"/>
    <w:rsid w:val="00BF5917"/>
    <w:rsid w:val="00BF653C"/>
    <w:rsid w:val="00BF66C7"/>
    <w:rsid w:val="00BF7025"/>
    <w:rsid w:val="00BF73CF"/>
    <w:rsid w:val="00BF7C5C"/>
    <w:rsid w:val="00C01414"/>
    <w:rsid w:val="00C01627"/>
    <w:rsid w:val="00C01D4B"/>
    <w:rsid w:val="00C01EBB"/>
    <w:rsid w:val="00C04240"/>
    <w:rsid w:val="00C049FF"/>
    <w:rsid w:val="00C05CE3"/>
    <w:rsid w:val="00C06695"/>
    <w:rsid w:val="00C074BB"/>
    <w:rsid w:val="00C07DFD"/>
    <w:rsid w:val="00C10C3D"/>
    <w:rsid w:val="00C1150D"/>
    <w:rsid w:val="00C12050"/>
    <w:rsid w:val="00C121AD"/>
    <w:rsid w:val="00C123D7"/>
    <w:rsid w:val="00C12E9E"/>
    <w:rsid w:val="00C1332B"/>
    <w:rsid w:val="00C15403"/>
    <w:rsid w:val="00C15B2E"/>
    <w:rsid w:val="00C15DAF"/>
    <w:rsid w:val="00C15F80"/>
    <w:rsid w:val="00C16132"/>
    <w:rsid w:val="00C1631E"/>
    <w:rsid w:val="00C1662A"/>
    <w:rsid w:val="00C17955"/>
    <w:rsid w:val="00C1797E"/>
    <w:rsid w:val="00C204BE"/>
    <w:rsid w:val="00C2053D"/>
    <w:rsid w:val="00C20B08"/>
    <w:rsid w:val="00C21C26"/>
    <w:rsid w:val="00C21F82"/>
    <w:rsid w:val="00C22098"/>
    <w:rsid w:val="00C22767"/>
    <w:rsid w:val="00C23739"/>
    <w:rsid w:val="00C23F14"/>
    <w:rsid w:val="00C24161"/>
    <w:rsid w:val="00C2464C"/>
    <w:rsid w:val="00C256DB"/>
    <w:rsid w:val="00C25B40"/>
    <w:rsid w:val="00C25B96"/>
    <w:rsid w:val="00C27519"/>
    <w:rsid w:val="00C27907"/>
    <w:rsid w:val="00C27BAF"/>
    <w:rsid w:val="00C31566"/>
    <w:rsid w:val="00C31574"/>
    <w:rsid w:val="00C315F2"/>
    <w:rsid w:val="00C319B1"/>
    <w:rsid w:val="00C31C21"/>
    <w:rsid w:val="00C3262A"/>
    <w:rsid w:val="00C32C2B"/>
    <w:rsid w:val="00C33297"/>
    <w:rsid w:val="00C336B8"/>
    <w:rsid w:val="00C337A6"/>
    <w:rsid w:val="00C33E02"/>
    <w:rsid w:val="00C34010"/>
    <w:rsid w:val="00C34432"/>
    <w:rsid w:val="00C34F70"/>
    <w:rsid w:val="00C35594"/>
    <w:rsid w:val="00C3628B"/>
    <w:rsid w:val="00C362C1"/>
    <w:rsid w:val="00C3658E"/>
    <w:rsid w:val="00C36BC8"/>
    <w:rsid w:val="00C36ECB"/>
    <w:rsid w:val="00C40492"/>
    <w:rsid w:val="00C40541"/>
    <w:rsid w:val="00C40656"/>
    <w:rsid w:val="00C4086A"/>
    <w:rsid w:val="00C40A6D"/>
    <w:rsid w:val="00C40C11"/>
    <w:rsid w:val="00C42005"/>
    <w:rsid w:val="00C426E2"/>
    <w:rsid w:val="00C42725"/>
    <w:rsid w:val="00C42933"/>
    <w:rsid w:val="00C42DFA"/>
    <w:rsid w:val="00C43880"/>
    <w:rsid w:val="00C439E4"/>
    <w:rsid w:val="00C43C60"/>
    <w:rsid w:val="00C449CC"/>
    <w:rsid w:val="00C44D9B"/>
    <w:rsid w:val="00C44F77"/>
    <w:rsid w:val="00C45406"/>
    <w:rsid w:val="00C45525"/>
    <w:rsid w:val="00C45F18"/>
    <w:rsid w:val="00C4790A"/>
    <w:rsid w:val="00C5093D"/>
    <w:rsid w:val="00C523E4"/>
    <w:rsid w:val="00C52815"/>
    <w:rsid w:val="00C52CA0"/>
    <w:rsid w:val="00C532EF"/>
    <w:rsid w:val="00C54B90"/>
    <w:rsid w:val="00C5500D"/>
    <w:rsid w:val="00C55306"/>
    <w:rsid w:val="00C554FB"/>
    <w:rsid w:val="00C55D45"/>
    <w:rsid w:val="00C5605D"/>
    <w:rsid w:val="00C5609F"/>
    <w:rsid w:val="00C566C6"/>
    <w:rsid w:val="00C56750"/>
    <w:rsid w:val="00C567C2"/>
    <w:rsid w:val="00C567CF"/>
    <w:rsid w:val="00C571FE"/>
    <w:rsid w:val="00C57AD4"/>
    <w:rsid w:val="00C60203"/>
    <w:rsid w:val="00C6044A"/>
    <w:rsid w:val="00C60554"/>
    <w:rsid w:val="00C623A5"/>
    <w:rsid w:val="00C627B1"/>
    <w:rsid w:val="00C62F2E"/>
    <w:rsid w:val="00C63DF3"/>
    <w:rsid w:val="00C6473A"/>
    <w:rsid w:val="00C657BA"/>
    <w:rsid w:val="00C6589F"/>
    <w:rsid w:val="00C65E4B"/>
    <w:rsid w:val="00C66957"/>
    <w:rsid w:val="00C6749C"/>
    <w:rsid w:val="00C67CE2"/>
    <w:rsid w:val="00C67CF3"/>
    <w:rsid w:val="00C67D0F"/>
    <w:rsid w:val="00C7030C"/>
    <w:rsid w:val="00C71090"/>
    <w:rsid w:val="00C7157B"/>
    <w:rsid w:val="00C718E1"/>
    <w:rsid w:val="00C7218F"/>
    <w:rsid w:val="00C72673"/>
    <w:rsid w:val="00C73B7F"/>
    <w:rsid w:val="00C74DAE"/>
    <w:rsid w:val="00C75234"/>
    <w:rsid w:val="00C756D3"/>
    <w:rsid w:val="00C761FB"/>
    <w:rsid w:val="00C76396"/>
    <w:rsid w:val="00C7641C"/>
    <w:rsid w:val="00C76AE2"/>
    <w:rsid w:val="00C76D8B"/>
    <w:rsid w:val="00C77203"/>
    <w:rsid w:val="00C778CB"/>
    <w:rsid w:val="00C77977"/>
    <w:rsid w:val="00C80865"/>
    <w:rsid w:val="00C82E14"/>
    <w:rsid w:val="00C82F83"/>
    <w:rsid w:val="00C8474A"/>
    <w:rsid w:val="00C85D92"/>
    <w:rsid w:val="00C86356"/>
    <w:rsid w:val="00C86A45"/>
    <w:rsid w:val="00C903D4"/>
    <w:rsid w:val="00C90B46"/>
    <w:rsid w:val="00C915B7"/>
    <w:rsid w:val="00C915E7"/>
    <w:rsid w:val="00C92779"/>
    <w:rsid w:val="00C92EBE"/>
    <w:rsid w:val="00C93051"/>
    <w:rsid w:val="00C93455"/>
    <w:rsid w:val="00C9374E"/>
    <w:rsid w:val="00C941AB"/>
    <w:rsid w:val="00C943C7"/>
    <w:rsid w:val="00C94615"/>
    <w:rsid w:val="00C959DE"/>
    <w:rsid w:val="00C96266"/>
    <w:rsid w:val="00C96BFC"/>
    <w:rsid w:val="00C96D9C"/>
    <w:rsid w:val="00C972A1"/>
    <w:rsid w:val="00C974F9"/>
    <w:rsid w:val="00C975D7"/>
    <w:rsid w:val="00C97C5B"/>
    <w:rsid w:val="00C97D48"/>
    <w:rsid w:val="00CA0375"/>
    <w:rsid w:val="00CA0378"/>
    <w:rsid w:val="00CA0A4D"/>
    <w:rsid w:val="00CA109E"/>
    <w:rsid w:val="00CA13ED"/>
    <w:rsid w:val="00CA189C"/>
    <w:rsid w:val="00CA1985"/>
    <w:rsid w:val="00CA20D3"/>
    <w:rsid w:val="00CA33A4"/>
    <w:rsid w:val="00CA3D2F"/>
    <w:rsid w:val="00CA3F27"/>
    <w:rsid w:val="00CA49E7"/>
    <w:rsid w:val="00CA59F3"/>
    <w:rsid w:val="00CA5FBA"/>
    <w:rsid w:val="00CA6049"/>
    <w:rsid w:val="00CA63C4"/>
    <w:rsid w:val="00CA6A7C"/>
    <w:rsid w:val="00CA74F3"/>
    <w:rsid w:val="00CB1A70"/>
    <w:rsid w:val="00CB2E60"/>
    <w:rsid w:val="00CB339A"/>
    <w:rsid w:val="00CB4740"/>
    <w:rsid w:val="00CB484E"/>
    <w:rsid w:val="00CB653E"/>
    <w:rsid w:val="00CB74A3"/>
    <w:rsid w:val="00CC01B8"/>
    <w:rsid w:val="00CC0486"/>
    <w:rsid w:val="00CC1B83"/>
    <w:rsid w:val="00CC37BC"/>
    <w:rsid w:val="00CC4C90"/>
    <w:rsid w:val="00CC577F"/>
    <w:rsid w:val="00CC60ED"/>
    <w:rsid w:val="00CC6A43"/>
    <w:rsid w:val="00CC6C99"/>
    <w:rsid w:val="00CD0000"/>
    <w:rsid w:val="00CD01EC"/>
    <w:rsid w:val="00CD04DF"/>
    <w:rsid w:val="00CD0662"/>
    <w:rsid w:val="00CD0828"/>
    <w:rsid w:val="00CD09A0"/>
    <w:rsid w:val="00CD2667"/>
    <w:rsid w:val="00CD2EFA"/>
    <w:rsid w:val="00CD4485"/>
    <w:rsid w:val="00CD5FD9"/>
    <w:rsid w:val="00CD672B"/>
    <w:rsid w:val="00CD6F11"/>
    <w:rsid w:val="00CD736E"/>
    <w:rsid w:val="00CD78EF"/>
    <w:rsid w:val="00CD7A44"/>
    <w:rsid w:val="00CD7C5F"/>
    <w:rsid w:val="00CE0BF7"/>
    <w:rsid w:val="00CE0E6D"/>
    <w:rsid w:val="00CE1B5D"/>
    <w:rsid w:val="00CE2C65"/>
    <w:rsid w:val="00CE2FA0"/>
    <w:rsid w:val="00CE3562"/>
    <w:rsid w:val="00CE3ABA"/>
    <w:rsid w:val="00CE4267"/>
    <w:rsid w:val="00CE42C2"/>
    <w:rsid w:val="00CE4481"/>
    <w:rsid w:val="00CE4D88"/>
    <w:rsid w:val="00CE6275"/>
    <w:rsid w:val="00CF03EC"/>
    <w:rsid w:val="00CF096B"/>
    <w:rsid w:val="00CF2354"/>
    <w:rsid w:val="00CF33B3"/>
    <w:rsid w:val="00CF364C"/>
    <w:rsid w:val="00CF49E7"/>
    <w:rsid w:val="00CF547E"/>
    <w:rsid w:val="00CF67C4"/>
    <w:rsid w:val="00CF6829"/>
    <w:rsid w:val="00CF6DAA"/>
    <w:rsid w:val="00CF6E73"/>
    <w:rsid w:val="00CF6EB0"/>
    <w:rsid w:val="00CF7252"/>
    <w:rsid w:val="00CF725A"/>
    <w:rsid w:val="00D02967"/>
    <w:rsid w:val="00D02BEF"/>
    <w:rsid w:val="00D03CA3"/>
    <w:rsid w:val="00D03E84"/>
    <w:rsid w:val="00D040A3"/>
    <w:rsid w:val="00D0419D"/>
    <w:rsid w:val="00D04D0E"/>
    <w:rsid w:val="00D05892"/>
    <w:rsid w:val="00D05CAD"/>
    <w:rsid w:val="00D06380"/>
    <w:rsid w:val="00D068C4"/>
    <w:rsid w:val="00D069BE"/>
    <w:rsid w:val="00D0795C"/>
    <w:rsid w:val="00D07D1E"/>
    <w:rsid w:val="00D10D1A"/>
    <w:rsid w:val="00D1144B"/>
    <w:rsid w:val="00D11573"/>
    <w:rsid w:val="00D11972"/>
    <w:rsid w:val="00D11BF0"/>
    <w:rsid w:val="00D1208C"/>
    <w:rsid w:val="00D124D8"/>
    <w:rsid w:val="00D12752"/>
    <w:rsid w:val="00D12AFE"/>
    <w:rsid w:val="00D13364"/>
    <w:rsid w:val="00D14183"/>
    <w:rsid w:val="00D146A8"/>
    <w:rsid w:val="00D15B35"/>
    <w:rsid w:val="00D15FF3"/>
    <w:rsid w:val="00D1605E"/>
    <w:rsid w:val="00D1666C"/>
    <w:rsid w:val="00D16A43"/>
    <w:rsid w:val="00D17D6B"/>
    <w:rsid w:val="00D202B5"/>
    <w:rsid w:val="00D20601"/>
    <w:rsid w:val="00D217E7"/>
    <w:rsid w:val="00D21EF6"/>
    <w:rsid w:val="00D21F14"/>
    <w:rsid w:val="00D22482"/>
    <w:rsid w:val="00D2248B"/>
    <w:rsid w:val="00D22879"/>
    <w:rsid w:val="00D22E66"/>
    <w:rsid w:val="00D2302F"/>
    <w:rsid w:val="00D23882"/>
    <w:rsid w:val="00D24B50"/>
    <w:rsid w:val="00D252C9"/>
    <w:rsid w:val="00D258B8"/>
    <w:rsid w:val="00D2596C"/>
    <w:rsid w:val="00D26BBE"/>
    <w:rsid w:val="00D27804"/>
    <w:rsid w:val="00D27901"/>
    <w:rsid w:val="00D3026D"/>
    <w:rsid w:val="00D303E1"/>
    <w:rsid w:val="00D30793"/>
    <w:rsid w:val="00D3107B"/>
    <w:rsid w:val="00D31B5C"/>
    <w:rsid w:val="00D3230B"/>
    <w:rsid w:val="00D3359C"/>
    <w:rsid w:val="00D335A1"/>
    <w:rsid w:val="00D33940"/>
    <w:rsid w:val="00D33A79"/>
    <w:rsid w:val="00D34EFC"/>
    <w:rsid w:val="00D3520D"/>
    <w:rsid w:val="00D359D0"/>
    <w:rsid w:val="00D360C2"/>
    <w:rsid w:val="00D36230"/>
    <w:rsid w:val="00D368A0"/>
    <w:rsid w:val="00D369F5"/>
    <w:rsid w:val="00D37117"/>
    <w:rsid w:val="00D37ED7"/>
    <w:rsid w:val="00D4036D"/>
    <w:rsid w:val="00D409A8"/>
    <w:rsid w:val="00D413DF"/>
    <w:rsid w:val="00D41874"/>
    <w:rsid w:val="00D41E24"/>
    <w:rsid w:val="00D42393"/>
    <w:rsid w:val="00D427FD"/>
    <w:rsid w:val="00D444FA"/>
    <w:rsid w:val="00D4459B"/>
    <w:rsid w:val="00D45576"/>
    <w:rsid w:val="00D463E3"/>
    <w:rsid w:val="00D474F5"/>
    <w:rsid w:val="00D47624"/>
    <w:rsid w:val="00D478F1"/>
    <w:rsid w:val="00D5129A"/>
    <w:rsid w:val="00D516A5"/>
    <w:rsid w:val="00D51B30"/>
    <w:rsid w:val="00D52121"/>
    <w:rsid w:val="00D527C5"/>
    <w:rsid w:val="00D52EDC"/>
    <w:rsid w:val="00D52FB0"/>
    <w:rsid w:val="00D530C2"/>
    <w:rsid w:val="00D534C7"/>
    <w:rsid w:val="00D534FC"/>
    <w:rsid w:val="00D53796"/>
    <w:rsid w:val="00D53E14"/>
    <w:rsid w:val="00D5443A"/>
    <w:rsid w:val="00D55415"/>
    <w:rsid w:val="00D55B6F"/>
    <w:rsid w:val="00D55B8C"/>
    <w:rsid w:val="00D56B81"/>
    <w:rsid w:val="00D56F79"/>
    <w:rsid w:val="00D570A0"/>
    <w:rsid w:val="00D57A86"/>
    <w:rsid w:val="00D57FDB"/>
    <w:rsid w:val="00D61BEC"/>
    <w:rsid w:val="00D61F06"/>
    <w:rsid w:val="00D626DD"/>
    <w:rsid w:val="00D62B72"/>
    <w:rsid w:val="00D632A8"/>
    <w:rsid w:val="00D6393D"/>
    <w:rsid w:val="00D642F1"/>
    <w:rsid w:val="00D64595"/>
    <w:rsid w:val="00D646B2"/>
    <w:rsid w:val="00D64A33"/>
    <w:rsid w:val="00D653AB"/>
    <w:rsid w:val="00D65F23"/>
    <w:rsid w:val="00D65FCF"/>
    <w:rsid w:val="00D6776D"/>
    <w:rsid w:val="00D67B68"/>
    <w:rsid w:val="00D70095"/>
    <w:rsid w:val="00D70A1A"/>
    <w:rsid w:val="00D70EFF"/>
    <w:rsid w:val="00D71C8D"/>
    <w:rsid w:val="00D72999"/>
    <w:rsid w:val="00D739EE"/>
    <w:rsid w:val="00D742DD"/>
    <w:rsid w:val="00D745AD"/>
    <w:rsid w:val="00D7516A"/>
    <w:rsid w:val="00D75543"/>
    <w:rsid w:val="00D756A6"/>
    <w:rsid w:val="00D75917"/>
    <w:rsid w:val="00D75BF7"/>
    <w:rsid w:val="00D75C4C"/>
    <w:rsid w:val="00D76AE1"/>
    <w:rsid w:val="00D772DC"/>
    <w:rsid w:val="00D7741B"/>
    <w:rsid w:val="00D803AE"/>
    <w:rsid w:val="00D8080B"/>
    <w:rsid w:val="00D80B9D"/>
    <w:rsid w:val="00D8179D"/>
    <w:rsid w:val="00D8227E"/>
    <w:rsid w:val="00D825A9"/>
    <w:rsid w:val="00D82C64"/>
    <w:rsid w:val="00D82FD5"/>
    <w:rsid w:val="00D8301B"/>
    <w:rsid w:val="00D838C9"/>
    <w:rsid w:val="00D83F05"/>
    <w:rsid w:val="00D84004"/>
    <w:rsid w:val="00D84150"/>
    <w:rsid w:val="00D8479C"/>
    <w:rsid w:val="00D85193"/>
    <w:rsid w:val="00D85983"/>
    <w:rsid w:val="00D85C35"/>
    <w:rsid w:val="00D867AF"/>
    <w:rsid w:val="00D86CA4"/>
    <w:rsid w:val="00D87078"/>
    <w:rsid w:val="00D90363"/>
    <w:rsid w:val="00D908F5"/>
    <w:rsid w:val="00D91052"/>
    <w:rsid w:val="00D917CA"/>
    <w:rsid w:val="00D92B38"/>
    <w:rsid w:val="00D92B9D"/>
    <w:rsid w:val="00D93BBB"/>
    <w:rsid w:val="00D95A50"/>
    <w:rsid w:val="00D9631A"/>
    <w:rsid w:val="00D966D7"/>
    <w:rsid w:val="00D9684B"/>
    <w:rsid w:val="00D96DDD"/>
    <w:rsid w:val="00D976E6"/>
    <w:rsid w:val="00D978F8"/>
    <w:rsid w:val="00D97A6E"/>
    <w:rsid w:val="00D97AD6"/>
    <w:rsid w:val="00D97C93"/>
    <w:rsid w:val="00DA0407"/>
    <w:rsid w:val="00DA0650"/>
    <w:rsid w:val="00DA0DB0"/>
    <w:rsid w:val="00DA1A70"/>
    <w:rsid w:val="00DA2185"/>
    <w:rsid w:val="00DA2189"/>
    <w:rsid w:val="00DA46FE"/>
    <w:rsid w:val="00DA4BB0"/>
    <w:rsid w:val="00DA5E69"/>
    <w:rsid w:val="00DA6BB2"/>
    <w:rsid w:val="00DA70AA"/>
    <w:rsid w:val="00DA7585"/>
    <w:rsid w:val="00DA7A3D"/>
    <w:rsid w:val="00DA7B97"/>
    <w:rsid w:val="00DA7C15"/>
    <w:rsid w:val="00DB08C4"/>
    <w:rsid w:val="00DB1505"/>
    <w:rsid w:val="00DB1775"/>
    <w:rsid w:val="00DB1FFC"/>
    <w:rsid w:val="00DB2488"/>
    <w:rsid w:val="00DB2584"/>
    <w:rsid w:val="00DB2950"/>
    <w:rsid w:val="00DB2EB6"/>
    <w:rsid w:val="00DB367F"/>
    <w:rsid w:val="00DB3F58"/>
    <w:rsid w:val="00DB4063"/>
    <w:rsid w:val="00DB46D7"/>
    <w:rsid w:val="00DB4A04"/>
    <w:rsid w:val="00DB507D"/>
    <w:rsid w:val="00DB55DD"/>
    <w:rsid w:val="00DB6669"/>
    <w:rsid w:val="00DB687A"/>
    <w:rsid w:val="00DB6984"/>
    <w:rsid w:val="00DB7134"/>
    <w:rsid w:val="00DB7259"/>
    <w:rsid w:val="00DB7AAA"/>
    <w:rsid w:val="00DB7DA6"/>
    <w:rsid w:val="00DC03D6"/>
    <w:rsid w:val="00DC051B"/>
    <w:rsid w:val="00DC1736"/>
    <w:rsid w:val="00DC202D"/>
    <w:rsid w:val="00DC24A4"/>
    <w:rsid w:val="00DC2C14"/>
    <w:rsid w:val="00DC2E5C"/>
    <w:rsid w:val="00DC3321"/>
    <w:rsid w:val="00DC42E7"/>
    <w:rsid w:val="00DC4328"/>
    <w:rsid w:val="00DC4A5A"/>
    <w:rsid w:val="00DC4A5D"/>
    <w:rsid w:val="00DC4C20"/>
    <w:rsid w:val="00DC5756"/>
    <w:rsid w:val="00DC61BC"/>
    <w:rsid w:val="00DC626F"/>
    <w:rsid w:val="00DC6431"/>
    <w:rsid w:val="00DC6548"/>
    <w:rsid w:val="00DC6754"/>
    <w:rsid w:val="00DC68D5"/>
    <w:rsid w:val="00DC690C"/>
    <w:rsid w:val="00DC7789"/>
    <w:rsid w:val="00DC79BB"/>
    <w:rsid w:val="00DC7BE6"/>
    <w:rsid w:val="00DD0F07"/>
    <w:rsid w:val="00DD107B"/>
    <w:rsid w:val="00DD14E4"/>
    <w:rsid w:val="00DD18B4"/>
    <w:rsid w:val="00DD1C4A"/>
    <w:rsid w:val="00DD1D5F"/>
    <w:rsid w:val="00DD2305"/>
    <w:rsid w:val="00DD3D2B"/>
    <w:rsid w:val="00DD40D7"/>
    <w:rsid w:val="00DD41E0"/>
    <w:rsid w:val="00DD42D1"/>
    <w:rsid w:val="00DD460C"/>
    <w:rsid w:val="00DD48EC"/>
    <w:rsid w:val="00DD5C3F"/>
    <w:rsid w:val="00DD5D1E"/>
    <w:rsid w:val="00DD5DDA"/>
    <w:rsid w:val="00DD6CFC"/>
    <w:rsid w:val="00DD76FC"/>
    <w:rsid w:val="00DE0D0A"/>
    <w:rsid w:val="00DE13FA"/>
    <w:rsid w:val="00DE19F8"/>
    <w:rsid w:val="00DE1C4B"/>
    <w:rsid w:val="00DE1CF5"/>
    <w:rsid w:val="00DE2E55"/>
    <w:rsid w:val="00DE2F28"/>
    <w:rsid w:val="00DE3E22"/>
    <w:rsid w:val="00DE40D2"/>
    <w:rsid w:val="00DE4455"/>
    <w:rsid w:val="00DE62D3"/>
    <w:rsid w:val="00DF0745"/>
    <w:rsid w:val="00DF1A12"/>
    <w:rsid w:val="00DF1D07"/>
    <w:rsid w:val="00DF2391"/>
    <w:rsid w:val="00DF2BD9"/>
    <w:rsid w:val="00DF381F"/>
    <w:rsid w:val="00DF4A0E"/>
    <w:rsid w:val="00DF51A1"/>
    <w:rsid w:val="00DF57D1"/>
    <w:rsid w:val="00DF663E"/>
    <w:rsid w:val="00DF6DF1"/>
    <w:rsid w:val="00DF6FAF"/>
    <w:rsid w:val="00E006FF"/>
    <w:rsid w:val="00E0092A"/>
    <w:rsid w:val="00E00CA2"/>
    <w:rsid w:val="00E010C5"/>
    <w:rsid w:val="00E01348"/>
    <w:rsid w:val="00E01C4A"/>
    <w:rsid w:val="00E027A8"/>
    <w:rsid w:val="00E03149"/>
    <w:rsid w:val="00E03BE3"/>
    <w:rsid w:val="00E03EC7"/>
    <w:rsid w:val="00E0405A"/>
    <w:rsid w:val="00E04261"/>
    <w:rsid w:val="00E04721"/>
    <w:rsid w:val="00E04EFA"/>
    <w:rsid w:val="00E05843"/>
    <w:rsid w:val="00E0645E"/>
    <w:rsid w:val="00E066B1"/>
    <w:rsid w:val="00E110EB"/>
    <w:rsid w:val="00E118E8"/>
    <w:rsid w:val="00E124ED"/>
    <w:rsid w:val="00E13306"/>
    <w:rsid w:val="00E142EF"/>
    <w:rsid w:val="00E147A5"/>
    <w:rsid w:val="00E149C1"/>
    <w:rsid w:val="00E14CF9"/>
    <w:rsid w:val="00E14DAD"/>
    <w:rsid w:val="00E15A19"/>
    <w:rsid w:val="00E15EAD"/>
    <w:rsid w:val="00E16436"/>
    <w:rsid w:val="00E16DDE"/>
    <w:rsid w:val="00E178D1"/>
    <w:rsid w:val="00E17B64"/>
    <w:rsid w:val="00E20195"/>
    <w:rsid w:val="00E207F4"/>
    <w:rsid w:val="00E213B0"/>
    <w:rsid w:val="00E213DF"/>
    <w:rsid w:val="00E21E1E"/>
    <w:rsid w:val="00E23717"/>
    <w:rsid w:val="00E24614"/>
    <w:rsid w:val="00E25035"/>
    <w:rsid w:val="00E25E07"/>
    <w:rsid w:val="00E26816"/>
    <w:rsid w:val="00E2782D"/>
    <w:rsid w:val="00E30211"/>
    <w:rsid w:val="00E30CB1"/>
    <w:rsid w:val="00E311A7"/>
    <w:rsid w:val="00E311AA"/>
    <w:rsid w:val="00E31C06"/>
    <w:rsid w:val="00E3226E"/>
    <w:rsid w:val="00E33CC1"/>
    <w:rsid w:val="00E3412B"/>
    <w:rsid w:val="00E34539"/>
    <w:rsid w:val="00E3462F"/>
    <w:rsid w:val="00E35661"/>
    <w:rsid w:val="00E36AD9"/>
    <w:rsid w:val="00E36BCA"/>
    <w:rsid w:val="00E36FBC"/>
    <w:rsid w:val="00E400BF"/>
    <w:rsid w:val="00E41428"/>
    <w:rsid w:val="00E44F39"/>
    <w:rsid w:val="00E45136"/>
    <w:rsid w:val="00E45199"/>
    <w:rsid w:val="00E45688"/>
    <w:rsid w:val="00E4585E"/>
    <w:rsid w:val="00E4617A"/>
    <w:rsid w:val="00E46412"/>
    <w:rsid w:val="00E468A5"/>
    <w:rsid w:val="00E471AE"/>
    <w:rsid w:val="00E47420"/>
    <w:rsid w:val="00E52ED5"/>
    <w:rsid w:val="00E531D3"/>
    <w:rsid w:val="00E53777"/>
    <w:rsid w:val="00E5380A"/>
    <w:rsid w:val="00E538A0"/>
    <w:rsid w:val="00E54193"/>
    <w:rsid w:val="00E548F1"/>
    <w:rsid w:val="00E55CB9"/>
    <w:rsid w:val="00E56068"/>
    <w:rsid w:val="00E56772"/>
    <w:rsid w:val="00E5698A"/>
    <w:rsid w:val="00E572AD"/>
    <w:rsid w:val="00E61D06"/>
    <w:rsid w:val="00E627FF"/>
    <w:rsid w:val="00E6482D"/>
    <w:rsid w:val="00E653DC"/>
    <w:rsid w:val="00E65553"/>
    <w:rsid w:val="00E66592"/>
    <w:rsid w:val="00E666ED"/>
    <w:rsid w:val="00E670AB"/>
    <w:rsid w:val="00E67140"/>
    <w:rsid w:val="00E67144"/>
    <w:rsid w:val="00E67D1C"/>
    <w:rsid w:val="00E67DB5"/>
    <w:rsid w:val="00E70132"/>
    <w:rsid w:val="00E702BC"/>
    <w:rsid w:val="00E7042C"/>
    <w:rsid w:val="00E70920"/>
    <w:rsid w:val="00E712B6"/>
    <w:rsid w:val="00E7190C"/>
    <w:rsid w:val="00E7198B"/>
    <w:rsid w:val="00E739BE"/>
    <w:rsid w:val="00E741D1"/>
    <w:rsid w:val="00E74ED7"/>
    <w:rsid w:val="00E76640"/>
    <w:rsid w:val="00E76E81"/>
    <w:rsid w:val="00E76F14"/>
    <w:rsid w:val="00E7707F"/>
    <w:rsid w:val="00E77489"/>
    <w:rsid w:val="00E77AD1"/>
    <w:rsid w:val="00E806A9"/>
    <w:rsid w:val="00E80D35"/>
    <w:rsid w:val="00E81CCD"/>
    <w:rsid w:val="00E81D08"/>
    <w:rsid w:val="00E81F81"/>
    <w:rsid w:val="00E82E0A"/>
    <w:rsid w:val="00E84525"/>
    <w:rsid w:val="00E84AE8"/>
    <w:rsid w:val="00E84C70"/>
    <w:rsid w:val="00E85903"/>
    <w:rsid w:val="00E87460"/>
    <w:rsid w:val="00E8769B"/>
    <w:rsid w:val="00E90383"/>
    <w:rsid w:val="00E91A95"/>
    <w:rsid w:val="00E92751"/>
    <w:rsid w:val="00E92783"/>
    <w:rsid w:val="00E93D3C"/>
    <w:rsid w:val="00E93FD5"/>
    <w:rsid w:val="00E94A74"/>
    <w:rsid w:val="00E94B9C"/>
    <w:rsid w:val="00E959D0"/>
    <w:rsid w:val="00E95DB2"/>
    <w:rsid w:val="00E9646D"/>
    <w:rsid w:val="00E96B8E"/>
    <w:rsid w:val="00E976BF"/>
    <w:rsid w:val="00E97BEA"/>
    <w:rsid w:val="00EA0025"/>
    <w:rsid w:val="00EA12A8"/>
    <w:rsid w:val="00EA28E0"/>
    <w:rsid w:val="00EA2D31"/>
    <w:rsid w:val="00EA4188"/>
    <w:rsid w:val="00EA436F"/>
    <w:rsid w:val="00EA4A35"/>
    <w:rsid w:val="00EA4CCB"/>
    <w:rsid w:val="00EA52BA"/>
    <w:rsid w:val="00EA53BC"/>
    <w:rsid w:val="00EA5DA2"/>
    <w:rsid w:val="00EA6CBF"/>
    <w:rsid w:val="00EA740B"/>
    <w:rsid w:val="00EB013A"/>
    <w:rsid w:val="00EB36AB"/>
    <w:rsid w:val="00EB3D0A"/>
    <w:rsid w:val="00EB4554"/>
    <w:rsid w:val="00EB5D80"/>
    <w:rsid w:val="00EB6C1A"/>
    <w:rsid w:val="00EB745C"/>
    <w:rsid w:val="00EC0DA6"/>
    <w:rsid w:val="00EC2292"/>
    <w:rsid w:val="00EC33FF"/>
    <w:rsid w:val="00EC3F14"/>
    <w:rsid w:val="00EC4057"/>
    <w:rsid w:val="00EC4227"/>
    <w:rsid w:val="00EC6425"/>
    <w:rsid w:val="00EC7968"/>
    <w:rsid w:val="00EC7AB5"/>
    <w:rsid w:val="00ED1487"/>
    <w:rsid w:val="00ED3185"/>
    <w:rsid w:val="00ED397C"/>
    <w:rsid w:val="00ED41BB"/>
    <w:rsid w:val="00ED4840"/>
    <w:rsid w:val="00ED48EC"/>
    <w:rsid w:val="00ED4A66"/>
    <w:rsid w:val="00ED4C0A"/>
    <w:rsid w:val="00ED5115"/>
    <w:rsid w:val="00ED6517"/>
    <w:rsid w:val="00ED684B"/>
    <w:rsid w:val="00ED7228"/>
    <w:rsid w:val="00ED77E0"/>
    <w:rsid w:val="00ED7BE8"/>
    <w:rsid w:val="00ED7E58"/>
    <w:rsid w:val="00ED7FEE"/>
    <w:rsid w:val="00EE0788"/>
    <w:rsid w:val="00EE1152"/>
    <w:rsid w:val="00EE1749"/>
    <w:rsid w:val="00EE18CA"/>
    <w:rsid w:val="00EE1E9E"/>
    <w:rsid w:val="00EE1F7B"/>
    <w:rsid w:val="00EE1F9B"/>
    <w:rsid w:val="00EE20B2"/>
    <w:rsid w:val="00EE4120"/>
    <w:rsid w:val="00EE4ABD"/>
    <w:rsid w:val="00EE57EB"/>
    <w:rsid w:val="00EE597C"/>
    <w:rsid w:val="00EE761E"/>
    <w:rsid w:val="00EE7B13"/>
    <w:rsid w:val="00EE7B1F"/>
    <w:rsid w:val="00EF1932"/>
    <w:rsid w:val="00EF2292"/>
    <w:rsid w:val="00EF3056"/>
    <w:rsid w:val="00EF3C48"/>
    <w:rsid w:val="00EF469C"/>
    <w:rsid w:val="00EF479A"/>
    <w:rsid w:val="00EF4B36"/>
    <w:rsid w:val="00EF55F3"/>
    <w:rsid w:val="00EF5DEC"/>
    <w:rsid w:val="00EF5F71"/>
    <w:rsid w:val="00EF6EA6"/>
    <w:rsid w:val="00EF6F29"/>
    <w:rsid w:val="00EF784F"/>
    <w:rsid w:val="00F00AA9"/>
    <w:rsid w:val="00F00B7B"/>
    <w:rsid w:val="00F012A0"/>
    <w:rsid w:val="00F01840"/>
    <w:rsid w:val="00F01C28"/>
    <w:rsid w:val="00F02CAC"/>
    <w:rsid w:val="00F02E21"/>
    <w:rsid w:val="00F036B9"/>
    <w:rsid w:val="00F03DFF"/>
    <w:rsid w:val="00F042C8"/>
    <w:rsid w:val="00F0464B"/>
    <w:rsid w:val="00F04FBD"/>
    <w:rsid w:val="00F0521D"/>
    <w:rsid w:val="00F0555C"/>
    <w:rsid w:val="00F0573F"/>
    <w:rsid w:val="00F05BB5"/>
    <w:rsid w:val="00F05D97"/>
    <w:rsid w:val="00F06BD5"/>
    <w:rsid w:val="00F07766"/>
    <w:rsid w:val="00F07CD1"/>
    <w:rsid w:val="00F10F79"/>
    <w:rsid w:val="00F11102"/>
    <w:rsid w:val="00F1183D"/>
    <w:rsid w:val="00F11ED1"/>
    <w:rsid w:val="00F12621"/>
    <w:rsid w:val="00F12E78"/>
    <w:rsid w:val="00F14ADD"/>
    <w:rsid w:val="00F14CF2"/>
    <w:rsid w:val="00F1534E"/>
    <w:rsid w:val="00F1613E"/>
    <w:rsid w:val="00F1622C"/>
    <w:rsid w:val="00F163D0"/>
    <w:rsid w:val="00F178F6"/>
    <w:rsid w:val="00F2143F"/>
    <w:rsid w:val="00F21BB9"/>
    <w:rsid w:val="00F21CB4"/>
    <w:rsid w:val="00F21FAA"/>
    <w:rsid w:val="00F225B2"/>
    <w:rsid w:val="00F22DF8"/>
    <w:rsid w:val="00F22E6A"/>
    <w:rsid w:val="00F24CD8"/>
    <w:rsid w:val="00F254D2"/>
    <w:rsid w:val="00F26538"/>
    <w:rsid w:val="00F26793"/>
    <w:rsid w:val="00F31F00"/>
    <w:rsid w:val="00F32AE4"/>
    <w:rsid w:val="00F32D77"/>
    <w:rsid w:val="00F33381"/>
    <w:rsid w:val="00F3353E"/>
    <w:rsid w:val="00F33555"/>
    <w:rsid w:val="00F33B5F"/>
    <w:rsid w:val="00F34B5B"/>
    <w:rsid w:val="00F3521A"/>
    <w:rsid w:val="00F37D86"/>
    <w:rsid w:val="00F37DC4"/>
    <w:rsid w:val="00F40385"/>
    <w:rsid w:val="00F40F70"/>
    <w:rsid w:val="00F411C9"/>
    <w:rsid w:val="00F413DC"/>
    <w:rsid w:val="00F42031"/>
    <w:rsid w:val="00F422A5"/>
    <w:rsid w:val="00F42DD2"/>
    <w:rsid w:val="00F4327A"/>
    <w:rsid w:val="00F43C10"/>
    <w:rsid w:val="00F447AA"/>
    <w:rsid w:val="00F44E88"/>
    <w:rsid w:val="00F46711"/>
    <w:rsid w:val="00F475E0"/>
    <w:rsid w:val="00F476DF"/>
    <w:rsid w:val="00F47938"/>
    <w:rsid w:val="00F50E17"/>
    <w:rsid w:val="00F52886"/>
    <w:rsid w:val="00F52AA4"/>
    <w:rsid w:val="00F52EAC"/>
    <w:rsid w:val="00F52F30"/>
    <w:rsid w:val="00F53724"/>
    <w:rsid w:val="00F54162"/>
    <w:rsid w:val="00F548EF"/>
    <w:rsid w:val="00F54AB3"/>
    <w:rsid w:val="00F54B5D"/>
    <w:rsid w:val="00F54DF6"/>
    <w:rsid w:val="00F57918"/>
    <w:rsid w:val="00F57E68"/>
    <w:rsid w:val="00F615BE"/>
    <w:rsid w:val="00F61F38"/>
    <w:rsid w:val="00F623FE"/>
    <w:rsid w:val="00F62FB5"/>
    <w:rsid w:val="00F63272"/>
    <w:rsid w:val="00F6398D"/>
    <w:rsid w:val="00F63C8B"/>
    <w:rsid w:val="00F642E7"/>
    <w:rsid w:val="00F64AF9"/>
    <w:rsid w:val="00F6509E"/>
    <w:rsid w:val="00F650A3"/>
    <w:rsid w:val="00F65FD3"/>
    <w:rsid w:val="00F66BF8"/>
    <w:rsid w:val="00F66F1E"/>
    <w:rsid w:val="00F670B6"/>
    <w:rsid w:val="00F71026"/>
    <w:rsid w:val="00F71C34"/>
    <w:rsid w:val="00F72A3A"/>
    <w:rsid w:val="00F72AFB"/>
    <w:rsid w:val="00F72B6D"/>
    <w:rsid w:val="00F72E49"/>
    <w:rsid w:val="00F738A4"/>
    <w:rsid w:val="00F73EBA"/>
    <w:rsid w:val="00F740FB"/>
    <w:rsid w:val="00F74589"/>
    <w:rsid w:val="00F74D44"/>
    <w:rsid w:val="00F757E1"/>
    <w:rsid w:val="00F77BF0"/>
    <w:rsid w:val="00F824D6"/>
    <w:rsid w:val="00F8255C"/>
    <w:rsid w:val="00F82C0B"/>
    <w:rsid w:val="00F835F3"/>
    <w:rsid w:val="00F84B08"/>
    <w:rsid w:val="00F84F7D"/>
    <w:rsid w:val="00F855FE"/>
    <w:rsid w:val="00F85FD6"/>
    <w:rsid w:val="00F861B4"/>
    <w:rsid w:val="00F86D89"/>
    <w:rsid w:val="00F903AD"/>
    <w:rsid w:val="00F90ABA"/>
    <w:rsid w:val="00F90C80"/>
    <w:rsid w:val="00F90D03"/>
    <w:rsid w:val="00F91C38"/>
    <w:rsid w:val="00F91C74"/>
    <w:rsid w:val="00F91DC4"/>
    <w:rsid w:val="00F92660"/>
    <w:rsid w:val="00F92F9D"/>
    <w:rsid w:val="00F943A8"/>
    <w:rsid w:val="00F945A6"/>
    <w:rsid w:val="00F951B5"/>
    <w:rsid w:val="00F96794"/>
    <w:rsid w:val="00F967B7"/>
    <w:rsid w:val="00F96A62"/>
    <w:rsid w:val="00F979D3"/>
    <w:rsid w:val="00F97DF3"/>
    <w:rsid w:val="00FA14F4"/>
    <w:rsid w:val="00FA1775"/>
    <w:rsid w:val="00FA18FF"/>
    <w:rsid w:val="00FA1CFD"/>
    <w:rsid w:val="00FA27F6"/>
    <w:rsid w:val="00FA28D1"/>
    <w:rsid w:val="00FA2948"/>
    <w:rsid w:val="00FA3681"/>
    <w:rsid w:val="00FA3EF2"/>
    <w:rsid w:val="00FA5DFF"/>
    <w:rsid w:val="00FA66BF"/>
    <w:rsid w:val="00FA6AFD"/>
    <w:rsid w:val="00FA6B0D"/>
    <w:rsid w:val="00FA7852"/>
    <w:rsid w:val="00FA7891"/>
    <w:rsid w:val="00FA7DBF"/>
    <w:rsid w:val="00FB09E3"/>
    <w:rsid w:val="00FB0A23"/>
    <w:rsid w:val="00FB1371"/>
    <w:rsid w:val="00FB1B92"/>
    <w:rsid w:val="00FB24A0"/>
    <w:rsid w:val="00FB2738"/>
    <w:rsid w:val="00FB279C"/>
    <w:rsid w:val="00FB288E"/>
    <w:rsid w:val="00FB2F2B"/>
    <w:rsid w:val="00FB3350"/>
    <w:rsid w:val="00FB3753"/>
    <w:rsid w:val="00FB3917"/>
    <w:rsid w:val="00FB3A9A"/>
    <w:rsid w:val="00FB402B"/>
    <w:rsid w:val="00FB45E6"/>
    <w:rsid w:val="00FB49B0"/>
    <w:rsid w:val="00FB5E7D"/>
    <w:rsid w:val="00FB6621"/>
    <w:rsid w:val="00FB6E9D"/>
    <w:rsid w:val="00FB6FA9"/>
    <w:rsid w:val="00FB7F3E"/>
    <w:rsid w:val="00FC0721"/>
    <w:rsid w:val="00FC0DBB"/>
    <w:rsid w:val="00FC1126"/>
    <w:rsid w:val="00FC182F"/>
    <w:rsid w:val="00FC219A"/>
    <w:rsid w:val="00FC2211"/>
    <w:rsid w:val="00FC2389"/>
    <w:rsid w:val="00FC2A36"/>
    <w:rsid w:val="00FC2AD2"/>
    <w:rsid w:val="00FC2FD8"/>
    <w:rsid w:val="00FC3BD9"/>
    <w:rsid w:val="00FC520E"/>
    <w:rsid w:val="00FC5401"/>
    <w:rsid w:val="00FC5896"/>
    <w:rsid w:val="00FC5E1C"/>
    <w:rsid w:val="00FC7140"/>
    <w:rsid w:val="00FC7B8B"/>
    <w:rsid w:val="00FD0E1E"/>
    <w:rsid w:val="00FD1B5A"/>
    <w:rsid w:val="00FD2191"/>
    <w:rsid w:val="00FD2411"/>
    <w:rsid w:val="00FD2570"/>
    <w:rsid w:val="00FD3380"/>
    <w:rsid w:val="00FD4A6B"/>
    <w:rsid w:val="00FD4F7F"/>
    <w:rsid w:val="00FD61B0"/>
    <w:rsid w:val="00FD6220"/>
    <w:rsid w:val="00FD6B3F"/>
    <w:rsid w:val="00FD7826"/>
    <w:rsid w:val="00FD78FB"/>
    <w:rsid w:val="00FD7EAB"/>
    <w:rsid w:val="00FE0006"/>
    <w:rsid w:val="00FE0AEF"/>
    <w:rsid w:val="00FE0E56"/>
    <w:rsid w:val="00FE1238"/>
    <w:rsid w:val="00FE18B7"/>
    <w:rsid w:val="00FE1E82"/>
    <w:rsid w:val="00FE218D"/>
    <w:rsid w:val="00FE3837"/>
    <w:rsid w:val="00FE43E2"/>
    <w:rsid w:val="00FE4BCF"/>
    <w:rsid w:val="00FE4BF1"/>
    <w:rsid w:val="00FE4C89"/>
    <w:rsid w:val="00FE5D1A"/>
    <w:rsid w:val="00FE5D28"/>
    <w:rsid w:val="00FE5E39"/>
    <w:rsid w:val="00FE5F3E"/>
    <w:rsid w:val="00FE5FE9"/>
    <w:rsid w:val="00FE6176"/>
    <w:rsid w:val="00FF0332"/>
    <w:rsid w:val="00FF0647"/>
    <w:rsid w:val="00FF0CF8"/>
    <w:rsid w:val="00FF0EA9"/>
    <w:rsid w:val="00FF19CE"/>
    <w:rsid w:val="00FF1B85"/>
    <w:rsid w:val="00FF1DDC"/>
    <w:rsid w:val="00FF1E7C"/>
    <w:rsid w:val="00FF27A2"/>
    <w:rsid w:val="00FF291D"/>
    <w:rsid w:val="00FF312D"/>
    <w:rsid w:val="00FF3330"/>
    <w:rsid w:val="00FF42A7"/>
    <w:rsid w:val="00FF5214"/>
    <w:rsid w:val="00FF5290"/>
    <w:rsid w:val="00FF534B"/>
    <w:rsid w:val="00FF5F49"/>
    <w:rsid w:val="00FF6C4E"/>
    <w:rsid w:val="00FF6EC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DA3D8-BCB8-4670-834C-A35091B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E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8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20"/>
    <w:rPr>
      <w:rFonts w:ascii="GHEA Grapalat" w:hAnsi="GHEA Grapalat"/>
      <w:color w:val="0070C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5A20"/>
    <w:rPr>
      <w:rFonts w:ascii="GHEA Grapalat" w:eastAsia="Times New Roman" w:hAnsi="GHEA Grapalat"/>
      <w:color w:val="0070C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A45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link w:val="Heading1"/>
    <w:uiPriority w:val="9"/>
    <w:rsid w:val="003C1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Akapit z listą BS,List Paragraph2,Bullets,List Paragraph nowy,List Paragraph (numbered (a)),Liste 1,List Paragraph 1,List_Paragraph,Multilevel para_II,References,IBL List Paragraph,Numbered List Paragraph,Bullet1,List Paragraph4,OBC Bulle"/>
    <w:basedOn w:val="Normal"/>
    <w:link w:val="ListParagraphChar"/>
    <w:uiPriority w:val="34"/>
    <w:qFormat/>
    <w:rsid w:val="00456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54F0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Akapit z listą BS Char,List Paragraph2 Char,Bullets Char,List Paragraph nowy Char,List Paragraph (numbered (a)) Char,Liste 1 Char,List Paragraph 1 Char,List_Paragraph Char,Multilevel para_II Char,References Char,Bullet1 Char"/>
    <w:link w:val="ListParagraph"/>
    <w:uiPriority w:val="34"/>
    <w:qFormat/>
    <w:locked/>
    <w:rsid w:val="00990B8D"/>
    <w:rPr>
      <w:sz w:val="22"/>
      <w:szCs w:val="22"/>
    </w:rPr>
  </w:style>
  <w:style w:type="table" w:styleId="TableGrid">
    <w:name w:val="Table Grid"/>
    <w:basedOn w:val="TableNormal"/>
    <w:uiPriority w:val="59"/>
    <w:rsid w:val="0033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A27F-6AF9-444E-8F2A-B1DF3E87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4423</Words>
  <Characters>25217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keywords>https:/mul2-minfin.gov.am/tasks/1020393/oneclick?token=c7b479dd4f178bdeb4def8e3e5dfdc3f</cp:keywords>
  <cp:lastModifiedBy>Emma Ghaytanjyan</cp:lastModifiedBy>
  <cp:revision>6</cp:revision>
  <cp:lastPrinted>2025-06-20T07:14:00Z</cp:lastPrinted>
  <dcterms:created xsi:type="dcterms:W3CDTF">2025-07-08T13:33:00Z</dcterms:created>
  <dcterms:modified xsi:type="dcterms:W3CDTF">2025-07-08T13:46:00Z</dcterms:modified>
</cp:coreProperties>
</file>