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EE" w:rsidRPr="00523CEE" w:rsidRDefault="00523CEE" w:rsidP="00523CEE">
      <w:pPr>
        <w:tabs>
          <w:tab w:val="left" w:pos="540"/>
        </w:tabs>
        <w:spacing w:line="360" w:lineRule="auto"/>
        <w:ind w:left="-284"/>
        <w:jc w:val="both"/>
        <w:rPr>
          <w:rFonts w:ascii="GHEA Grapalat" w:hAnsi="GHEA Grapalat" w:cs="Sylfaen"/>
          <w:sz w:val="22"/>
          <w:szCs w:val="22"/>
          <w:u w:val="single"/>
        </w:rPr>
      </w:pPr>
      <w:r w:rsidRPr="00523CEE">
        <w:rPr>
          <w:rFonts w:ascii="GHEA Grapalat" w:hAnsi="GHEA Grapalat" w:cs="Sylfaen"/>
          <w:sz w:val="22"/>
          <w:szCs w:val="22"/>
          <w:u w:val="single"/>
          <w:lang w:val="hy-AM"/>
        </w:rPr>
        <w:t>Հիմնական մակրոտնտեսական ցո</w:t>
      </w:r>
      <w:r>
        <w:rPr>
          <w:rFonts w:ascii="GHEA Grapalat" w:hAnsi="GHEA Grapalat" w:cs="Sylfaen"/>
          <w:sz w:val="22"/>
          <w:szCs w:val="22"/>
          <w:u w:val="single"/>
          <w:lang w:val="hy-AM"/>
        </w:rPr>
        <w:t>ւցանիշներ (ՀՀ կառավարության 201</w:t>
      </w:r>
      <w:r>
        <w:rPr>
          <w:rFonts w:ascii="GHEA Grapalat" w:hAnsi="GHEA Grapalat" w:cs="Sylfaen"/>
          <w:sz w:val="22"/>
          <w:szCs w:val="22"/>
          <w:u w:val="single"/>
        </w:rPr>
        <w:t>4</w:t>
      </w:r>
      <w:r w:rsidRPr="00523CEE">
        <w:rPr>
          <w:rFonts w:ascii="GHEA Grapalat" w:hAnsi="GHEA Grapalat" w:cs="Sylfaen"/>
          <w:sz w:val="22"/>
          <w:szCs w:val="22"/>
          <w:u w:val="single"/>
          <w:lang w:val="hy-AM"/>
        </w:rPr>
        <w:t>թ. բյուջետային ուղերձ)</w:t>
      </w:r>
    </w:p>
    <w:tbl>
      <w:tblPr>
        <w:tblW w:w="9965" w:type="dxa"/>
        <w:jc w:val="center"/>
        <w:tblInd w:w="-516" w:type="dxa"/>
        <w:tblLook w:val="0000" w:firstRow="0" w:lastRow="0" w:firstColumn="0" w:lastColumn="0" w:noHBand="0" w:noVBand="0"/>
      </w:tblPr>
      <w:tblGrid>
        <w:gridCol w:w="4320"/>
        <w:gridCol w:w="1127"/>
        <w:gridCol w:w="1127"/>
        <w:gridCol w:w="1132"/>
        <w:gridCol w:w="1132"/>
        <w:gridCol w:w="1127"/>
      </w:tblGrid>
      <w:tr w:rsidR="00523CEE" w:rsidRPr="00B26007" w:rsidTr="00523CEE">
        <w:trPr>
          <w:trHeight w:val="258"/>
          <w:tblHeader/>
          <w:jc w:val="center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Ցուցանիշներ</w:t>
            </w:r>
          </w:p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2010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2011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</w:rPr>
              <w:t>2012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</w:rPr>
              <w:t>2013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right w:val="nil"/>
            </w:tcBorders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</w:rPr>
              <w:t>2014</w:t>
            </w:r>
          </w:p>
        </w:tc>
      </w:tr>
      <w:tr w:rsidR="00523CEE" w:rsidRPr="00B26007" w:rsidTr="00523CEE">
        <w:trPr>
          <w:trHeight w:val="258"/>
          <w:tblHeader/>
          <w:jc w:val="center"/>
        </w:trPr>
        <w:tc>
          <w:tcPr>
            <w:tcW w:w="43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27" w:type="dxa"/>
            <w:tcBorders>
              <w:left w:val="nil"/>
              <w:bottom w:val="single" w:sz="4" w:space="0" w:color="auto"/>
              <w:right w:val="nil"/>
            </w:tcBorders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փաստ.</w:t>
            </w:r>
          </w:p>
        </w:tc>
        <w:tc>
          <w:tcPr>
            <w:tcW w:w="11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փաստ.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փաստ</w:t>
            </w:r>
            <w:r w:rsidRPr="00B26007">
              <w:rPr>
                <w:rFonts w:ascii="GHEA Grapalat" w:hAnsi="GHEA Grapalat" w:cs="Tahoma"/>
                <w:sz w:val="22"/>
                <w:szCs w:val="22"/>
                <w:lang w:val="hy-AM"/>
              </w:rPr>
              <w:t>.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B26007">
              <w:rPr>
                <w:rFonts w:ascii="GHEA Grapalat" w:hAnsi="GHEA Grapalat" w:cs="Sylfaen"/>
                <w:sz w:val="22"/>
                <w:szCs w:val="22"/>
              </w:rPr>
              <w:t>սպասում</w:t>
            </w:r>
            <w:proofErr w:type="spellEnd"/>
          </w:p>
        </w:tc>
        <w:tc>
          <w:tcPr>
            <w:tcW w:w="1127" w:type="dxa"/>
            <w:tcBorders>
              <w:left w:val="nil"/>
              <w:bottom w:val="single" w:sz="4" w:space="0" w:color="auto"/>
              <w:right w:val="nil"/>
            </w:tcBorders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proofErr w:type="gramStart"/>
            <w:r w:rsidRPr="00B26007">
              <w:rPr>
                <w:rFonts w:ascii="GHEA Grapalat" w:hAnsi="GHEA Grapalat" w:cs="Sylfaen"/>
                <w:sz w:val="22"/>
                <w:szCs w:val="22"/>
              </w:rPr>
              <w:t>կանխ</w:t>
            </w:r>
            <w:proofErr w:type="spellEnd"/>
            <w:proofErr w:type="gramEnd"/>
            <w:r w:rsidRPr="00B26007"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Անվանական ՀՆԱ, մլրդ դրամ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bCs/>
                <w:sz w:val="22"/>
                <w:szCs w:val="22"/>
              </w:rPr>
              <w:t>3460.2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bCs/>
                <w:sz w:val="22"/>
                <w:szCs w:val="22"/>
              </w:rPr>
              <w:t>3777.9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bCs/>
                <w:sz w:val="22"/>
                <w:szCs w:val="22"/>
              </w:rPr>
              <w:t>3997.6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bCs/>
                <w:sz w:val="22"/>
                <w:szCs w:val="22"/>
              </w:rPr>
              <w:t xml:space="preserve">4305.6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bCs/>
                <w:sz w:val="22"/>
                <w:szCs w:val="22"/>
              </w:rPr>
              <w:t>4723.7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 ՀՆԱ ինդեքս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102.2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104.7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107.2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104.1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105.2 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ՀՆԱ դեֆլյատոր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107.8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104.3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98.8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103.5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104.3 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Սպառողական գների ինդեքս (ժամկետի վերջ)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109.4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104.7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103.2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107.4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104.5 </w:t>
            </w:r>
          </w:p>
        </w:tc>
        <w:bookmarkStart w:id="0" w:name="_GoBack"/>
        <w:bookmarkEnd w:id="0"/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Գնաճ (ժամանակաշրջանի վերջ) 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9.4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4.7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3.2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7.4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4.5 </w:t>
            </w:r>
          </w:p>
        </w:tc>
      </w:tr>
      <w:tr w:rsidR="00523CEE" w:rsidRPr="00B26007" w:rsidTr="00523CEE">
        <w:trPr>
          <w:trHeight w:val="516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Գնաճ (միջին, նախորդ տարվա նույն ժամանակահատվածի նկատմամբ) 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8.2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7.7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2.6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6.0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5.5 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ՀՆԱ իրական աճն ըստ ճյուղերի ավելացված արժեքների`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ՀՆԱ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2.2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4.7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7.2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4.1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5.2 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Արդյունաբերություն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9.2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13.6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7.0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3.0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7.0 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Գյուղատնտեսություն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-16.0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14.0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9.5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4.7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5.0 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Շինարարություն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3.3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-12.2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3.3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-4.5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3.0 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Ծառայություններ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4.1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4.7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6.5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6.0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5.2 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Զուտ հարկեր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13.4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3.8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9.9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7.0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5.0 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ՀՆԱ ծախսային կոմպոնենտնտերի իրական աճերը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Վերջնական սպառում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3.9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2.6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7.8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3.4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3.5 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3.9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1.9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0.2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3.9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1.4 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Մասնավոր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3.9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2.7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9.0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3.3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3.8 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Կապիտալի համախառն կուտակում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0.5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-5.2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-5.7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0.0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2.9 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-10.0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-1.4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-19.6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12.9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0.8 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Arial Armenia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Մասնավոր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3.3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-6.1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-6.7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-2.6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3.4 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 xml:space="preserve">Ապրանքների և ծառայությունների արտահանում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26.5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14.7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8.4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10.3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10.3 </w:t>
            </w:r>
          </w:p>
        </w:tc>
      </w:tr>
      <w:tr w:rsidR="00523CEE" w:rsidRPr="00B26007" w:rsidTr="00523CEE">
        <w:trPr>
          <w:trHeight w:val="272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Ապրանքների և ծառայությունների ներմուծում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12.8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-1.4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-2.8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5.2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0"/>
                <w:szCs w:val="20"/>
              </w:rPr>
              <w:t xml:space="preserve">6.4 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Արտաքին հատված</w:t>
            </w:r>
            <w:r w:rsidRPr="00B26007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Մլն. ԱՄՆ դոլար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Ապրանքների և ծառայությունների արտահանում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1937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2407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24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40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660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28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91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Ապրանքների և ծառայությունների ներմուծում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-4212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-4797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-49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-5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066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-5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281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Ապրանքների արտահանում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1175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1580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619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</w:rPr>
              <w:t>1781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</w:rPr>
              <w:t>1959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Ապրանքների ներմուծում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-3208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-3658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-3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738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3850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-40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04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Ապրանքների արտահանման աճ, 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57.0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34.4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2.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0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0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.0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Ապրանքների ներմուծման աճ, 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13.4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14.0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</w:rPr>
              <w:t>2.2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</w:rPr>
              <w:t>4.0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հաշիվ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-1373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-1108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-11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1037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-93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9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Արտաքին</w:t>
            </w:r>
            <w:r>
              <w:rPr>
                <w:rFonts w:ascii="Arial" w:hAnsi="Arial" w:cs="Sylfaen"/>
                <w:sz w:val="22"/>
                <w:szCs w:val="22"/>
              </w:rPr>
              <w:t xml:space="preserve"> 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պարտք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3299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3568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738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</w:rPr>
              <w:t>4106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242793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</w:rPr>
              <w:t>4277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ՀՆԱ-ի նկատմամբ տոկոս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Ապրանքների և ծառայությունների հաշվեկշիռ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-24.6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-23.6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-2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4.8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-2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3.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1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-2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2.0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Ապրանքների և ծառայությունների</w:t>
            </w:r>
            <w:r w:rsidRPr="00B2600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արտահանում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20.9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23.7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4.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5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25.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6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6.6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Ապրանքների և ծառայությունների ներմուծում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45.5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47.3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9.3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8.7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8.6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Առևտրային հաշիվ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-21.9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-20.5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-21.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3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-19.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9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-18.8 </w:t>
            </w:r>
          </w:p>
        </w:tc>
      </w:tr>
      <w:tr w:rsidR="00523CEE" w:rsidRPr="00B26007" w:rsidTr="00523CEE">
        <w:trPr>
          <w:trHeight w:val="274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հաշիվ (ներառյալ պաշտոնական տրանսֆերտները)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-14.8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-10.9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-1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1.2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-10.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0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8.6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</w:tr>
      <w:tr w:rsidR="00523CEE" w:rsidRPr="00B26007" w:rsidTr="00523CEE">
        <w:trPr>
          <w:trHeight w:val="281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Ընթացիկ հաշիվ (առանց պաշտոնական տրանսֆերտների)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-15.8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-12.5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-1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2.2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10.4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-9.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1</w:t>
            </w: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Արտաքին պարտք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34.7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36.4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37.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9.5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9.3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Ներմուծման ծածկույթը (ամիսներով)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5.3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4.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</w:rPr>
              <w:t>4.4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3.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3.</w:t>
            </w:r>
            <w:r w:rsidRPr="00B26007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Դրամավարկային հատված</w:t>
            </w:r>
            <w:r w:rsidRPr="00B26007">
              <w:rPr>
                <w:rStyle w:val="FootnoteReference"/>
                <w:rFonts w:ascii="GHEA Grapalat" w:hAnsi="GHEA Grapalat"/>
                <w:sz w:val="22"/>
                <w:szCs w:val="22"/>
                <w:lang w:val="hy-AM"/>
              </w:rPr>
              <w:footnoteReference w:id="1"/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F634B4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A052BF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E" w:rsidRPr="00242793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EE" w:rsidRPr="000B4B28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Փողի զանգվածի աճ % (M2X ժամ. վերջ)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11.8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23.7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19.5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10.0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11.1 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Փողի զանգվածի շրջապտույտի արագություն (ՀՆԱ/M2X միջին)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4.0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3.7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3.2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3.0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3.0 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Փողի բազմարկիչ (M2X)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1.6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1.7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1.8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2.0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2.1 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Դրամային զանգվածի աճ % (M2 ժամ. վերջ)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15.7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26.4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11.9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9.9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11.7 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Դրամային զանգվածի շրջապտույտի արագություն (ՀՆԱ/M2 միջին)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6.9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6.4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5.7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5.6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5.5 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Դրամային բազմարկիչ (M2)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1.3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1.2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1.0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1.1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 xml:space="preserve">1.1 </w:t>
            </w:r>
          </w:p>
        </w:tc>
      </w:tr>
      <w:tr w:rsidR="00523CEE" w:rsidRPr="00B26007" w:rsidTr="00523CEE">
        <w:trPr>
          <w:trHeight w:val="258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CEE" w:rsidRPr="00B26007" w:rsidRDefault="00523CEE" w:rsidP="00AB4735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26007">
              <w:rPr>
                <w:rFonts w:ascii="GHEA Grapalat" w:hAnsi="GHEA Grapalat" w:cs="Sylfaen"/>
                <w:sz w:val="22"/>
                <w:szCs w:val="22"/>
                <w:lang w:val="hy-AM"/>
              </w:rPr>
              <w:t>Փողի բազա, % (ժամ. վերջ)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>-0.8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>32.3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>1.9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>8.8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EE" w:rsidRPr="00B26007" w:rsidRDefault="00523CEE" w:rsidP="00AB4735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26007">
              <w:rPr>
                <w:rFonts w:ascii="GHEA Grapalat" w:hAnsi="GHEA Grapalat"/>
                <w:sz w:val="22"/>
                <w:szCs w:val="22"/>
              </w:rPr>
              <w:t>3.9</w:t>
            </w:r>
          </w:p>
        </w:tc>
      </w:tr>
    </w:tbl>
    <w:p w:rsidR="00631550" w:rsidRPr="00523CEE" w:rsidRDefault="00631550"/>
    <w:sectPr w:rsidR="00631550" w:rsidRPr="00523C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01" w:rsidRDefault="00A81101" w:rsidP="00523CEE">
      <w:r>
        <w:separator/>
      </w:r>
    </w:p>
  </w:endnote>
  <w:endnote w:type="continuationSeparator" w:id="0">
    <w:p w:rsidR="00A81101" w:rsidRDefault="00A81101" w:rsidP="0052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01" w:rsidRDefault="00A81101" w:rsidP="00523CEE">
      <w:r>
        <w:separator/>
      </w:r>
    </w:p>
  </w:footnote>
  <w:footnote w:type="continuationSeparator" w:id="0">
    <w:p w:rsidR="00A81101" w:rsidRDefault="00A81101" w:rsidP="00523CEE">
      <w:r>
        <w:continuationSeparator/>
      </w:r>
    </w:p>
  </w:footnote>
  <w:footnote w:id="1">
    <w:p w:rsidR="00523CEE" w:rsidRPr="00523CEE" w:rsidRDefault="00523CEE" w:rsidP="00523CEE">
      <w:pPr>
        <w:pStyle w:val="BodyTextIndent2"/>
        <w:spacing w:line="240" w:lineRule="auto"/>
        <w:ind w:firstLine="0"/>
        <w:rPr>
          <w:rFonts w:ascii="GHEA Grapalat" w:hAnsi="GHEA Grapalat" w:cs="Sylfaen"/>
          <w:i/>
          <w:iCs/>
          <w:sz w:val="18"/>
          <w:szCs w:val="18"/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24"/>
    <w:rsid w:val="00523CEE"/>
    <w:rsid w:val="00631550"/>
    <w:rsid w:val="00994E60"/>
    <w:rsid w:val="00A81101"/>
    <w:rsid w:val="00BD6424"/>
    <w:rsid w:val="00C218E7"/>
    <w:rsid w:val="00E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23CEE"/>
    <w:rPr>
      <w:rFonts w:ascii="Arial Armenian" w:hAnsi="Arial Armenian"/>
      <w:sz w:val="20"/>
      <w:szCs w:val="20"/>
      <w:vertAlign w:val="superscript"/>
    </w:rPr>
  </w:style>
  <w:style w:type="paragraph" w:styleId="BodyTextIndent2">
    <w:name w:val="Body Text Indent 2"/>
    <w:basedOn w:val="Normal"/>
    <w:link w:val="BodyTextIndent2Char"/>
    <w:rsid w:val="00523CEE"/>
    <w:pPr>
      <w:spacing w:line="360" w:lineRule="auto"/>
      <w:ind w:firstLine="720"/>
      <w:jc w:val="both"/>
    </w:pPr>
    <w:rPr>
      <w:rFonts w:ascii="Arial Armenian" w:hAnsi="Arial Armenian"/>
      <w:sz w:val="22"/>
      <w:szCs w:val="22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523CEE"/>
    <w:rPr>
      <w:rFonts w:ascii="Arial Armenian" w:eastAsia="Times New Roman" w:hAnsi="Arial Armeni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23CEE"/>
    <w:rPr>
      <w:rFonts w:ascii="Arial Armenian" w:hAnsi="Arial Armenian"/>
      <w:sz w:val="20"/>
      <w:szCs w:val="20"/>
      <w:vertAlign w:val="superscript"/>
    </w:rPr>
  </w:style>
  <w:style w:type="paragraph" w:styleId="BodyTextIndent2">
    <w:name w:val="Body Text Indent 2"/>
    <w:basedOn w:val="Normal"/>
    <w:link w:val="BodyTextIndent2Char"/>
    <w:rsid w:val="00523CEE"/>
    <w:pPr>
      <w:spacing w:line="360" w:lineRule="auto"/>
      <w:ind w:firstLine="720"/>
      <w:jc w:val="both"/>
    </w:pPr>
    <w:rPr>
      <w:rFonts w:ascii="Arial Armenian" w:hAnsi="Arial Armenian"/>
      <w:sz w:val="22"/>
      <w:szCs w:val="22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523CEE"/>
    <w:rPr>
      <w:rFonts w:ascii="Arial Armenian" w:eastAsia="Times New Roman" w:hAnsi="Arial Armeni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 Doydoyan</dc:creator>
  <cp:keywords/>
  <dc:description/>
  <cp:lastModifiedBy>Ashkhen Doydoyan</cp:lastModifiedBy>
  <cp:revision>2</cp:revision>
  <dcterms:created xsi:type="dcterms:W3CDTF">2017-12-20T07:11:00Z</dcterms:created>
  <dcterms:modified xsi:type="dcterms:W3CDTF">2017-12-20T07:12:00Z</dcterms:modified>
</cp:coreProperties>
</file>