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CC1547">
        <w:rPr>
          <w:rFonts w:ascii="GHEA Grapalat" w:hAnsi="GHEA Grapalat"/>
          <w:sz w:val="24"/>
          <w:szCs w:val="24"/>
        </w:rPr>
        <w:t>1393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Րաֆֆի Ալեքսանյան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CC1547">
        <w:rPr>
          <w:rFonts w:ascii="GHEA Grapalat" w:hAnsi="GHEA Grapalat"/>
          <w:sz w:val="24"/>
          <w:szCs w:val="24"/>
          <w:lang w:val="hy-AM"/>
        </w:rPr>
        <w:t>Վիեննա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C1547">
        <w:rPr>
          <w:rFonts w:ascii="GHEA Grapalat" w:hAnsi="GHEA Grapalat"/>
          <w:sz w:val="24"/>
          <w:szCs w:val="24"/>
          <w:lang w:val="hy-AM"/>
        </w:rPr>
        <w:t>Ավստրիայի</w:t>
      </w:r>
      <w:r w:rsidR="004C0D8F">
        <w:rPr>
          <w:rFonts w:ascii="GHEA Grapalat" w:hAnsi="GHEA Grapalat"/>
          <w:sz w:val="24"/>
          <w:szCs w:val="24"/>
          <w:lang w:val="hy-AM"/>
        </w:rPr>
        <w:t xml:space="preserve">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CC1547">
        <w:rPr>
          <w:rFonts w:ascii="GHEA Grapalat" w:hAnsi="GHEA Grapalat"/>
          <w:sz w:val="24"/>
          <w:szCs w:val="24"/>
          <w:lang w:val="hy-AM"/>
        </w:rPr>
        <w:t>նոյեմբերի</w:t>
      </w:r>
      <w:r w:rsidR="004C0D8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1547">
        <w:rPr>
          <w:rFonts w:ascii="GHEA Grapalat" w:hAnsi="GHEA Grapalat"/>
          <w:sz w:val="24"/>
          <w:szCs w:val="24"/>
          <w:lang w:val="hy-AM"/>
        </w:rPr>
        <w:t>13</w:t>
      </w:r>
      <w:r w:rsidR="004C0D8F">
        <w:rPr>
          <w:rFonts w:ascii="GHEA Grapalat" w:hAnsi="GHEA Grapalat"/>
          <w:sz w:val="24"/>
          <w:szCs w:val="24"/>
          <w:lang w:val="hy-AM"/>
        </w:rPr>
        <w:t>-</w:t>
      </w:r>
      <w:r w:rsidR="00CC1547">
        <w:rPr>
          <w:rFonts w:ascii="GHEA Grapalat" w:hAnsi="GHEA Grapalat"/>
          <w:sz w:val="24"/>
          <w:szCs w:val="24"/>
          <w:lang w:val="hy-AM"/>
        </w:rPr>
        <w:t>17</w:t>
      </w:r>
      <w:bookmarkStart w:id="0" w:name="_GoBack"/>
      <w:bookmarkEnd w:id="0"/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4C0D8F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C0D8F" w:rsidRPr="004C0D8F">
        <w:rPr>
          <w:rFonts w:ascii="GHEA Grapalat" w:hAnsi="GHEA Grapalat" w:cs="Times Armenian"/>
          <w:sz w:val="24"/>
          <w:szCs w:val="24"/>
          <w:lang w:val="hy-AM"/>
        </w:rPr>
        <w:t>Համաշխարհային բանկի Ֆինանսական հաշվետվողականության բարեփոխումների կենտրոն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05B77"/>
    <w:rsid w:val="004B164F"/>
    <w:rsid w:val="004C0D8F"/>
    <w:rsid w:val="004D024A"/>
    <w:rsid w:val="005C242D"/>
    <w:rsid w:val="005D2166"/>
    <w:rsid w:val="0064211D"/>
    <w:rsid w:val="006A37FA"/>
    <w:rsid w:val="007064D6"/>
    <w:rsid w:val="00763FA0"/>
    <w:rsid w:val="008D71AE"/>
    <w:rsid w:val="00B05C54"/>
    <w:rsid w:val="00B73E89"/>
    <w:rsid w:val="00BD5002"/>
    <w:rsid w:val="00BF029C"/>
    <w:rsid w:val="00CC1547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70FB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https://mul2-minfin.gov.am/tasks/724087/oneclick/4_Caxser_Raffi.docx?token=4db269b27cec2414b13d325e1787895b</cp:keywords>
  <cp:lastModifiedBy>Lilit Martirosyan</cp:lastModifiedBy>
  <cp:revision>3</cp:revision>
  <dcterms:created xsi:type="dcterms:W3CDTF">2023-11-21T08:35:00Z</dcterms:created>
  <dcterms:modified xsi:type="dcterms:W3CDTF">2023-11-21T08:37:00Z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