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6211A" w14:textId="77777777" w:rsidR="00A677EC" w:rsidRDefault="00A677EC" w:rsidP="00A677EC">
      <w:pPr>
        <w:pStyle w:val="Heading1"/>
        <w:jc w:val="center"/>
        <w:rPr>
          <w:rFonts w:ascii="GHEA Grapalat" w:hAnsi="GHEA Grapalat"/>
          <w:b/>
          <w:lang w:val="hy-AM"/>
        </w:rPr>
      </w:pPr>
      <w:bookmarkStart w:id="0" w:name="_Toc77837907"/>
    </w:p>
    <w:bookmarkEnd w:id="0"/>
    <w:p w14:paraId="5FC7E66B" w14:textId="77777777"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14:paraId="12DF8C96" w14:textId="77777777"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14:paraId="252117AF" w14:textId="77777777"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14:paraId="0196491A" w14:textId="77777777"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14:paraId="7D7F2A95" w14:textId="77777777"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14:paraId="1291828E" w14:textId="77777777"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14:paraId="763DFB47" w14:textId="77777777" w:rsidR="00980518" w:rsidRPr="00980518" w:rsidRDefault="00980518" w:rsidP="00980518">
      <w:pPr>
        <w:pStyle w:val="Heading1"/>
        <w:rPr>
          <w:b/>
          <w:bCs/>
          <w:lang w:val="hy-AM"/>
        </w:rPr>
      </w:pPr>
      <w:r w:rsidRPr="00980518">
        <w:rPr>
          <w:b/>
          <w:bCs/>
          <w:lang w:val="hy-AM"/>
        </w:rPr>
        <w:t>ՎԵՐԼՈՒԾՈՒԹՅՈՒՆՆԵՐ</w:t>
      </w:r>
    </w:p>
    <w:p w14:paraId="734A3A4E" w14:textId="77777777"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14:paraId="01ABAF70" w14:textId="77777777"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14:paraId="3275FAC9" w14:textId="77777777"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14:paraId="7322B31B" w14:textId="77777777"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14:paraId="153E0B99" w14:textId="42DDC86E"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14:paraId="515F04B1" w14:textId="4543E73F" w:rsidR="00980518" w:rsidRDefault="00980518" w:rsidP="00980518">
      <w:pPr>
        <w:rPr>
          <w:lang w:val="hy-AM"/>
        </w:rPr>
      </w:pPr>
    </w:p>
    <w:p w14:paraId="590B39C5" w14:textId="1EB42B43" w:rsidR="00980518" w:rsidRDefault="00980518" w:rsidP="00980518">
      <w:pPr>
        <w:rPr>
          <w:lang w:val="hy-AM"/>
        </w:rPr>
      </w:pPr>
    </w:p>
    <w:p w14:paraId="00EC6403" w14:textId="07C58330" w:rsidR="00980518" w:rsidRDefault="00980518" w:rsidP="00980518">
      <w:pPr>
        <w:rPr>
          <w:lang w:val="hy-AM"/>
        </w:rPr>
      </w:pPr>
    </w:p>
    <w:p w14:paraId="3F466F7A" w14:textId="0C2F72A7" w:rsidR="00980518" w:rsidRDefault="00980518" w:rsidP="00980518">
      <w:pPr>
        <w:rPr>
          <w:lang w:val="hy-AM"/>
        </w:rPr>
      </w:pPr>
    </w:p>
    <w:p w14:paraId="134E2BDD" w14:textId="38F583CB" w:rsidR="00980518" w:rsidRDefault="00980518" w:rsidP="00980518">
      <w:pPr>
        <w:rPr>
          <w:lang w:val="hy-AM"/>
        </w:rPr>
      </w:pPr>
    </w:p>
    <w:p w14:paraId="3DCDD9AA" w14:textId="1D241D36" w:rsidR="00980518" w:rsidRDefault="00980518" w:rsidP="00980518">
      <w:pPr>
        <w:rPr>
          <w:lang w:val="hy-AM"/>
        </w:rPr>
      </w:pPr>
    </w:p>
    <w:p w14:paraId="0D815AEA" w14:textId="3689829F" w:rsidR="00980518" w:rsidRDefault="00980518" w:rsidP="00980518">
      <w:pPr>
        <w:rPr>
          <w:lang w:val="hy-AM"/>
        </w:rPr>
      </w:pPr>
    </w:p>
    <w:p w14:paraId="5464EFC4" w14:textId="3F4F2285" w:rsidR="00980518" w:rsidRDefault="00980518" w:rsidP="00980518">
      <w:pPr>
        <w:rPr>
          <w:lang w:val="hy-AM"/>
        </w:rPr>
      </w:pPr>
    </w:p>
    <w:p w14:paraId="59EC2CDE" w14:textId="77777777" w:rsidR="00980518" w:rsidRPr="00980518" w:rsidRDefault="00980518" w:rsidP="00980518">
      <w:pPr>
        <w:rPr>
          <w:lang w:val="hy-AM"/>
        </w:rPr>
      </w:pPr>
    </w:p>
    <w:p w14:paraId="084F9892" w14:textId="77777777"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14:paraId="709CBE0D" w14:textId="77777777"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14:paraId="4833EE96" w14:textId="77777777"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14:paraId="0B54BFB2" w14:textId="6B0569FA"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14:paraId="1921C1F2" w14:textId="77777777" w:rsidR="00980518" w:rsidRPr="00C76568" w:rsidRDefault="00980518" w:rsidP="00980518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  <w:bookmarkStart w:id="1" w:name="_Toc14687615"/>
      <w:bookmarkStart w:id="2" w:name="_Toc13837279"/>
      <w:bookmarkStart w:id="3" w:name="_Toc45838560"/>
      <w:bookmarkStart w:id="4" w:name="_Toc46154385"/>
      <w:bookmarkStart w:id="5" w:name="_Toc46754907"/>
      <w:bookmarkStart w:id="6" w:name="_Toc14687616"/>
      <w:bookmarkStart w:id="7" w:name="_Toc13837280"/>
      <w:bookmarkStart w:id="8" w:name="_Toc14684188"/>
      <w:bookmarkStart w:id="9" w:name="_Toc500177756"/>
      <w:bookmarkStart w:id="10" w:name="_Toc13837390"/>
      <w:bookmarkStart w:id="11" w:name="_Toc45838559"/>
      <w:r w:rsidRPr="00C76568">
        <w:rPr>
          <w:rFonts w:eastAsia="Times New Roman" w:cs="Times New Roman"/>
          <w:caps w:val="0"/>
          <w:color w:val="44546A" w:themeColor="text2"/>
          <w:sz w:val="28"/>
          <w:szCs w:val="28"/>
        </w:rPr>
        <w:t>3. ՊԵՏԱԿԱՆ ԲՅՈՒՋԵԻ ՎՐԱ ՄԱԿՐՈՏՆՏԵՍԱԿԱՆ ԿԱՆԽԱՏԵՍՎԱԾ ՑՈՒՑԱՆԻՇՆԵՐԻՑ ՇԵՂՄԱՆ ՌԻՍԿԵՐԻ ԱԶԴԵՑՈՒԹՅԱՆ ՔԱՆԱԿԱԿԱՆ ԳՆԱՀԱՏՈՒՄ</w:t>
      </w:r>
      <w:bookmarkEnd w:id="1"/>
      <w:bookmarkEnd w:id="2"/>
      <w:bookmarkEnd w:id="3"/>
      <w:bookmarkEnd w:id="4"/>
      <w:bookmarkEnd w:id="5"/>
    </w:p>
    <w:bookmarkEnd w:id="6"/>
    <w:bookmarkEnd w:id="7"/>
    <w:p w14:paraId="3F1A1A3C" w14:textId="77777777" w:rsidR="00980518" w:rsidRPr="00C53435" w:rsidRDefault="00980518" w:rsidP="00980518">
      <w:pPr>
        <w:spacing w:after="120" w:line="276" w:lineRule="auto"/>
        <w:ind w:firstLine="0"/>
        <w:rPr>
          <w:b/>
          <w:color w:val="44546A" w:themeColor="text2"/>
          <w:sz w:val="24"/>
          <w:szCs w:val="24"/>
          <w:lang w:val="hy-AM" w:eastAsia="ru-RU"/>
        </w:rPr>
      </w:pPr>
      <w:r>
        <w:rPr>
          <w:b/>
          <w:color w:val="44546A" w:themeColor="text2"/>
          <w:sz w:val="24"/>
          <w:szCs w:val="24"/>
          <w:lang w:val="es-ES"/>
        </w:rPr>
        <w:t>3</w:t>
      </w:r>
      <w:r>
        <w:rPr>
          <w:b/>
          <w:color w:val="44546A" w:themeColor="text2"/>
          <w:sz w:val="24"/>
          <w:szCs w:val="24"/>
          <w:lang w:val="hy-AM"/>
        </w:rPr>
        <w:t xml:space="preserve">.1. </w:t>
      </w:r>
      <w:r w:rsidRPr="00C53435">
        <w:rPr>
          <w:b/>
          <w:color w:val="44546A" w:themeColor="text2"/>
          <w:sz w:val="24"/>
          <w:szCs w:val="24"/>
          <w:lang w:val="hy-AM" w:eastAsia="ru-RU"/>
        </w:rPr>
        <w:t>2023-2025 թվականներին ՄԺԾԾ հարկային եկամուտների վրա մակրոտնտեսական ցուցանիշների կանխատեսվածից շեղման ռիսկերի ազդեցության քանակական գնահատումը</w:t>
      </w:r>
    </w:p>
    <w:p w14:paraId="676D47E9" w14:textId="77777777" w:rsidR="00980518" w:rsidRPr="00C53435" w:rsidRDefault="00980518" w:rsidP="00980518">
      <w:pPr>
        <w:spacing w:after="120" w:line="276" w:lineRule="auto"/>
        <w:ind w:firstLine="720"/>
        <w:rPr>
          <w:rFonts w:cs="Sylfaen"/>
          <w:lang w:val="hy-AM"/>
        </w:rPr>
      </w:pPr>
      <w:r w:rsidRPr="00C53435">
        <w:rPr>
          <w:rFonts w:cs="Sylfaen"/>
          <w:lang w:val="hy-AM"/>
        </w:rPr>
        <w:t xml:space="preserve">Միջնաժամկետ հատվածում հարկային եկամուտների կանխատեսվող հոսքերի վրա մակրոտնտեսական բնույթի ռիսկերի ազդեցության քանակական գնահատումը հիմնվել է ստորև նկարագրված </w:t>
      </w:r>
      <w:r w:rsidRPr="00C53435">
        <w:rPr>
          <w:rFonts w:cs="Sylfaen"/>
          <w:b/>
          <w:lang w:val="hy-AM"/>
        </w:rPr>
        <w:t>կանխատեսումների ռիսկի և</w:t>
      </w:r>
      <w:r w:rsidRPr="00C53435">
        <w:rPr>
          <w:rFonts w:cs="Sylfaen"/>
          <w:lang w:val="hy-AM"/>
        </w:rPr>
        <w:t xml:space="preserve"> </w:t>
      </w:r>
      <w:r w:rsidRPr="00C53435">
        <w:rPr>
          <w:rFonts w:cs="Sylfaen"/>
          <w:b/>
          <w:lang w:val="hy-AM"/>
        </w:rPr>
        <w:t>ենթադրություններից շեղումների ռիսկի</w:t>
      </w:r>
      <w:r w:rsidRPr="00C53435">
        <w:rPr>
          <w:rFonts w:cs="Sylfaen"/>
          <w:lang w:val="hy-AM"/>
        </w:rPr>
        <w:t xml:space="preserve"> վրա:</w:t>
      </w:r>
    </w:p>
    <w:p w14:paraId="666CA6DC" w14:textId="77777777" w:rsidR="00980518" w:rsidRPr="00C53435" w:rsidRDefault="00980518" w:rsidP="00980518">
      <w:pPr>
        <w:spacing w:after="120" w:line="276" w:lineRule="auto"/>
        <w:ind w:firstLine="720"/>
        <w:rPr>
          <w:rFonts w:cs="Sylfaen"/>
          <w:b/>
          <w:lang w:val="hy-AM"/>
        </w:rPr>
      </w:pPr>
      <w:r w:rsidRPr="00C53435">
        <w:rPr>
          <w:rFonts w:cs="Sylfaen"/>
          <w:b/>
          <w:lang w:val="hy-AM"/>
        </w:rPr>
        <w:t>1. Կանխատեսումների ռիսկ</w:t>
      </w:r>
    </w:p>
    <w:p w14:paraId="714A315E" w14:textId="77777777" w:rsidR="00980518" w:rsidRPr="00C53435" w:rsidRDefault="00980518" w:rsidP="00980518">
      <w:pPr>
        <w:spacing w:after="120" w:line="276" w:lineRule="auto"/>
        <w:ind w:firstLine="720"/>
        <w:rPr>
          <w:rFonts w:cs="Sylfaen"/>
          <w:lang w:val="hy-AM"/>
        </w:rPr>
      </w:pPr>
      <w:r w:rsidRPr="00C53435">
        <w:rPr>
          <w:rFonts w:cs="Sylfaen"/>
          <w:lang w:val="hy-AM"/>
        </w:rPr>
        <w:t>Սովորաբար կանխատեսումներ իրականացնելիս ի հայտ են գալիս հանգամանքներ, որոնք կապված են լինում օգտագործվող կանխատեսման մոդելների տեղայնացումից և մասնավորեցումից, տնտեսության կառուցվածքային տեղաշարժերից</w:t>
      </w:r>
      <w:r w:rsidRPr="00C53435">
        <w:rPr>
          <w:rFonts w:cs="Sylfaen"/>
          <w:vertAlign w:val="superscript"/>
          <w:lang w:val="hy-AM"/>
        </w:rPr>
        <w:footnoteReference w:id="1"/>
      </w:r>
      <w:r w:rsidRPr="00C53435">
        <w:rPr>
          <w:rFonts w:cs="Sylfaen"/>
          <w:lang w:val="hy-AM"/>
        </w:rPr>
        <w:t>, նոր երևույթներից (որի վերաբերյալ նախկինում տեղեկատվությունը բացակայել է) և այլն: Այս ռիսկերն ընդունված է անվանել կանխա</w:t>
      </w:r>
      <w:r w:rsidRPr="00C53435">
        <w:rPr>
          <w:rFonts w:cs="Sylfaen"/>
          <w:lang w:val="hy-AM"/>
        </w:rPr>
        <w:softHyphen/>
        <w:t>տես</w:t>
      </w:r>
      <w:r w:rsidRPr="00C53435">
        <w:rPr>
          <w:rFonts w:cs="Sylfaen"/>
          <w:lang w:val="hy-AM"/>
        </w:rPr>
        <w:softHyphen/>
        <w:t>ման ռիսկեր: ՄԺԾԾ տեսանկյունից կարևորվում է ՀՆԱ-ի կանխատեսման ռիսկի գնահատումը, քանի որ ՄԺԾԾ սցենարի սահուն իրականացումը կախված է տնտեսությունում ստեղծված անվանական ՀՆԱ-ի մեծությունից: ՀՆԱ-ի գծով կանխատեսումների ռիսկը գնահատվել է հետճգնաժամային տարիներին միջնաժամկետ ծախսերի ծրագրերի հիմքում դրվող ՀՆԱ-ի կանխատեսված ցուցա</w:t>
      </w:r>
      <w:r w:rsidRPr="00C53435">
        <w:rPr>
          <w:rFonts w:cs="Sylfaen"/>
          <w:lang w:val="hy-AM"/>
        </w:rPr>
        <w:softHyphen/>
        <w:t xml:space="preserve">նիշների և ՀՆԱ-ի փաստացի ցուցանիշների միջև շեղման հիման վրա: </w:t>
      </w:r>
    </w:p>
    <w:p w14:paraId="4654CF1F" w14:textId="77777777" w:rsidR="00980518" w:rsidRPr="00C53435" w:rsidRDefault="00980518" w:rsidP="00980518">
      <w:pPr>
        <w:spacing w:after="120" w:line="276" w:lineRule="auto"/>
        <w:ind w:firstLine="720"/>
        <w:rPr>
          <w:rFonts w:cs="Sylfaen"/>
          <w:lang w:val="hy-AM"/>
        </w:rPr>
      </w:pPr>
      <w:r w:rsidRPr="00C53435">
        <w:rPr>
          <w:rFonts w:cs="Sylfaen"/>
          <w:lang w:val="hy-AM"/>
        </w:rPr>
        <w:t xml:space="preserve">ՀՆԱ-ի միջնաժամկետ կանխատեսումներից փաստացիի շեղումները նախաճգնաժամային 2003-2008 թվականների համար եղել են 7.1-ից 9.0-ը տոկոսային կետ, իսկ հետճգնաժամային 2010-2021 թվականների համար՝ 2.0-ից 2.6 տոկոսային կետ: Այս պարագայում, հաշվի առնելով կանխատեսվածից ցածր ՀՆԱ-ի ձևավորման վերոնկարագրյալ ռիսկերի գերակշռությունը, որպես ռիսկ է դիտարկվել ՀՆԱ-ի իրական աճի կանխատեսվածից 2.0 տոկոսային կետով ավելի ցածր </w:t>
      </w:r>
      <w:r w:rsidRPr="00C53435">
        <w:rPr>
          <w:rFonts w:cs="Sylfaen"/>
          <w:lang w:val="hy-AM"/>
        </w:rPr>
        <w:lastRenderedPageBreak/>
        <w:t>ցուցանիշի ձևավորումը 2023 թվականին, 2.2 տոկոսային կետով ցածր՝ 2024 թվականին և 2.4 տոկոսային կետով ցածր՝ 2025 թվականին:</w:t>
      </w:r>
    </w:p>
    <w:p w14:paraId="3E9AA85C" w14:textId="77777777" w:rsidR="00980518" w:rsidRPr="00C53435" w:rsidRDefault="00980518" w:rsidP="00980518">
      <w:pPr>
        <w:spacing w:after="120" w:line="276" w:lineRule="auto"/>
        <w:ind w:firstLine="720"/>
        <w:rPr>
          <w:rFonts w:cs="Sylfaen"/>
          <w:lang w:val="hy-AM"/>
        </w:rPr>
      </w:pPr>
      <w:r w:rsidRPr="00C53435">
        <w:rPr>
          <w:rFonts w:cs="Sylfaen"/>
          <w:lang w:val="hy-AM"/>
        </w:rPr>
        <w:t>Արդյունքում, ՀՆԱ նվազման ռիսկի ազդեցությունը հարկային եկամուտների վրա 2023, 2024 և 2025 թվականների համար գնահատվում է համապատասխանաբար 14.2, 17.9 և 22.1 մլրդ ՀՀ դրամ ֆինանսական պահանջի ավելացման ուղղությամբ:</w:t>
      </w:r>
    </w:p>
    <w:p w14:paraId="4E39B1EE" w14:textId="77777777" w:rsidR="00980518" w:rsidRPr="00C53435" w:rsidRDefault="00980518" w:rsidP="00980518">
      <w:pPr>
        <w:spacing w:after="120" w:line="276" w:lineRule="auto"/>
        <w:ind w:firstLine="720"/>
        <w:rPr>
          <w:rFonts w:cs="Sylfaen"/>
          <w:b/>
          <w:lang w:val="hy-AM"/>
        </w:rPr>
      </w:pPr>
      <w:r w:rsidRPr="00C53435">
        <w:rPr>
          <w:rFonts w:cs="Sylfaen"/>
          <w:b/>
          <w:lang w:val="hy-AM"/>
        </w:rPr>
        <w:t>2. Ենթադրություններից շեղումների ռիսկ</w:t>
      </w:r>
    </w:p>
    <w:p w14:paraId="166BCF81" w14:textId="77777777" w:rsidR="00980518" w:rsidRPr="00C53435" w:rsidRDefault="00980518" w:rsidP="00980518">
      <w:pPr>
        <w:spacing w:after="120" w:line="276" w:lineRule="auto"/>
        <w:ind w:firstLine="720"/>
        <w:rPr>
          <w:rFonts w:cs="Sylfaen"/>
          <w:lang w:val="hy-AM"/>
        </w:rPr>
      </w:pPr>
      <w:r w:rsidRPr="00C53435">
        <w:rPr>
          <w:rFonts w:cs="Sylfaen"/>
          <w:lang w:val="hy-AM"/>
        </w:rPr>
        <w:t>ՄԺԾԾ հիմքում դրվող կանխատեսումները կառուցվում են որոշակի ենթադրու</w:t>
      </w:r>
      <w:r w:rsidRPr="00C53435">
        <w:rPr>
          <w:rFonts w:cs="Sylfaen"/>
          <w:lang w:val="hy-AM"/>
        </w:rPr>
        <w:softHyphen/>
        <w:t>թյու</w:t>
      </w:r>
      <w:r w:rsidRPr="00C53435">
        <w:rPr>
          <w:rFonts w:cs="Sylfaen"/>
          <w:lang w:val="hy-AM"/>
        </w:rPr>
        <w:softHyphen/>
        <w:t xml:space="preserve">նների հիման վրա, որոնք էլ իրենց հերթին կախված են արտաքին գործոններից (օրինակ, ներքին տնտեսության գնաճը` միջազգային շուկաների գների կանխատեսվող վարքագծից): Սակայն միշտ չէ, որ այդ ենթադրությունները կանխատեսվող հորիզոնում իրականություն են դառնում՝ կապված ՀՀ կառավարության և ՀՀ ԿԲ-ի կառավարման դաշտից դուրս ի հայտ եկող երևույթների հետ (օրինակ` նավթի համաշխարհային գների հնարավոր փոփոխությունները): </w:t>
      </w:r>
    </w:p>
    <w:p w14:paraId="41044BC0" w14:textId="77777777" w:rsidR="00980518" w:rsidRPr="00C53435" w:rsidRDefault="00980518" w:rsidP="00980518">
      <w:pPr>
        <w:spacing w:after="120" w:line="276" w:lineRule="auto"/>
        <w:ind w:firstLine="720"/>
        <w:rPr>
          <w:rFonts w:cs="Sylfaen"/>
          <w:lang w:val="hy-AM"/>
        </w:rPr>
      </w:pPr>
      <w:r w:rsidRPr="00C53435">
        <w:rPr>
          <w:rFonts w:cs="Sylfaen"/>
          <w:lang w:val="hy-AM"/>
        </w:rPr>
        <w:t>Ենթադրություններից շեղումների ռիսկ է նաև ԵԱՏՄ անդամ պետությունների տնտեսական զարգացումները: Միաժամանակ, ՀՀ պետական բյուջեի հարկային եկամուտներում մաքսա</w:t>
      </w:r>
      <w:r w:rsidRPr="00C53435">
        <w:rPr>
          <w:rFonts w:cs="Sylfaen"/>
          <w:lang w:val="hy-AM"/>
        </w:rPr>
        <w:softHyphen/>
        <w:t>տուր</w:t>
      </w:r>
      <w:r w:rsidRPr="00C53435">
        <w:rPr>
          <w:rFonts w:cs="Sylfaen"/>
          <w:lang w:val="hy-AM"/>
        </w:rPr>
        <w:softHyphen/>
        <w:t>քերի մասնաբաժինը կարող է փոփոխվել նոր պետությունների ԵԱՏՄ-ին անդամակ</w:t>
      </w:r>
      <w:r w:rsidRPr="00C53435">
        <w:rPr>
          <w:rFonts w:cs="Sylfaen"/>
          <w:lang w:val="hy-AM"/>
        </w:rPr>
        <w:softHyphen/>
        <w:t xml:space="preserve">ցությունից: </w:t>
      </w:r>
    </w:p>
    <w:p w14:paraId="5CDACDF4" w14:textId="77777777" w:rsidR="00980518" w:rsidRPr="00C53435" w:rsidRDefault="00980518" w:rsidP="00980518">
      <w:pPr>
        <w:spacing w:after="120" w:line="276" w:lineRule="auto"/>
        <w:ind w:firstLine="720"/>
        <w:rPr>
          <w:rFonts w:cs="Sylfaen"/>
          <w:b/>
          <w:lang w:val="hy-AM"/>
        </w:rPr>
      </w:pPr>
      <w:r w:rsidRPr="00C53435">
        <w:rPr>
          <w:rFonts w:cs="Sylfaen"/>
          <w:b/>
          <w:lang w:val="hy-AM"/>
        </w:rPr>
        <w:t>2.1. Գնաճի շեղման հնարավոր չափը</w:t>
      </w:r>
    </w:p>
    <w:p w14:paraId="511BF53D" w14:textId="77777777" w:rsidR="00980518" w:rsidRPr="00C53435" w:rsidRDefault="00980518" w:rsidP="00980518">
      <w:pPr>
        <w:spacing w:after="120" w:line="276" w:lineRule="auto"/>
        <w:ind w:firstLine="720"/>
        <w:rPr>
          <w:rFonts w:cs="Sylfaen"/>
          <w:lang w:val="hy-AM"/>
        </w:rPr>
      </w:pPr>
      <w:r w:rsidRPr="00C53435">
        <w:rPr>
          <w:rFonts w:cs="Sylfaen"/>
          <w:lang w:val="hy-AM"/>
        </w:rPr>
        <w:t xml:space="preserve">Գնաճի ցուցանիշի շեղման հնարավոր չափ է դիտարկվում ՀՀ ԿԲ-ի կողմից դրամավարկային քաղաքականության ծրագրում (գնաճի հաշվետվություններում) ներկայացվող գնաճի նպատակային ցուցանիշի կենտրոնական արժեքից շեղման առավելագույն չափը: </w:t>
      </w:r>
    </w:p>
    <w:p w14:paraId="389BF8B5" w14:textId="77777777" w:rsidR="00980518" w:rsidRPr="00C53435" w:rsidRDefault="00980518" w:rsidP="00980518">
      <w:pPr>
        <w:spacing w:after="120" w:line="276" w:lineRule="auto"/>
        <w:ind w:firstLine="0"/>
        <w:rPr>
          <w:rFonts w:cs="Sylfaen"/>
          <w:lang w:val="hy-AM"/>
        </w:rPr>
      </w:pPr>
      <w:r w:rsidRPr="00C53435">
        <w:rPr>
          <w:rFonts w:cs="Sylfaen"/>
          <w:lang w:val="hy-AM"/>
        </w:rPr>
        <w:t xml:space="preserve">ՀՀ ԿԲ-ի կողմից միջնաժամկետ հորիզոնում կանխատեսվում է գնաճի կայունացում նպատակային ցուցանիշի շուրջ: Կանխատեսված ցուցանիշից գնաճի շեղման ռիսկերը միջնաժամկետ հորիզոնում գնահատվում են հավասարակշռված` գնաճի կենտրոնական արժեքից </w:t>
      </w:r>
      <w:r w:rsidRPr="00C53435">
        <w:rPr>
          <w:rFonts w:cs="Sylfaen"/>
          <w:b/>
          <w:lang w:val="hy-AM"/>
        </w:rPr>
        <w:t>դեպի</w:t>
      </w:r>
      <w:r w:rsidRPr="00C53435">
        <w:rPr>
          <w:rFonts w:cs="Sylfaen"/>
          <w:lang w:val="hy-AM"/>
        </w:rPr>
        <w:t xml:space="preserve"> </w:t>
      </w:r>
      <w:r w:rsidRPr="00C53435">
        <w:rPr>
          <w:rFonts w:cs="Sylfaen"/>
          <w:b/>
          <w:lang w:val="hy-AM"/>
        </w:rPr>
        <w:t>ներքև`</w:t>
      </w:r>
      <w:r w:rsidRPr="00C53435">
        <w:rPr>
          <w:rFonts w:cs="Sylfaen"/>
          <w:lang w:val="hy-AM"/>
        </w:rPr>
        <w:t xml:space="preserve"> </w:t>
      </w:r>
      <w:r w:rsidRPr="00C53435">
        <w:rPr>
          <w:rFonts w:cs="Sylfaen"/>
          <w:b/>
          <w:lang w:val="hy-AM"/>
        </w:rPr>
        <w:t xml:space="preserve">1.5 տոկոսային կետի չափով </w:t>
      </w:r>
      <w:r w:rsidRPr="00C53435">
        <w:rPr>
          <w:rFonts w:cs="Sylfaen"/>
          <w:lang w:val="hy-AM"/>
        </w:rPr>
        <w:t xml:space="preserve">(այսինքն` գնաճի ներքին սահմանը 2.5% է) և </w:t>
      </w:r>
      <w:r w:rsidRPr="00C53435">
        <w:rPr>
          <w:rFonts w:cs="Sylfaen"/>
          <w:b/>
          <w:lang w:val="hy-AM"/>
        </w:rPr>
        <w:t xml:space="preserve">դեպի վերև շեղումը` 1.5 տոկոսային կետի չափով </w:t>
      </w:r>
      <w:r w:rsidRPr="00C53435">
        <w:rPr>
          <w:rFonts w:cs="Sylfaen"/>
          <w:lang w:val="hy-AM"/>
        </w:rPr>
        <w:t xml:space="preserve">(վերին սահմանը 5.5% է): </w:t>
      </w:r>
    </w:p>
    <w:p w14:paraId="52A0FF89" w14:textId="77777777" w:rsidR="00980518" w:rsidRPr="00C53435" w:rsidRDefault="00980518" w:rsidP="00980518">
      <w:pPr>
        <w:spacing w:after="120" w:line="276" w:lineRule="auto"/>
        <w:ind w:firstLine="720"/>
        <w:rPr>
          <w:rFonts w:cs="Sylfaen"/>
          <w:lang w:val="hy-AM"/>
        </w:rPr>
      </w:pPr>
      <w:r w:rsidRPr="00C53435">
        <w:rPr>
          <w:rFonts w:cs="Sylfaen"/>
          <w:lang w:val="hy-AM"/>
        </w:rPr>
        <w:t xml:space="preserve">Գնաճի շեղման ռիսկը կարող է ազդեցություն ունենալ ՀՀ պետական բյուջեի և՛ եկամտային, և՛ ծախսային կատարողականների վրա` անուղղակի հարկերի, ինչպես նաև ապրանքների և ծառայությունների գծով ծախսերի ուղղությամբ: Գնանկումային պայմաններում հարկերից մուտքերը կկրճատվեն և ընդհակառակը: </w:t>
      </w:r>
    </w:p>
    <w:p w14:paraId="05780510" w14:textId="77777777" w:rsidR="00980518" w:rsidRPr="00C53435" w:rsidRDefault="00980518" w:rsidP="00980518">
      <w:pPr>
        <w:spacing w:after="120" w:line="276" w:lineRule="auto"/>
        <w:ind w:firstLine="720"/>
        <w:rPr>
          <w:rFonts w:cs="Sylfaen"/>
          <w:lang w:val="hy-AM"/>
        </w:rPr>
      </w:pPr>
      <w:r w:rsidRPr="00C53435">
        <w:rPr>
          <w:rFonts w:cs="Sylfaen"/>
          <w:lang w:val="hy-AM"/>
        </w:rPr>
        <w:t>Արդյունքում, գների նվազման ռիսկի ազդեցությունը հարկային եկամուտների վրա 2023, 2024 և 2025 թվականների համար գնահատվում է համապատասխանաբար 4.0, 4.6 և 5.3 մլրդ ՀՀ դրամ ֆինանսական պահանջի ավելացման ուղղությամբ:</w:t>
      </w:r>
    </w:p>
    <w:p w14:paraId="6866E591" w14:textId="77777777" w:rsidR="00980518" w:rsidRPr="00C53435" w:rsidRDefault="00980518" w:rsidP="00980518">
      <w:pPr>
        <w:spacing w:after="120" w:line="276" w:lineRule="auto"/>
        <w:ind w:firstLine="720"/>
        <w:rPr>
          <w:rFonts w:cs="Sylfaen"/>
          <w:b/>
          <w:lang w:val="hy-AM"/>
        </w:rPr>
      </w:pPr>
      <w:r w:rsidRPr="00C53435">
        <w:rPr>
          <w:rFonts w:cs="Sylfaen"/>
          <w:b/>
          <w:lang w:val="hy-AM"/>
        </w:rPr>
        <w:t>2.2. Փոխարժեքի շեղման հնարավոր չափը</w:t>
      </w:r>
    </w:p>
    <w:p w14:paraId="4E81D2B4" w14:textId="77777777" w:rsidR="00980518" w:rsidRPr="00C53435" w:rsidRDefault="00980518" w:rsidP="00980518">
      <w:pPr>
        <w:spacing w:after="120" w:line="276" w:lineRule="auto"/>
        <w:ind w:firstLine="720"/>
        <w:rPr>
          <w:rFonts w:cs="Sylfaen"/>
          <w:lang w:val="hy-AM"/>
        </w:rPr>
      </w:pPr>
      <w:r w:rsidRPr="00C53435">
        <w:rPr>
          <w:rFonts w:cs="Sylfaen"/>
          <w:lang w:val="hy-AM"/>
        </w:rPr>
        <w:t>ՀՀ ԿԲ-ն և ՀՀ ՖՆ-ն փոխարժեքի կանխա</w:t>
      </w:r>
      <w:r w:rsidRPr="00C53435">
        <w:rPr>
          <w:rFonts w:cs="Sylfaen"/>
          <w:lang w:val="hy-AM"/>
        </w:rPr>
        <w:softHyphen/>
        <w:t xml:space="preserve">տեսումներ չեն իրականացնում և մակրոտնտեսական քաղաքականությունն իրականացվում է լողացող փոխարժեքի սկզբունքի հիման </w:t>
      </w:r>
      <w:r w:rsidRPr="00C53435">
        <w:rPr>
          <w:rFonts w:cs="Sylfaen"/>
          <w:lang w:val="hy-AM"/>
        </w:rPr>
        <w:lastRenderedPageBreak/>
        <w:t>վրա, ընդ որում, յուրաքանչյուր տարվա պետական բյուջեի ցուցանիշների կանխատեսումների հիմքում դրվում է փոխարժեքի անփոփոխ (որոշակի պահի դրությամբ) մակարդակ: Սակայն փոխարժեքի տատա</w:t>
      </w:r>
      <w:r w:rsidRPr="00C53435">
        <w:rPr>
          <w:rFonts w:cs="Sylfaen"/>
          <w:lang w:val="hy-AM"/>
        </w:rPr>
        <w:softHyphen/>
        <w:t>նում</w:t>
      </w:r>
      <w:r w:rsidRPr="00C53435">
        <w:rPr>
          <w:rFonts w:cs="Sylfaen"/>
          <w:lang w:val="hy-AM"/>
        </w:rPr>
        <w:softHyphen/>
        <w:t>ները կազդեն ներմուծումից ՀՀ պետական բյուջե մուտքագրվող հարկային եկամուտների վրա:</w:t>
      </w:r>
    </w:p>
    <w:p w14:paraId="657D13DD" w14:textId="77777777" w:rsidR="00980518" w:rsidRPr="00C53435" w:rsidRDefault="00980518" w:rsidP="00980518">
      <w:pPr>
        <w:spacing w:after="120" w:line="276" w:lineRule="auto"/>
        <w:ind w:firstLine="720"/>
        <w:rPr>
          <w:rFonts w:cs="Sylfaen"/>
          <w:lang w:val="hy-AM"/>
        </w:rPr>
      </w:pPr>
      <w:r w:rsidRPr="00C53435">
        <w:rPr>
          <w:rFonts w:cs="Sylfaen"/>
          <w:lang w:val="hy-AM"/>
        </w:rPr>
        <w:t>Հաշվի առնելով այն հանգամանքը, որ պատմականորեն և՛ արժևորման, և՛ արժեզրկման ուղղությամբ փոխար</w:t>
      </w:r>
      <w:r w:rsidRPr="00C53435">
        <w:rPr>
          <w:rFonts w:cs="Sylfaen"/>
          <w:lang w:val="hy-AM"/>
        </w:rPr>
        <w:softHyphen/>
        <w:t xml:space="preserve">ժեքի տատանումների բացարձակ շեղման միջին չափը չի գերազանցել 4 տոկոսը` որպես ռիսկ է դիտարկվել ԱՄՆ դոլարի նկատմամբ ՀՀ դրամի առավելագույնը 4% արժեզրկումը: </w:t>
      </w:r>
    </w:p>
    <w:p w14:paraId="0A6FE246" w14:textId="77777777" w:rsidR="00980518" w:rsidRPr="00C53435" w:rsidRDefault="00980518" w:rsidP="00980518">
      <w:pPr>
        <w:spacing w:after="120" w:line="276" w:lineRule="auto"/>
        <w:ind w:firstLine="720"/>
        <w:rPr>
          <w:rFonts w:cs="Sylfaen"/>
          <w:lang w:val="hy-AM"/>
        </w:rPr>
      </w:pPr>
      <w:r w:rsidRPr="00C53435">
        <w:rPr>
          <w:rFonts w:cs="Sylfaen"/>
          <w:lang w:val="hy-AM"/>
        </w:rPr>
        <w:t>Արդյունքում, փոխարժեքի 4 տոկոսով արժեզրկման ռիսկի դրսևորման դեպքում, այլ հավասար պայմաններում, 2023, 2024 և 2025 թվականներին կարելի է ապահովել հարկային եկամուտների համապատասխանաբար 12.9, 15.3 և 17.3 մլրդ ՀՀ դրամ լրացուցիչ մուտք:</w:t>
      </w:r>
    </w:p>
    <w:p w14:paraId="01485ADF" w14:textId="77777777" w:rsidR="00980518" w:rsidRPr="00C53435" w:rsidRDefault="00980518" w:rsidP="00980518">
      <w:pPr>
        <w:spacing w:after="120" w:line="276" w:lineRule="auto"/>
        <w:ind w:firstLine="720"/>
        <w:rPr>
          <w:rFonts w:cs="Sylfaen"/>
          <w:b/>
          <w:lang w:val="hy-AM"/>
        </w:rPr>
      </w:pPr>
      <w:r w:rsidRPr="00C53435">
        <w:rPr>
          <w:rFonts w:cs="Sylfaen"/>
          <w:b/>
          <w:lang w:val="hy-AM"/>
        </w:rPr>
        <w:t>2.3. Ներմուծման գծով ռիսկի հնարավոր չափը</w:t>
      </w:r>
    </w:p>
    <w:p w14:paraId="4FD2BC68" w14:textId="77777777" w:rsidR="00980518" w:rsidRPr="00C53435" w:rsidRDefault="00980518" w:rsidP="00980518">
      <w:pPr>
        <w:spacing w:after="120" w:line="276" w:lineRule="auto"/>
        <w:ind w:firstLine="720"/>
        <w:rPr>
          <w:rFonts w:cs="Sylfaen"/>
          <w:lang w:val="hy-AM"/>
        </w:rPr>
      </w:pPr>
      <w:r w:rsidRPr="00C53435">
        <w:rPr>
          <w:rFonts w:cs="Sylfaen"/>
          <w:lang w:val="hy-AM"/>
        </w:rPr>
        <w:t>Քանի որ մաքսային սահմանին ներմուծումից գանձվող անուղղակի հարկերը էական կշիռ ունեն պետական բյուջեի ընդհանուր հարկային եկամուտներում, անհրաժեշտ է գնահատել նաև ներմուծման հնարավոր նվազման պարագայում հարկային եկամուտների նվազման ռիսկի չափը: Հետճգնաժամային տարիներին ՄԺԾԾ-ում ներմուծման գծով կանխատեսումների շեղման միջին բացարձակ չափը սահմանվում է 10.0-15.0%-ի միջակայքում, ինչն էլ հաշվի է առնվել այս գործոնի ազդեցությունը գնահատելու համար: 2023, 2024 և 2025 թվականների համար ծրագրվածից համապատասխանաբար 10.2, 13.5 և 14.5% պակաս ներմուծման ռիսկի դրսևորման պայմաններում հարկային եկամուտների վրա ազդեցությունը գնահատվում է համապատասխանաբար՝ 20.5, 31.8 և 38.3 մլրդ ՀՀ դրամ` ֆինանսական պահանջի ավելացման ուղղությամբ:</w:t>
      </w:r>
    </w:p>
    <w:p w14:paraId="6292BFBE" w14:textId="77777777" w:rsidR="00980518" w:rsidRPr="00C53435" w:rsidRDefault="00980518" w:rsidP="00980518">
      <w:pPr>
        <w:spacing w:after="120" w:line="276" w:lineRule="auto"/>
        <w:ind w:firstLine="720"/>
        <w:rPr>
          <w:rFonts w:cs="Sylfaen"/>
          <w:lang w:val="hy-AM"/>
        </w:rPr>
      </w:pPr>
      <w:r w:rsidRPr="00C53435">
        <w:rPr>
          <w:rFonts w:cs="Sylfaen"/>
          <w:lang w:val="hy-AM"/>
        </w:rPr>
        <w:t xml:space="preserve">Ամփոփելով վերը նկարագրված </w:t>
      </w:r>
      <w:r w:rsidRPr="00C53435">
        <w:rPr>
          <w:rFonts w:cs="Sylfaen"/>
          <w:b/>
          <w:lang w:val="hy-AM"/>
        </w:rPr>
        <w:t>կանխատեսումների ռիսկի և</w:t>
      </w:r>
      <w:r w:rsidRPr="00C53435">
        <w:rPr>
          <w:rFonts w:cs="Sylfaen"/>
          <w:lang w:val="hy-AM"/>
        </w:rPr>
        <w:t xml:space="preserve"> </w:t>
      </w:r>
      <w:r w:rsidRPr="00C53435">
        <w:rPr>
          <w:rFonts w:cs="Sylfaen"/>
          <w:b/>
          <w:lang w:val="hy-AM"/>
        </w:rPr>
        <w:t>ենթադրություններից շեղումների ռիսկի</w:t>
      </w:r>
      <w:r w:rsidRPr="00C53435">
        <w:rPr>
          <w:rFonts w:cs="Sylfaen"/>
          <w:lang w:val="hy-AM"/>
        </w:rPr>
        <w:t xml:space="preserve"> գնահատականները, միջնաժամկետ հորիզոնում ՀՀ պետական բյուջեի հարկային եկամուտների վրա մակրոտնտեսական ցուցանիշների` իրական ՀՆԱ-ի աճի, գնաճի, փոխարժեքի տատանողականության և ներմուծման ռիսկերի ազդեցության քանակական ամփոփ գնահատականները ներկայացվում են ստորև.</w:t>
      </w:r>
    </w:p>
    <w:p w14:paraId="32D2B8C9" w14:textId="77777777" w:rsidR="00980518" w:rsidRPr="00C53435" w:rsidRDefault="00980518" w:rsidP="00980518">
      <w:pPr>
        <w:spacing w:before="60" w:after="40" w:line="360" w:lineRule="auto"/>
        <w:rPr>
          <w:rFonts w:eastAsia="Calibri" w:cs="Sylfaen"/>
          <w:b/>
          <w:bCs/>
          <w:i/>
          <w:lang w:val="hy-AM"/>
        </w:rPr>
      </w:pPr>
      <w:r w:rsidRPr="00C53435">
        <w:rPr>
          <w:rFonts w:eastAsia="Calibri" w:cs="Sylfaen"/>
          <w:b/>
          <w:bCs/>
          <w:i/>
          <w:lang w:val="hy-AM"/>
        </w:rPr>
        <w:t>Աղյուսակ 3.1.1 Հարկային եկամուտների վրա մակրոտնտեսական կանխատեսումների և ենթադրությունների ռիսկերի ազդեցություն</w:t>
      </w:r>
      <w:r w:rsidRPr="00C53435">
        <w:rPr>
          <w:rFonts w:eastAsia="Calibri" w:cs="Sylfaen"/>
          <w:b/>
          <w:bCs/>
          <w:i/>
          <w:sz w:val="20"/>
          <w:szCs w:val="20"/>
          <w:vertAlign w:val="superscript"/>
          <w:lang w:val="hy-AM"/>
        </w:rPr>
        <w:footnoteReference w:id="2"/>
      </w:r>
    </w:p>
    <w:tbl>
      <w:tblPr>
        <w:tblW w:w="8500" w:type="dxa"/>
        <w:tblInd w:w="985" w:type="dxa"/>
        <w:tblLook w:val="04A0" w:firstRow="1" w:lastRow="0" w:firstColumn="1" w:lastColumn="0" w:noHBand="0" w:noVBand="1"/>
      </w:tblPr>
      <w:tblGrid>
        <w:gridCol w:w="5437"/>
        <w:gridCol w:w="947"/>
        <w:gridCol w:w="947"/>
        <w:gridCol w:w="947"/>
        <w:gridCol w:w="222"/>
      </w:tblGrid>
      <w:tr w:rsidR="00980518" w:rsidRPr="00980518" w14:paraId="3426A8D3" w14:textId="77777777" w:rsidTr="00242DF6">
        <w:trPr>
          <w:gridAfter w:val="1"/>
          <w:wAfter w:w="222" w:type="dxa"/>
          <w:trHeight w:val="675"/>
        </w:trPr>
        <w:tc>
          <w:tcPr>
            <w:tcW w:w="5437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0070C0"/>
            <w:vAlign w:val="center"/>
            <w:hideMark/>
          </w:tcPr>
          <w:p w14:paraId="5907CBE9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FFFFFF"/>
                <w:lang w:val="hy-AM"/>
              </w:rPr>
            </w:pPr>
            <w:r w:rsidRPr="00C53435">
              <w:rPr>
                <w:rFonts w:eastAsia="Times New Roman" w:cs="Calibri"/>
                <w:b/>
                <w:bCs/>
                <w:color w:val="FFFFFF"/>
                <w:lang w:val="hy-AM"/>
              </w:rPr>
              <w:t>Ռիսկի տեսակը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0070C0"/>
            <w:vAlign w:val="center"/>
            <w:hideMark/>
          </w:tcPr>
          <w:p w14:paraId="1B26A222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FFFFFF"/>
                <w:lang w:val="hy-AM"/>
              </w:rPr>
            </w:pPr>
            <w:r w:rsidRPr="00C53435">
              <w:rPr>
                <w:rFonts w:eastAsia="Times New Roman" w:cs="Calibri"/>
                <w:b/>
                <w:bCs/>
                <w:color w:val="FFFFFF"/>
                <w:lang w:val="hy-AM"/>
              </w:rPr>
              <w:t>Ազդեցության գնահատականը, մլրդ ՀՀ դրամ</w:t>
            </w:r>
          </w:p>
        </w:tc>
      </w:tr>
      <w:tr w:rsidR="00980518" w:rsidRPr="00980518" w14:paraId="4E3BA389" w14:textId="77777777" w:rsidTr="00242DF6">
        <w:trPr>
          <w:trHeight w:val="300"/>
        </w:trPr>
        <w:tc>
          <w:tcPr>
            <w:tcW w:w="5437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0070C0"/>
            <w:vAlign w:val="center"/>
            <w:hideMark/>
          </w:tcPr>
          <w:p w14:paraId="4A278284" w14:textId="77777777" w:rsidR="00980518" w:rsidRPr="00C53435" w:rsidRDefault="00980518" w:rsidP="00242DF6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FFFFFF"/>
                <w:lang w:val="hy-AM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0070C0"/>
            <w:vAlign w:val="center"/>
            <w:hideMark/>
          </w:tcPr>
          <w:p w14:paraId="68C6CFF4" w14:textId="77777777" w:rsidR="00980518" w:rsidRPr="00C53435" w:rsidRDefault="00980518" w:rsidP="00242DF6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FFFFFF"/>
                <w:lang w:val="hy-AM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A0DA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FFFFFF"/>
                <w:lang w:val="hy-AM"/>
              </w:rPr>
            </w:pPr>
          </w:p>
        </w:tc>
      </w:tr>
      <w:tr w:rsidR="00980518" w:rsidRPr="00C53435" w14:paraId="11CB7330" w14:textId="77777777" w:rsidTr="00242DF6">
        <w:trPr>
          <w:trHeight w:val="330"/>
        </w:trPr>
        <w:tc>
          <w:tcPr>
            <w:tcW w:w="543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0070C0"/>
            <w:vAlign w:val="center"/>
            <w:hideMark/>
          </w:tcPr>
          <w:p w14:paraId="60FD9E87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y-AM"/>
              </w:rPr>
            </w:pPr>
            <w:r w:rsidRPr="00C53435">
              <w:rPr>
                <w:rFonts w:ascii="Calibri" w:eastAsia="Times New Roman" w:hAnsi="Calibri" w:cs="Calibri"/>
                <w:b/>
                <w:bCs/>
                <w:color w:val="FFFFFF"/>
                <w:lang w:val="hy-AM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0070C0"/>
            <w:vAlign w:val="center"/>
            <w:hideMark/>
          </w:tcPr>
          <w:p w14:paraId="7CB78020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FFFFFF"/>
                <w:lang w:val="hy-AM"/>
              </w:rPr>
            </w:pPr>
            <w:r w:rsidRPr="00C53435">
              <w:rPr>
                <w:rFonts w:eastAsia="Times New Roman" w:cs="Calibri"/>
                <w:b/>
                <w:bCs/>
                <w:color w:val="FFFFFF"/>
                <w:lang w:val="hy-AM"/>
              </w:rPr>
              <w:t>2023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0070C0"/>
            <w:vAlign w:val="center"/>
            <w:hideMark/>
          </w:tcPr>
          <w:p w14:paraId="26BB38B9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FFFFFF"/>
                <w:lang w:val="hy-AM"/>
              </w:rPr>
            </w:pPr>
            <w:r w:rsidRPr="00C53435">
              <w:rPr>
                <w:rFonts w:eastAsia="Times New Roman" w:cs="Calibri"/>
                <w:b/>
                <w:bCs/>
                <w:color w:val="FFFFFF"/>
                <w:lang w:val="hy-AM"/>
              </w:rPr>
              <w:t>2024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0070C0"/>
            <w:vAlign w:val="center"/>
            <w:hideMark/>
          </w:tcPr>
          <w:p w14:paraId="777BD6AA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FFFFFF"/>
                <w:lang w:val="hy-AM"/>
              </w:rPr>
            </w:pPr>
            <w:r w:rsidRPr="00C53435">
              <w:rPr>
                <w:rFonts w:eastAsia="Times New Roman" w:cs="Calibri"/>
                <w:b/>
                <w:bCs/>
                <w:color w:val="FFFFFF"/>
                <w:lang w:val="hy-AM"/>
              </w:rPr>
              <w:t>2025</w:t>
            </w:r>
          </w:p>
        </w:tc>
        <w:tc>
          <w:tcPr>
            <w:tcW w:w="222" w:type="dxa"/>
            <w:vAlign w:val="center"/>
            <w:hideMark/>
          </w:tcPr>
          <w:p w14:paraId="64E72035" w14:textId="77777777" w:rsidR="00980518" w:rsidRPr="00C53435" w:rsidRDefault="00980518" w:rsidP="00242DF6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980518" w:rsidRPr="00C53435" w14:paraId="63CAE8F7" w14:textId="77777777" w:rsidTr="00242DF6">
        <w:trPr>
          <w:trHeight w:val="330"/>
        </w:trPr>
        <w:tc>
          <w:tcPr>
            <w:tcW w:w="8278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50EBB6C" w14:textId="77777777" w:rsidR="00980518" w:rsidRPr="00C53435" w:rsidRDefault="00980518" w:rsidP="00242DF6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lang w:val="hy-AM"/>
              </w:rPr>
            </w:pPr>
            <w:r w:rsidRPr="00C53435">
              <w:rPr>
                <w:rFonts w:eastAsia="Times New Roman" w:cs="Calibri"/>
                <w:b/>
                <w:bCs/>
                <w:color w:val="000000"/>
                <w:lang w:val="hy-AM"/>
              </w:rPr>
              <w:lastRenderedPageBreak/>
              <w:t>Ռիսկերի առանձին հանդես գալու պայմաններում</w:t>
            </w:r>
          </w:p>
        </w:tc>
        <w:tc>
          <w:tcPr>
            <w:tcW w:w="222" w:type="dxa"/>
            <w:vAlign w:val="center"/>
            <w:hideMark/>
          </w:tcPr>
          <w:p w14:paraId="613906E8" w14:textId="77777777" w:rsidR="00980518" w:rsidRPr="00C53435" w:rsidRDefault="00980518" w:rsidP="00242DF6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980518" w:rsidRPr="00C53435" w14:paraId="1162C326" w14:textId="77777777" w:rsidTr="00242DF6">
        <w:trPr>
          <w:trHeight w:val="660"/>
        </w:trPr>
        <w:tc>
          <w:tcPr>
            <w:tcW w:w="543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A584124" w14:textId="77777777" w:rsidR="00980518" w:rsidRPr="00C53435" w:rsidRDefault="00980518" w:rsidP="00242DF6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val="hy-AM"/>
              </w:rPr>
            </w:pPr>
            <w:r w:rsidRPr="00C53435">
              <w:rPr>
                <w:rFonts w:eastAsia="Times New Roman" w:cs="Calibri"/>
                <w:color w:val="000000"/>
                <w:lang w:val="hy-AM"/>
              </w:rPr>
              <w:t>1. Կանխատեսվածից 2.0-2.6 տոկոսային կետով ավելի ցածր իրական ՀՆԱ-ի աճ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6C7F41F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 w:rsidRPr="00C53435">
              <w:rPr>
                <w:rFonts w:cs="Calibri"/>
                <w:color w:val="000000"/>
              </w:rPr>
              <w:t>-14.2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FED0E6B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 w:rsidRPr="00C53435">
              <w:rPr>
                <w:rFonts w:cs="Calibri"/>
                <w:color w:val="000000"/>
              </w:rPr>
              <w:t>-17.9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44F11D0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 w:rsidRPr="00C53435">
              <w:rPr>
                <w:rFonts w:cs="Calibri"/>
                <w:color w:val="000000"/>
              </w:rPr>
              <w:t>-22.1</w:t>
            </w:r>
          </w:p>
        </w:tc>
        <w:tc>
          <w:tcPr>
            <w:tcW w:w="222" w:type="dxa"/>
            <w:vAlign w:val="center"/>
            <w:hideMark/>
          </w:tcPr>
          <w:p w14:paraId="086B2478" w14:textId="77777777" w:rsidR="00980518" w:rsidRPr="00C53435" w:rsidRDefault="00980518" w:rsidP="00242DF6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980518" w:rsidRPr="00C53435" w14:paraId="48657528" w14:textId="77777777" w:rsidTr="00242DF6">
        <w:trPr>
          <w:trHeight w:val="330"/>
        </w:trPr>
        <w:tc>
          <w:tcPr>
            <w:tcW w:w="543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4E53B16" w14:textId="77777777" w:rsidR="00980518" w:rsidRPr="00C53435" w:rsidRDefault="00980518" w:rsidP="00242DF6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val="hy-AM"/>
              </w:rPr>
            </w:pPr>
            <w:r w:rsidRPr="00C53435">
              <w:rPr>
                <w:rFonts w:eastAsia="Times New Roman" w:cs="Calibri"/>
                <w:color w:val="000000"/>
                <w:lang w:val="hy-AM"/>
              </w:rPr>
              <w:t>2. 1.5 տոկոսային կետով ավելի ցածր գնաճի ռիսկ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91869E6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 w:rsidRPr="00C53435">
              <w:rPr>
                <w:rFonts w:cs="Calibri"/>
                <w:color w:val="000000"/>
              </w:rPr>
              <w:t>-4.0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8A36B27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 w:rsidRPr="00C53435">
              <w:rPr>
                <w:rFonts w:cs="Calibri"/>
                <w:color w:val="000000"/>
              </w:rPr>
              <w:t>-4.6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052A5C3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 w:rsidRPr="00C53435">
              <w:rPr>
                <w:rFonts w:cs="Calibri"/>
                <w:color w:val="000000"/>
              </w:rPr>
              <w:t>-5.3</w:t>
            </w:r>
          </w:p>
        </w:tc>
        <w:tc>
          <w:tcPr>
            <w:tcW w:w="222" w:type="dxa"/>
            <w:vAlign w:val="center"/>
            <w:hideMark/>
          </w:tcPr>
          <w:p w14:paraId="6DAE0793" w14:textId="77777777" w:rsidR="00980518" w:rsidRPr="00C53435" w:rsidRDefault="00980518" w:rsidP="00242DF6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980518" w:rsidRPr="00C53435" w14:paraId="17ED7E67" w14:textId="77777777" w:rsidTr="00242DF6">
        <w:trPr>
          <w:trHeight w:val="660"/>
        </w:trPr>
        <w:tc>
          <w:tcPr>
            <w:tcW w:w="5437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74C68F4" w14:textId="77777777" w:rsidR="00980518" w:rsidRPr="00C53435" w:rsidRDefault="00980518" w:rsidP="00242DF6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val="hy-AM"/>
              </w:rPr>
            </w:pPr>
            <w:r w:rsidRPr="00C53435">
              <w:rPr>
                <w:rFonts w:eastAsia="Times New Roman" w:cs="Calibri"/>
                <w:color w:val="000000"/>
                <w:lang w:val="hy-AM"/>
              </w:rPr>
              <w:t>3. Փոխարժեքի առավելագույնը 4.0 տոկոսով արժեզրկման ռիսկ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9634849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 w:rsidRPr="00C53435">
              <w:rPr>
                <w:rFonts w:cs="Calibri"/>
                <w:color w:val="000000"/>
              </w:rPr>
              <w:t>12.9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0D8E4E0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 w:rsidRPr="00C53435">
              <w:rPr>
                <w:rFonts w:cs="Calibri"/>
                <w:color w:val="000000"/>
              </w:rPr>
              <w:t>15.3</w:t>
            </w:r>
          </w:p>
        </w:tc>
        <w:tc>
          <w:tcPr>
            <w:tcW w:w="947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BD11C60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 w:rsidRPr="00C53435">
              <w:rPr>
                <w:rFonts w:cs="Calibri"/>
                <w:color w:val="000000"/>
              </w:rPr>
              <w:t>17.3</w:t>
            </w:r>
          </w:p>
        </w:tc>
        <w:tc>
          <w:tcPr>
            <w:tcW w:w="222" w:type="dxa"/>
            <w:vAlign w:val="center"/>
            <w:hideMark/>
          </w:tcPr>
          <w:p w14:paraId="403A4ECA" w14:textId="77777777" w:rsidR="00980518" w:rsidRPr="00C53435" w:rsidRDefault="00980518" w:rsidP="00242DF6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980518" w:rsidRPr="00C53435" w14:paraId="05199C49" w14:textId="77777777" w:rsidTr="00242DF6">
        <w:trPr>
          <w:trHeight w:val="330"/>
        </w:trPr>
        <w:tc>
          <w:tcPr>
            <w:tcW w:w="54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D16FD81" w14:textId="77777777" w:rsidR="00980518" w:rsidRPr="00C53435" w:rsidRDefault="00980518" w:rsidP="00242DF6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val="hy-AM"/>
              </w:rPr>
            </w:pPr>
            <w:r w:rsidRPr="00C53435">
              <w:rPr>
                <w:rFonts w:eastAsia="Times New Roman" w:cs="Calibri"/>
                <w:color w:val="000000"/>
                <w:lang w:val="hy-AM"/>
              </w:rPr>
              <w:t>4. Ներմուծման 10.0-15.0 տոկոսով նվազման ռիսկ</w:t>
            </w:r>
          </w:p>
        </w:tc>
        <w:tc>
          <w:tcPr>
            <w:tcW w:w="947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607E74C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 w:rsidRPr="00C53435">
              <w:rPr>
                <w:rFonts w:cs="Calibri"/>
                <w:color w:val="000000"/>
              </w:rPr>
              <w:t>-20.5</w:t>
            </w:r>
          </w:p>
        </w:tc>
        <w:tc>
          <w:tcPr>
            <w:tcW w:w="947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841399C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 w:rsidRPr="00C53435">
              <w:rPr>
                <w:rFonts w:cs="Calibri"/>
                <w:color w:val="000000"/>
              </w:rPr>
              <w:t>-31.8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94BD7D6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 w:rsidRPr="00C53435">
              <w:rPr>
                <w:rFonts w:cs="Calibri"/>
                <w:color w:val="000000"/>
              </w:rPr>
              <w:t>-38.5</w:t>
            </w:r>
          </w:p>
        </w:tc>
        <w:tc>
          <w:tcPr>
            <w:tcW w:w="222" w:type="dxa"/>
            <w:vAlign w:val="center"/>
            <w:hideMark/>
          </w:tcPr>
          <w:p w14:paraId="2DA3EF21" w14:textId="77777777" w:rsidR="00980518" w:rsidRPr="00C53435" w:rsidRDefault="00980518" w:rsidP="00242DF6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980518" w:rsidRPr="00C53435" w14:paraId="17C245B3" w14:textId="77777777" w:rsidTr="00242DF6">
        <w:trPr>
          <w:trHeight w:val="660"/>
        </w:trPr>
        <w:tc>
          <w:tcPr>
            <w:tcW w:w="5437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28D4116" w14:textId="77777777" w:rsidR="00980518" w:rsidRPr="00C53435" w:rsidRDefault="00980518" w:rsidP="00242DF6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lang w:val="hy-AM"/>
              </w:rPr>
            </w:pPr>
            <w:r w:rsidRPr="00C53435">
              <w:rPr>
                <w:rFonts w:eastAsia="Times New Roman" w:cs="Calibri"/>
                <w:b/>
                <w:bCs/>
                <w:color w:val="000000"/>
                <w:lang w:val="hy-AM"/>
              </w:rPr>
              <w:t>Վերոնշյալ ռիսկերի միաժամանակյա հանդես գալու պայմաններում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006B50B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hy-AM"/>
              </w:rPr>
            </w:pPr>
            <w:r w:rsidRPr="00C53435">
              <w:rPr>
                <w:rFonts w:cs="Calibri"/>
                <w:b/>
                <w:bCs/>
                <w:color w:val="000000"/>
              </w:rPr>
              <w:t>-29.1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C5C4ED8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hy-AM"/>
              </w:rPr>
            </w:pPr>
            <w:r w:rsidRPr="00C53435">
              <w:rPr>
                <w:rFonts w:cs="Calibri"/>
                <w:b/>
                <w:bCs/>
                <w:color w:val="000000"/>
              </w:rPr>
              <w:t>-39.9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C49AB3B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hy-AM"/>
              </w:rPr>
            </w:pPr>
            <w:r w:rsidRPr="00C53435">
              <w:rPr>
                <w:rFonts w:cs="Calibri"/>
                <w:b/>
                <w:bCs/>
                <w:color w:val="000000"/>
              </w:rPr>
              <w:t>-49.5</w:t>
            </w:r>
          </w:p>
        </w:tc>
        <w:tc>
          <w:tcPr>
            <w:tcW w:w="222" w:type="dxa"/>
            <w:vAlign w:val="center"/>
            <w:hideMark/>
          </w:tcPr>
          <w:p w14:paraId="113ACC74" w14:textId="77777777" w:rsidR="00980518" w:rsidRPr="00C53435" w:rsidRDefault="00980518" w:rsidP="00242DF6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</w:tr>
    </w:tbl>
    <w:p w14:paraId="12F8A96A" w14:textId="77777777" w:rsidR="00980518" w:rsidRPr="00C53435" w:rsidRDefault="00980518" w:rsidP="00980518">
      <w:pPr>
        <w:spacing w:before="120" w:after="120" w:line="276" w:lineRule="auto"/>
        <w:ind w:firstLine="720"/>
        <w:rPr>
          <w:rFonts w:cs="Sylfaen"/>
          <w:lang w:val="hy-AM"/>
        </w:rPr>
      </w:pPr>
    </w:p>
    <w:p w14:paraId="688802A0" w14:textId="77777777" w:rsidR="00980518" w:rsidRPr="00C53435" w:rsidRDefault="00980518" w:rsidP="00980518">
      <w:pPr>
        <w:spacing w:before="120" w:after="120" w:line="276" w:lineRule="auto"/>
        <w:ind w:firstLine="720"/>
        <w:rPr>
          <w:rFonts w:cs="Sylfaen"/>
          <w:lang w:val="hy-AM"/>
        </w:rPr>
      </w:pPr>
      <w:r w:rsidRPr="00C53435">
        <w:rPr>
          <w:rFonts w:cs="Sylfaen"/>
          <w:lang w:val="hy-AM"/>
        </w:rPr>
        <w:t xml:space="preserve">Այսպիսով, գնահատվում է, որ հարկային եկամուտների վրա ազդող վերոնշյալ ռիսկերի միաժամանակյա ի հայտ գալու պարագայում հարկային եկամուտների ծրագրված մակարդակից շեղումը կկազմի շուրջ 29.1 մլրդ ՀՀ դրամ 2023 թվականին, 39.9 մլրդ ՀՀ դրամ 2024 թվականին և 49.5 մլրդ ՀՀ դրամ 2025 թվականին: </w:t>
      </w:r>
    </w:p>
    <w:p w14:paraId="44D99A07" w14:textId="77777777" w:rsidR="00980518" w:rsidRPr="00C53435" w:rsidRDefault="00980518" w:rsidP="00980518">
      <w:pPr>
        <w:spacing w:after="120" w:line="276" w:lineRule="auto"/>
        <w:ind w:firstLine="720"/>
        <w:rPr>
          <w:rFonts w:cs="Sylfaen"/>
          <w:lang w:val="hy-AM"/>
        </w:rPr>
      </w:pPr>
      <w:r w:rsidRPr="00C53435">
        <w:rPr>
          <w:rFonts w:cs="Sylfaen"/>
          <w:lang w:val="hy-AM"/>
        </w:rPr>
        <w:t>Հարկային եկամուտների վրա առանձին ռիսկերի ազդեցության չափի վերաբերյալ պատկերացում են տալիս նաև ստորև ներկայացվող զգայունության գնահատականները, սակայն այս դեպքում դիտարկվում է հարկային եկամուտների աճի վրա ազդող գործոնների աճերի 1% փոփոխության ազդեցությունը, ինչը ներկայացված է հարկային եկամուտների զգայունության աղյուսակում:</w:t>
      </w:r>
    </w:p>
    <w:p w14:paraId="6AF6D994" w14:textId="77777777" w:rsidR="00980518" w:rsidRPr="00C53435" w:rsidRDefault="00980518" w:rsidP="00980518">
      <w:pPr>
        <w:spacing w:after="120" w:line="276" w:lineRule="auto"/>
        <w:ind w:firstLine="720"/>
        <w:rPr>
          <w:b/>
          <w:i/>
          <w:u w:val="single"/>
          <w:lang w:val="hy-AM"/>
        </w:rPr>
      </w:pPr>
    </w:p>
    <w:p w14:paraId="1B05F735" w14:textId="77777777" w:rsidR="00980518" w:rsidRPr="00C53435" w:rsidRDefault="00980518" w:rsidP="00980518">
      <w:pPr>
        <w:spacing w:before="60" w:after="40" w:line="360" w:lineRule="auto"/>
        <w:rPr>
          <w:rFonts w:eastAsia="Calibri" w:cs="Sylfaen"/>
          <w:b/>
          <w:bCs/>
          <w:i/>
          <w:lang w:val="hy-AM"/>
        </w:rPr>
      </w:pPr>
      <w:r w:rsidRPr="00C53435">
        <w:rPr>
          <w:rFonts w:eastAsia="Calibri" w:cs="Sylfaen"/>
          <w:b/>
          <w:bCs/>
          <w:i/>
          <w:lang w:val="hy-AM"/>
        </w:rPr>
        <w:t>Աղյուսակ 3.1.2 Հարկային եկամուտների զգայունությունը հիմնական տնտեսական գործոնների նկատմամբ, տոկոս</w:t>
      </w:r>
    </w:p>
    <w:tbl>
      <w:tblPr>
        <w:tblW w:w="9198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0A0" w:firstRow="1" w:lastRow="0" w:firstColumn="1" w:lastColumn="0" w:noHBand="0" w:noVBand="0"/>
      </w:tblPr>
      <w:tblGrid>
        <w:gridCol w:w="3659"/>
        <w:gridCol w:w="1398"/>
        <w:gridCol w:w="1138"/>
        <w:gridCol w:w="1435"/>
        <w:gridCol w:w="1568"/>
      </w:tblGrid>
      <w:tr w:rsidR="00980518" w:rsidRPr="00C53435" w14:paraId="6006C9CA" w14:textId="77777777" w:rsidTr="00242DF6">
        <w:trPr>
          <w:trHeight w:val="476"/>
          <w:jc w:val="center"/>
        </w:trPr>
        <w:tc>
          <w:tcPr>
            <w:tcW w:w="3659" w:type="dxa"/>
            <w:shd w:val="clear" w:color="auto" w:fill="5B9BD5" w:themeFill="accent1"/>
            <w:noWrap/>
            <w:vAlign w:val="bottom"/>
            <w:hideMark/>
          </w:tcPr>
          <w:p w14:paraId="4EE96A38" w14:textId="77777777" w:rsidR="00980518" w:rsidRPr="00C53435" w:rsidRDefault="00980518" w:rsidP="00242DF6">
            <w:pPr>
              <w:spacing w:after="120" w:line="240" w:lineRule="auto"/>
              <w:ind w:firstLine="0"/>
              <w:rPr>
                <w:b/>
                <w:color w:val="FFFFFF" w:themeColor="background1"/>
                <w:lang w:val="hy-AM"/>
              </w:rPr>
            </w:pPr>
            <w:r w:rsidRPr="00C53435">
              <w:rPr>
                <w:rFonts w:ascii="Calibri" w:hAnsi="Calibri" w:cs="Calibri"/>
                <w:b/>
                <w:color w:val="FFFFFF" w:themeColor="background1"/>
                <w:lang w:val="hy-AM"/>
              </w:rPr>
              <w:t> </w:t>
            </w:r>
          </w:p>
        </w:tc>
        <w:tc>
          <w:tcPr>
            <w:tcW w:w="1398" w:type="dxa"/>
            <w:shd w:val="clear" w:color="auto" w:fill="5B9BD5" w:themeFill="accent1"/>
            <w:noWrap/>
            <w:vAlign w:val="bottom"/>
            <w:hideMark/>
          </w:tcPr>
          <w:p w14:paraId="6B9CC87F" w14:textId="77777777" w:rsidR="00980518" w:rsidRPr="00C53435" w:rsidRDefault="00980518" w:rsidP="00242DF6">
            <w:pPr>
              <w:spacing w:after="120" w:line="240" w:lineRule="auto"/>
              <w:ind w:firstLine="0"/>
              <w:rPr>
                <w:b/>
                <w:color w:val="FFFFFF" w:themeColor="background1"/>
                <w:lang w:val="hy-AM"/>
              </w:rPr>
            </w:pPr>
            <w:r w:rsidRPr="00C53435">
              <w:rPr>
                <w:rFonts w:cs="Sylfaen"/>
                <w:b/>
                <w:color w:val="FFFFFF" w:themeColor="background1"/>
                <w:lang w:val="hy-AM"/>
              </w:rPr>
              <w:t>ՀՆԱ</w:t>
            </w:r>
          </w:p>
        </w:tc>
        <w:tc>
          <w:tcPr>
            <w:tcW w:w="1138" w:type="dxa"/>
            <w:shd w:val="clear" w:color="auto" w:fill="5B9BD5" w:themeFill="accent1"/>
            <w:noWrap/>
            <w:vAlign w:val="bottom"/>
            <w:hideMark/>
          </w:tcPr>
          <w:p w14:paraId="78C4AE63" w14:textId="77777777" w:rsidR="00980518" w:rsidRPr="00C53435" w:rsidRDefault="00980518" w:rsidP="00242DF6">
            <w:pPr>
              <w:spacing w:after="120" w:line="240" w:lineRule="auto"/>
              <w:ind w:firstLine="0"/>
              <w:rPr>
                <w:b/>
                <w:color w:val="FFFFFF" w:themeColor="background1"/>
                <w:lang w:val="hy-AM"/>
              </w:rPr>
            </w:pPr>
            <w:r w:rsidRPr="00C53435">
              <w:rPr>
                <w:rFonts w:cs="Sylfaen"/>
                <w:b/>
                <w:color w:val="FFFFFF" w:themeColor="background1"/>
                <w:lang w:val="hy-AM"/>
              </w:rPr>
              <w:t>Գնաճ</w:t>
            </w:r>
          </w:p>
        </w:tc>
        <w:tc>
          <w:tcPr>
            <w:tcW w:w="1435" w:type="dxa"/>
            <w:shd w:val="clear" w:color="auto" w:fill="5B9BD5" w:themeFill="accent1"/>
            <w:noWrap/>
            <w:vAlign w:val="bottom"/>
            <w:hideMark/>
          </w:tcPr>
          <w:p w14:paraId="2C630EB7" w14:textId="77777777" w:rsidR="00980518" w:rsidRPr="00C53435" w:rsidRDefault="00980518" w:rsidP="00242DF6">
            <w:pPr>
              <w:spacing w:after="120" w:line="240" w:lineRule="auto"/>
              <w:ind w:firstLine="0"/>
              <w:rPr>
                <w:b/>
                <w:color w:val="FFFFFF" w:themeColor="background1"/>
                <w:lang w:val="hy-AM"/>
              </w:rPr>
            </w:pPr>
            <w:r w:rsidRPr="00C53435">
              <w:rPr>
                <w:rFonts w:cs="Sylfaen"/>
                <w:b/>
                <w:color w:val="FFFFFF" w:themeColor="background1"/>
                <w:lang w:val="hy-AM"/>
              </w:rPr>
              <w:t>Փոխարժեք</w:t>
            </w:r>
          </w:p>
        </w:tc>
        <w:tc>
          <w:tcPr>
            <w:tcW w:w="1568" w:type="dxa"/>
            <w:shd w:val="clear" w:color="auto" w:fill="5B9BD5" w:themeFill="accent1"/>
            <w:noWrap/>
            <w:vAlign w:val="bottom"/>
            <w:hideMark/>
          </w:tcPr>
          <w:p w14:paraId="6F385AF8" w14:textId="77777777" w:rsidR="00980518" w:rsidRPr="00C53435" w:rsidRDefault="00980518" w:rsidP="00242DF6">
            <w:pPr>
              <w:spacing w:after="120" w:line="240" w:lineRule="auto"/>
              <w:ind w:firstLine="0"/>
              <w:rPr>
                <w:b/>
                <w:color w:val="FFFFFF" w:themeColor="background1"/>
                <w:lang w:val="hy-AM"/>
              </w:rPr>
            </w:pPr>
            <w:r w:rsidRPr="00C53435">
              <w:rPr>
                <w:rFonts w:cs="Sylfaen"/>
                <w:b/>
                <w:color w:val="FFFFFF" w:themeColor="background1"/>
                <w:lang w:val="hy-AM"/>
              </w:rPr>
              <w:t>Ներմուծ</w:t>
            </w:r>
            <w:r w:rsidRPr="00C53435">
              <w:rPr>
                <w:b/>
                <w:color w:val="FFFFFF" w:themeColor="background1"/>
                <w:lang w:val="hy-AM"/>
              </w:rPr>
              <w:t>ում</w:t>
            </w:r>
          </w:p>
        </w:tc>
      </w:tr>
      <w:tr w:rsidR="00980518" w:rsidRPr="00C53435" w14:paraId="688B85EB" w14:textId="77777777" w:rsidTr="00242DF6">
        <w:trPr>
          <w:trHeight w:val="476"/>
          <w:jc w:val="center"/>
        </w:trPr>
        <w:tc>
          <w:tcPr>
            <w:tcW w:w="3659" w:type="dxa"/>
            <w:noWrap/>
            <w:vAlign w:val="bottom"/>
            <w:hideMark/>
          </w:tcPr>
          <w:p w14:paraId="7F782139" w14:textId="77777777" w:rsidR="00980518" w:rsidRPr="00C53435" w:rsidRDefault="00980518" w:rsidP="00242DF6">
            <w:pPr>
              <w:spacing w:after="120" w:line="240" w:lineRule="auto"/>
              <w:ind w:firstLine="0"/>
              <w:rPr>
                <w:b/>
                <w:lang w:val="hy-AM"/>
              </w:rPr>
            </w:pPr>
            <w:r w:rsidRPr="00C53435">
              <w:rPr>
                <w:rFonts w:cs="Sylfaen"/>
                <w:b/>
                <w:lang w:val="hy-AM"/>
              </w:rPr>
              <w:t>Միջին տարեկան ազդեցություն</w:t>
            </w:r>
          </w:p>
        </w:tc>
        <w:tc>
          <w:tcPr>
            <w:tcW w:w="1398" w:type="dxa"/>
            <w:noWrap/>
            <w:vAlign w:val="bottom"/>
            <w:hideMark/>
          </w:tcPr>
          <w:p w14:paraId="3E9F758D" w14:textId="77777777" w:rsidR="00980518" w:rsidRPr="00C53435" w:rsidRDefault="00980518" w:rsidP="00242DF6">
            <w:pPr>
              <w:spacing w:after="120" w:line="240" w:lineRule="auto"/>
              <w:ind w:firstLine="0"/>
              <w:rPr>
                <w:rFonts w:cs="Calibri"/>
                <w:lang w:val="hy-AM"/>
              </w:rPr>
            </w:pPr>
            <w:r w:rsidRPr="00C53435">
              <w:rPr>
                <w:lang w:val="hy-AM"/>
              </w:rPr>
              <w:t>0.22</w:t>
            </w:r>
          </w:p>
        </w:tc>
        <w:tc>
          <w:tcPr>
            <w:tcW w:w="1138" w:type="dxa"/>
            <w:noWrap/>
            <w:vAlign w:val="bottom"/>
            <w:hideMark/>
          </w:tcPr>
          <w:p w14:paraId="066D8728" w14:textId="77777777" w:rsidR="00980518" w:rsidRPr="00C53435" w:rsidRDefault="00980518" w:rsidP="00242DF6">
            <w:pPr>
              <w:spacing w:after="120" w:line="240" w:lineRule="auto"/>
              <w:ind w:firstLine="0"/>
              <w:rPr>
                <w:rFonts w:cs="Calibri"/>
                <w:lang w:val="hy-AM"/>
              </w:rPr>
            </w:pPr>
            <w:r w:rsidRPr="00C53435">
              <w:rPr>
                <w:lang w:val="hy-AM"/>
              </w:rPr>
              <w:t>0.11</w:t>
            </w:r>
          </w:p>
        </w:tc>
        <w:tc>
          <w:tcPr>
            <w:tcW w:w="1435" w:type="dxa"/>
            <w:noWrap/>
            <w:vAlign w:val="bottom"/>
            <w:hideMark/>
          </w:tcPr>
          <w:p w14:paraId="32E6B058" w14:textId="77777777" w:rsidR="00980518" w:rsidRPr="00C53435" w:rsidRDefault="00980518" w:rsidP="00242DF6">
            <w:pPr>
              <w:spacing w:after="120" w:line="240" w:lineRule="auto"/>
              <w:ind w:firstLine="0"/>
              <w:rPr>
                <w:rFonts w:cs="Calibri"/>
                <w:lang w:val="hy-AM"/>
              </w:rPr>
            </w:pPr>
            <w:r w:rsidRPr="00C53435">
              <w:rPr>
                <w:lang w:val="hy-AM"/>
              </w:rPr>
              <w:t>0.15</w:t>
            </w:r>
          </w:p>
        </w:tc>
        <w:tc>
          <w:tcPr>
            <w:tcW w:w="1568" w:type="dxa"/>
            <w:noWrap/>
            <w:vAlign w:val="bottom"/>
            <w:hideMark/>
          </w:tcPr>
          <w:p w14:paraId="5707FD41" w14:textId="77777777" w:rsidR="00980518" w:rsidRPr="00C53435" w:rsidRDefault="00980518" w:rsidP="00242DF6">
            <w:pPr>
              <w:spacing w:after="120" w:line="240" w:lineRule="auto"/>
              <w:ind w:firstLine="0"/>
              <w:rPr>
                <w:rFonts w:cs="Calibri"/>
                <w:lang w:val="hy-AM"/>
              </w:rPr>
            </w:pPr>
            <w:r w:rsidRPr="00C53435">
              <w:rPr>
                <w:lang w:val="hy-AM"/>
              </w:rPr>
              <w:t>0.05</w:t>
            </w:r>
          </w:p>
        </w:tc>
      </w:tr>
    </w:tbl>
    <w:p w14:paraId="4B9D8A5F" w14:textId="77777777" w:rsidR="00980518" w:rsidRPr="00C53435" w:rsidRDefault="00980518" w:rsidP="00980518">
      <w:pPr>
        <w:spacing w:after="120" w:line="276" w:lineRule="auto"/>
        <w:ind w:firstLine="720"/>
        <w:rPr>
          <w:rFonts w:cs="Sylfaen"/>
          <w:lang w:val="hy-AM"/>
        </w:rPr>
      </w:pPr>
      <w:r w:rsidRPr="00C53435">
        <w:rPr>
          <w:rFonts w:cs="Sylfaen"/>
          <w:lang w:val="hy-AM"/>
        </w:rPr>
        <w:t>Ինչպես երևում է աղյուսակից, հարկերի հավաքագրման առումով առավել էական գործոններ են հանդիսանում ՀՆԱ-ի և փոխարժեքի փոփոխությունները:</w:t>
      </w:r>
    </w:p>
    <w:p w14:paraId="75D23DF8" w14:textId="77777777" w:rsidR="00980518" w:rsidRPr="00C53435" w:rsidRDefault="00980518" w:rsidP="00980518">
      <w:pPr>
        <w:spacing w:after="120" w:line="276" w:lineRule="auto"/>
        <w:ind w:firstLine="720"/>
        <w:rPr>
          <w:rFonts w:cs="Sylfaen"/>
          <w:lang w:val="hy-AM"/>
        </w:rPr>
      </w:pPr>
      <w:r w:rsidRPr="00C53435">
        <w:rPr>
          <w:rFonts w:cs="Sylfaen"/>
          <w:lang w:val="hy-AM"/>
        </w:rPr>
        <w:t>Հարկային եկամուտների կանխատեսումների հետ կապված անորոշությունների և ռիսկերի հաշվեկշռի վերաբերյալ գնահատականներն իրենց արտացոլումն են գտել ստորև ներկայացվող հարկային եկամուտների հավանականային բաշխման գծապատկերում և համապատասխան աղյուսակում (տես` Գծապատկեր 3.1 և Աղյուսակ 3.1.3)</w:t>
      </w:r>
      <w:r w:rsidRPr="00C53435">
        <w:rPr>
          <w:rFonts w:cs="Sylfaen"/>
          <w:vertAlign w:val="superscript"/>
          <w:lang w:val="hy-AM"/>
        </w:rPr>
        <w:footnoteReference w:id="3"/>
      </w:r>
      <w:r w:rsidRPr="00C53435">
        <w:rPr>
          <w:rFonts w:cs="Sylfaen"/>
          <w:lang w:val="hy-AM"/>
        </w:rPr>
        <w:t xml:space="preserve">: Հավանականային բաշխման գրաֆիկի </w:t>
      </w:r>
      <w:r w:rsidRPr="00C53435">
        <w:rPr>
          <w:rFonts w:cs="Sylfaen"/>
          <w:lang w:val="hy-AM"/>
        </w:rPr>
        <w:lastRenderedPageBreak/>
        <w:t>կառուցման ժամանակ օգտագործվել է աղյուսակ 3.1.1-ում գնահատված ամբողջական ռիսկերի միաժամանակյա հանդես գալու պայմաններում ի հայտ եկող բացասական ռիսկերը:</w:t>
      </w:r>
    </w:p>
    <w:p w14:paraId="1DA03CAC" w14:textId="77777777" w:rsidR="00980518" w:rsidRPr="00C53435" w:rsidRDefault="00980518" w:rsidP="00980518">
      <w:pPr>
        <w:keepNext/>
        <w:spacing w:before="240" w:after="120" w:line="240" w:lineRule="auto"/>
        <w:ind w:firstLine="0"/>
        <w:jc w:val="left"/>
        <w:outlineLvl w:val="4"/>
        <w:rPr>
          <w:rFonts w:eastAsia="Times New Roman" w:cs="Times Unicode"/>
          <w:b/>
          <w:bCs/>
          <w:i/>
          <w:iCs/>
          <w:sz w:val="24"/>
          <w:szCs w:val="26"/>
          <w:lang w:val="hy-AM"/>
        </w:rPr>
      </w:pPr>
      <w:r w:rsidRPr="00C53435">
        <w:rPr>
          <w:rFonts w:eastAsia="Times New Roman" w:cs="Times Unicode"/>
          <w:b/>
          <w:bCs/>
          <w:i/>
          <w:iCs/>
          <w:sz w:val="24"/>
          <w:szCs w:val="26"/>
          <w:lang w:val="hy-AM"/>
        </w:rPr>
        <w:t>Գծապատկեր 3.1. Հարկային եկամուտների տարեկան աճի տեմպերի կանխատեսումների հավանականային բաշխումը</w:t>
      </w:r>
      <w:r w:rsidRPr="00C53435">
        <w:rPr>
          <w:rFonts w:eastAsia="Times New Roman" w:cs="Times Unicode"/>
          <w:b/>
          <w:bCs/>
          <w:i/>
          <w:iCs/>
          <w:sz w:val="20"/>
          <w:szCs w:val="20"/>
          <w:vertAlign w:val="superscript"/>
          <w:lang w:val="hy-AM"/>
        </w:rPr>
        <w:footnoteReference w:id="4"/>
      </w:r>
      <w:r w:rsidRPr="00C53435">
        <w:rPr>
          <w:rFonts w:eastAsia="Times New Roman" w:cs="Times Unicode"/>
          <w:b/>
          <w:bCs/>
          <w:i/>
          <w:iCs/>
          <w:sz w:val="24"/>
          <w:szCs w:val="26"/>
          <w:lang w:val="hy-AM"/>
        </w:rPr>
        <w:t>, տոկոս</w:t>
      </w:r>
    </w:p>
    <w:p w14:paraId="2744436A" w14:textId="77777777" w:rsidR="00980518" w:rsidRPr="00C53435" w:rsidRDefault="00980518" w:rsidP="00980518">
      <w:pPr>
        <w:spacing w:after="120" w:line="276" w:lineRule="auto"/>
        <w:ind w:firstLine="0"/>
        <w:rPr>
          <w:b/>
          <w:i/>
          <w:u w:val="single"/>
          <w:lang w:val="hy-AM"/>
        </w:rPr>
      </w:pPr>
      <w:r w:rsidRPr="00C53435">
        <w:rPr>
          <w:noProof/>
        </w:rPr>
        <w:drawing>
          <wp:inline distT="0" distB="0" distL="0" distR="0" wp14:anchorId="332C9C83" wp14:editId="517D2029">
            <wp:extent cx="6257925" cy="2743200"/>
            <wp:effectExtent l="0" t="0" r="9525" b="0"/>
            <wp:docPr id="16120838" name="Chart 16120838">
              <a:extLst xmlns:a="http://schemas.openxmlformats.org/drawingml/2006/main">
                <a:ext uri="{FF2B5EF4-FFF2-40B4-BE49-F238E27FC236}">
                  <a16:creationId xmlns:a16="http://schemas.microsoft.com/office/drawing/2014/main" id="{810CB130-54D5-4229-853E-F84767DBA2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0DB0471" w14:textId="77777777" w:rsidR="00980518" w:rsidRPr="00C53435" w:rsidRDefault="00980518" w:rsidP="00980518">
      <w:pPr>
        <w:spacing w:after="120" w:line="276" w:lineRule="auto"/>
        <w:ind w:firstLine="720"/>
        <w:rPr>
          <w:b/>
          <w:lang w:val="hy-AM"/>
        </w:rPr>
      </w:pPr>
      <w:r w:rsidRPr="00C53435">
        <w:rPr>
          <w:rFonts w:cs="Sylfaen"/>
          <w:lang w:val="hy-AM"/>
        </w:rPr>
        <w:t xml:space="preserve">Կանխատեսումների բաշխման հավանականություններն առավել պարզորոշ երևում են ստորև բերվող աղյուսակում: </w:t>
      </w:r>
    </w:p>
    <w:p w14:paraId="6D4608BD" w14:textId="77777777" w:rsidR="00980518" w:rsidRPr="0045668E" w:rsidRDefault="00980518" w:rsidP="00980518">
      <w:pPr>
        <w:spacing w:before="60" w:after="40" w:line="360" w:lineRule="auto"/>
        <w:rPr>
          <w:rFonts w:eastAsia="Calibri" w:cs="Sylfaen"/>
          <w:b/>
          <w:bCs/>
          <w:i/>
          <w:lang w:val="hy-AM"/>
        </w:rPr>
      </w:pPr>
    </w:p>
    <w:p w14:paraId="32CA2283" w14:textId="77777777" w:rsidR="00980518" w:rsidRPr="0045668E" w:rsidRDefault="00980518" w:rsidP="00980518">
      <w:pPr>
        <w:spacing w:before="60" w:after="40" w:line="360" w:lineRule="auto"/>
        <w:rPr>
          <w:rFonts w:eastAsia="Calibri" w:cs="Sylfaen"/>
          <w:b/>
          <w:bCs/>
          <w:i/>
          <w:lang w:val="hy-AM"/>
        </w:rPr>
      </w:pPr>
    </w:p>
    <w:p w14:paraId="0F9AD788" w14:textId="77777777" w:rsidR="00980518" w:rsidRPr="0045668E" w:rsidRDefault="00980518" w:rsidP="00980518">
      <w:pPr>
        <w:spacing w:before="60" w:after="40" w:line="360" w:lineRule="auto"/>
        <w:rPr>
          <w:rFonts w:eastAsia="Calibri" w:cs="Sylfaen"/>
          <w:b/>
          <w:bCs/>
          <w:i/>
          <w:lang w:val="hy-AM"/>
        </w:rPr>
      </w:pPr>
    </w:p>
    <w:p w14:paraId="424B2B03" w14:textId="77777777" w:rsidR="00980518" w:rsidRPr="00C53435" w:rsidRDefault="00980518" w:rsidP="00980518">
      <w:pPr>
        <w:spacing w:before="60" w:after="40" w:line="360" w:lineRule="auto"/>
        <w:rPr>
          <w:rFonts w:eastAsia="Calibri" w:cs="Sylfaen"/>
          <w:b/>
          <w:bCs/>
          <w:i/>
          <w:lang w:val="hy-AM"/>
        </w:rPr>
      </w:pPr>
      <w:r w:rsidRPr="00C53435">
        <w:rPr>
          <w:rFonts w:eastAsia="Calibri" w:cs="Sylfaen"/>
          <w:b/>
          <w:bCs/>
          <w:i/>
          <w:lang w:val="hy-AM"/>
        </w:rPr>
        <w:t xml:space="preserve">Աղյուսակ 3.1.3 Հարկային եկամուտների կանխատեսումների հավանականային բաշխումը     </w:t>
      </w:r>
    </w:p>
    <w:tbl>
      <w:tblPr>
        <w:tblW w:w="6320" w:type="dxa"/>
        <w:tblInd w:w="1880" w:type="dxa"/>
        <w:tblLook w:val="04A0" w:firstRow="1" w:lastRow="0" w:firstColumn="1" w:lastColumn="0" w:noHBand="0" w:noVBand="1"/>
      </w:tblPr>
      <w:tblGrid>
        <w:gridCol w:w="3440"/>
        <w:gridCol w:w="959"/>
        <w:gridCol w:w="962"/>
        <w:gridCol w:w="959"/>
      </w:tblGrid>
      <w:tr w:rsidR="00980518" w:rsidRPr="00980518" w14:paraId="17F35DD6" w14:textId="77777777" w:rsidTr="00242DF6">
        <w:trPr>
          <w:trHeight w:val="675"/>
        </w:trPr>
        <w:tc>
          <w:tcPr>
            <w:tcW w:w="3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58BDEB2E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FFFFFF"/>
                <w:lang w:val="hy-AM"/>
              </w:rPr>
            </w:pPr>
            <w:r w:rsidRPr="00C53435">
              <w:rPr>
                <w:rFonts w:eastAsia="Times New Roman" w:cs="Calibri"/>
                <w:color w:val="FFFFFF"/>
                <w:lang w:val="hy-AM"/>
              </w:rPr>
              <w:t>Հարկային եկամուտների աճի միջակայքը</w:t>
            </w:r>
          </w:p>
        </w:tc>
        <w:tc>
          <w:tcPr>
            <w:tcW w:w="288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08F41C6E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FFFFFF"/>
                <w:lang w:val="hy-AM"/>
              </w:rPr>
            </w:pPr>
            <w:r w:rsidRPr="00C53435">
              <w:rPr>
                <w:rFonts w:eastAsia="Times New Roman" w:cs="Calibri"/>
                <w:color w:val="FFFFFF"/>
                <w:lang w:val="hy-AM"/>
              </w:rPr>
              <w:t>Հարկային եկամուտների աճի` տվյալ  միջակայքում ձևավորվելու հավանականությունը</w:t>
            </w:r>
          </w:p>
        </w:tc>
      </w:tr>
      <w:tr w:rsidR="00980518" w:rsidRPr="00C53435" w14:paraId="51FF8289" w14:textId="77777777" w:rsidTr="00242DF6">
        <w:trPr>
          <w:trHeight w:val="345"/>
        </w:trPr>
        <w:tc>
          <w:tcPr>
            <w:tcW w:w="3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6E63A538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y-AM"/>
              </w:rPr>
            </w:pPr>
            <w:r w:rsidRPr="00C53435">
              <w:rPr>
                <w:rFonts w:ascii="Calibri" w:eastAsia="Times New Roman" w:hAnsi="Calibri" w:cs="Calibri"/>
                <w:b/>
                <w:bCs/>
                <w:color w:val="FFFFFF"/>
                <w:lang w:val="hy-AM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7FC6444F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FFFFFF"/>
                <w:lang w:val="hy-AM"/>
              </w:rPr>
            </w:pPr>
            <w:r w:rsidRPr="00C53435">
              <w:rPr>
                <w:rFonts w:eastAsia="Times New Roman" w:cs="Calibri"/>
                <w:b/>
                <w:bCs/>
                <w:color w:val="FFFFFF"/>
                <w:lang w:val="hy-AM"/>
              </w:rPr>
              <w:t>2023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74378B59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FFFFFF"/>
                <w:lang w:val="hy-AM"/>
              </w:rPr>
            </w:pPr>
            <w:r w:rsidRPr="00C53435">
              <w:rPr>
                <w:rFonts w:eastAsia="Times New Roman" w:cs="Calibri"/>
                <w:b/>
                <w:bCs/>
                <w:color w:val="FFFFFF"/>
                <w:lang w:val="hy-AM"/>
              </w:rPr>
              <w:t>2024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11E9D0E4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FFFFFF"/>
                <w:lang w:val="hy-AM"/>
              </w:rPr>
            </w:pPr>
            <w:r w:rsidRPr="00C53435">
              <w:rPr>
                <w:rFonts w:eastAsia="Times New Roman" w:cs="Calibri"/>
                <w:b/>
                <w:bCs/>
                <w:color w:val="FFFFFF"/>
                <w:lang w:val="hy-AM"/>
              </w:rPr>
              <w:t>2025</w:t>
            </w:r>
          </w:p>
        </w:tc>
      </w:tr>
      <w:tr w:rsidR="00980518" w:rsidRPr="00C53435" w14:paraId="7EBAABB1" w14:textId="77777777" w:rsidTr="00242DF6">
        <w:trPr>
          <w:trHeight w:val="345"/>
        </w:trPr>
        <w:tc>
          <w:tcPr>
            <w:tcW w:w="344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23F9517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hy-AM"/>
              </w:rPr>
            </w:pPr>
            <w:r w:rsidRPr="00C53435">
              <w:rPr>
                <w:rFonts w:eastAsia="Times New Roman" w:cs="Calibri"/>
                <w:b/>
                <w:bCs/>
                <w:color w:val="000000"/>
                <w:lang w:val="hy-AM"/>
              </w:rPr>
              <w:t>6-10 տոկոս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C476C98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 w:rsidRPr="00C53435">
              <w:rPr>
                <w:rFonts w:cs="Calibri"/>
                <w:color w:val="000000"/>
              </w:rPr>
              <w:t>0.12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B1DE9E0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 w:rsidRPr="00C53435">
              <w:rPr>
                <w:rFonts w:cs="Calibri"/>
                <w:color w:val="000000"/>
              </w:rPr>
              <w:t>0.22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5A1E429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 w:rsidRPr="00C53435">
              <w:rPr>
                <w:rFonts w:cs="Calibri"/>
                <w:color w:val="000000"/>
              </w:rPr>
              <w:t>0.25</w:t>
            </w:r>
          </w:p>
        </w:tc>
      </w:tr>
      <w:tr w:rsidR="00980518" w:rsidRPr="00C53435" w14:paraId="06094301" w14:textId="77777777" w:rsidTr="00242DF6">
        <w:trPr>
          <w:trHeight w:val="345"/>
        </w:trPr>
        <w:tc>
          <w:tcPr>
            <w:tcW w:w="344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A59AB59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hy-AM"/>
              </w:rPr>
            </w:pPr>
            <w:r w:rsidRPr="00C53435">
              <w:rPr>
                <w:rFonts w:eastAsia="Times New Roman" w:cs="Calibri"/>
                <w:b/>
                <w:bCs/>
                <w:color w:val="000000"/>
                <w:lang w:val="hy-AM"/>
              </w:rPr>
              <w:t>10-14 տոկոս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D0F4D86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 w:rsidRPr="00C53435">
              <w:rPr>
                <w:rFonts w:cs="Calibri"/>
                <w:b/>
                <w:bCs/>
                <w:i/>
                <w:iCs/>
                <w:color w:val="000000"/>
                <w:u w:val="single"/>
              </w:rPr>
              <w:t>0.44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F1DDF81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val="hy-AM"/>
              </w:rPr>
            </w:pPr>
            <w:r w:rsidRPr="00C53435">
              <w:rPr>
                <w:rFonts w:cs="Calibri"/>
                <w:b/>
                <w:bCs/>
                <w:i/>
                <w:iCs/>
                <w:color w:val="000000"/>
                <w:u w:val="single"/>
              </w:rPr>
              <w:t>0.50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081418D4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val="hy-AM"/>
              </w:rPr>
            </w:pPr>
            <w:r w:rsidRPr="00C53435">
              <w:rPr>
                <w:rFonts w:cs="Calibri"/>
                <w:b/>
                <w:bCs/>
                <w:i/>
                <w:iCs/>
                <w:color w:val="000000"/>
                <w:u w:val="single"/>
              </w:rPr>
              <w:t>0.49</w:t>
            </w:r>
          </w:p>
        </w:tc>
      </w:tr>
      <w:tr w:rsidR="00980518" w:rsidRPr="00C53435" w14:paraId="01C8EF8C" w14:textId="77777777" w:rsidTr="00242DF6">
        <w:trPr>
          <w:trHeight w:val="345"/>
        </w:trPr>
        <w:tc>
          <w:tcPr>
            <w:tcW w:w="344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C5C2381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hy-AM"/>
              </w:rPr>
            </w:pPr>
            <w:r w:rsidRPr="00C53435">
              <w:rPr>
                <w:rFonts w:eastAsia="Times New Roman" w:cs="Calibri"/>
                <w:b/>
                <w:bCs/>
                <w:color w:val="000000"/>
                <w:lang w:val="hy-AM"/>
              </w:rPr>
              <w:t>14-18 տոկոս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5CAD0CC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val="hy-AM"/>
              </w:rPr>
            </w:pPr>
            <w:r w:rsidRPr="00C53435">
              <w:rPr>
                <w:rFonts w:cs="Calibri"/>
                <w:color w:val="000000"/>
              </w:rPr>
              <w:t>0.40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0B90025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 w:rsidRPr="00C53435">
              <w:rPr>
                <w:rFonts w:cs="Calibri"/>
                <w:color w:val="000000"/>
              </w:rPr>
              <w:t>0.23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444763B5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 w:rsidRPr="00C53435">
              <w:rPr>
                <w:rFonts w:cs="Calibri"/>
                <w:color w:val="000000"/>
              </w:rPr>
              <w:t>0.20</w:t>
            </w:r>
          </w:p>
        </w:tc>
      </w:tr>
    </w:tbl>
    <w:p w14:paraId="149A8AB4" w14:textId="77777777" w:rsidR="00980518" w:rsidRPr="00C53435" w:rsidRDefault="00980518" w:rsidP="00980518">
      <w:pPr>
        <w:spacing w:before="120" w:after="120" w:line="276" w:lineRule="auto"/>
        <w:ind w:firstLine="720"/>
        <w:rPr>
          <w:rFonts w:cs="Sylfaen"/>
          <w:lang w:val="hy-AM"/>
        </w:rPr>
      </w:pPr>
      <w:r w:rsidRPr="00C53435">
        <w:rPr>
          <w:rFonts w:cs="Sylfaen"/>
          <w:lang w:val="hy-AM"/>
        </w:rPr>
        <w:lastRenderedPageBreak/>
        <w:t xml:space="preserve">Աղյուսակ 3.1.3-ի առաջին սյունը ներկայացնում է հարկային եկամուտների աճի միջակայքերը, իսկ 2-ից 4-րդ սյուները` նշված միջակայքերից յուրաքանչյուրում այդ աճի ձևավորվելու հավանականությունները` ըստ միջնաժամկետ կանխատեսումների: Համաձայն գնահատականների, 2023-2025 թվականներին հարկային եկամուտների աճի տեմպի՝ 10-14% միջակայքում գտնվելու հավանականությունն ամենաբարձրն է (Գծապատկեր 3.1-ում այն մուգ կարմիր է, իսկ Աղյուսակ 3.1.3-ում՝ հոծ նշումով): </w:t>
      </w:r>
    </w:p>
    <w:p w14:paraId="07C7E1C1" w14:textId="77777777" w:rsidR="00980518" w:rsidRPr="00C53435" w:rsidRDefault="00980518" w:rsidP="00980518">
      <w:pPr>
        <w:spacing w:after="120" w:line="276" w:lineRule="auto"/>
        <w:ind w:firstLine="0"/>
        <w:rPr>
          <w:b/>
          <w:color w:val="44546A" w:themeColor="text2"/>
          <w:sz w:val="24"/>
          <w:szCs w:val="24"/>
          <w:lang w:val="hy-AM" w:eastAsia="ru-RU"/>
        </w:rPr>
      </w:pPr>
    </w:p>
    <w:p w14:paraId="1A2C62BC" w14:textId="77777777" w:rsidR="00980518" w:rsidRPr="00C53435" w:rsidRDefault="00980518" w:rsidP="00980518">
      <w:pPr>
        <w:spacing w:after="120" w:line="276" w:lineRule="auto"/>
        <w:ind w:firstLine="0"/>
        <w:rPr>
          <w:b/>
          <w:color w:val="44546A" w:themeColor="text2"/>
          <w:sz w:val="24"/>
          <w:szCs w:val="24"/>
          <w:lang w:val="hy-AM" w:eastAsia="ru-RU"/>
        </w:rPr>
      </w:pPr>
      <w:r w:rsidRPr="00C53435">
        <w:rPr>
          <w:b/>
          <w:color w:val="44546A" w:themeColor="text2"/>
          <w:sz w:val="24"/>
          <w:szCs w:val="24"/>
          <w:lang w:val="hy-AM" w:eastAsia="ru-RU"/>
        </w:rPr>
        <w:t>3.2. Պետական բյուջեի վրա մակրոտնտեսական ցուցանիշների կանխատեսվածից շեղման ռիսկերի ազդեցության ընդհանուր գնահատականը և դրանց մեղմման հնարավորությունները</w:t>
      </w:r>
    </w:p>
    <w:p w14:paraId="33D493EC" w14:textId="77777777" w:rsidR="00980518" w:rsidRPr="00C53435" w:rsidRDefault="00980518" w:rsidP="00980518">
      <w:pPr>
        <w:spacing w:after="120" w:line="276" w:lineRule="auto"/>
        <w:ind w:firstLine="720"/>
        <w:rPr>
          <w:rFonts w:cs="Sylfaen"/>
          <w:lang w:val="hy-AM"/>
        </w:rPr>
      </w:pPr>
      <w:r w:rsidRPr="00C53435">
        <w:rPr>
          <w:rFonts w:cs="Sylfaen"/>
          <w:lang w:val="hy-AM"/>
        </w:rPr>
        <w:t>Կանխատեսումներում մեծ ուշադրություն է դարձվում նաև պետական բյուջեի ծախսերի պլանավորված մակարդակների ապահովումը խաթարող ռիսկերին, որոնք կարող են հանգեցնել լրացուցիչ ֆինանսավորման պահանջի առաջացման:</w:t>
      </w:r>
    </w:p>
    <w:p w14:paraId="7D3BA577" w14:textId="77777777" w:rsidR="00980518" w:rsidRPr="00C53435" w:rsidRDefault="00980518" w:rsidP="00980518">
      <w:pPr>
        <w:spacing w:before="60" w:after="40" w:line="276" w:lineRule="auto"/>
        <w:rPr>
          <w:rFonts w:eastAsia="Calibri" w:cs="Sylfaen"/>
          <w:b/>
          <w:bCs/>
          <w:i/>
          <w:lang w:val="hy-AM"/>
        </w:rPr>
      </w:pPr>
      <w:r w:rsidRPr="00C53435">
        <w:rPr>
          <w:rFonts w:eastAsia="Calibri" w:cs="Sylfaen"/>
          <w:b/>
          <w:bCs/>
          <w:i/>
          <w:lang w:val="hy-AM"/>
        </w:rPr>
        <w:t>Աղյուսակ 3.2.1 ՀՀ պետական բյուջեի հարկային եկամուտների և ծախսերի, ինչպես նաև այլ հոսքերի գծով ռիսկերի ընդհանուր ազդեցությունը</w:t>
      </w:r>
      <w:r w:rsidRPr="00C53435">
        <w:rPr>
          <w:rFonts w:eastAsia="Calibri" w:cs="Sylfaen"/>
          <w:b/>
          <w:bCs/>
          <w:i/>
          <w:vertAlign w:val="superscript"/>
          <w:lang w:val="hy-AM"/>
        </w:rPr>
        <w:footnoteReference w:id="5"/>
      </w:r>
      <w:r w:rsidRPr="00C53435">
        <w:rPr>
          <w:rFonts w:eastAsia="Calibri" w:cs="Sylfaen"/>
          <w:b/>
          <w:bCs/>
          <w:i/>
          <w:lang w:val="hy-AM"/>
        </w:rPr>
        <w:t xml:space="preserve">. (ֆինանսավորման պահանջ` - պահանջի մեծացում, + պահանջի նվազում), մլրդ ՀՀ դրամ </w:t>
      </w:r>
    </w:p>
    <w:tbl>
      <w:tblPr>
        <w:tblW w:w="9835" w:type="dxa"/>
        <w:tblInd w:w="113" w:type="dxa"/>
        <w:tblLook w:val="04A0" w:firstRow="1" w:lastRow="0" w:firstColumn="1" w:lastColumn="0" w:noHBand="0" w:noVBand="1"/>
      </w:tblPr>
      <w:tblGrid>
        <w:gridCol w:w="4720"/>
        <w:gridCol w:w="1705"/>
        <w:gridCol w:w="1705"/>
        <w:gridCol w:w="1705"/>
      </w:tblGrid>
      <w:tr w:rsidR="00980518" w:rsidRPr="00C53435" w14:paraId="2A8DACA8" w14:textId="77777777" w:rsidTr="00242DF6">
        <w:trPr>
          <w:trHeight w:val="658"/>
        </w:trPr>
        <w:tc>
          <w:tcPr>
            <w:tcW w:w="4720" w:type="dxa"/>
            <w:vMerge w:val="restart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shd w:val="clear" w:color="000000" w:fill="0066CC"/>
            <w:vAlign w:val="center"/>
            <w:hideMark/>
          </w:tcPr>
          <w:p w14:paraId="7447B32C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b/>
                <w:color w:val="FFFFFF"/>
                <w:lang w:val="hy-AM"/>
              </w:rPr>
            </w:pPr>
            <w:r w:rsidRPr="00C53435">
              <w:rPr>
                <w:b/>
                <w:color w:val="FFFFFF"/>
                <w:lang w:val="hy-AM"/>
              </w:rPr>
              <w:t>Մակրոտնտեսական ցուցանիշների կանխատեսվող ռիսկեր</w:t>
            </w:r>
          </w:p>
        </w:tc>
        <w:tc>
          <w:tcPr>
            <w:tcW w:w="170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0066CC"/>
            <w:vAlign w:val="center"/>
            <w:hideMark/>
          </w:tcPr>
          <w:p w14:paraId="7DB1A361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b/>
                <w:color w:val="FFFFFF"/>
                <w:lang w:val="hy-AM"/>
              </w:rPr>
            </w:pPr>
            <w:r w:rsidRPr="00C53435">
              <w:rPr>
                <w:b/>
                <w:color w:val="FFFFFF"/>
                <w:lang w:val="hy-AM"/>
              </w:rPr>
              <w:t>2023</w:t>
            </w:r>
          </w:p>
        </w:tc>
        <w:tc>
          <w:tcPr>
            <w:tcW w:w="170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0066CC"/>
            <w:vAlign w:val="center"/>
            <w:hideMark/>
          </w:tcPr>
          <w:p w14:paraId="22D5BEF2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b/>
                <w:color w:val="FFFFFF"/>
                <w:lang w:val="hy-AM"/>
              </w:rPr>
            </w:pPr>
            <w:r w:rsidRPr="00C53435">
              <w:rPr>
                <w:b/>
                <w:color w:val="FFFFFF"/>
                <w:lang w:val="hy-AM"/>
              </w:rPr>
              <w:t>2024</w:t>
            </w:r>
          </w:p>
        </w:tc>
        <w:tc>
          <w:tcPr>
            <w:tcW w:w="170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0066CC"/>
            <w:vAlign w:val="center"/>
            <w:hideMark/>
          </w:tcPr>
          <w:p w14:paraId="7D0B0361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b/>
                <w:color w:val="FFFFFF"/>
                <w:lang w:val="hy-AM"/>
              </w:rPr>
            </w:pPr>
            <w:r w:rsidRPr="00C53435">
              <w:rPr>
                <w:b/>
                <w:color w:val="FFFFFF"/>
                <w:lang w:val="hy-AM"/>
              </w:rPr>
              <w:t>2025</w:t>
            </w:r>
          </w:p>
        </w:tc>
      </w:tr>
      <w:tr w:rsidR="00980518" w:rsidRPr="00C53435" w14:paraId="4F908AA4" w14:textId="77777777" w:rsidTr="00242DF6">
        <w:trPr>
          <w:trHeight w:val="238"/>
        </w:trPr>
        <w:tc>
          <w:tcPr>
            <w:tcW w:w="4720" w:type="dxa"/>
            <w:vMerge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14:paraId="18256BCC" w14:textId="77777777" w:rsidR="00980518" w:rsidRPr="00C53435" w:rsidRDefault="00980518" w:rsidP="00242DF6">
            <w:pPr>
              <w:spacing w:before="0" w:after="0" w:line="240" w:lineRule="auto"/>
              <w:ind w:firstLine="0"/>
              <w:jc w:val="left"/>
              <w:rPr>
                <w:b/>
                <w:color w:val="FFFFFF"/>
                <w:lang w:val="hy-AM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0066CC"/>
            <w:vAlign w:val="center"/>
            <w:hideMark/>
          </w:tcPr>
          <w:p w14:paraId="6EA51E83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b/>
                <w:color w:val="FFFFFF"/>
                <w:lang w:val="hy-AM"/>
              </w:rPr>
            </w:pPr>
            <w:r w:rsidRPr="00C53435">
              <w:rPr>
                <w:rFonts w:ascii="Calibri" w:hAnsi="Calibri"/>
                <w:b/>
                <w:color w:val="FFFFFF"/>
                <w:lang w:val="hy-AM"/>
              </w:rPr>
              <w:t> </w:t>
            </w:r>
          </w:p>
        </w:tc>
      </w:tr>
      <w:tr w:rsidR="00980518" w:rsidRPr="00C53435" w14:paraId="46AB85C0" w14:textId="77777777" w:rsidTr="00242DF6">
        <w:trPr>
          <w:trHeight w:val="616"/>
        </w:trPr>
        <w:tc>
          <w:tcPr>
            <w:tcW w:w="472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77238393" w14:textId="77777777" w:rsidR="00980518" w:rsidRPr="00C53435" w:rsidRDefault="00980518" w:rsidP="00242DF6">
            <w:pPr>
              <w:spacing w:before="0" w:after="0" w:line="240" w:lineRule="auto"/>
              <w:ind w:firstLine="0"/>
              <w:jc w:val="left"/>
              <w:rPr>
                <w:color w:val="000000"/>
                <w:lang w:val="hy-AM"/>
              </w:rPr>
            </w:pPr>
            <w:r w:rsidRPr="00C53435">
              <w:rPr>
                <w:color w:val="000000"/>
                <w:lang w:val="hy-AM"/>
              </w:rPr>
              <w:t xml:space="preserve">1. Կանխատեսվածից </w:t>
            </w:r>
            <w:r w:rsidRPr="00C53435">
              <w:rPr>
                <w:rFonts w:eastAsia="Times New Roman" w:cs="Times New Roman"/>
                <w:color w:val="000000"/>
                <w:lang w:val="hy-AM"/>
              </w:rPr>
              <w:t>2</w:t>
            </w:r>
            <w:r w:rsidRPr="00C53435">
              <w:rPr>
                <w:color w:val="000000"/>
                <w:lang w:val="hy-AM"/>
              </w:rPr>
              <w:t>.0-</w:t>
            </w:r>
            <w:r w:rsidRPr="00C53435">
              <w:rPr>
                <w:rFonts w:eastAsia="Times New Roman" w:cs="Times New Roman"/>
                <w:color w:val="000000"/>
                <w:lang w:val="hy-AM"/>
              </w:rPr>
              <w:t>2.6</w:t>
            </w:r>
            <w:r w:rsidRPr="00C53435">
              <w:rPr>
                <w:color w:val="000000"/>
                <w:lang w:val="hy-AM"/>
              </w:rPr>
              <w:t xml:space="preserve"> տոկոսային կետով ավելի ցածր իրական ՀՆԱ-ի աճ</w:t>
            </w:r>
          </w:p>
        </w:tc>
        <w:tc>
          <w:tcPr>
            <w:tcW w:w="170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87BA1FA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color w:val="000000"/>
                <w:lang w:val="hy-AM"/>
              </w:rPr>
            </w:pPr>
            <w:r w:rsidRPr="00C53435">
              <w:rPr>
                <w:color w:val="000000"/>
              </w:rPr>
              <w:t>-14.1</w:t>
            </w:r>
          </w:p>
        </w:tc>
        <w:tc>
          <w:tcPr>
            <w:tcW w:w="170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A01CC2A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color w:val="000000"/>
                <w:lang w:val="hy-AM"/>
              </w:rPr>
            </w:pPr>
            <w:r w:rsidRPr="00C53435">
              <w:rPr>
                <w:color w:val="000000"/>
              </w:rPr>
              <w:t>-17.8</w:t>
            </w:r>
          </w:p>
        </w:tc>
        <w:tc>
          <w:tcPr>
            <w:tcW w:w="170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20220A8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color w:val="000000"/>
                <w:lang w:val="hy-AM"/>
              </w:rPr>
            </w:pPr>
            <w:r w:rsidRPr="00C53435">
              <w:rPr>
                <w:color w:val="000000"/>
              </w:rPr>
              <w:t>-21.9</w:t>
            </w:r>
          </w:p>
        </w:tc>
      </w:tr>
      <w:tr w:rsidR="00980518" w:rsidRPr="00C53435" w14:paraId="62D3C7CF" w14:textId="77777777" w:rsidTr="00242DF6">
        <w:trPr>
          <w:trHeight w:val="616"/>
        </w:trPr>
        <w:tc>
          <w:tcPr>
            <w:tcW w:w="472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D3703D9" w14:textId="77777777" w:rsidR="00980518" w:rsidRPr="00C53435" w:rsidRDefault="00980518" w:rsidP="00242DF6">
            <w:pPr>
              <w:spacing w:before="0" w:after="0" w:line="240" w:lineRule="auto"/>
              <w:ind w:firstLine="0"/>
              <w:jc w:val="left"/>
              <w:rPr>
                <w:color w:val="000000"/>
                <w:lang w:val="hy-AM"/>
              </w:rPr>
            </w:pPr>
            <w:r w:rsidRPr="00C53435">
              <w:rPr>
                <w:color w:val="000000"/>
                <w:lang w:val="hy-AM"/>
              </w:rPr>
              <w:t>2. 1.5 տոկոսային կետով ավելի ցածր գնաճի ռիսկ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29B614B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color w:val="000000"/>
                <w:lang w:val="hy-AM"/>
              </w:rPr>
            </w:pPr>
            <w:r w:rsidRPr="00C53435">
              <w:rPr>
                <w:color w:val="000000"/>
              </w:rPr>
              <w:t>7.2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DF03C56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color w:val="000000"/>
                <w:lang w:val="hy-AM"/>
              </w:rPr>
            </w:pPr>
            <w:r w:rsidRPr="00C53435">
              <w:rPr>
                <w:color w:val="000000"/>
              </w:rPr>
              <w:t>7.3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24476AAA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color w:val="000000"/>
                <w:lang w:val="hy-AM"/>
              </w:rPr>
            </w:pPr>
            <w:r w:rsidRPr="00C53435">
              <w:rPr>
                <w:color w:val="000000"/>
              </w:rPr>
              <w:t>8.5</w:t>
            </w:r>
          </w:p>
        </w:tc>
      </w:tr>
      <w:tr w:rsidR="00980518" w:rsidRPr="00C53435" w14:paraId="581962C1" w14:textId="77777777" w:rsidTr="00242DF6">
        <w:trPr>
          <w:trHeight w:val="616"/>
        </w:trPr>
        <w:tc>
          <w:tcPr>
            <w:tcW w:w="4720" w:type="dxa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71A5380C" w14:textId="77777777" w:rsidR="00980518" w:rsidRPr="00C53435" w:rsidRDefault="00980518" w:rsidP="00242DF6">
            <w:pPr>
              <w:spacing w:before="0" w:after="0" w:line="240" w:lineRule="auto"/>
              <w:ind w:firstLine="0"/>
              <w:jc w:val="left"/>
              <w:rPr>
                <w:color w:val="000000"/>
                <w:lang w:val="hy-AM"/>
              </w:rPr>
            </w:pPr>
            <w:r w:rsidRPr="00C53435">
              <w:rPr>
                <w:color w:val="000000"/>
                <w:lang w:val="hy-AM"/>
              </w:rPr>
              <w:t>3. Փոխարժեքի առավելագույնը 5.0 տոկոսով արժեզրկման ռիսկ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A641B1E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color w:val="000000"/>
                <w:lang w:val="hy-AM"/>
              </w:rPr>
            </w:pPr>
            <w:r w:rsidRPr="00C53435">
              <w:rPr>
                <w:color w:val="000000"/>
              </w:rPr>
              <w:t>3.3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D714A5B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color w:val="000000"/>
                <w:lang w:val="hy-AM"/>
              </w:rPr>
            </w:pPr>
            <w:r w:rsidRPr="00C53435">
              <w:rPr>
                <w:color w:val="000000"/>
              </w:rPr>
              <w:t>3.7</w:t>
            </w:r>
          </w:p>
        </w:tc>
        <w:tc>
          <w:tcPr>
            <w:tcW w:w="170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E3E5396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color w:val="000000"/>
                <w:lang w:val="hy-AM"/>
              </w:rPr>
            </w:pPr>
            <w:r w:rsidRPr="00C53435">
              <w:rPr>
                <w:color w:val="000000"/>
              </w:rPr>
              <w:t>3.9</w:t>
            </w:r>
          </w:p>
        </w:tc>
      </w:tr>
      <w:tr w:rsidR="00980518" w:rsidRPr="00C53435" w14:paraId="4945D562" w14:textId="77777777" w:rsidTr="00242DF6">
        <w:trPr>
          <w:trHeight w:val="714"/>
        </w:trPr>
        <w:tc>
          <w:tcPr>
            <w:tcW w:w="472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0EE67F8" w14:textId="77777777" w:rsidR="00980518" w:rsidRPr="00C53435" w:rsidRDefault="00980518" w:rsidP="00242DF6">
            <w:pPr>
              <w:spacing w:before="0" w:after="0" w:line="240" w:lineRule="auto"/>
              <w:ind w:firstLine="0"/>
              <w:jc w:val="left"/>
              <w:rPr>
                <w:color w:val="000000"/>
                <w:lang w:val="hy-AM"/>
              </w:rPr>
            </w:pPr>
            <w:r w:rsidRPr="00C53435">
              <w:rPr>
                <w:color w:val="000000"/>
                <w:lang w:val="hy-AM"/>
              </w:rPr>
              <w:t>4. Ներմուծման 11.8-20.0 տոկոսով նվազման ռիսկ</w:t>
            </w:r>
          </w:p>
        </w:tc>
        <w:tc>
          <w:tcPr>
            <w:tcW w:w="170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3517777A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color w:val="000000"/>
                <w:lang w:val="hy-AM"/>
              </w:rPr>
            </w:pPr>
            <w:r w:rsidRPr="00C53435">
              <w:rPr>
                <w:color w:val="000000"/>
              </w:rPr>
              <w:t>-20.3</w:t>
            </w:r>
          </w:p>
        </w:tc>
        <w:tc>
          <w:tcPr>
            <w:tcW w:w="170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604F49C0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color w:val="000000"/>
                <w:lang w:val="hy-AM"/>
              </w:rPr>
            </w:pPr>
            <w:r w:rsidRPr="00C53435">
              <w:rPr>
                <w:color w:val="000000"/>
              </w:rPr>
              <w:t>-31.6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5CCD410F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color w:val="000000"/>
                <w:lang w:val="hy-AM"/>
              </w:rPr>
            </w:pPr>
            <w:r w:rsidRPr="00C53435">
              <w:rPr>
                <w:color w:val="000000"/>
              </w:rPr>
              <w:t>-38.3</w:t>
            </w:r>
          </w:p>
        </w:tc>
      </w:tr>
      <w:tr w:rsidR="00980518" w:rsidRPr="00C53435" w14:paraId="72D685AF" w14:textId="77777777" w:rsidTr="00242DF6">
        <w:trPr>
          <w:trHeight w:val="557"/>
        </w:trPr>
        <w:tc>
          <w:tcPr>
            <w:tcW w:w="472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717F0E3" w14:textId="77777777" w:rsidR="00980518" w:rsidRPr="00C53435" w:rsidRDefault="00980518" w:rsidP="00242DF6">
            <w:pPr>
              <w:spacing w:before="0" w:after="0" w:line="240" w:lineRule="auto"/>
              <w:ind w:firstLine="0"/>
              <w:jc w:val="left"/>
              <w:rPr>
                <w:b/>
                <w:color w:val="000000"/>
                <w:lang w:val="hy-AM"/>
              </w:rPr>
            </w:pPr>
            <w:r w:rsidRPr="00C53435">
              <w:rPr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0C80F79B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lang w:val="hy-AM"/>
              </w:rPr>
            </w:pPr>
            <w:r w:rsidRPr="00C53435">
              <w:rPr>
                <w:b/>
                <w:bCs/>
                <w:color w:val="000000"/>
              </w:rPr>
              <w:t>-23.8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4AA79F31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lang w:val="hy-AM"/>
              </w:rPr>
            </w:pPr>
            <w:r w:rsidRPr="00C53435">
              <w:rPr>
                <w:b/>
                <w:bCs/>
                <w:color w:val="000000"/>
              </w:rPr>
              <w:t>-38.4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14:paraId="1B93093F" w14:textId="77777777" w:rsidR="00980518" w:rsidRPr="00C53435" w:rsidRDefault="00980518" w:rsidP="00242DF6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lang w:val="hy-AM"/>
              </w:rPr>
            </w:pPr>
            <w:r w:rsidRPr="00C53435">
              <w:rPr>
                <w:b/>
                <w:bCs/>
                <w:color w:val="000000"/>
              </w:rPr>
              <w:t>-47.8</w:t>
            </w:r>
          </w:p>
        </w:tc>
      </w:tr>
    </w:tbl>
    <w:p w14:paraId="2AD37593" w14:textId="77777777" w:rsidR="00980518" w:rsidRPr="00C53435" w:rsidRDefault="00980518" w:rsidP="00980518">
      <w:pPr>
        <w:spacing w:before="120" w:after="120" w:line="276" w:lineRule="auto"/>
        <w:ind w:firstLine="720"/>
        <w:rPr>
          <w:rFonts w:cs="Sylfaen"/>
          <w:lang w:val="hy-AM"/>
        </w:rPr>
      </w:pPr>
      <w:r w:rsidRPr="00C53435">
        <w:rPr>
          <w:rFonts w:cs="Sylfaen"/>
          <w:lang w:val="hy-AM"/>
        </w:rPr>
        <w:t xml:space="preserve">Աղյուսակ 3.2.1-ում ցույց են տրված գնահատված լրացուցիչ ռիսկերը, որոնք կհանգեցնեն լրացուցիչ ֆինանսավորման պահանջի առաջացման: Ակնհայտորեն երևում է, որ գնաճի տատանումների հետևանքով կնվազի նախատեսված ֆինանսավորման պահանջը և համապատասխանաբար կփոփոխվեն նաև պետական բյուջեի ծախսերը` նվազման ուղղությամբ: </w:t>
      </w:r>
    </w:p>
    <w:p w14:paraId="0D524A91" w14:textId="77777777" w:rsidR="00980518" w:rsidRPr="00C53435" w:rsidRDefault="00980518" w:rsidP="00980518">
      <w:pPr>
        <w:spacing w:after="120" w:line="276" w:lineRule="auto"/>
        <w:ind w:firstLine="720"/>
        <w:rPr>
          <w:rFonts w:eastAsia="Times New Roman" w:cs="Times New Roman"/>
          <w:color w:val="44546A" w:themeColor="text2"/>
          <w:sz w:val="28"/>
          <w:szCs w:val="28"/>
          <w:lang w:val="hy-AM"/>
        </w:rPr>
      </w:pPr>
      <w:r w:rsidRPr="00C53435">
        <w:rPr>
          <w:rFonts w:cs="Sylfaen"/>
          <w:lang w:val="hy-AM"/>
        </w:rPr>
        <w:lastRenderedPageBreak/>
        <w:t xml:space="preserve">Հաշվի առնելով մակրոտնտեսական ցուցանիշների կանխատեսվող մակարդակից վերոնշյալ հնարավոր շեղումների ռիսկերի գնահատականները` ՀՀ պետական բյուջեի եկամուտների հավաքագրման և ծախսերի կատարման տեսանկյունից 2023-2025 թվականներին ՀՀ պետական բյուջեի դեֆիցիտի լրացուցիչ ֆինանսավորման պահանջը կկազմի շուրջ 23.8–47.8 մլրդ ՀՀ դրամ կամ ՀՆԱ-ի 0.3-0.4%-ը: </w:t>
      </w:r>
      <w:r w:rsidRPr="00C53435">
        <w:rPr>
          <w:rFonts w:eastAsia="Times New Roman" w:cs="Times New Roman"/>
          <w:color w:val="44546A" w:themeColor="text2"/>
          <w:sz w:val="28"/>
          <w:szCs w:val="28"/>
          <w:lang w:val="hy-AM"/>
        </w:rPr>
        <w:t xml:space="preserve"> </w:t>
      </w:r>
    </w:p>
    <w:p w14:paraId="0162C01C" w14:textId="77777777" w:rsidR="00980518" w:rsidRDefault="00980518" w:rsidP="00980518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  <w:bookmarkStart w:id="12" w:name="_Hlk45793805"/>
      <w:bookmarkStart w:id="13" w:name="_Toc46754908"/>
      <w:bookmarkStart w:id="14" w:name="_Toc45838561"/>
      <w:bookmarkStart w:id="15" w:name="_Toc46154386"/>
      <w:bookmarkEnd w:id="12"/>
      <w:r w:rsidRPr="00C76568">
        <w:rPr>
          <w:rFonts w:eastAsia="Times New Roman" w:cs="Times New Roman"/>
          <w:caps w:val="0"/>
          <w:color w:val="44546A" w:themeColor="text2"/>
          <w:sz w:val="28"/>
          <w:szCs w:val="28"/>
        </w:rPr>
        <w:t>4. ՀՀ ԿԱՌԱՎԱՐՈՒԹՅԱՆ ՊԱՐՏՔԻ ԿԱՅՈՒՆՈՒԹՅԱՆ ՎԵՐԼՈՒԾՈՒԹՅՈՒՆԸ</w:t>
      </w:r>
      <w:bookmarkEnd w:id="13"/>
      <w:r w:rsidRPr="00EB1197">
        <w:rPr>
          <w:rFonts w:eastAsia="Times New Roman" w:cs="Times New Roman"/>
          <w:caps w:val="0"/>
          <w:color w:val="44546A" w:themeColor="text2"/>
          <w:sz w:val="28"/>
          <w:szCs w:val="28"/>
        </w:rPr>
        <w:t xml:space="preserve"> </w:t>
      </w:r>
      <w:bookmarkEnd w:id="14"/>
      <w:bookmarkEnd w:id="15"/>
    </w:p>
    <w:p w14:paraId="447096BD" w14:textId="77777777" w:rsidR="00980518" w:rsidRPr="00C53435" w:rsidRDefault="00980518" w:rsidP="00980518">
      <w:pPr>
        <w:spacing w:line="276" w:lineRule="auto"/>
        <w:ind w:firstLine="720"/>
        <w:rPr>
          <w:i/>
          <w:lang w:val="hy-AM"/>
        </w:rPr>
      </w:pPr>
      <w:r w:rsidRPr="00C53435">
        <w:rPr>
          <w:i/>
          <w:lang w:val="hy-AM"/>
        </w:rPr>
        <w:t>Միջնաժամկետ հատվածում ՀՀ կառավարության պարտքը գնահատվում է կայուն և կառավարելի, ինչը խարսխված է 2020թ</w:t>
      </w:r>
      <w:r w:rsidRPr="00C53435">
        <w:rPr>
          <w:rFonts w:ascii="Cambria Math" w:hAnsi="Cambria Math" w:cs="Cambria Math"/>
          <w:i/>
          <w:lang w:val="hy-AM"/>
        </w:rPr>
        <w:t>․</w:t>
      </w:r>
      <w:r w:rsidRPr="00C53435">
        <w:rPr>
          <w:rFonts w:cs="Times New Roman"/>
          <w:i/>
          <w:lang w:val="hy-AM"/>
        </w:rPr>
        <w:t>-ի երկակի շոկից հետո պարտքի բեռի բարձր մակարդակի գրանցումից հետո 2021թ</w:t>
      </w:r>
      <w:r w:rsidRPr="00C53435">
        <w:rPr>
          <w:rFonts w:ascii="Cambria Math" w:hAnsi="Cambria Math" w:cs="Cambria Math"/>
          <w:i/>
          <w:lang w:val="hy-AM"/>
        </w:rPr>
        <w:t>․</w:t>
      </w:r>
      <w:r w:rsidRPr="00C53435">
        <w:rPr>
          <w:rFonts w:cs="Times New Roman"/>
          <w:i/>
          <w:lang w:val="hy-AM"/>
        </w:rPr>
        <w:t xml:space="preserve">-ից սկսած հարկաբյուջետային կոնսոլիդացիայի գործընթացը շարունակելու կառավարության հանձնառությամբ։ Այնուամենայնիվ, </w:t>
      </w:r>
      <w:r w:rsidRPr="00C53435">
        <w:rPr>
          <w:i/>
          <w:lang w:val="hy-AM"/>
        </w:rPr>
        <w:t xml:space="preserve">շոշափելի են ինչպես պարտքի բեռի ներկա մակարդակից, այնպես էլ պարտքի կառուցվածքից բխող ռիսկերը։ Այդ ռիսկերի մեղմման համար ՀՀ կառավարությունը ծրագրել է պարտքի բեռը նվազեցնել մինչև «ապահով» գնահատվող մակարդակներ, ինչպես նաև բարելավել պարտքի կառուցվածքը՝ բարձրացնելով ներքին / դրամային արտահայտությամբ պարտքի դերը։  </w:t>
      </w:r>
    </w:p>
    <w:p w14:paraId="2E539CB7" w14:textId="77777777" w:rsidR="00980518" w:rsidRPr="00C53435" w:rsidRDefault="00980518" w:rsidP="00980518">
      <w:pPr>
        <w:spacing w:line="276" w:lineRule="auto"/>
        <w:ind w:firstLine="720"/>
        <w:rPr>
          <w:rFonts w:cs="Times New Roman"/>
          <w:b/>
          <w:lang w:val="hy-AM"/>
        </w:rPr>
      </w:pPr>
      <w:r w:rsidRPr="00C53435">
        <w:rPr>
          <w:b/>
          <w:lang w:val="hy-AM"/>
        </w:rPr>
        <w:t>2020թ</w:t>
      </w:r>
      <w:r w:rsidRPr="00C53435">
        <w:rPr>
          <w:rFonts w:ascii="Cambria Math" w:hAnsi="Cambria Math" w:cs="Cambria Math"/>
          <w:b/>
          <w:lang w:val="hy-AM"/>
        </w:rPr>
        <w:t>․</w:t>
      </w:r>
      <w:r w:rsidRPr="00C53435">
        <w:rPr>
          <w:rFonts w:cs="Times New Roman"/>
          <w:b/>
          <w:lang w:val="hy-AM"/>
        </w:rPr>
        <w:t xml:space="preserve">-ին ՀՀ կառավարության պարտք/ՀՆԱ հարաբերակցությունը գերազանցել էր 60%-ի սահմանային շեմը՝ անհրաժեշտություն դարձնելով հարկաբյուջետային կոնսոլիդացիայի իրականացումը։ </w:t>
      </w:r>
      <w:r w:rsidRPr="00C53435">
        <w:rPr>
          <w:rFonts w:cs="Times New Roman"/>
          <w:bCs/>
          <w:lang w:val="hy-AM"/>
        </w:rPr>
        <w:t>Ընդ որում, պարտքի բեռի աճը զուգորդվել է նաև պարտքի տոկոսավճարների բեռի աճով, ինչը լրացուցիչ ճնշում է առաջացնում բյուջեի ծախսային մասի համար։</w:t>
      </w:r>
      <w:r w:rsidRPr="00C53435">
        <w:rPr>
          <w:rFonts w:cs="Times New Roman"/>
          <w:b/>
          <w:lang w:val="hy-AM"/>
        </w:rPr>
        <w:t xml:space="preserve"> </w:t>
      </w:r>
      <w:r w:rsidRPr="00C53435">
        <w:rPr>
          <w:lang w:val="hy-AM"/>
        </w:rPr>
        <w:t>Այս իրավիճակից բխում էր ՀՀ հարկաբյուջետային կանոններին համահունչ հարկաբյուջետային կոնսոլիդացիայի քաղաքականության ընդունման և միջնաժամկետ հատվածում իրականացման անհրաժեշտությունը, որի հիմքերն ապահովվեցին ՀՀ կառավարության պարտքի բեռի նվազեցման 2022-2026թթ</w:t>
      </w:r>
      <w:r w:rsidRPr="00C53435">
        <w:rPr>
          <w:rFonts w:ascii="Cambria Math" w:hAnsi="Cambria Math" w:cs="Cambria Math"/>
          <w:lang w:val="hy-AM"/>
        </w:rPr>
        <w:t>․</w:t>
      </w:r>
      <w:r w:rsidRPr="00C53435">
        <w:rPr>
          <w:lang w:val="hy-AM"/>
        </w:rPr>
        <w:t xml:space="preserve"> ծրագրով։ Ծրագրի շարունակականության ապահովման համար սույն փաստաթղթին կից ներկայացվում է ՀՀ կառավարության պարտքի բեռի նվազեցման 2022-2026թթ</w:t>
      </w:r>
      <w:r w:rsidRPr="00C53435">
        <w:rPr>
          <w:rFonts w:ascii="Cambria Math" w:hAnsi="Cambria Math" w:cs="Cambria Math"/>
          <w:lang w:val="hy-AM"/>
        </w:rPr>
        <w:t>․</w:t>
      </w:r>
      <w:r w:rsidRPr="00C53435">
        <w:rPr>
          <w:lang w:val="hy-AM"/>
        </w:rPr>
        <w:t xml:space="preserve"> վերանայված ծրագիրը, որով միջնաժամկետ հատվածում ուղենշում է պարտքի բեռի նվազեցումն ընդհուպ մինչև ՀՆԱ 50%-ի մոտ ցուցանիշի՝  կառավարելի պահելով ինչպես պարտքի բեռից բխող ռիսկերը և տոկոսավճարների աճը, այնպես էլ ֆինանսական «բարձիկ» ստեղծելով հետագա հնարավոր ցնցումներին դիմակայելու համար։ </w:t>
      </w:r>
    </w:p>
    <w:p w14:paraId="58AFE56E" w14:textId="77777777" w:rsidR="00980518" w:rsidRPr="00C53435" w:rsidRDefault="00980518" w:rsidP="00980518">
      <w:pPr>
        <w:spacing w:line="276" w:lineRule="auto"/>
        <w:ind w:firstLine="720"/>
        <w:rPr>
          <w:lang w:val="hy-AM"/>
        </w:rPr>
      </w:pPr>
      <w:r w:rsidRPr="00C53435">
        <w:rPr>
          <w:b/>
          <w:lang w:val="hy-AM"/>
        </w:rPr>
        <w:t xml:space="preserve">ՀՀ կառավարության նախանշած հարկաբյուջետային կոնսոլիդացիայի սցենարի վրա հիմնված պարտքի ռիսկերի գնահատումը ցույց է տվել, որ ինչպես կառավարության պարտքի, այնպես էլ պարտքի սպասարկման ռիսկերը գնահատվում են ցածր, թեպետ նաև տեսանելի է, որ նոր հնարավոր շոկերը կարող են վտանգել պարտքի կայունությունը։ </w:t>
      </w:r>
      <w:r w:rsidRPr="00C53435">
        <w:rPr>
          <w:lang w:val="hy-AM"/>
        </w:rPr>
        <w:t>Սթրես թեստերի շրջանակներում ՀՀ կառավարության պարտքը ամենաշատը զգայուն է տնտեսական աճի և փոխարժեքի շոկերի նկատմամբ, որոնցից առաջինի ի հայտ գալու պարագայում 2023թ</w:t>
      </w:r>
      <w:r w:rsidRPr="00C53435">
        <w:rPr>
          <w:rFonts w:ascii="Cambria Math" w:hAnsi="Cambria Math" w:cs="Cambria Math"/>
          <w:lang w:val="hy-AM"/>
        </w:rPr>
        <w:t>․</w:t>
      </w:r>
      <w:r w:rsidRPr="00C53435">
        <w:rPr>
          <w:lang w:val="hy-AM"/>
        </w:rPr>
        <w:t>-ին կառավարության պարտք/ՀՆԱ հարաբերակցությունը հասնում է 66</w:t>
      </w:r>
      <w:r w:rsidRPr="00C53435">
        <w:rPr>
          <w:rFonts w:ascii="Cambria Math" w:hAnsi="Cambria Math" w:cs="Cambria Math"/>
          <w:lang w:val="hy-AM"/>
        </w:rPr>
        <w:t>․</w:t>
      </w:r>
      <w:r w:rsidRPr="00C53435">
        <w:rPr>
          <w:lang w:val="hy-AM"/>
        </w:rPr>
        <w:t xml:space="preserve">6% մակարդակին՝ միջնաժամկետ հեռանկարում (մինչև 2026թ-ը) մնալով ՀՀ հարկաբյուջետային կանոններով </w:t>
      </w:r>
      <w:r w:rsidRPr="00C53435">
        <w:rPr>
          <w:lang w:val="hy-AM"/>
        </w:rPr>
        <w:lastRenderedPageBreak/>
        <w:t xml:space="preserve">սահմանված 60% սահմանային շեմից բարձր մակարդակում։ Փոխարժեքի շոկի դեպքում կառավարության պարտք/ՀՆԱ հարաբերակցությունը առավելագույն մակարդակին է հասնում 2022թ-ին՝ 63.1%, սակայն միջնաժամկետ հորիզոնում նվազում 60% շեմից։ ՀՀ պետական բյուջեի համախառն ֆինանսավորման կարիքը կանխատեսվող ժամակահատվածում իրականացված սթրես թեստերից ոչ մեկի դեպքում չի գերազանցում զարգացող երկրների համար ռիսկայնության համար ընդունված 15% սահմանաչափը։ </w:t>
      </w:r>
    </w:p>
    <w:p w14:paraId="6F019BB4" w14:textId="77777777" w:rsidR="00980518" w:rsidRPr="00C53435" w:rsidRDefault="00980518" w:rsidP="00980518">
      <w:pPr>
        <w:spacing w:line="276" w:lineRule="auto"/>
        <w:ind w:firstLine="720"/>
        <w:rPr>
          <w:lang w:val="hy-AM"/>
        </w:rPr>
      </w:pPr>
      <w:r w:rsidRPr="00C53435">
        <w:rPr>
          <w:b/>
          <w:lang w:val="hy-AM"/>
        </w:rPr>
        <w:t xml:space="preserve">ՀՀ կառավարության պարտքի կառուցվածքը բարձր ռիսկային է գնահատվում, սակայն միջազգային շուկայի վարքագիծը գնահատվում է միջին ռիսկայնության տիրույթում՝ չնայած տարածաշրջանի երկրներում ռիսկի հավելավճարների կտրուկ աճին։ </w:t>
      </w:r>
      <w:r w:rsidRPr="00C53435">
        <w:rPr>
          <w:lang w:val="hy-AM"/>
        </w:rPr>
        <w:t xml:space="preserve">Մասնավորապես, ՀՀ կառավարության պարտքի կառուցվածքում արտարժութային և ոչ ռեզիդենտների նկատմամբ պարտքի մասնաբաժինները բարձր ռիսկայնության տիրույթում են եղել 2021թ-ի մայիսի դրությամբ՝ կազմելով համապատասխանաբար 67.5% և 66.4%: Միևնույն ժամանակ, ռուս-ուկրաինական հակամարտության ազդեցությունների ներքո տարածաշրջանի երկրների ռիսկի հավելավճարների բարձրացման պայմաններում ՀՀ կառավարության սուվերեն ռիսկի հավելավճարը ևս որոշակիորեն բարձրացել է մինչև 484 բազիսային կետի, ինչը, սակայն, չի գերազանցում բարձր ռիսկայնության շեմը և ենթադրում է միջին ռիսկայնության գնահատական։  </w:t>
      </w:r>
    </w:p>
    <w:p w14:paraId="2BBF3410" w14:textId="77777777" w:rsidR="00980518" w:rsidRPr="00C53435" w:rsidRDefault="00980518" w:rsidP="00980518">
      <w:pPr>
        <w:spacing w:line="276" w:lineRule="auto"/>
        <w:ind w:firstLine="720"/>
        <w:rPr>
          <w:lang w:val="hy-AM"/>
        </w:rPr>
      </w:pPr>
      <w:r w:rsidRPr="00C53435">
        <w:rPr>
          <w:b/>
          <w:lang w:val="hy-AM"/>
        </w:rPr>
        <w:t xml:space="preserve">ՀՀ կառավարության պարտքի կանխատեսումները անորոշության բարձր աստիճան են պարունակում, քանի որ պարտք ձևավորող գործոնները պատմականորեն ունեն բարձր տատանողականություն։  </w:t>
      </w:r>
      <w:r w:rsidRPr="00C53435">
        <w:rPr>
          <w:lang w:val="hy-AM"/>
        </w:rPr>
        <w:t>Այս նկարագիրը բացահայտվում է ստորև ներկայացված հավանականությունների բաշխման գրաֆիկում, ըստ որի՝ 2025թ</w:t>
      </w:r>
      <w:r w:rsidRPr="00C53435">
        <w:rPr>
          <w:rFonts w:ascii="Cambria Math" w:hAnsi="Cambria Math" w:cs="Cambria Math"/>
          <w:lang w:val="hy-AM"/>
        </w:rPr>
        <w:t>․</w:t>
      </w:r>
      <w:r w:rsidRPr="00C53435">
        <w:rPr>
          <w:lang w:val="hy-AM"/>
        </w:rPr>
        <w:t>-ի համար 10-ից 90% հավանականային միջակայքում ուրվագծում է ՀՆԱ-ում 43%-ից 69%, իսկ 2026թ</w:t>
      </w:r>
      <w:r w:rsidRPr="00C53435">
        <w:rPr>
          <w:rFonts w:ascii="Cambria Math" w:hAnsi="Cambria Math" w:cs="Cambria Math"/>
          <w:lang w:val="hy-AM"/>
        </w:rPr>
        <w:t>․</w:t>
      </w:r>
      <w:r w:rsidRPr="00C53435">
        <w:rPr>
          <w:lang w:val="hy-AM"/>
        </w:rPr>
        <w:t xml:space="preserve">-ի համար՝ 41%-ից 70% միջակայք։   </w:t>
      </w:r>
    </w:p>
    <w:p w14:paraId="613D2466" w14:textId="77777777" w:rsidR="00980518" w:rsidRPr="00C53435" w:rsidRDefault="00980518" w:rsidP="00980518">
      <w:pPr>
        <w:keepNext/>
        <w:spacing w:before="240" w:after="120" w:line="240" w:lineRule="auto"/>
        <w:ind w:firstLine="0"/>
        <w:jc w:val="left"/>
        <w:outlineLvl w:val="4"/>
        <w:rPr>
          <w:rFonts w:eastAsia="Times New Roman" w:cs="Times Unicode"/>
          <w:b/>
          <w:bCs/>
          <w:i/>
          <w:iCs/>
          <w:sz w:val="24"/>
          <w:szCs w:val="26"/>
          <w:lang w:val="hy-AM"/>
        </w:rPr>
      </w:pPr>
      <w:r w:rsidRPr="00C53435">
        <w:rPr>
          <w:rFonts w:eastAsia="Times New Roman" w:cs="Times Unicode"/>
          <w:b/>
          <w:bCs/>
          <w:i/>
          <w:iCs/>
          <w:sz w:val="24"/>
          <w:szCs w:val="26"/>
          <w:lang w:val="hy-AM"/>
        </w:rPr>
        <w:lastRenderedPageBreak/>
        <w:t>Գծապատկեր 4.1. ՀՀ Կառավարության պարտքի կանխատեսումների հավանականությունների բաշխման գծապատկերը</w:t>
      </w:r>
    </w:p>
    <w:p w14:paraId="01AA4E0D" w14:textId="77777777" w:rsidR="00980518" w:rsidRPr="00C53435" w:rsidRDefault="00980518" w:rsidP="00980518">
      <w:pPr>
        <w:keepNext/>
        <w:spacing w:before="240" w:after="120" w:line="240" w:lineRule="auto"/>
        <w:ind w:firstLine="0"/>
        <w:jc w:val="left"/>
        <w:outlineLvl w:val="4"/>
        <w:rPr>
          <w:rFonts w:eastAsia="Times New Roman" w:cs="Times Unicode"/>
          <w:b/>
          <w:bCs/>
          <w:i/>
          <w:iCs/>
          <w:sz w:val="24"/>
          <w:szCs w:val="26"/>
          <w:lang w:val="hy-AM"/>
        </w:rPr>
      </w:pPr>
      <w:r w:rsidRPr="00C53435">
        <w:rPr>
          <w:rFonts w:eastAsia="Times New Roman" w:cs="Times Unicode"/>
          <w:b/>
          <w:bCs/>
          <w:i/>
          <w:iCs/>
          <w:noProof/>
          <w:sz w:val="24"/>
          <w:szCs w:val="26"/>
        </w:rPr>
        <w:drawing>
          <wp:inline distT="0" distB="0" distL="0" distR="0" wp14:anchorId="4847A52D" wp14:editId="7F9898D8">
            <wp:extent cx="5785485" cy="2886075"/>
            <wp:effectExtent l="0" t="0" r="5715" b="9525"/>
            <wp:docPr id="16120839" name="Chart 1612083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80F8E6" w14:textId="77777777" w:rsidR="00980518" w:rsidRPr="00C53435" w:rsidRDefault="00980518" w:rsidP="00980518">
      <w:pPr>
        <w:spacing w:line="276" w:lineRule="auto"/>
        <w:ind w:firstLine="0"/>
        <w:rPr>
          <w:lang w:val="hy-AM"/>
        </w:rPr>
      </w:pPr>
    </w:p>
    <w:p w14:paraId="57D987E4" w14:textId="77777777" w:rsidR="00980518" w:rsidRPr="00C53435" w:rsidRDefault="00980518" w:rsidP="00980518">
      <w:pPr>
        <w:keepNext/>
        <w:spacing w:before="240" w:after="120" w:line="240" w:lineRule="auto"/>
        <w:ind w:firstLine="0"/>
        <w:jc w:val="left"/>
        <w:outlineLvl w:val="4"/>
        <w:rPr>
          <w:rFonts w:eastAsia="Times New Roman" w:cs="Times Unicode"/>
          <w:b/>
          <w:bCs/>
          <w:i/>
          <w:iCs/>
          <w:sz w:val="24"/>
          <w:szCs w:val="26"/>
          <w:lang w:val="hy-AM"/>
        </w:rPr>
      </w:pPr>
      <w:r w:rsidRPr="00C53435">
        <w:rPr>
          <w:rFonts w:eastAsia="Times New Roman" w:cs="Times Unicode"/>
          <w:b/>
          <w:bCs/>
          <w:i/>
          <w:iCs/>
          <w:sz w:val="24"/>
          <w:szCs w:val="26"/>
          <w:lang w:val="hy-AM"/>
        </w:rPr>
        <w:t>Գծապատկեր 4.2. ՀՀ Կառավարության պարտքի և համախառն ֆինանսավորման կարիքի սթրես թեստեր*</w:t>
      </w:r>
    </w:p>
    <w:p w14:paraId="4F3F1044" w14:textId="77777777" w:rsidR="00980518" w:rsidRPr="00C53435" w:rsidRDefault="00980518" w:rsidP="00980518">
      <w:pPr>
        <w:spacing w:after="0" w:line="276" w:lineRule="auto"/>
        <w:ind w:firstLine="0"/>
        <w:rPr>
          <w:b/>
          <w:lang w:val="hy-AM"/>
        </w:rPr>
      </w:pPr>
      <w:r w:rsidRPr="00C53435">
        <w:rPr>
          <w:b/>
          <w:noProof/>
        </w:rPr>
        <w:drawing>
          <wp:inline distT="0" distB="0" distL="0" distR="0" wp14:anchorId="1C2C8D15" wp14:editId="742D26C8">
            <wp:extent cx="2857500" cy="2592000"/>
            <wp:effectExtent l="0" t="0" r="0" b="18415"/>
            <wp:docPr id="16120840" name="Chart 161208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C53435">
        <w:rPr>
          <w:b/>
          <w:noProof/>
        </w:rPr>
        <w:drawing>
          <wp:inline distT="0" distB="0" distL="0" distR="0" wp14:anchorId="0335C3CA" wp14:editId="40A4DD0C">
            <wp:extent cx="2928257" cy="2592000"/>
            <wp:effectExtent l="0" t="0" r="5715" b="18415"/>
            <wp:docPr id="16120841" name="Chart 161208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5FE3C2" w14:textId="77777777" w:rsidR="00980518" w:rsidRPr="00C53435" w:rsidRDefault="00980518" w:rsidP="00980518">
      <w:pPr>
        <w:spacing w:after="0" w:line="276" w:lineRule="auto"/>
        <w:ind w:firstLine="0"/>
        <w:rPr>
          <w:b/>
          <w:lang w:val="hy-AM"/>
        </w:rPr>
      </w:pPr>
      <w:r w:rsidRPr="00C53435">
        <w:rPr>
          <w:b/>
          <w:noProof/>
        </w:rPr>
        <w:drawing>
          <wp:inline distT="0" distB="0" distL="0" distR="0" wp14:anchorId="0FC0E5D7" wp14:editId="763E105D">
            <wp:extent cx="5801995" cy="548640"/>
            <wp:effectExtent l="0" t="0" r="8255" b="3810"/>
            <wp:docPr id="16120842" name="Chart 161208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B16844" w14:textId="77777777" w:rsidR="00980518" w:rsidRPr="00C53435" w:rsidRDefault="00980518" w:rsidP="00980518">
      <w:pPr>
        <w:spacing w:after="160" w:line="276" w:lineRule="auto"/>
        <w:ind w:firstLine="0"/>
        <w:contextualSpacing/>
        <w:jc w:val="left"/>
        <w:rPr>
          <w:rFonts w:eastAsia="Calibri" w:cs="Times New Roman"/>
          <w:i/>
          <w:sz w:val="18"/>
          <w:szCs w:val="16"/>
          <w:lang w:val="hy-AM"/>
        </w:rPr>
      </w:pPr>
      <w:r w:rsidRPr="00C53435">
        <w:rPr>
          <w:rFonts w:eastAsia="Calibri" w:cs="Times New Roman"/>
          <w:i/>
          <w:sz w:val="18"/>
          <w:szCs w:val="16"/>
          <w:lang w:val="hy-AM"/>
        </w:rPr>
        <w:t>* 2026թթ</w:t>
      </w:r>
      <w:r w:rsidRPr="00C53435">
        <w:rPr>
          <w:rFonts w:ascii="Cambria Math" w:eastAsia="Calibri" w:hAnsi="Cambria Math" w:cs="Cambria Math"/>
          <w:i/>
          <w:sz w:val="18"/>
          <w:szCs w:val="16"/>
          <w:lang w:val="hy-AM"/>
        </w:rPr>
        <w:t>․</w:t>
      </w:r>
      <w:r w:rsidRPr="00C53435">
        <w:rPr>
          <w:rFonts w:eastAsia="Calibri" w:cs="Times New Roman"/>
          <w:i/>
          <w:sz w:val="18"/>
          <w:szCs w:val="16"/>
          <w:lang w:val="hy-AM"/>
        </w:rPr>
        <w:t xml:space="preserve"> կանխատեսումները հիմնվում են 2022-2026թթ</w:t>
      </w:r>
      <w:r w:rsidRPr="00C53435">
        <w:rPr>
          <w:rFonts w:ascii="Cambria Math" w:eastAsia="Calibri" w:hAnsi="Cambria Math" w:cs="Cambria Math"/>
          <w:i/>
          <w:sz w:val="18"/>
          <w:szCs w:val="16"/>
          <w:lang w:val="hy-AM"/>
        </w:rPr>
        <w:t>․</w:t>
      </w:r>
      <w:r w:rsidRPr="00C53435">
        <w:rPr>
          <w:rFonts w:eastAsia="Calibri" w:cs="Times New Roman"/>
          <w:i/>
          <w:sz w:val="18"/>
          <w:szCs w:val="16"/>
          <w:lang w:val="hy-AM"/>
        </w:rPr>
        <w:t xml:space="preserve"> ՀՀ կառավարության պարտքի նվազեցման վերանայված ծրագրի վրա</w:t>
      </w:r>
    </w:p>
    <w:p w14:paraId="2EF9A390" w14:textId="77777777" w:rsidR="00980518" w:rsidRPr="00C53435" w:rsidRDefault="00980518" w:rsidP="00980518">
      <w:pPr>
        <w:spacing w:after="0" w:line="276" w:lineRule="auto"/>
        <w:rPr>
          <w:i/>
          <w:lang w:val="hy-AM"/>
        </w:rPr>
      </w:pPr>
    </w:p>
    <w:p w14:paraId="3A04A142" w14:textId="77777777" w:rsidR="00980518" w:rsidRPr="00C53435" w:rsidRDefault="00980518" w:rsidP="00980518">
      <w:pPr>
        <w:spacing w:before="60" w:after="40" w:line="360" w:lineRule="auto"/>
        <w:rPr>
          <w:rFonts w:eastAsia="Calibri" w:cs="Sylfaen"/>
          <w:b/>
          <w:bCs/>
          <w:i/>
          <w:lang w:val="hy-AM"/>
        </w:rPr>
      </w:pPr>
      <w:r w:rsidRPr="00C53435">
        <w:rPr>
          <w:rFonts w:eastAsia="Calibri" w:cs="Sylfaen"/>
          <w:b/>
          <w:bCs/>
          <w:i/>
          <w:lang w:val="hy-AM"/>
        </w:rPr>
        <w:lastRenderedPageBreak/>
        <w:t>Աղյուսակ 4.1. ՀՀ կառավարության պարտքի պորտֆելի ռիսկայնության ցուցանիշներ</w:t>
      </w:r>
    </w:p>
    <w:tbl>
      <w:tblPr>
        <w:tblStyle w:val="GridTable1Light-Accent113"/>
        <w:tblW w:w="9210" w:type="dxa"/>
        <w:tblLook w:val="04A0" w:firstRow="1" w:lastRow="0" w:firstColumn="1" w:lastColumn="0" w:noHBand="0" w:noVBand="1"/>
      </w:tblPr>
      <w:tblGrid>
        <w:gridCol w:w="3397"/>
        <w:gridCol w:w="1323"/>
        <w:gridCol w:w="1418"/>
        <w:gridCol w:w="1512"/>
        <w:gridCol w:w="1560"/>
      </w:tblGrid>
      <w:tr w:rsidR="00980518" w:rsidRPr="00C53435" w14:paraId="64461559" w14:textId="77777777" w:rsidTr="00242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5B9BD5" w:themeFill="accent1"/>
            <w:noWrap/>
            <w:hideMark/>
          </w:tcPr>
          <w:p w14:paraId="5EAB2190" w14:textId="77777777" w:rsidR="00980518" w:rsidRPr="00C53435" w:rsidRDefault="00980518" w:rsidP="00242DF6">
            <w:pPr>
              <w:spacing w:line="276" w:lineRule="auto"/>
              <w:rPr>
                <w:color w:val="000000"/>
                <w:lang w:val="hy-AM"/>
              </w:rPr>
            </w:pPr>
            <w:r w:rsidRPr="00C53435">
              <w:rPr>
                <w:rFonts w:ascii="Calibri" w:hAnsi="Calibri"/>
                <w:color w:val="000000"/>
                <w:lang w:val="hy-AM"/>
              </w:rPr>
              <w:t> </w:t>
            </w:r>
          </w:p>
        </w:tc>
        <w:tc>
          <w:tcPr>
            <w:tcW w:w="4253" w:type="dxa"/>
            <w:gridSpan w:val="3"/>
            <w:shd w:val="clear" w:color="auto" w:fill="5B9BD5" w:themeFill="accent1"/>
            <w:noWrap/>
            <w:vAlign w:val="center"/>
            <w:hideMark/>
          </w:tcPr>
          <w:p w14:paraId="6633812E" w14:textId="77777777" w:rsidR="00980518" w:rsidRPr="00C53435" w:rsidRDefault="00980518" w:rsidP="00242D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spellStart"/>
            <w:r w:rsidRPr="00C53435">
              <w:rPr>
                <w:color w:val="FFFFFF" w:themeColor="background1"/>
              </w:rPr>
              <w:t>Շեմեր</w:t>
            </w:r>
            <w:proofErr w:type="spellEnd"/>
          </w:p>
        </w:tc>
        <w:tc>
          <w:tcPr>
            <w:tcW w:w="1560" w:type="dxa"/>
            <w:vMerge w:val="restart"/>
            <w:shd w:val="clear" w:color="auto" w:fill="5B9BD5" w:themeFill="accent1"/>
            <w:vAlign w:val="center"/>
            <w:hideMark/>
          </w:tcPr>
          <w:p w14:paraId="60EFA2D1" w14:textId="77777777" w:rsidR="00980518" w:rsidRPr="00C53435" w:rsidRDefault="00980518" w:rsidP="00242DF6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53435">
              <w:rPr>
                <w:color w:val="FFFFFF" w:themeColor="background1"/>
              </w:rPr>
              <w:t xml:space="preserve">ՀՀ </w:t>
            </w:r>
            <w:proofErr w:type="spellStart"/>
            <w:r w:rsidRPr="00C53435">
              <w:rPr>
                <w:color w:val="FFFFFF" w:themeColor="background1"/>
              </w:rPr>
              <w:t>ցուցանիշ</w:t>
            </w:r>
            <w:proofErr w:type="spellEnd"/>
          </w:p>
        </w:tc>
      </w:tr>
      <w:tr w:rsidR="00980518" w:rsidRPr="00C53435" w14:paraId="7C9BB29A" w14:textId="77777777" w:rsidTr="00242DF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hideMark/>
          </w:tcPr>
          <w:p w14:paraId="6FADE6F9" w14:textId="77777777" w:rsidR="00980518" w:rsidRPr="00C53435" w:rsidRDefault="00980518" w:rsidP="00242D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23" w:type="dxa"/>
            <w:shd w:val="clear" w:color="auto" w:fill="5B9BD5" w:themeFill="accent1"/>
            <w:noWrap/>
            <w:vAlign w:val="center"/>
            <w:hideMark/>
          </w:tcPr>
          <w:p w14:paraId="7D82D105" w14:textId="77777777" w:rsidR="00980518" w:rsidRPr="00C53435" w:rsidRDefault="00980518" w:rsidP="00242DF6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proofErr w:type="spellStart"/>
            <w:r w:rsidRPr="00C53435">
              <w:rPr>
                <w:b/>
                <w:color w:val="FFFFFF" w:themeColor="background1"/>
              </w:rPr>
              <w:t>Ցածր</w:t>
            </w:r>
            <w:proofErr w:type="spellEnd"/>
          </w:p>
        </w:tc>
        <w:tc>
          <w:tcPr>
            <w:tcW w:w="1418" w:type="dxa"/>
            <w:shd w:val="clear" w:color="auto" w:fill="5B9BD5" w:themeFill="accent1"/>
            <w:noWrap/>
            <w:vAlign w:val="center"/>
            <w:hideMark/>
          </w:tcPr>
          <w:p w14:paraId="1E99A2AE" w14:textId="77777777" w:rsidR="00980518" w:rsidRPr="00C53435" w:rsidRDefault="00980518" w:rsidP="00242DF6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proofErr w:type="spellStart"/>
            <w:r w:rsidRPr="00C53435">
              <w:rPr>
                <w:b/>
                <w:color w:val="FFFFFF" w:themeColor="background1"/>
              </w:rPr>
              <w:t>Միջին</w:t>
            </w:r>
            <w:proofErr w:type="spellEnd"/>
          </w:p>
        </w:tc>
        <w:tc>
          <w:tcPr>
            <w:tcW w:w="1512" w:type="dxa"/>
            <w:shd w:val="clear" w:color="auto" w:fill="5B9BD5" w:themeFill="accent1"/>
            <w:noWrap/>
            <w:vAlign w:val="center"/>
            <w:hideMark/>
          </w:tcPr>
          <w:p w14:paraId="0702BC6A" w14:textId="77777777" w:rsidR="00980518" w:rsidRPr="00C53435" w:rsidRDefault="00980518" w:rsidP="00242DF6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proofErr w:type="spellStart"/>
            <w:r w:rsidRPr="00C53435">
              <w:rPr>
                <w:b/>
                <w:color w:val="FFFFFF" w:themeColor="background1"/>
              </w:rPr>
              <w:t>Բարձր</w:t>
            </w:r>
            <w:proofErr w:type="spellEnd"/>
          </w:p>
        </w:tc>
        <w:tc>
          <w:tcPr>
            <w:tcW w:w="1560" w:type="dxa"/>
            <w:vMerge/>
            <w:hideMark/>
          </w:tcPr>
          <w:p w14:paraId="0F02E1C3" w14:textId="77777777" w:rsidR="00980518" w:rsidRPr="00C53435" w:rsidRDefault="00980518" w:rsidP="00242D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80518" w:rsidRPr="00C53435" w14:paraId="02487354" w14:textId="77777777" w:rsidTr="00242DF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hideMark/>
          </w:tcPr>
          <w:p w14:paraId="7C1FCA0F" w14:textId="77777777" w:rsidR="00980518" w:rsidRPr="00C53435" w:rsidRDefault="00980518" w:rsidP="00242DF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RPr="00C53435">
              <w:rPr>
                <w:color w:val="000000"/>
              </w:rPr>
              <w:t xml:space="preserve">ՀՀ </w:t>
            </w:r>
            <w:proofErr w:type="spellStart"/>
            <w:r w:rsidRPr="00C53435">
              <w:rPr>
                <w:color w:val="000000"/>
              </w:rPr>
              <w:t>երկրի</w:t>
            </w:r>
            <w:proofErr w:type="spellEnd"/>
            <w:r w:rsidRPr="00C53435">
              <w:rPr>
                <w:color w:val="000000"/>
              </w:rPr>
              <w:t xml:space="preserve"> </w:t>
            </w:r>
            <w:proofErr w:type="spellStart"/>
            <w:r w:rsidRPr="00C53435">
              <w:rPr>
                <w:color w:val="000000"/>
              </w:rPr>
              <w:t>ռիսկի</w:t>
            </w:r>
            <w:proofErr w:type="spellEnd"/>
            <w:r w:rsidRPr="00C53435">
              <w:rPr>
                <w:color w:val="000000"/>
              </w:rPr>
              <w:t xml:space="preserve"> </w:t>
            </w:r>
            <w:proofErr w:type="spellStart"/>
            <w:r w:rsidRPr="00C53435">
              <w:rPr>
                <w:color w:val="000000"/>
              </w:rPr>
              <w:t>հավելավճար</w:t>
            </w:r>
            <w:proofErr w:type="spellEnd"/>
            <w:r w:rsidRPr="00C53435">
              <w:rPr>
                <w:color w:val="000000"/>
              </w:rPr>
              <w:t xml:space="preserve">, </w:t>
            </w:r>
            <w:proofErr w:type="spellStart"/>
            <w:r w:rsidRPr="00C53435">
              <w:rPr>
                <w:color w:val="000000"/>
              </w:rPr>
              <w:t>բազիսային</w:t>
            </w:r>
            <w:proofErr w:type="spellEnd"/>
            <w:r w:rsidRPr="00C53435">
              <w:rPr>
                <w:color w:val="000000"/>
              </w:rPr>
              <w:t xml:space="preserve"> </w:t>
            </w:r>
            <w:proofErr w:type="spellStart"/>
            <w:r w:rsidRPr="00C53435">
              <w:rPr>
                <w:color w:val="000000"/>
              </w:rPr>
              <w:t>կետ</w:t>
            </w:r>
            <w:proofErr w:type="spellEnd"/>
            <w:r w:rsidRPr="00C53435">
              <w:rPr>
                <w:color w:val="000000"/>
              </w:rPr>
              <w:t>*</w:t>
            </w:r>
          </w:p>
        </w:tc>
        <w:tc>
          <w:tcPr>
            <w:tcW w:w="1323" w:type="dxa"/>
            <w:noWrap/>
            <w:vAlign w:val="center"/>
            <w:hideMark/>
          </w:tcPr>
          <w:p w14:paraId="6A979510" w14:textId="77777777" w:rsidR="00980518" w:rsidRPr="00C53435" w:rsidRDefault="00980518" w:rsidP="00242DF6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53435">
              <w:rPr>
                <w:color w:val="000000"/>
              </w:rPr>
              <w:t>&lt;200</w:t>
            </w:r>
          </w:p>
        </w:tc>
        <w:tc>
          <w:tcPr>
            <w:tcW w:w="1418" w:type="dxa"/>
            <w:noWrap/>
            <w:vAlign w:val="center"/>
            <w:hideMark/>
          </w:tcPr>
          <w:p w14:paraId="543E6B24" w14:textId="77777777" w:rsidR="00980518" w:rsidRPr="00C53435" w:rsidRDefault="00980518" w:rsidP="00242DF6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53435">
              <w:rPr>
                <w:color w:val="000000"/>
              </w:rPr>
              <w:t>200-600</w:t>
            </w:r>
          </w:p>
        </w:tc>
        <w:tc>
          <w:tcPr>
            <w:tcW w:w="1512" w:type="dxa"/>
            <w:noWrap/>
            <w:vAlign w:val="center"/>
            <w:hideMark/>
          </w:tcPr>
          <w:p w14:paraId="79A1263B" w14:textId="77777777" w:rsidR="00980518" w:rsidRPr="00C53435" w:rsidRDefault="00980518" w:rsidP="00242DF6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3435">
              <w:t>&gt;600</w:t>
            </w:r>
          </w:p>
        </w:tc>
        <w:tc>
          <w:tcPr>
            <w:tcW w:w="1560" w:type="dxa"/>
            <w:noWrap/>
            <w:vAlign w:val="center"/>
            <w:hideMark/>
          </w:tcPr>
          <w:p w14:paraId="3644A3B0" w14:textId="77777777" w:rsidR="00980518" w:rsidRPr="00C53435" w:rsidRDefault="00980518" w:rsidP="00242DF6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3435">
              <w:t>483.6</w:t>
            </w:r>
          </w:p>
        </w:tc>
      </w:tr>
      <w:tr w:rsidR="00980518" w:rsidRPr="00C53435" w14:paraId="39306F2E" w14:textId="77777777" w:rsidTr="00242DF6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hideMark/>
          </w:tcPr>
          <w:p w14:paraId="307D0F92" w14:textId="77777777" w:rsidR="00980518" w:rsidRPr="00C53435" w:rsidRDefault="00980518" w:rsidP="00242DF6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 w:rsidRPr="00C53435">
              <w:rPr>
                <w:color w:val="000000"/>
              </w:rPr>
              <w:t>Ոչ</w:t>
            </w:r>
            <w:proofErr w:type="spellEnd"/>
            <w:r w:rsidRPr="00C53435">
              <w:rPr>
                <w:color w:val="000000"/>
              </w:rPr>
              <w:t xml:space="preserve"> </w:t>
            </w:r>
            <w:proofErr w:type="spellStart"/>
            <w:r w:rsidRPr="00C53435">
              <w:rPr>
                <w:color w:val="000000"/>
              </w:rPr>
              <w:t>ռեզիդենտների</w:t>
            </w:r>
            <w:proofErr w:type="spellEnd"/>
            <w:r w:rsidRPr="00C53435">
              <w:rPr>
                <w:color w:val="000000"/>
              </w:rPr>
              <w:t xml:space="preserve"> </w:t>
            </w:r>
            <w:proofErr w:type="spellStart"/>
            <w:r w:rsidRPr="00C53435">
              <w:rPr>
                <w:color w:val="000000"/>
              </w:rPr>
              <w:t>նկատմամբ</w:t>
            </w:r>
            <w:proofErr w:type="spellEnd"/>
            <w:r w:rsidRPr="00C53435">
              <w:rPr>
                <w:color w:val="000000"/>
              </w:rPr>
              <w:t xml:space="preserve"> </w:t>
            </w:r>
            <w:proofErr w:type="spellStart"/>
            <w:r w:rsidRPr="00C53435">
              <w:rPr>
                <w:color w:val="000000"/>
              </w:rPr>
              <w:t>պարտքի</w:t>
            </w:r>
            <w:proofErr w:type="spellEnd"/>
            <w:r w:rsidRPr="00C53435">
              <w:rPr>
                <w:color w:val="000000"/>
              </w:rPr>
              <w:t xml:space="preserve"> </w:t>
            </w:r>
            <w:proofErr w:type="spellStart"/>
            <w:r w:rsidRPr="00C53435">
              <w:rPr>
                <w:color w:val="000000"/>
              </w:rPr>
              <w:t>կշիռ</w:t>
            </w:r>
            <w:proofErr w:type="spellEnd"/>
            <w:r w:rsidRPr="00C53435">
              <w:rPr>
                <w:color w:val="000000"/>
              </w:rPr>
              <w:t xml:space="preserve">, % </w:t>
            </w:r>
            <w:proofErr w:type="spellStart"/>
            <w:r w:rsidRPr="00C53435">
              <w:rPr>
                <w:color w:val="000000"/>
              </w:rPr>
              <w:t>ընդհանուր</w:t>
            </w:r>
            <w:proofErr w:type="spellEnd"/>
            <w:r w:rsidRPr="00C53435">
              <w:rPr>
                <w:color w:val="000000"/>
              </w:rPr>
              <w:t xml:space="preserve"> </w:t>
            </w:r>
            <w:proofErr w:type="spellStart"/>
            <w:r w:rsidRPr="00C53435">
              <w:rPr>
                <w:color w:val="000000"/>
              </w:rPr>
              <w:t>պարտքում</w:t>
            </w:r>
            <w:proofErr w:type="spellEnd"/>
            <w:r w:rsidRPr="00C53435">
              <w:rPr>
                <w:color w:val="000000"/>
              </w:rPr>
              <w:t>**</w:t>
            </w:r>
          </w:p>
        </w:tc>
        <w:tc>
          <w:tcPr>
            <w:tcW w:w="1323" w:type="dxa"/>
            <w:noWrap/>
            <w:vAlign w:val="center"/>
            <w:hideMark/>
          </w:tcPr>
          <w:p w14:paraId="48CB1468" w14:textId="77777777" w:rsidR="00980518" w:rsidRPr="00C53435" w:rsidRDefault="00980518" w:rsidP="00242DF6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53435">
              <w:rPr>
                <w:color w:val="000000"/>
              </w:rPr>
              <w:t>&lt;15</w:t>
            </w:r>
          </w:p>
        </w:tc>
        <w:tc>
          <w:tcPr>
            <w:tcW w:w="1418" w:type="dxa"/>
            <w:noWrap/>
            <w:vAlign w:val="center"/>
            <w:hideMark/>
          </w:tcPr>
          <w:p w14:paraId="31DAA563" w14:textId="77777777" w:rsidR="00980518" w:rsidRPr="00C53435" w:rsidRDefault="00980518" w:rsidP="00242DF6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53435">
              <w:rPr>
                <w:color w:val="000000"/>
              </w:rPr>
              <w:t>15-45</w:t>
            </w:r>
          </w:p>
        </w:tc>
        <w:tc>
          <w:tcPr>
            <w:tcW w:w="1512" w:type="dxa"/>
            <w:noWrap/>
            <w:vAlign w:val="center"/>
            <w:hideMark/>
          </w:tcPr>
          <w:p w14:paraId="2C078502" w14:textId="77777777" w:rsidR="00980518" w:rsidRPr="00C53435" w:rsidRDefault="00980518" w:rsidP="00242DF6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53435">
              <w:rPr>
                <w:color w:val="000000"/>
              </w:rPr>
              <w:t>&gt;45</w:t>
            </w:r>
          </w:p>
        </w:tc>
        <w:tc>
          <w:tcPr>
            <w:tcW w:w="1560" w:type="dxa"/>
            <w:noWrap/>
            <w:vAlign w:val="center"/>
            <w:hideMark/>
          </w:tcPr>
          <w:p w14:paraId="3786607D" w14:textId="77777777" w:rsidR="00980518" w:rsidRPr="00C53435" w:rsidRDefault="00980518" w:rsidP="00242DF6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53435">
              <w:rPr>
                <w:color w:val="000000"/>
              </w:rPr>
              <w:t>66.4</w:t>
            </w:r>
          </w:p>
        </w:tc>
      </w:tr>
      <w:tr w:rsidR="00980518" w:rsidRPr="00C53435" w14:paraId="1981AF10" w14:textId="77777777" w:rsidTr="00242DF6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hideMark/>
          </w:tcPr>
          <w:p w14:paraId="12261466" w14:textId="77777777" w:rsidR="00980518" w:rsidRPr="00C53435" w:rsidRDefault="00980518" w:rsidP="00242DF6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 w:rsidRPr="00C53435">
              <w:rPr>
                <w:color w:val="000000"/>
              </w:rPr>
              <w:t>Արտարժութային</w:t>
            </w:r>
            <w:proofErr w:type="spellEnd"/>
            <w:r w:rsidRPr="00C53435">
              <w:rPr>
                <w:color w:val="000000"/>
              </w:rPr>
              <w:t xml:space="preserve"> </w:t>
            </w:r>
            <w:proofErr w:type="spellStart"/>
            <w:r w:rsidRPr="00C53435">
              <w:rPr>
                <w:color w:val="000000"/>
              </w:rPr>
              <w:t>պարտքի</w:t>
            </w:r>
            <w:proofErr w:type="spellEnd"/>
            <w:r w:rsidRPr="00C53435">
              <w:rPr>
                <w:color w:val="000000"/>
              </w:rPr>
              <w:t xml:space="preserve"> </w:t>
            </w:r>
            <w:proofErr w:type="spellStart"/>
            <w:r w:rsidRPr="00C53435">
              <w:rPr>
                <w:color w:val="000000"/>
              </w:rPr>
              <w:t>կշիռ</w:t>
            </w:r>
            <w:proofErr w:type="spellEnd"/>
            <w:r w:rsidRPr="00C53435">
              <w:rPr>
                <w:color w:val="000000"/>
              </w:rPr>
              <w:t xml:space="preserve">, % </w:t>
            </w:r>
            <w:proofErr w:type="spellStart"/>
            <w:r w:rsidRPr="00C53435">
              <w:rPr>
                <w:color w:val="000000"/>
              </w:rPr>
              <w:t>ընդհանուր</w:t>
            </w:r>
            <w:proofErr w:type="spellEnd"/>
            <w:r w:rsidRPr="00C53435">
              <w:rPr>
                <w:color w:val="000000"/>
              </w:rPr>
              <w:t xml:space="preserve"> </w:t>
            </w:r>
            <w:proofErr w:type="spellStart"/>
            <w:r w:rsidRPr="00C53435">
              <w:rPr>
                <w:color w:val="000000"/>
              </w:rPr>
              <w:t>պարտքում</w:t>
            </w:r>
            <w:proofErr w:type="spellEnd"/>
            <w:r w:rsidRPr="00C53435">
              <w:rPr>
                <w:color w:val="000000"/>
              </w:rPr>
              <w:t>**</w:t>
            </w:r>
          </w:p>
        </w:tc>
        <w:tc>
          <w:tcPr>
            <w:tcW w:w="1323" w:type="dxa"/>
            <w:noWrap/>
            <w:vAlign w:val="center"/>
            <w:hideMark/>
          </w:tcPr>
          <w:p w14:paraId="59E95AFB" w14:textId="77777777" w:rsidR="00980518" w:rsidRPr="00C53435" w:rsidRDefault="00980518" w:rsidP="00242DF6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53435">
              <w:rPr>
                <w:color w:val="000000"/>
              </w:rPr>
              <w:t>&lt;20</w:t>
            </w:r>
          </w:p>
        </w:tc>
        <w:tc>
          <w:tcPr>
            <w:tcW w:w="1418" w:type="dxa"/>
            <w:noWrap/>
            <w:vAlign w:val="center"/>
            <w:hideMark/>
          </w:tcPr>
          <w:p w14:paraId="6854256D" w14:textId="77777777" w:rsidR="00980518" w:rsidRPr="00C53435" w:rsidRDefault="00980518" w:rsidP="00242DF6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53435">
              <w:rPr>
                <w:color w:val="000000"/>
              </w:rPr>
              <w:t>20-60</w:t>
            </w:r>
          </w:p>
        </w:tc>
        <w:tc>
          <w:tcPr>
            <w:tcW w:w="1512" w:type="dxa"/>
            <w:noWrap/>
            <w:vAlign w:val="center"/>
            <w:hideMark/>
          </w:tcPr>
          <w:p w14:paraId="7F2CA30E" w14:textId="77777777" w:rsidR="00980518" w:rsidRPr="00C53435" w:rsidRDefault="00980518" w:rsidP="00242DF6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53435">
              <w:rPr>
                <w:color w:val="000000"/>
              </w:rPr>
              <w:t>&gt;60</w:t>
            </w:r>
          </w:p>
        </w:tc>
        <w:tc>
          <w:tcPr>
            <w:tcW w:w="1560" w:type="dxa"/>
            <w:noWrap/>
            <w:vAlign w:val="center"/>
            <w:hideMark/>
          </w:tcPr>
          <w:p w14:paraId="6E7855D5" w14:textId="77777777" w:rsidR="00980518" w:rsidRPr="00C53435" w:rsidRDefault="00980518" w:rsidP="00242DF6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53435">
              <w:rPr>
                <w:color w:val="000000"/>
              </w:rPr>
              <w:t>67.5</w:t>
            </w:r>
          </w:p>
        </w:tc>
      </w:tr>
    </w:tbl>
    <w:p w14:paraId="1F25B4D5" w14:textId="77777777" w:rsidR="00980518" w:rsidRPr="00C53435" w:rsidRDefault="00980518" w:rsidP="00980518">
      <w:pPr>
        <w:spacing w:after="160" w:line="276" w:lineRule="auto"/>
        <w:ind w:firstLine="0"/>
        <w:contextualSpacing/>
        <w:jc w:val="left"/>
        <w:rPr>
          <w:rFonts w:eastAsia="Calibri" w:cs="Times New Roman"/>
          <w:i/>
          <w:sz w:val="18"/>
          <w:szCs w:val="16"/>
          <w:lang w:val="hy-AM"/>
        </w:rPr>
      </w:pPr>
      <w:r w:rsidRPr="00C53435">
        <w:rPr>
          <w:rFonts w:eastAsia="Calibri" w:cs="Times New Roman"/>
          <w:i/>
          <w:sz w:val="18"/>
          <w:szCs w:val="16"/>
          <w:lang w:val="hy-AM"/>
        </w:rPr>
        <w:t>*Հաշվարկված է որպես 202</w:t>
      </w:r>
      <w:r w:rsidRPr="00C53435">
        <w:rPr>
          <w:rFonts w:eastAsia="Calibri" w:cs="Times New Roman"/>
          <w:i/>
          <w:sz w:val="18"/>
          <w:szCs w:val="16"/>
        </w:rPr>
        <w:t>2</w:t>
      </w:r>
      <w:r w:rsidRPr="00C53435">
        <w:rPr>
          <w:rFonts w:eastAsia="Calibri" w:cs="Times New Roman"/>
          <w:i/>
          <w:sz w:val="18"/>
          <w:szCs w:val="16"/>
          <w:lang w:val="hy-AM"/>
        </w:rPr>
        <w:t>թ</w:t>
      </w:r>
      <w:r w:rsidRPr="00C53435">
        <w:rPr>
          <w:rFonts w:ascii="Cambria Math" w:eastAsia="Calibri" w:hAnsi="Cambria Math" w:cs="Cambria Math"/>
          <w:i/>
          <w:sz w:val="18"/>
          <w:szCs w:val="16"/>
          <w:lang w:val="hy-AM"/>
        </w:rPr>
        <w:t>․</w:t>
      </w:r>
      <w:r w:rsidRPr="00C53435">
        <w:rPr>
          <w:rFonts w:eastAsia="Calibri" w:cs="Times New Roman"/>
          <w:i/>
          <w:sz w:val="18"/>
          <w:szCs w:val="16"/>
          <w:lang w:val="hy-AM"/>
        </w:rPr>
        <w:t xml:space="preserve"> մարտ-մայիս ամիսներին երկրորդային շուկայում 2031թ</w:t>
      </w:r>
      <w:r w:rsidRPr="00C53435">
        <w:rPr>
          <w:rFonts w:ascii="Cambria Math" w:eastAsia="Calibri" w:hAnsi="Cambria Math" w:cs="Cambria Math"/>
          <w:i/>
          <w:sz w:val="18"/>
          <w:szCs w:val="16"/>
          <w:lang w:val="hy-AM"/>
        </w:rPr>
        <w:t>․</w:t>
      </w:r>
      <w:r w:rsidRPr="00C53435">
        <w:rPr>
          <w:rFonts w:eastAsia="Calibri" w:cs="Times New Roman"/>
          <w:i/>
          <w:sz w:val="18"/>
          <w:szCs w:val="16"/>
          <w:lang w:val="hy-AM"/>
        </w:rPr>
        <w:t xml:space="preserve"> մարվող ՀՀ եվրոբոնդերի եկամտաբերության՝ ԱՄՆ գանձապետական պարտատոմսերի հետ միջին սփրեդ։</w:t>
      </w:r>
    </w:p>
    <w:p w14:paraId="049715D1" w14:textId="77777777" w:rsidR="00980518" w:rsidRPr="00406715" w:rsidRDefault="00980518" w:rsidP="00980518">
      <w:pPr>
        <w:spacing w:after="160" w:line="276" w:lineRule="auto"/>
        <w:ind w:firstLine="0"/>
        <w:contextualSpacing/>
        <w:jc w:val="left"/>
        <w:rPr>
          <w:lang w:val="hy-AM"/>
        </w:rPr>
      </w:pPr>
      <w:r w:rsidRPr="00C53435">
        <w:rPr>
          <w:rFonts w:eastAsia="Calibri" w:cs="Times New Roman"/>
          <w:i/>
          <w:sz w:val="18"/>
          <w:szCs w:val="16"/>
          <w:lang w:val="hy-AM"/>
        </w:rPr>
        <w:t>**202</w:t>
      </w:r>
      <w:r w:rsidRPr="0045668E">
        <w:rPr>
          <w:rFonts w:eastAsia="Calibri" w:cs="Times New Roman"/>
          <w:i/>
          <w:sz w:val="18"/>
          <w:szCs w:val="16"/>
          <w:lang w:val="hy-AM"/>
        </w:rPr>
        <w:t>2</w:t>
      </w:r>
      <w:r w:rsidRPr="00C53435">
        <w:rPr>
          <w:rFonts w:eastAsia="Calibri" w:cs="Times New Roman"/>
          <w:i/>
          <w:sz w:val="18"/>
          <w:szCs w:val="16"/>
          <w:lang w:val="hy-AM"/>
        </w:rPr>
        <w:t>թ</w:t>
      </w:r>
      <w:r w:rsidRPr="00C53435">
        <w:rPr>
          <w:rFonts w:ascii="Cambria Math" w:eastAsia="Calibri" w:hAnsi="Cambria Math" w:cs="Cambria Math"/>
          <w:i/>
          <w:sz w:val="18"/>
          <w:szCs w:val="16"/>
          <w:lang w:val="hy-AM"/>
        </w:rPr>
        <w:t>․</w:t>
      </w:r>
      <w:r w:rsidRPr="00C53435">
        <w:rPr>
          <w:rFonts w:eastAsia="Calibri" w:cs="Times New Roman"/>
          <w:i/>
          <w:sz w:val="18"/>
          <w:szCs w:val="16"/>
          <w:lang w:val="hy-AM"/>
        </w:rPr>
        <w:t xml:space="preserve"> մայիսի դրությամբ։</w:t>
      </w:r>
      <w:bookmarkEnd w:id="8"/>
      <w:bookmarkEnd w:id="9"/>
      <w:bookmarkEnd w:id="10"/>
      <w:bookmarkEnd w:id="11"/>
    </w:p>
    <w:p w14:paraId="49BF81A6" w14:textId="77777777" w:rsidR="00980518" w:rsidRPr="00980518" w:rsidRDefault="00980518" w:rsidP="00980518">
      <w:pPr>
        <w:rPr>
          <w:lang w:val="hy-AM"/>
        </w:rPr>
      </w:pPr>
    </w:p>
    <w:sectPr w:rsidR="00980518" w:rsidRPr="00980518" w:rsidSect="00A677E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9DC1C" w14:textId="77777777" w:rsidR="00A677EC" w:rsidRDefault="00A677EC" w:rsidP="00A677EC">
      <w:pPr>
        <w:spacing w:before="0" w:after="0" w:line="240" w:lineRule="auto"/>
      </w:pPr>
      <w:r>
        <w:separator/>
      </w:r>
    </w:p>
  </w:endnote>
  <w:endnote w:type="continuationSeparator" w:id="0">
    <w:p w14:paraId="02385EE4" w14:textId="77777777" w:rsidR="00A677EC" w:rsidRDefault="00A677EC" w:rsidP="00A677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Unicode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BFC11" w14:textId="77777777" w:rsidR="00A677EC" w:rsidRDefault="00A677EC" w:rsidP="00A677EC">
      <w:pPr>
        <w:spacing w:before="0" w:after="0" w:line="240" w:lineRule="auto"/>
      </w:pPr>
      <w:r>
        <w:separator/>
      </w:r>
    </w:p>
  </w:footnote>
  <w:footnote w:type="continuationSeparator" w:id="0">
    <w:p w14:paraId="67E10FA2" w14:textId="77777777" w:rsidR="00A677EC" w:rsidRDefault="00A677EC" w:rsidP="00A677EC">
      <w:pPr>
        <w:spacing w:before="0" w:after="0" w:line="240" w:lineRule="auto"/>
      </w:pPr>
      <w:r>
        <w:continuationSeparator/>
      </w:r>
    </w:p>
  </w:footnote>
  <w:footnote w:id="1">
    <w:p w14:paraId="4606C6E1" w14:textId="77777777" w:rsidR="00980518" w:rsidRPr="00117D85" w:rsidRDefault="00980518" w:rsidP="00980518">
      <w:pPr>
        <w:pStyle w:val="FootnoteText"/>
        <w:rPr>
          <w:sz w:val="14"/>
          <w:lang w:val="sk-SK"/>
        </w:rPr>
      </w:pPr>
      <w:r w:rsidRPr="00117D85">
        <w:rPr>
          <w:rStyle w:val="FootnoteReference"/>
          <w:rFonts w:eastAsiaTheme="majorEastAsia"/>
          <w:sz w:val="18"/>
        </w:rPr>
        <w:footnoteRef/>
      </w:r>
      <w:r w:rsidRPr="00117D85">
        <w:rPr>
          <w:sz w:val="18"/>
          <w:lang w:val="hy-AM"/>
        </w:rPr>
        <w:t>Սա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որոշակիորեն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կապված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է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նաև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մոդելների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սպեցիֆիկացիաների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հետ</w:t>
      </w:r>
      <w:r w:rsidRPr="00117D85">
        <w:rPr>
          <w:sz w:val="18"/>
          <w:lang w:val="sk-SK"/>
        </w:rPr>
        <w:t xml:space="preserve">, </w:t>
      </w:r>
      <w:r w:rsidRPr="00117D85">
        <w:rPr>
          <w:sz w:val="18"/>
          <w:lang w:val="hy-AM"/>
        </w:rPr>
        <w:t>քանի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որ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ժամանակային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շարքերի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վրա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հիմնված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մոդելներն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իրենց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մեջ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ներառում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են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տնտեսության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նախորդ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ժամանակահատվածի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զարգացումների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տեղեկատվությունը</w:t>
      </w:r>
      <w:r w:rsidRPr="00117D85">
        <w:rPr>
          <w:sz w:val="18"/>
          <w:lang w:val="sk-SK"/>
        </w:rPr>
        <w:t xml:space="preserve">, </w:t>
      </w:r>
      <w:r w:rsidRPr="00117D85">
        <w:rPr>
          <w:sz w:val="18"/>
          <w:lang w:val="hy-AM"/>
        </w:rPr>
        <w:t>իսկ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կանխատեսվող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տարում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ի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հայտ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եկող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տնտեսության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կառուցվածքային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տեղաշարժը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միայն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կարող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է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ներառվել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հաջորդ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տարվա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կանխատեսումների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մոդելներում</w:t>
      </w:r>
      <w:r w:rsidRPr="00117D85">
        <w:rPr>
          <w:sz w:val="18"/>
          <w:lang w:val="sk-SK"/>
        </w:rPr>
        <w:t xml:space="preserve">: </w:t>
      </w:r>
    </w:p>
  </w:footnote>
  <w:footnote w:id="2">
    <w:p w14:paraId="0D0892C3" w14:textId="77777777" w:rsidR="00980518" w:rsidRDefault="00980518" w:rsidP="00980518">
      <w:pPr>
        <w:pStyle w:val="FootnoteText"/>
        <w:rPr>
          <w:lang w:val="ro-RO"/>
        </w:rPr>
      </w:pPr>
      <w:r>
        <w:rPr>
          <w:rStyle w:val="FootnoteReference"/>
          <w:rFonts w:eastAsiaTheme="majorEastAsia"/>
        </w:rPr>
        <w:footnoteRef/>
      </w:r>
      <w:r>
        <w:t>ՀՆԱ</w:t>
      </w:r>
      <w:r>
        <w:rPr>
          <w:lang w:val="ro-RO"/>
        </w:rPr>
        <w:t xml:space="preserve">, </w:t>
      </w:r>
      <w:proofErr w:type="spellStart"/>
      <w:r>
        <w:t>ներմուծման</w:t>
      </w:r>
      <w:proofErr w:type="spellEnd"/>
      <w:r>
        <w:rPr>
          <w:lang w:val="ro-RO"/>
        </w:rPr>
        <w:t xml:space="preserve">, </w:t>
      </w:r>
      <w:proofErr w:type="spellStart"/>
      <w:r>
        <w:t>փոխարժեքի</w:t>
      </w:r>
      <w:proofErr w:type="spellEnd"/>
      <w:r>
        <w:rPr>
          <w:lang w:val="sk-SK"/>
        </w:rPr>
        <w:t xml:space="preserve"> </w:t>
      </w:r>
      <w:r>
        <w:t>և</w:t>
      </w:r>
      <w:r>
        <w:rPr>
          <w:lang w:val="sk-SK"/>
        </w:rPr>
        <w:t xml:space="preserve"> </w:t>
      </w:r>
      <w:proofErr w:type="spellStart"/>
      <w:r>
        <w:t>գների</w:t>
      </w:r>
      <w:proofErr w:type="spellEnd"/>
      <w:r>
        <w:rPr>
          <w:lang w:val="sk-SK"/>
        </w:rPr>
        <w:t xml:space="preserve"> </w:t>
      </w:r>
      <w:proofErr w:type="spellStart"/>
      <w:r>
        <w:t>գծով</w:t>
      </w:r>
      <w:proofErr w:type="spellEnd"/>
      <w:r>
        <w:rPr>
          <w:lang w:val="sk-SK"/>
        </w:rPr>
        <w:t xml:space="preserve"> </w:t>
      </w:r>
      <w:proofErr w:type="spellStart"/>
      <w:r>
        <w:t>հավանական</w:t>
      </w:r>
      <w:proofErr w:type="spellEnd"/>
      <w:r>
        <w:rPr>
          <w:lang w:val="sk-SK"/>
        </w:rPr>
        <w:t xml:space="preserve"> </w:t>
      </w:r>
      <w:proofErr w:type="spellStart"/>
      <w:r>
        <w:t>ռիսկերի</w:t>
      </w:r>
      <w:proofErr w:type="spellEnd"/>
      <w:r>
        <w:rPr>
          <w:lang w:val="sk-SK"/>
        </w:rPr>
        <w:t xml:space="preserve"> </w:t>
      </w:r>
      <w:proofErr w:type="spellStart"/>
      <w:r>
        <w:t>քանակային</w:t>
      </w:r>
      <w:proofErr w:type="spellEnd"/>
      <w:r>
        <w:rPr>
          <w:lang w:val="sk-SK"/>
        </w:rPr>
        <w:t xml:space="preserve"> </w:t>
      </w:r>
      <w:proofErr w:type="spellStart"/>
      <w:r>
        <w:t>գնահատականը</w:t>
      </w:r>
      <w:proofErr w:type="spellEnd"/>
      <w:r>
        <w:rPr>
          <w:lang w:val="sk-SK"/>
        </w:rPr>
        <w:t xml:space="preserve"> </w:t>
      </w:r>
      <w:proofErr w:type="spellStart"/>
      <w:r>
        <w:t>ստացվել</w:t>
      </w:r>
      <w:proofErr w:type="spellEnd"/>
      <w:r>
        <w:rPr>
          <w:lang w:val="sk-SK"/>
        </w:rPr>
        <w:t xml:space="preserve"> </w:t>
      </w:r>
      <w:r>
        <w:t>է</w:t>
      </w:r>
      <w:r>
        <w:rPr>
          <w:lang w:val="sk-SK"/>
        </w:rPr>
        <w:t xml:space="preserve">` </w:t>
      </w:r>
      <w:proofErr w:type="spellStart"/>
      <w:r>
        <w:t>հիմք</w:t>
      </w:r>
      <w:proofErr w:type="spellEnd"/>
      <w:r>
        <w:rPr>
          <w:lang w:val="sk-SK"/>
        </w:rPr>
        <w:t xml:space="preserve"> ըն</w:t>
      </w:r>
      <w:proofErr w:type="spellStart"/>
      <w:r>
        <w:t>դունելով</w:t>
      </w:r>
      <w:proofErr w:type="spellEnd"/>
      <w:r>
        <w:rPr>
          <w:lang w:val="sk-SK"/>
        </w:rPr>
        <w:t xml:space="preserve"> </w:t>
      </w:r>
      <w:proofErr w:type="spellStart"/>
      <w:r>
        <w:t>այս</w:t>
      </w:r>
      <w:proofErr w:type="spellEnd"/>
      <w:r>
        <w:rPr>
          <w:lang w:val="sk-SK"/>
        </w:rPr>
        <w:t xml:space="preserve"> </w:t>
      </w:r>
      <w:proofErr w:type="spellStart"/>
      <w:r>
        <w:t>գործոնների</w:t>
      </w:r>
      <w:proofErr w:type="spellEnd"/>
      <w:r>
        <w:rPr>
          <w:lang w:val="sk-SK"/>
        </w:rPr>
        <w:t xml:space="preserve"> </w:t>
      </w:r>
      <w:proofErr w:type="spellStart"/>
      <w:r>
        <w:t>պատմական</w:t>
      </w:r>
      <w:proofErr w:type="spellEnd"/>
      <w:r>
        <w:rPr>
          <w:lang w:val="sk-SK"/>
        </w:rPr>
        <w:t xml:space="preserve"> </w:t>
      </w:r>
      <w:proofErr w:type="spellStart"/>
      <w:r>
        <w:t>շարժի</w:t>
      </w:r>
      <w:proofErr w:type="spellEnd"/>
      <w:r>
        <w:rPr>
          <w:lang w:val="sk-SK"/>
        </w:rPr>
        <w:t xml:space="preserve"> </w:t>
      </w:r>
      <w:proofErr w:type="spellStart"/>
      <w:r>
        <w:t>բացարձակ</w:t>
      </w:r>
      <w:proofErr w:type="spellEnd"/>
      <w:r>
        <w:rPr>
          <w:lang w:val="sk-SK"/>
        </w:rPr>
        <w:t xml:space="preserve"> </w:t>
      </w:r>
      <w:proofErr w:type="spellStart"/>
      <w:r>
        <w:t>միջին</w:t>
      </w:r>
      <w:proofErr w:type="spellEnd"/>
      <w:r>
        <w:rPr>
          <w:lang w:val="sk-SK"/>
        </w:rPr>
        <w:t xml:space="preserve"> </w:t>
      </w:r>
      <w:proofErr w:type="spellStart"/>
      <w:r>
        <w:t>սխալը</w:t>
      </w:r>
      <w:proofErr w:type="spellEnd"/>
      <w:r>
        <w:rPr>
          <w:lang w:val="ro-RO"/>
        </w:rPr>
        <w:t>:</w:t>
      </w:r>
    </w:p>
  </w:footnote>
  <w:footnote w:id="3">
    <w:p w14:paraId="1CF30155" w14:textId="77777777" w:rsidR="00980518" w:rsidRDefault="00980518" w:rsidP="00980518">
      <w:pPr>
        <w:rPr>
          <w:rFonts w:cs="Sylfaen"/>
          <w:i/>
          <w:sz w:val="16"/>
          <w:szCs w:val="16"/>
          <w:lang w:val="ro-RO"/>
        </w:rPr>
      </w:pPr>
      <w:r>
        <w:rPr>
          <w:rStyle w:val="FootnoteReference"/>
          <w:szCs w:val="16"/>
        </w:rPr>
        <w:footnoteRef/>
      </w:r>
      <w:proofErr w:type="spellStart"/>
      <w:r>
        <w:rPr>
          <w:rFonts w:cs="Sylfaen"/>
          <w:sz w:val="16"/>
          <w:szCs w:val="16"/>
        </w:rPr>
        <w:t>Հարկային</w:t>
      </w:r>
      <w:proofErr w:type="spellEnd"/>
      <w:r>
        <w:rPr>
          <w:rFonts w:cs="Sylfaen"/>
          <w:sz w:val="16"/>
          <w:szCs w:val="16"/>
          <w:lang w:val="ro-RO"/>
        </w:rPr>
        <w:t xml:space="preserve"> </w:t>
      </w:r>
      <w:proofErr w:type="spellStart"/>
      <w:r>
        <w:rPr>
          <w:rFonts w:cs="Sylfaen"/>
          <w:sz w:val="16"/>
          <w:szCs w:val="16"/>
        </w:rPr>
        <w:t>եկամուտների</w:t>
      </w:r>
      <w:proofErr w:type="spellEnd"/>
      <w:r>
        <w:rPr>
          <w:rFonts w:cs="Sylfaen"/>
          <w:sz w:val="16"/>
          <w:szCs w:val="16"/>
          <w:lang w:val="ro-RO"/>
        </w:rPr>
        <w:t xml:space="preserve"> </w:t>
      </w:r>
      <w:proofErr w:type="spellStart"/>
      <w:r>
        <w:rPr>
          <w:rFonts w:cs="Sylfaen"/>
          <w:sz w:val="16"/>
          <w:szCs w:val="16"/>
        </w:rPr>
        <w:t>գծով</w:t>
      </w:r>
      <w:proofErr w:type="spellEnd"/>
      <w:r>
        <w:rPr>
          <w:rFonts w:cs="Sylfaen"/>
          <w:sz w:val="16"/>
          <w:szCs w:val="16"/>
          <w:lang w:val="ro-RO"/>
        </w:rPr>
        <w:t xml:space="preserve"> </w:t>
      </w:r>
      <w:proofErr w:type="spellStart"/>
      <w:r>
        <w:rPr>
          <w:rFonts w:cs="Sylfaen"/>
          <w:sz w:val="16"/>
          <w:szCs w:val="16"/>
        </w:rPr>
        <w:t>ռիսկերի</w:t>
      </w:r>
      <w:proofErr w:type="spellEnd"/>
      <w:r>
        <w:rPr>
          <w:rFonts w:cs="Sylfaen"/>
          <w:sz w:val="16"/>
          <w:szCs w:val="16"/>
          <w:lang w:val="ro-RO"/>
        </w:rPr>
        <w:t xml:space="preserve"> ազդեցության </w:t>
      </w:r>
      <w:proofErr w:type="spellStart"/>
      <w:r>
        <w:rPr>
          <w:rFonts w:cs="Sylfaen"/>
          <w:sz w:val="16"/>
          <w:szCs w:val="16"/>
        </w:rPr>
        <w:t>գնահատականը</w:t>
      </w:r>
      <w:proofErr w:type="spellEnd"/>
      <w:r>
        <w:rPr>
          <w:rFonts w:cs="Sylfaen"/>
          <w:sz w:val="16"/>
          <w:szCs w:val="16"/>
          <w:lang w:val="ro-RO"/>
        </w:rPr>
        <w:t xml:space="preserve"> </w:t>
      </w:r>
      <w:proofErr w:type="spellStart"/>
      <w:r>
        <w:rPr>
          <w:rFonts w:cs="Sylfaen"/>
          <w:sz w:val="16"/>
          <w:szCs w:val="16"/>
        </w:rPr>
        <w:t>կառուցվել</w:t>
      </w:r>
      <w:proofErr w:type="spellEnd"/>
      <w:r>
        <w:rPr>
          <w:rFonts w:cs="Sylfaen"/>
          <w:sz w:val="16"/>
          <w:szCs w:val="16"/>
          <w:lang w:val="ro-RO"/>
        </w:rPr>
        <w:t xml:space="preserve"> </w:t>
      </w:r>
      <w:r>
        <w:rPr>
          <w:rFonts w:cs="Sylfaen"/>
          <w:sz w:val="16"/>
          <w:szCs w:val="16"/>
        </w:rPr>
        <w:t>է</w:t>
      </w:r>
      <w:r>
        <w:rPr>
          <w:rFonts w:cs="Sylfaen"/>
          <w:sz w:val="16"/>
          <w:szCs w:val="16"/>
          <w:lang w:val="ro-RO"/>
        </w:rPr>
        <w:t xml:space="preserve"> </w:t>
      </w:r>
      <w:r>
        <w:rPr>
          <w:rFonts w:cs="Sylfaen"/>
          <w:sz w:val="16"/>
          <w:szCs w:val="16"/>
        </w:rPr>
        <w:t>ՀՀ</w:t>
      </w:r>
      <w:r>
        <w:rPr>
          <w:rFonts w:cs="Sylfaen"/>
          <w:sz w:val="16"/>
          <w:szCs w:val="16"/>
          <w:lang w:val="ro-RO"/>
        </w:rPr>
        <w:t xml:space="preserve"> ֆ</w:t>
      </w:r>
      <w:proofErr w:type="spellStart"/>
      <w:r>
        <w:rPr>
          <w:rFonts w:cs="Sylfaen"/>
          <w:sz w:val="16"/>
          <w:szCs w:val="16"/>
        </w:rPr>
        <w:t>ինանսների</w:t>
      </w:r>
      <w:proofErr w:type="spellEnd"/>
      <w:r>
        <w:rPr>
          <w:rFonts w:cs="Sylfaen"/>
          <w:sz w:val="16"/>
          <w:szCs w:val="16"/>
          <w:lang w:val="ro-RO"/>
        </w:rPr>
        <w:t xml:space="preserve"> </w:t>
      </w:r>
      <w:proofErr w:type="spellStart"/>
      <w:r>
        <w:rPr>
          <w:rFonts w:cs="Sylfaen"/>
          <w:sz w:val="16"/>
          <w:szCs w:val="16"/>
        </w:rPr>
        <w:t>նախարարության</w:t>
      </w:r>
      <w:proofErr w:type="spellEnd"/>
      <w:r>
        <w:rPr>
          <w:rFonts w:cs="Sylfaen"/>
          <w:sz w:val="16"/>
          <w:szCs w:val="16"/>
          <w:lang w:val="ro-RO"/>
        </w:rPr>
        <w:t xml:space="preserve"> </w:t>
      </w:r>
      <w:proofErr w:type="spellStart"/>
      <w:r>
        <w:rPr>
          <w:rFonts w:cs="Sylfaen"/>
          <w:sz w:val="16"/>
          <w:szCs w:val="16"/>
        </w:rPr>
        <w:t>ռիսկերի</w:t>
      </w:r>
      <w:proofErr w:type="spellEnd"/>
      <w:r>
        <w:rPr>
          <w:rFonts w:cs="Sylfaen"/>
          <w:sz w:val="16"/>
          <w:szCs w:val="16"/>
          <w:lang w:val="ro-RO"/>
        </w:rPr>
        <w:t xml:space="preserve"> </w:t>
      </w:r>
      <w:proofErr w:type="spellStart"/>
      <w:r>
        <w:rPr>
          <w:rFonts w:cs="Sylfaen"/>
          <w:sz w:val="16"/>
          <w:szCs w:val="16"/>
        </w:rPr>
        <w:t>գնահատման</w:t>
      </w:r>
      <w:proofErr w:type="spellEnd"/>
      <w:r>
        <w:rPr>
          <w:rFonts w:cs="Sylfaen"/>
          <w:sz w:val="16"/>
          <w:szCs w:val="16"/>
          <w:lang w:val="ro-RO"/>
        </w:rPr>
        <w:t xml:space="preserve"> </w:t>
      </w:r>
      <w:proofErr w:type="spellStart"/>
      <w:r>
        <w:rPr>
          <w:rFonts w:cs="Sylfaen"/>
          <w:sz w:val="16"/>
          <w:szCs w:val="16"/>
        </w:rPr>
        <w:t>համակարգի</w:t>
      </w:r>
      <w:proofErr w:type="spellEnd"/>
      <w:r>
        <w:rPr>
          <w:rFonts w:cs="Sylfaen"/>
          <w:sz w:val="16"/>
          <w:szCs w:val="16"/>
          <w:lang w:val="ro-RO"/>
        </w:rPr>
        <w:t xml:space="preserve"> </w:t>
      </w:r>
      <w:proofErr w:type="spellStart"/>
      <w:r>
        <w:rPr>
          <w:rFonts w:cs="Sylfaen"/>
          <w:sz w:val="16"/>
          <w:szCs w:val="16"/>
        </w:rPr>
        <w:t>ներքո</w:t>
      </w:r>
      <w:proofErr w:type="spellEnd"/>
      <w:r>
        <w:rPr>
          <w:rFonts w:cs="Sylfaen"/>
          <w:sz w:val="16"/>
          <w:szCs w:val="16"/>
          <w:lang w:val="ro-RO"/>
        </w:rPr>
        <w:t xml:space="preserve"> </w:t>
      </w:r>
      <w:proofErr w:type="spellStart"/>
      <w:r>
        <w:rPr>
          <w:rFonts w:cs="Sylfaen"/>
          <w:sz w:val="16"/>
          <w:szCs w:val="16"/>
        </w:rPr>
        <w:t>կառուցված</w:t>
      </w:r>
      <w:proofErr w:type="spellEnd"/>
      <w:r>
        <w:rPr>
          <w:rFonts w:cs="Sylfaen"/>
          <w:sz w:val="16"/>
          <w:szCs w:val="16"/>
          <w:lang w:val="ro-RO"/>
        </w:rPr>
        <w:t xml:space="preserve"> </w:t>
      </w:r>
      <w:proofErr w:type="spellStart"/>
      <w:r>
        <w:rPr>
          <w:rFonts w:cs="Sylfaen"/>
          <w:sz w:val="16"/>
          <w:szCs w:val="16"/>
        </w:rPr>
        <w:t>մոդելի</w:t>
      </w:r>
      <w:proofErr w:type="spellEnd"/>
      <w:r>
        <w:rPr>
          <w:rFonts w:cs="Sylfaen"/>
          <w:sz w:val="16"/>
          <w:szCs w:val="16"/>
          <w:lang w:val="ro-RO"/>
        </w:rPr>
        <w:t xml:space="preserve"> </w:t>
      </w:r>
      <w:proofErr w:type="spellStart"/>
      <w:r>
        <w:rPr>
          <w:rFonts w:cs="Sylfaen"/>
          <w:sz w:val="16"/>
          <w:szCs w:val="16"/>
        </w:rPr>
        <w:t>հիման</w:t>
      </w:r>
      <w:proofErr w:type="spellEnd"/>
      <w:r>
        <w:rPr>
          <w:rFonts w:cs="Sylfaen"/>
          <w:sz w:val="16"/>
          <w:szCs w:val="16"/>
          <w:lang w:val="ro-RO"/>
        </w:rPr>
        <w:t xml:space="preserve"> </w:t>
      </w:r>
      <w:proofErr w:type="spellStart"/>
      <w:r>
        <w:rPr>
          <w:rFonts w:cs="Sylfaen"/>
          <w:sz w:val="16"/>
          <w:szCs w:val="16"/>
        </w:rPr>
        <w:t>վրա</w:t>
      </w:r>
      <w:proofErr w:type="spellEnd"/>
      <w:r>
        <w:rPr>
          <w:rFonts w:cs="Sylfaen"/>
          <w:sz w:val="16"/>
          <w:szCs w:val="16"/>
          <w:lang w:val="ro-RO"/>
        </w:rPr>
        <w:t>:</w:t>
      </w:r>
      <w:r>
        <w:rPr>
          <w:rFonts w:cs="Sylfaen"/>
          <w:i/>
          <w:sz w:val="16"/>
          <w:szCs w:val="16"/>
          <w:lang w:val="ro-RO"/>
        </w:rPr>
        <w:t xml:space="preserve"> </w:t>
      </w:r>
    </w:p>
  </w:footnote>
  <w:footnote w:id="4">
    <w:p w14:paraId="3186E017" w14:textId="77777777" w:rsidR="00980518" w:rsidRPr="00CA4440" w:rsidRDefault="00980518" w:rsidP="00980518">
      <w:pPr>
        <w:pStyle w:val="FootnoteText"/>
        <w:rPr>
          <w:rFonts w:cs="Times New Roman"/>
          <w:sz w:val="14"/>
          <w:lang w:val="ro-RO"/>
        </w:rPr>
      </w:pPr>
      <w:r w:rsidRPr="00CA4440">
        <w:rPr>
          <w:rStyle w:val="FootnoteReference"/>
          <w:rFonts w:eastAsiaTheme="majorEastAsia"/>
          <w:sz w:val="18"/>
        </w:rPr>
        <w:footnoteRef/>
      </w:r>
      <w:proofErr w:type="spellStart"/>
      <w:r w:rsidRPr="00CA4440">
        <w:rPr>
          <w:sz w:val="18"/>
        </w:rPr>
        <w:t>Հավանականային</w:t>
      </w:r>
      <w:proofErr w:type="spellEnd"/>
      <w:r w:rsidRPr="00CA4440">
        <w:rPr>
          <w:sz w:val="18"/>
          <w:lang w:val="ro-RO"/>
        </w:rPr>
        <w:t xml:space="preserve"> </w:t>
      </w:r>
      <w:proofErr w:type="spellStart"/>
      <w:r w:rsidRPr="00CA4440">
        <w:rPr>
          <w:sz w:val="18"/>
        </w:rPr>
        <w:t>կանխատեսման</w:t>
      </w:r>
      <w:proofErr w:type="spellEnd"/>
      <w:r w:rsidRPr="00CA4440">
        <w:rPr>
          <w:sz w:val="18"/>
          <w:lang w:val="ro-RO"/>
        </w:rPr>
        <w:t xml:space="preserve"> </w:t>
      </w:r>
      <w:proofErr w:type="spellStart"/>
      <w:r w:rsidRPr="00CA4440">
        <w:rPr>
          <w:sz w:val="18"/>
        </w:rPr>
        <w:t>գրաֆիկի</w:t>
      </w:r>
      <w:proofErr w:type="spellEnd"/>
      <w:r w:rsidRPr="00CA4440">
        <w:rPr>
          <w:sz w:val="18"/>
          <w:lang w:val="ro-RO"/>
        </w:rPr>
        <w:t xml:space="preserve"> </w:t>
      </w:r>
      <w:proofErr w:type="spellStart"/>
      <w:r w:rsidRPr="00CA4440">
        <w:rPr>
          <w:sz w:val="18"/>
        </w:rPr>
        <w:t>կառուցման</w:t>
      </w:r>
      <w:proofErr w:type="spellEnd"/>
      <w:r w:rsidRPr="00CA4440">
        <w:rPr>
          <w:sz w:val="18"/>
          <w:lang w:val="ro-RO"/>
        </w:rPr>
        <w:t xml:space="preserve"> </w:t>
      </w:r>
      <w:proofErr w:type="spellStart"/>
      <w:r w:rsidRPr="00CA4440">
        <w:rPr>
          <w:sz w:val="18"/>
        </w:rPr>
        <w:t>ընդհանուր</w:t>
      </w:r>
      <w:proofErr w:type="spellEnd"/>
      <w:r w:rsidRPr="00CA4440">
        <w:rPr>
          <w:sz w:val="18"/>
          <w:lang w:val="ro-RO"/>
        </w:rPr>
        <w:t xml:space="preserve"> </w:t>
      </w:r>
      <w:proofErr w:type="spellStart"/>
      <w:r w:rsidRPr="00CA4440">
        <w:rPr>
          <w:sz w:val="18"/>
        </w:rPr>
        <w:t>մեթոդաբանությունը</w:t>
      </w:r>
      <w:proofErr w:type="spellEnd"/>
      <w:r w:rsidRPr="00CA4440">
        <w:rPr>
          <w:sz w:val="18"/>
          <w:lang w:val="ro-RO"/>
        </w:rPr>
        <w:t xml:space="preserve"> </w:t>
      </w:r>
      <w:proofErr w:type="spellStart"/>
      <w:r w:rsidRPr="00CA4440">
        <w:rPr>
          <w:sz w:val="18"/>
        </w:rPr>
        <w:t>ներկայացված</w:t>
      </w:r>
      <w:proofErr w:type="spellEnd"/>
      <w:r w:rsidRPr="00CA4440">
        <w:rPr>
          <w:sz w:val="18"/>
          <w:lang w:val="ro-RO"/>
        </w:rPr>
        <w:t xml:space="preserve"> </w:t>
      </w:r>
      <w:r w:rsidRPr="00CA4440">
        <w:rPr>
          <w:sz w:val="18"/>
        </w:rPr>
        <w:t>է</w:t>
      </w:r>
      <w:r w:rsidRPr="00CA4440">
        <w:rPr>
          <w:sz w:val="18"/>
          <w:lang w:val="ro-RO"/>
        </w:rPr>
        <w:t xml:space="preserve"> </w:t>
      </w:r>
      <w:proofErr w:type="spellStart"/>
      <w:r w:rsidRPr="00CA4440">
        <w:rPr>
          <w:sz w:val="18"/>
        </w:rPr>
        <w:t>Ներդիր</w:t>
      </w:r>
      <w:proofErr w:type="spellEnd"/>
      <w:r>
        <w:rPr>
          <w:sz w:val="18"/>
          <w:lang w:val="hy-AM"/>
        </w:rPr>
        <w:t>ում</w:t>
      </w:r>
      <w:r w:rsidRPr="00CA4440">
        <w:rPr>
          <w:sz w:val="18"/>
          <w:lang w:val="ro-RO"/>
        </w:rPr>
        <w:t>:</w:t>
      </w:r>
    </w:p>
  </w:footnote>
  <w:footnote w:id="5">
    <w:p w14:paraId="1E4F8D67" w14:textId="77777777" w:rsidR="00980518" w:rsidRPr="00010E8E" w:rsidRDefault="00980518" w:rsidP="00980518">
      <w:pPr>
        <w:pStyle w:val="FootnoteText"/>
        <w:rPr>
          <w:szCs w:val="16"/>
          <w:lang w:val="ro-RO"/>
        </w:rPr>
      </w:pPr>
      <w:r w:rsidRPr="00010E8E">
        <w:rPr>
          <w:rStyle w:val="FootnoteReference"/>
          <w:szCs w:val="16"/>
        </w:rPr>
        <w:footnoteRef/>
      </w:r>
      <w:r>
        <w:rPr>
          <w:szCs w:val="16"/>
          <w:lang w:val="ro-RO"/>
        </w:rPr>
        <w:t xml:space="preserve"> </w:t>
      </w:r>
      <w:r w:rsidRPr="00010E8E">
        <w:rPr>
          <w:szCs w:val="16"/>
          <w:lang w:val="ro-RO"/>
        </w:rPr>
        <w:t xml:space="preserve">Ընդհանուր </w:t>
      </w:r>
      <w:r w:rsidRPr="00010E8E">
        <w:rPr>
          <w:szCs w:val="16"/>
          <w:lang w:val="ro-RO"/>
        </w:rPr>
        <w:t>ազդեցության գնահատականը հիմնված է մակրոտնտեսական ռիսկերի առանձին հանդես գալու ենթադրության վրա: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8C"/>
    <w:rsid w:val="000876A8"/>
    <w:rsid w:val="001D541A"/>
    <w:rsid w:val="00920AA3"/>
    <w:rsid w:val="00980518"/>
    <w:rsid w:val="00A677EC"/>
    <w:rsid w:val="00D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5793"/>
  <w15:chartTrackingRefBased/>
  <w15:docId w15:val="{197DA976-57D9-4014-85DB-35582E55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7EC"/>
    <w:pPr>
      <w:spacing w:before="40" w:after="60" w:line="312" w:lineRule="auto"/>
      <w:ind w:firstLine="567"/>
      <w:jc w:val="both"/>
    </w:pPr>
    <w:rPr>
      <w:rFonts w:ascii="GHEA Grapalat" w:eastAsiaTheme="minorEastAsia" w:hAnsi="GHEA Grapal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aliases w:val="(Sub-Chapter),Centered,(text),Heading 3 Char Char Char Char Char Char"/>
    <w:basedOn w:val="ListParagraph"/>
    <w:next w:val="Normal"/>
    <w:link w:val="Heading3Char"/>
    <w:uiPriority w:val="9"/>
    <w:unhideWhenUsed/>
    <w:qFormat/>
    <w:rsid w:val="00A677EC"/>
    <w:pPr>
      <w:keepNext/>
      <w:keepLines/>
      <w:spacing w:before="240"/>
      <w:ind w:left="0" w:firstLine="0"/>
      <w:jc w:val="left"/>
      <w:outlineLvl w:val="2"/>
    </w:pPr>
    <w:rPr>
      <w:b/>
      <w:caps/>
      <w:lang w:val="hy-AM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7EC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(Sub-Chapter) Char,Centered Char,(text) Char,Heading 3 Char Char Char Char Char Char Char"/>
    <w:basedOn w:val="DefaultParagraphFont"/>
    <w:link w:val="Heading3"/>
    <w:uiPriority w:val="9"/>
    <w:qFormat/>
    <w:rsid w:val="00A677EC"/>
    <w:rPr>
      <w:rFonts w:ascii="GHEA Grapalat" w:eastAsiaTheme="minorEastAsia" w:hAnsi="GHEA Grapalat"/>
      <w:b/>
      <w:caps/>
      <w:lang w:val="hy-AM"/>
    </w:rPr>
  </w:style>
  <w:style w:type="paragraph" w:styleId="BodyText2">
    <w:name w:val="Body Text 2"/>
    <w:aliases w:val="1Text"/>
    <w:basedOn w:val="Normal"/>
    <w:link w:val="BodyText2Char1"/>
    <w:qFormat/>
    <w:rsid w:val="00A677EC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BodyText2Char">
    <w:name w:val="Body Text 2 Char"/>
    <w:basedOn w:val="DefaultParagraphFont"/>
    <w:uiPriority w:val="99"/>
    <w:semiHidden/>
    <w:rsid w:val="00A677EC"/>
    <w:rPr>
      <w:rFonts w:ascii="GHEA Grapalat" w:eastAsiaTheme="minorEastAsia" w:hAnsi="GHEA Grapalat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iPriority w:val="99"/>
    <w:rsid w:val="00A677EC"/>
    <w:rPr>
      <w:vertAlign w:val="superscript"/>
    </w:rPr>
  </w:style>
  <w:style w:type="paragraph" w:styleId="FootnoteText">
    <w:name w:val="footnote text"/>
    <w:aliases w:val="fn,ADB,single space,footnote text Char,fn Char,ADB Char,single space Char Char,footnote text,FOOTNOTES Char,FOOTNOTES Char Char Char,FOOTNOTES,Footnote Text Char2 Char,Footnote Text Char1 Char Char,f,Footnote,Fußnote,WB-Fußnotentext,ft"/>
    <w:basedOn w:val="Normal"/>
    <w:link w:val="FootnoteTextChar"/>
    <w:qFormat/>
    <w:rsid w:val="00A677EC"/>
    <w:pPr>
      <w:ind w:firstLine="0"/>
    </w:pPr>
    <w:rPr>
      <w:sz w:val="16"/>
      <w:szCs w:val="20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ootnote text Char1,FOOTNOTES Char Char,FOOTNOTES Char Char Char Char,FOOTNOTES Char1,Footnote Text Char2 Char Char"/>
    <w:basedOn w:val="DefaultParagraphFont"/>
    <w:link w:val="FootnoteText"/>
    <w:rsid w:val="00A677EC"/>
    <w:rPr>
      <w:rFonts w:ascii="GHEA Grapalat" w:eastAsiaTheme="minorEastAsia" w:hAnsi="GHEA Grapalat"/>
      <w:sz w:val="16"/>
      <w:szCs w:val="20"/>
    </w:rPr>
  </w:style>
  <w:style w:type="character" w:styleId="Hyperlink">
    <w:name w:val="Hyperlink"/>
    <w:uiPriority w:val="99"/>
    <w:rsid w:val="00A677EC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A677EC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aliases w:val="1Text Char"/>
    <w:link w:val="BodyText2"/>
    <w:rsid w:val="00A677EC"/>
    <w:rPr>
      <w:rFonts w:ascii="GHEA Grapalat" w:eastAsiaTheme="minorEastAsia" w:hAnsi="GHEA Grapalat"/>
      <w:sz w:val="20"/>
      <w:szCs w:val="20"/>
      <w:lang w:val="ru-RU" w:eastAsia="ru-RU"/>
    </w:rPr>
  </w:style>
  <w:style w:type="table" w:customStyle="1" w:styleId="GridTable1Light-Accent11">
    <w:name w:val="Grid Table 1 Light - Accent 11"/>
    <w:basedOn w:val="TableNormal"/>
    <w:uiPriority w:val="46"/>
    <w:rsid w:val="00A677EC"/>
    <w:pPr>
      <w:spacing w:after="0" w:line="240" w:lineRule="auto"/>
    </w:pPr>
    <w:rPr>
      <w:sz w:val="20"/>
      <w:szCs w:val="20"/>
    </w:rPr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">
    <w:name w:val="Աղյուսակներ"/>
    <w:basedOn w:val="Normal"/>
    <w:qFormat/>
    <w:rsid w:val="00A677EC"/>
    <w:pPr>
      <w:spacing w:before="60" w:after="40" w:line="360" w:lineRule="auto"/>
    </w:pPr>
    <w:rPr>
      <w:rFonts w:eastAsia="Calibri" w:cs="Sylfaen"/>
      <w:b/>
      <w:bCs/>
      <w:i/>
      <w:lang w:val="hy-AM"/>
    </w:rPr>
  </w:style>
  <w:style w:type="paragraph" w:customStyle="1" w:styleId="a0">
    <w:name w:val="Գծ. հղումներ"/>
    <w:basedOn w:val="Normal"/>
    <w:qFormat/>
    <w:rsid w:val="00A677EC"/>
    <w:pPr>
      <w:spacing w:after="160" w:line="276" w:lineRule="auto"/>
      <w:ind w:firstLine="0"/>
      <w:contextualSpacing/>
      <w:jc w:val="left"/>
    </w:pPr>
    <w:rPr>
      <w:rFonts w:eastAsia="Calibri" w:cs="Times New Roman"/>
      <w:i/>
      <w:sz w:val="18"/>
      <w:szCs w:val="16"/>
      <w:lang w:val="hy-AM"/>
    </w:rPr>
  </w:style>
  <w:style w:type="paragraph" w:customStyle="1" w:styleId="a1">
    <w:name w:val="Գծապատկեր"/>
    <w:basedOn w:val="Heading5"/>
    <w:qFormat/>
    <w:rsid w:val="00A677EC"/>
    <w:pPr>
      <w:keepLines w:val="0"/>
      <w:spacing w:before="240" w:after="120" w:line="240" w:lineRule="auto"/>
      <w:ind w:firstLine="0"/>
      <w:jc w:val="left"/>
    </w:pPr>
    <w:rPr>
      <w:rFonts w:ascii="GHEA Grapalat" w:eastAsia="Times New Roman" w:hAnsi="GHEA Grapalat" w:cs="Times Unicode"/>
      <w:b/>
      <w:bCs/>
      <w:i/>
      <w:iCs/>
      <w:color w:val="auto"/>
      <w:sz w:val="24"/>
      <w:szCs w:val="26"/>
      <w:lang w:val="hy-AM"/>
    </w:rPr>
  </w:style>
  <w:style w:type="paragraph" w:styleId="ListParagraph">
    <w:name w:val="List Paragraph"/>
    <w:basedOn w:val="Normal"/>
    <w:uiPriority w:val="34"/>
    <w:qFormat/>
    <w:rsid w:val="00A677E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A677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A677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77EC"/>
    <w:pPr>
      <w:spacing w:line="259" w:lineRule="auto"/>
      <w:ind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677E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677EC"/>
    <w:pPr>
      <w:spacing w:after="100"/>
      <w:ind w:left="440"/>
    </w:pPr>
  </w:style>
  <w:style w:type="table" w:customStyle="1" w:styleId="GridTable1Light-Accent113">
    <w:name w:val="Grid Table 1 Light - Accent 113"/>
    <w:basedOn w:val="TableNormal"/>
    <w:uiPriority w:val="46"/>
    <w:rsid w:val="0098051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2022\DSA\DSA_2022_27.06.xlsm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'24.06'!$B$3</c:f>
              <c:strCache>
                <c:ptCount val="1"/>
              </c:strCache>
            </c:strRef>
          </c:tx>
          <c:spPr>
            <a:noFill/>
          </c:spPr>
          <c:cat>
            <c:numRef>
              <c:f>'24.06'!$A$4:$A$99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'24.06'!$B$4:$B$99</c:f>
              <c:numCache>
                <c:formatCode>General</c:formatCode>
                <c:ptCount val="7"/>
                <c:pt idx="0">
                  <c:v>16.389092714898766</c:v>
                </c:pt>
                <c:pt idx="1">
                  <c:v>-5.402548022928471</c:v>
                </c:pt>
                <c:pt idx="2">
                  <c:v>14.560636925162981</c:v>
                </c:pt>
                <c:pt idx="3">
                  <c:v>14.742178730611815</c:v>
                </c:pt>
                <c:pt idx="4">
                  <c:v>8.6446201943829166</c:v>
                </c:pt>
                <c:pt idx="5">
                  <c:v>6.9056018200689122</c:v>
                </c:pt>
                <c:pt idx="6">
                  <c:v>6.3639153498032952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06-4778-AAD5-41428C604E00}"/>
            </c:ext>
          </c:extLst>
        </c:ser>
        <c:ser>
          <c:idx val="1"/>
          <c:order val="1"/>
          <c:tx>
            <c:strRef>
              <c:f>'24.06'!$C$3</c:f>
              <c:strCache>
                <c:ptCount val="1"/>
              </c:strCache>
            </c:strRef>
          </c:tx>
          <c:spPr>
            <a:solidFill>
              <a:srgbClr val="FF0000">
                <a:alpha val="20000"/>
              </a:srgbClr>
            </a:solidFill>
          </c:spPr>
          <c:cat>
            <c:numRef>
              <c:f>'24.06'!$A$4:$A$99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'24.06'!$C$4:$C$99</c:f>
              <c:numCache>
                <c:formatCode>General</c:formatCode>
                <c:ptCount val="7"/>
                <c:pt idx="3">
                  <c:v>1.1017310758616734</c:v>
                </c:pt>
                <c:pt idx="4">
                  <c:v>1.3037601219626644</c:v>
                </c:pt>
                <c:pt idx="5">
                  <c:v>1.4237788107846336</c:v>
                </c:pt>
                <c:pt idx="6">
                  <c:v>1.4886558019619098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06-4778-AAD5-41428C604E00}"/>
            </c:ext>
          </c:extLst>
        </c:ser>
        <c:ser>
          <c:idx val="2"/>
          <c:order val="2"/>
          <c:tx>
            <c:strRef>
              <c:f>'24.06'!$D$3</c:f>
              <c:strCache>
                <c:ptCount val="1"/>
              </c:strCache>
            </c:strRef>
          </c:tx>
          <c:spPr>
            <a:solidFill>
              <a:srgbClr val="FF0000">
                <a:alpha val="30000"/>
              </a:srgbClr>
            </a:solidFill>
          </c:spPr>
          <c:cat>
            <c:numRef>
              <c:f>'24.06'!$A$4:$A$99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'24.06'!$D$4:$D$99</c:f>
              <c:numCache>
                <c:formatCode>General</c:formatCode>
                <c:ptCount val="7"/>
                <c:pt idx="3">
                  <c:v>0.74333272640385495</c:v>
                </c:pt>
                <c:pt idx="4">
                  <c:v>0.87964076467314634</c:v>
                </c:pt>
                <c:pt idx="5">
                  <c:v>0.96061680423132678</c:v>
                </c:pt>
                <c:pt idx="6">
                  <c:v>1.0043890021744302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06-4778-AAD5-41428C604E00}"/>
            </c:ext>
          </c:extLst>
        </c:ser>
        <c:ser>
          <c:idx val="3"/>
          <c:order val="3"/>
          <c:tx>
            <c:strRef>
              <c:f>'24.06'!$E$3</c:f>
              <c:strCache>
                <c:ptCount val="1"/>
              </c:strCache>
            </c:strRef>
          </c:tx>
          <c:spPr>
            <a:solidFill>
              <a:srgbClr val="FF0000">
                <a:alpha val="40000"/>
              </a:srgbClr>
            </a:solidFill>
          </c:spPr>
          <c:cat>
            <c:numRef>
              <c:f>'24.06'!$A$4:$A$99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'24.06'!$E$4:$E$99</c:f>
              <c:numCache>
                <c:formatCode>General</c:formatCode>
                <c:ptCount val="7"/>
                <c:pt idx="3">
                  <c:v>0.59077728681882391</c:v>
                </c:pt>
                <c:pt idx="4">
                  <c:v>0.69911059458250868</c:v>
                </c:pt>
                <c:pt idx="5">
                  <c:v>0.76346778383065761</c:v>
                </c:pt>
                <c:pt idx="6">
                  <c:v>0.79825653914892314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C06-4778-AAD5-41428C604E00}"/>
            </c:ext>
          </c:extLst>
        </c:ser>
        <c:ser>
          <c:idx val="4"/>
          <c:order val="4"/>
          <c:tx>
            <c:strRef>
              <c:f>'24.06'!$F$3</c:f>
              <c:strCache>
                <c:ptCount val="1"/>
              </c:strCache>
            </c:strRef>
          </c:tx>
          <c:spPr>
            <a:solidFill>
              <a:srgbClr val="FF0000">
                <a:alpha val="50000"/>
              </a:srgbClr>
            </a:solidFill>
          </c:spPr>
          <c:cat>
            <c:numRef>
              <c:f>'24.06'!$A$4:$A$99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'24.06'!$F$4:$F$99</c:f>
              <c:numCache>
                <c:formatCode>General</c:formatCode>
                <c:ptCount val="7"/>
                <c:pt idx="3">
                  <c:v>0.50683430828348364</c:v>
                </c:pt>
                <c:pt idx="4">
                  <c:v>0.59977464016409421</c:v>
                </c:pt>
                <c:pt idx="5">
                  <c:v>0.65498737806621676</c:v>
                </c:pt>
                <c:pt idx="6">
                  <c:v>0.68483303247977645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C06-4778-AAD5-41428C604E00}"/>
            </c:ext>
          </c:extLst>
        </c:ser>
        <c:ser>
          <c:idx val="5"/>
          <c:order val="5"/>
          <c:tx>
            <c:strRef>
              <c:f>'24.06'!$G$3</c:f>
              <c:strCache>
                <c:ptCount val="1"/>
              </c:strCache>
            </c:strRef>
          </c:tx>
          <c:spPr>
            <a:solidFill>
              <a:srgbClr val="FF0000">
                <a:alpha val="60000"/>
              </a:srgbClr>
            </a:solidFill>
          </c:spPr>
          <c:cat>
            <c:numRef>
              <c:f>'24.06'!$A$4:$A$99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'24.06'!$G$4:$G$99</c:f>
              <c:numCache>
                <c:formatCode>General</c:formatCode>
                <c:ptCount val="7"/>
                <c:pt idx="3">
                  <c:v>0.45515287321138587</c:v>
                </c:pt>
                <c:pt idx="4">
                  <c:v>0.53861616368188869</c:v>
                </c:pt>
                <c:pt idx="5">
                  <c:v>0.58819890873939684</c:v>
                </c:pt>
                <c:pt idx="6">
                  <c:v>0.61500122882150166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C06-4778-AAD5-41428C604E00}"/>
            </c:ext>
          </c:extLst>
        </c:ser>
        <c:ser>
          <c:idx val="6"/>
          <c:order val="6"/>
          <c:tx>
            <c:strRef>
              <c:f>'24.06'!$H$3</c:f>
              <c:strCache>
                <c:ptCount val="1"/>
              </c:strCache>
            </c:strRef>
          </c:tx>
          <c:spPr>
            <a:solidFill>
              <a:srgbClr val="FF0000">
                <a:alpha val="70000"/>
              </a:srgbClr>
            </a:solidFill>
          </c:spPr>
          <c:cat>
            <c:numRef>
              <c:f>'24.06'!$A$4:$A$99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'24.06'!$H$4:$H$99</c:f>
              <c:numCache>
                <c:formatCode>General</c:formatCode>
                <c:ptCount val="7"/>
                <c:pt idx="3">
                  <c:v>0.4217669683682459</c:v>
                </c:pt>
                <c:pt idx="4">
                  <c:v>0.4991081455059625</c:v>
                </c:pt>
                <c:pt idx="5">
                  <c:v>0.5450539481079133</c:v>
                </c:pt>
                <c:pt idx="6">
                  <c:v>0.56989029200816432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C06-4778-AAD5-41428C604E00}"/>
            </c:ext>
          </c:extLst>
        </c:ser>
        <c:ser>
          <c:idx val="7"/>
          <c:order val="7"/>
          <c:tx>
            <c:strRef>
              <c:f>'24.06'!$I$3</c:f>
              <c:strCache>
                <c:ptCount val="1"/>
              </c:strCache>
            </c:strRef>
          </c:tx>
          <c:spPr>
            <a:solidFill>
              <a:srgbClr val="FF0000">
                <a:alpha val="80000"/>
              </a:srgbClr>
            </a:solidFill>
          </c:spPr>
          <c:cat>
            <c:numRef>
              <c:f>'24.06'!$A$4:$A$99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'24.06'!$I$4:$I$99</c:f>
              <c:numCache>
                <c:formatCode>General</c:formatCode>
                <c:ptCount val="7"/>
                <c:pt idx="3">
                  <c:v>0.40021560829970682</c:v>
                </c:pt>
                <c:pt idx="4">
                  <c:v>0.47360482219319699</c:v>
                </c:pt>
                <c:pt idx="5">
                  <c:v>0.5172028958126127</c:v>
                </c:pt>
                <c:pt idx="6">
                  <c:v>0.54077015742258538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C06-4778-AAD5-41428C604E00}"/>
            </c:ext>
          </c:extLst>
        </c:ser>
        <c:ser>
          <c:idx val="8"/>
          <c:order val="8"/>
          <c:tx>
            <c:strRef>
              <c:f>'24.06'!$J$3</c:f>
              <c:strCache>
                <c:ptCount val="1"/>
              </c:strCache>
            </c:strRef>
          </c:tx>
          <c:spPr>
            <a:solidFill>
              <a:srgbClr val="FF0000">
                <a:alpha val="90000"/>
              </a:srgbClr>
            </a:solidFill>
          </c:spPr>
          <c:cat>
            <c:numRef>
              <c:f>'24.06'!$A$4:$A$99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'24.06'!$J$4:$J$99</c:f>
              <c:numCache>
                <c:formatCode>General</c:formatCode>
                <c:ptCount val="7"/>
                <c:pt idx="3">
                  <c:v>0.38721323268746488</c:v>
                </c:pt>
                <c:pt idx="4">
                  <c:v>0.45821814645586834</c:v>
                </c:pt>
                <c:pt idx="5">
                  <c:v>0.50039978723905243</c:v>
                </c:pt>
                <c:pt idx="6">
                  <c:v>0.52320138558839702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C06-4778-AAD5-41428C604E00}"/>
            </c:ext>
          </c:extLst>
        </c:ser>
        <c:ser>
          <c:idx val="9"/>
          <c:order val="9"/>
          <c:tx>
            <c:strRef>
              <c:f>'24.06'!$K$3</c:f>
              <c:strCache>
                <c:ptCount val="1"/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  <a:prstDash val="solid"/>
            </a:ln>
          </c:spPr>
          <c:cat>
            <c:numRef>
              <c:f>'24.06'!$A$4:$A$99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'24.06'!$K$4:$K$99</c:f>
              <c:numCache>
                <c:formatCode>General</c:formatCode>
                <c:ptCount val="7"/>
                <c:pt idx="3">
                  <c:v>0.60558087067295929</c:v>
                </c:pt>
                <c:pt idx="4">
                  <c:v>0.69147098300837051</c:v>
                </c:pt>
                <c:pt idx="5">
                  <c:v>0.73022457955886821</c:v>
                </c:pt>
                <c:pt idx="6">
                  <c:v>0.75060156410995305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C06-4778-AAD5-41428C604E00}"/>
            </c:ext>
          </c:extLst>
        </c:ser>
        <c:ser>
          <c:idx val="10"/>
          <c:order val="10"/>
          <c:tx>
            <c:strRef>
              <c:f>'24.06'!$L$3</c:f>
              <c:strCache>
                <c:ptCount val="1"/>
              </c:strCache>
            </c:strRef>
          </c:tx>
          <c:spPr>
            <a:solidFill>
              <a:srgbClr val="FF0000">
                <a:alpha val="90000"/>
              </a:srgbClr>
            </a:solidFill>
          </c:spPr>
          <c:cat>
            <c:numRef>
              <c:f>'24.06'!$A$4:$A$99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'24.06'!$L$4:$L$99</c:f>
              <c:numCache>
                <c:formatCode>General</c:formatCode>
                <c:ptCount val="7"/>
                <c:pt idx="3">
                  <c:v>0.22812357052374921</c:v>
                </c:pt>
                <c:pt idx="4">
                  <c:v>0.24439246230536682</c:v>
                </c:pt>
                <c:pt idx="5">
                  <c:v>0.24158874009451203</c:v>
                </c:pt>
                <c:pt idx="6">
                  <c:v>0.23949240034888852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C06-4778-AAD5-41428C604E00}"/>
            </c:ext>
          </c:extLst>
        </c:ser>
        <c:ser>
          <c:idx val="11"/>
          <c:order val="11"/>
          <c:tx>
            <c:strRef>
              <c:f>'24.06'!$M$3</c:f>
              <c:strCache>
                <c:ptCount val="1"/>
              </c:strCache>
            </c:strRef>
          </c:tx>
          <c:spPr>
            <a:solidFill>
              <a:srgbClr val="FF0000">
                <a:alpha val="80000"/>
              </a:srgbClr>
            </a:solidFill>
          </c:spPr>
          <c:cat>
            <c:numRef>
              <c:f>'24.06'!$A$4:$A$99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'24.06'!$M$4:$M$99</c:f>
              <c:numCache>
                <c:formatCode>General</c:formatCode>
                <c:ptCount val="7"/>
                <c:pt idx="3">
                  <c:v>0.23578381583450181</c:v>
                </c:pt>
                <c:pt idx="4">
                  <c:v>0.25259900671925273</c:v>
                </c:pt>
                <c:pt idx="5">
                  <c:v>0.24970113728867638</c:v>
                </c:pt>
                <c:pt idx="6">
                  <c:v>0.24753440377939917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C06-4778-AAD5-41428C604E00}"/>
            </c:ext>
          </c:extLst>
        </c:ser>
        <c:ser>
          <c:idx val="12"/>
          <c:order val="12"/>
          <c:tx>
            <c:strRef>
              <c:f>'24.06'!$N$3</c:f>
              <c:strCache>
                <c:ptCount val="1"/>
              </c:strCache>
            </c:strRef>
          </c:tx>
          <c:spPr>
            <a:solidFill>
              <a:srgbClr val="FF0000">
                <a:alpha val="70000"/>
              </a:srgbClr>
            </a:solidFill>
          </c:spPr>
          <c:cat>
            <c:numRef>
              <c:f>'24.06'!$A$4:$A$99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'24.06'!$N$4:$N$99</c:f>
              <c:numCache>
                <c:formatCode>General</c:formatCode>
                <c:ptCount val="7"/>
                <c:pt idx="3">
                  <c:v>0.24848062677341787</c:v>
                </c:pt>
                <c:pt idx="4">
                  <c:v>0.26620130516506002</c:v>
                </c:pt>
                <c:pt idx="5">
                  <c:v>0.26314738727901421</c:v>
                </c:pt>
                <c:pt idx="6">
                  <c:v>0.26086397652611737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C06-4778-AAD5-41428C604E00}"/>
            </c:ext>
          </c:extLst>
        </c:ser>
        <c:ser>
          <c:idx val="13"/>
          <c:order val="13"/>
          <c:tx>
            <c:strRef>
              <c:f>'24.06'!$O$3</c:f>
              <c:strCache>
                <c:ptCount val="1"/>
              </c:strCache>
            </c:strRef>
          </c:tx>
          <c:spPr>
            <a:solidFill>
              <a:srgbClr val="FF0000">
                <a:alpha val="60000"/>
              </a:srgbClr>
            </a:solidFill>
          </c:spPr>
          <c:cat>
            <c:numRef>
              <c:f>'24.06'!$A$4:$A$99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'24.06'!$O$4:$O$99</c:f>
              <c:numCache>
                <c:formatCode>General</c:formatCode>
                <c:ptCount val="7"/>
                <c:pt idx="3">
                  <c:v>0.26814966485127911</c:v>
                </c:pt>
                <c:pt idx="4">
                  <c:v>0.28727306305483502</c:v>
                </c:pt>
                <c:pt idx="5">
                  <c:v>0.28397740548884798</c:v>
                </c:pt>
                <c:pt idx="6">
                  <c:v>0.28151324626622554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C06-4778-AAD5-41428C604E00}"/>
            </c:ext>
          </c:extLst>
        </c:ser>
        <c:ser>
          <c:idx val="14"/>
          <c:order val="14"/>
          <c:tx>
            <c:strRef>
              <c:f>'24.06'!$P$3</c:f>
              <c:strCache>
                <c:ptCount val="1"/>
              </c:strCache>
            </c:strRef>
          </c:tx>
          <c:spPr>
            <a:solidFill>
              <a:srgbClr val="FF0000">
                <a:alpha val="50000"/>
              </a:srgbClr>
            </a:solidFill>
          </c:spPr>
          <c:cat>
            <c:numRef>
              <c:f>'24.06'!$A$4:$A$99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'24.06'!$P$4:$P$99</c:f>
              <c:numCache>
                <c:formatCode>General</c:formatCode>
                <c:ptCount val="7"/>
                <c:pt idx="3">
                  <c:v>0.29859736783036439</c:v>
                </c:pt>
                <c:pt idx="4">
                  <c:v>0.31989217858733277</c:v>
                </c:pt>
                <c:pt idx="5">
                  <c:v>0.31622230760308412</c:v>
                </c:pt>
                <c:pt idx="6">
                  <c:v>0.31347834945494135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C06-4778-AAD5-41428C604E00}"/>
            </c:ext>
          </c:extLst>
        </c:ser>
        <c:ser>
          <c:idx val="15"/>
          <c:order val="15"/>
          <c:tx>
            <c:strRef>
              <c:f>'24.06'!$Q$3</c:f>
              <c:strCache>
                <c:ptCount val="1"/>
              </c:strCache>
            </c:strRef>
          </c:tx>
          <c:spPr>
            <a:solidFill>
              <a:srgbClr val="FF0000">
                <a:alpha val="40000"/>
              </a:srgbClr>
            </a:solidFill>
          </c:spPr>
          <c:cat>
            <c:numRef>
              <c:f>'24.06'!$A$4:$A$99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'24.06'!$Q$4:$Q$99</c:f>
              <c:numCache>
                <c:formatCode>General</c:formatCode>
                <c:ptCount val="7"/>
                <c:pt idx="3">
                  <c:v>0.34805170039790667</c:v>
                </c:pt>
                <c:pt idx="4">
                  <c:v>0.37287340310570372</c:v>
                </c:pt>
                <c:pt idx="5">
                  <c:v>0.36859572026613385</c:v>
                </c:pt>
                <c:pt idx="6">
                  <c:v>0.36539730192031605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2C06-4778-AAD5-41428C604E00}"/>
            </c:ext>
          </c:extLst>
        </c:ser>
        <c:ser>
          <c:idx val="16"/>
          <c:order val="16"/>
          <c:tx>
            <c:strRef>
              <c:f>'24.06'!$R$3</c:f>
              <c:strCache>
                <c:ptCount val="1"/>
              </c:strCache>
            </c:strRef>
          </c:tx>
          <c:spPr>
            <a:solidFill>
              <a:srgbClr val="FF0000">
                <a:alpha val="30000"/>
              </a:srgbClr>
            </a:solidFill>
          </c:spPr>
          <c:cat>
            <c:numRef>
              <c:f>'24.06'!$A$4:$A$99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'24.06'!$R$4:$R$99</c:f>
              <c:numCache>
                <c:formatCode>General</c:formatCode>
                <c:ptCount val="7"/>
                <c:pt idx="3">
                  <c:v>0.43792851410961475</c:v>
                </c:pt>
                <c:pt idx="4">
                  <c:v>0.46915988396663977</c:v>
                </c:pt>
                <c:pt idx="5">
                  <c:v>0.4637775821775012</c:v>
                </c:pt>
                <c:pt idx="6">
                  <c:v>0.45975324156349373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C06-4778-AAD5-41428C604E00}"/>
            </c:ext>
          </c:extLst>
        </c:ser>
        <c:ser>
          <c:idx val="17"/>
          <c:order val="17"/>
          <c:tx>
            <c:strRef>
              <c:f>'24.06'!$S$3</c:f>
              <c:strCache>
                <c:ptCount val="1"/>
              </c:strCache>
            </c:strRef>
          </c:tx>
          <c:spPr>
            <a:solidFill>
              <a:srgbClr val="FF0000">
                <a:alpha val="20000"/>
              </a:srgbClr>
            </a:solidFill>
          </c:spPr>
          <c:cat>
            <c:numRef>
              <c:f>'24.06'!$A$4:$A$99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'24.06'!$S$4:$S$99</c:f>
              <c:numCache>
                <c:formatCode>General</c:formatCode>
                <c:ptCount val="7"/>
                <c:pt idx="3">
                  <c:v>0.64907602727873481</c:v>
                </c:pt>
                <c:pt idx="4">
                  <c:v>0.69536562208735475</c:v>
                </c:pt>
                <c:pt idx="5">
                  <c:v>0.68738824004815413</c:v>
                </c:pt>
                <c:pt idx="6">
                  <c:v>0.68142356103321333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2C06-4778-AAD5-41428C604E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0915968"/>
        <c:axId val="670934144"/>
      </c:areaChart>
      <c:catAx>
        <c:axId val="67091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0934144"/>
        <c:crosses val="autoZero"/>
        <c:auto val="1"/>
        <c:lblAlgn val="ctr"/>
        <c:lblOffset val="100"/>
        <c:noMultiLvlLbl val="0"/>
      </c:catAx>
      <c:valAx>
        <c:axId val="67093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0915968"/>
        <c:crosses val="autoZero"/>
        <c:crossBetween val="between"/>
      </c:valAx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2327602940307706E-2"/>
          <c:y val="8.3521534294981728E-2"/>
          <c:w val="0.86182748056814462"/>
          <c:h val="0.59956022163896183"/>
        </c:manualLayout>
      </c:layout>
      <c:areaChart>
        <c:grouping val="stacked"/>
        <c:varyColors val="0"/>
        <c:ser>
          <c:idx val="0"/>
          <c:order val="0"/>
          <c:tx>
            <c:v/>
          </c:tx>
          <c:spPr>
            <a:noFill/>
            <a:ln w="25400">
              <a:noFill/>
            </a:ln>
          </c:spPr>
          <c:cat>
            <c:numRef>
              <c:f>'Fan Chart'!$AE$41:$AL$41</c:f>
              <c:numCache>
                <c:formatCode>General</c:formatCode>
                <c:ptCount val="7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</c:numCache>
            </c:numRef>
          </c:cat>
          <c:val>
            <c:numRef>
              <c:f>'Fan Chart'!$AE$42:$AL$42</c:f>
              <c:numCache>
                <c:formatCode>0.0</c:formatCode>
                <c:ptCount val="7"/>
                <c:pt idx="0">
                  <c:v>63.476258231461017</c:v>
                </c:pt>
                <c:pt idx="1">
                  <c:v>60.288259843363548</c:v>
                </c:pt>
                <c:pt idx="2">
                  <c:v>51.331078116542393</c:v>
                </c:pt>
                <c:pt idx="3">
                  <c:v>48.32322595770308</c:v>
                </c:pt>
                <c:pt idx="4">
                  <c:v>45.258354845990311</c:v>
                </c:pt>
                <c:pt idx="5">
                  <c:v>42.851088429217761</c:v>
                </c:pt>
                <c:pt idx="6">
                  <c:v>40.527947952648745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A0-4CDA-BA03-CE045D2FA8CA}"/>
            </c:ext>
          </c:extLst>
        </c:ser>
        <c:ser>
          <c:idx val="2"/>
          <c:order val="1"/>
          <c:tx>
            <c:strRef>
              <c:f>'Fan Chart'!$Z$43</c:f>
              <c:strCache>
                <c:ptCount val="1"/>
                <c:pt idx="0">
                  <c:v>10-25%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 w="12700">
              <a:noFill/>
              <a:prstDash val="solid"/>
            </a:ln>
          </c:spPr>
          <c:cat>
            <c:numRef>
              <c:f>'Fan Chart'!$AE$41:$AL$41</c:f>
              <c:numCache>
                <c:formatCode>General</c:formatCode>
                <c:ptCount val="7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</c:numCache>
            </c:numRef>
          </c:cat>
          <c:val>
            <c:numRef>
              <c:f>'Fan Chart'!$AE$43:$AL$43</c:f>
              <c:numCache>
                <c:formatCode>0.0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3.3180754804476797</c:v>
                </c:pt>
                <c:pt idx="3">
                  <c:v>4.6190119948887833</c:v>
                </c:pt>
                <c:pt idx="4">
                  <c:v>5.0306277177241903</c:v>
                </c:pt>
                <c:pt idx="5">
                  <c:v>5.6241659201790082</c:v>
                </c:pt>
                <c:pt idx="6">
                  <c:v>5.7188030250482749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A0-4CDA-BA03-CE045D2FA8CA}"/>
            </c:ext>
          </c:extLst>
        </c:ser>
        <c:ser>
          <c:idx val="3"/>
          <c:order val="2"/>
          <c:tx>
            <c:strRef>
              <c:f>'Fan Chart'!$Z$44</c:f>
              <c:strCache>
                <c:ptCount val="1"/>
                <c:pt idx="0">
                  <c:v>25-50%</c:v>
                </c:pt>
              </c:strCache>
            </c:strRef>
          </c:tx>
          <c:spPr>
            <a:solidFill>
              <a:srgbClr val="57B7FF"/>
            </a:solidFill>
            <a:ln w="12700">
              <a:noFill/>
              <a:prstDash val="solid"/>
            </a:ln>
          </c:spPr>
          <c:cat>
            <c:numRef>
              <c:f>'Fan Chart'!$AE$41:$AL$41</c:f>
              <c:numCache>
                <c:formatCode>General</c:formatCode>
                <c:ptCount val="7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</c:numCache>
            </c:numRef>
          </c:cat>
          <c:val>
            <c:numRef>
              <c:f>'Fan Chart'!$AE$44:$AL$44</c:f>
              <c:numCache>
                <c:formatCode>0.0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3.7218718881928181</c:v>
                </c:pt>
                <c:pt idx="3">
                  <c:v>5.3086857435813428</c:v>
                </c:pt>
                <c:pt idx="4">
                  <c:v>6.3728076360149544</c:v>
                </c:pt>
                <c:pt idx="5">
                  <c:v>6.9929988836951011</c:v>
                </c:pt>
                <c:pt idx="6">
                  <c:v>8.2073131342578929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A0-4CDA-BA03-CE045D2FA8CA}"/>
            </c:ext>
          </c:extLst>
        </c:ser>
        <c:ser>
          <c:idx val="4"/>
          <c:order val="3"/>
          <c:tx>
            <c:strRef>
              <c:f>'Fan Chart'!$Z$45</c:f>
              <c:strCache>
                <c:ptCount val="1"/>
                <c:pt idx="0">
                  <c:v>50-75%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12700">
              <a:noFill/>
              <a:prstDash val="solid"/>
            </a:ln>
          </c:spPr>
          <c:cat>
            <c:numRef>
              <c:f>'Fan Chart'!$AE$41:$AL$41</c:f>
              <c:numCache>
                <c:formatCode>General</c:formatCode>
                <c:ptCount val="7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</c:numCache>
            </c:numRef>
          </c:cat>
          <c:val>
            <c:numRef>
              <c:f>'Fan Chart'!$AE$45:$AL$45</c:f>
              <c:numCache>
                <c:formatCode>0.0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3.9936204430448541</c:v>
                </c:pt>
                <c:pt idx="3">
                  <c:v>5.3291349098118612</c:v>
                </c:pt>
                <c:pt idx="4">
                  <c:v>6.4437678241956675</c:v>
                </c:pt>
                <c:pt idx="5">
                  <c:v>7.9078190408004234</c:v>
                </c:pt>
                <c:pt idx="6">
                  <c:v>7.4592328668196428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0A0-4CDA-BA03-CE045D2FA8CA}"/>
            </c:ext>
          </c:extLst>
        </c:ser>
        <c:ser>
          <c:idx val="5"/>
          <c:order val="4"/>
          <c:tx>
            <c:strRef>
              <c:f>'Fan Chart'!$Z$46</c:f>
              <c:strCache>
                <c:ptCount val="1"/>
                <c:pt idx="0">
                  <c:v>75-90%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12700">
              <a:noFill/>
              <a:prstDash val="solid"/>
            </a:ln>
          </c:spPr>
          <c:cat>
            <c:numRef>
              <c:f>'Fan Chart'!$AE$41:$AL$41</c:f>
              <c:numCache>
                <c:formatCode>General</c:formatCode>
                <c:ptCount val="7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</c:numCache>
            </c:numRef>
          </c:cat>
          <c:val>
            <c:numRef>
              <c:f>'Fan Chart'!$AE$46:$AL$46</c:f>
              <c:numCache>
                <c:formatCode>0.0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3.2367854207817293</c:v>
                </c:pt>
                <c:pt idx="3">
                  <c:v>5.8778279085686336</c:v>
                </c:pt>
                <c:pt idx="4">
                  <c:v>6.9315026074464932</c:v>
                </c:pt>
                <c:pt idx="5">
                  <c:v>5.5270058817244339</c:v>
                </c:pt>
                <c:pt idx="6">
                  <c:v>7.5981012809027471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0A0-4CDA-BA03-CE045D2FA8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1057408"/>
        <c:axId val="671058944"/>
      </c:areaChart>
      <c:lineChart>
        <c:grouping val="standard"/>
        <c:varyColors val="0"/>
        <c:ser>
          <c:idx val="1"/>
          <c:order val="5"/>
          <c:tx>
            <c:v>Կանխատեսում</c:v>
          </c:tx>
          <c:spPr>
            <a:ln>
              <a:solidFill>
                <a:srgbClr val="000000"/>
              </a:solidFill>
            </a:ln>
          </c:spPr>
          <c:marker>
            <c:symbol val="none"/>
          </c:marker>
          <c:cat>
            <c:numRef>
              <c:f>'Fan Chart'!$R$52:$Y$52</c:f>
              <c:numCache>
                <c:formatCode>General</c:formatCode>
                <c:ptCount val="7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</c:numCache>
            </c:numRef>
          </c:cat>
          <c:val>
            <c:numRef>
              <c:f>'Fan Chart'!$R$53:$Y$53</c:f>
              <c:numCache>
                <c:formatCode>0.0</c:formatCode>
                <c:ptCount val="7"/>
                <c:pt idx="0">
                  <c:v>63.476258231461017</c:v>
                </c:pt>
                <c:pt idx="1">
                  <c:v>60.288259843363548</c:v>
                </c:pt>
                <c:pt idx="2">
                  <c:v>58.366816607317574</c:v>
                </c:pt>
                <c:pt idx="3">
                  <c:v>57.867584149682507</c:v>
                </c:pt>
                <c:pt idx="4">
                  <c:v>55.967488935040386</c:v>
                </c:pt>
                <c:pt idx="5">
                  <c:v>54.971675814680665</c:v>
                </c:pt>
                <c:pt idx="6">
                  <c:v>53.539384993888504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0A0-4CDA-BA03-CE045D2FA8CA}"/>
            </c:ext>
          </c:extLst>
        </c:ser>
        <c:ser>
          <c:idx val="6"/>
          <c:order val="6"/>
          <c:tx>
            <c:strRef>
              <c:f>'Fan Chart'!$Z$48</c:f>
              <c:strCache>
                <c:ptCount val="1"/>
                <c:pt idx="0">
                  <c:v>Կանոնի շեմ</c:v>
                </c:pt>
              </c:strCache>
            </c:strRef>
          </c:tx>
          <c:spPr>
            <a:ln>
              <a:solidFill>
                <a:srgbClr val="FFC000"/>
              </a:solidFill>
              <a:prstDash val="dash"/>
            </a:ln>
          </c:spPr>
          <c:marker>
            <c:symbol val="none"/>
          </c:marker>
          <c:cat>
            <c:strLit>
              <c:ptCount val="7"/>
              <c:pt idx="0">
                <c:v>2020</c:v>
              </c:pt>
              <c:pt idx="1">
                <c:v>2021</c:v>
              </c:pt>
              <c:pt idx="2">
                <c:v>2022</c:v>
              </c:pt>
              <c:pt idx="3">
                <c:v>2023</c:v>
              </c:pt>
              <c:pt idx="4">
                <c:v>2024</c:v>
              </c:pt>
              <c:pt idx="5">
                <c:v>2025</c:v>
              </c:pt>
              <c:pt idx="6">
                <c:v>2026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'Fan Chart'!$AE$48:$AL$48</c:f>
              <c:numCache>
                <c:formatCode>General</c:formatCode>
                <c:ptCount val="7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F0A0-4CDA-BA03-CE045D2FA8CA}"/>
            </c:ext>
          </c:extLst>
        </c:ser>
        <c:ser>
          <c:idx val="7"/>
          <c:order val="7"/>
          <c:tx>
            <c:strRef>
              <c:f>'Fan Chart'!$Z$49</c:f>
              <c:strCache>
                <c:ptCount val="1"/>
                <c:pt idx="0">
                  <c:v>ԱՄՀ շեմ</c:v>
                </c:pt>
              </c:strCache>
            </c:strRef>
          </c:tx>
          <c:spPr>
            <a:ln w="25400">
              <a:solidFill>
                <a:srgbClr val="FF0000"/>
              </a:solidFill>
              <a:prstDash val="dash"/>
            </a:ln>
          </c:spPr>
          <c:marker>
            <c:symbol val="none"/>
          </c:marker>
          <c:cat>
            <c:strLit>
              <c:ptCount val="7"/>
              <c:pt idx="0">
                <c:v>2020</c:v>
              </c:pt>
              <c:pt idx="1">
                <c:v>2021</c:v>
              </c:pt>
              <c:pt idx="2">
                <c:v>2022</c:v>
              </c:pt>
              <c:pt idx="3">
                <c:v>2023</c:v>
              </c:pt>
              <c:pt idx="4">
                <c:v>2024</c:v>
              </c:pt>
              <c:pt idx="5">
                <c:v>2025</c:v>
              </c:pt>
              <c:pt idx="6">
                <c:v>2026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'Fan Chart'!$AE$49:$AL$49</c:f>
              <c:numCache>
                <c:formatCode>General</c:formatCode>
                <c:ptCount val="7"/>
                <c:pt idx="0">
                  <c:v>70</c:v>
                </c:pt>
                <c:pt idx="1">
                  <c:v>70</c:v>
                </c:pt>
                <c:pt idx="2">
                  <c:v>70</c:v>
                </c:pt>
                <c:pt idx="3">
                  <c:v>70</c:v>
                </c:pt>
                <c:pt idx="4">
                  <c:v>70</c:v>
                </c:pt>
                <c:pt idx="5">
                  <c:v>70</c:v>
                </c:pt>
                <c:pt idx="6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F0A0-4CDA-BA03-CE045D2FA8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1057408"/>
        <c:axId val="671058944"/>
      </c:lineChart>
      <c:catAx>
        <c:axId val="67105740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7F7F7F"/>
            </a:solidFill>
            <a:prstDash val="solid"/>
          </a:ln>
        </c:spPr>
        <c:txPr>
          <a:bodyPr rot="0" vert="horz"/>
          <a:lstStyle/>
          <a:p>
            <a:pPr>
              <a:defRPr sz="1200">
                <a:latin typeface="Segoe UI" pitchFamily="34" charset="0"/>
                <a:ea typeface="Segoe UI" pitchFamily="34" charset="0"/>
                <a:cs typeface="Segoe UI" pitchFamily="34" charset="0"/>
              </a:defRPr>
            </a:pPr>
            <a:endParaRPr lang="en-US"/>
          </a:p>
        </c:txPr>
        <c:crossAx val="671058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71058944"/>
        <c:scaling>
          <c:orientation val="minMax"/>
          <c:max val="75"/>
          <c:min val="40"/>
        </c:scaling>
        <c:delete val="0"/>
        <c:axPos val="l"/>
        <c:numFmt formatCode="0" sourceLinked="0"/>
        <c:majorTickMark val="in"/>
        <c:minorTickMark val="none"/>
        <c:tickLblPos val="nextTo"/>
        <c:spPr>
          <a:ln>
            <a:solidFill>
              <a:srgbClr val="7F7F7F"/>
            </a:solidFill>
          </a:ln>
        </c:spPr>
        <c:txPr>
          <a:bodyPr rot="0" vert="horz"/>
          <a:lstStyle/>
          <a:p>
            <a:pPr>
              <a:defRPr sz="1200">
                <a:latin typeface="Segoe UI" pitchFamily="34" charset="0"/>
                <a:ea typeface="Segoe UI" pitchFamily="34" charset="0"/>
                <a:cs typeface="Segoe UI" pitchFamily="34" charset="0"/>
              </a:defRPr>
            </a:pPr>
            <a:endParaRPr lang="en-US"/>
          </a:p>
        </c:txPr>
        <c:crossAx val="671057408"/>
        <c:crosses val="autoZero"/>
        <c:crossBetween val="midCat"/>
        <c:majorUnit val="5"/>
      </c:valAx>
      <c:spPr>
        <a:noFill/>
        <a:ln w="0">
          <a:solidFill>
            <a:srgbClr val="7F7F7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5.78811575199623E-3"/>
          <c:y val="0.79426499465344613"/>
          <c:w val="0.96268189145167149"/>
          <c:h val="0.20573461650627006"/>
        </c:manualLayout>
      </c:layout>
      <c:overlay val="0"/>
      <c:txPr>
        <a:bodyPr/>
        <a:lstStyle/>
        <a:p>
          <a:pPr>
            <a:defRPr sz="1200">
              <a:latin typeface="Segoe UI" pitchFamily="34" charset="0"/>
              <a:ea typeface="Segoe UI" pitchFamily="34" charset="0"/>
              <a:cs typeface="Segoe UI" pitchFamily="34" charset="0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 w="9525">
      <a:solidFill>
        <a:schemeClr val="tx1"/>
      </a:solidFill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Calibri" pitchFamily="34" charset="0"/>
          <a:ea typeface="Times New Roman"/>
          <a:cs typeface="Times New Roman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y-AM" sz="1050" b="1">
                <a:solidFill>
                  <a:schemeClr val="tx2"/>
                </a:solidFill>
                <a:latin typeface="GHEA Grapalat" panose="02000506050000020003" pitchFamily="50" charset="0"/>
              </a:rPr>
              <a:t>ՀՀ կառավարության</a:t>
            </a:r>
            <a:r>
              <a:rPr lang="hy-AM" sz="1050" b="1" baseline="0">
                <a:solidFill>
                  <a:schemeClr val="tx2"/>
                </a:solidFill>
                <a:latin typeface="GHEA Grapalat" panose="02000506050000020003" pitchFamily="50" charset="0"/>
              </a:rPr>
              <a:t> պարտք</a:t>
            </a:r>
            <a:r>
              <a:rPr lang="en-US" sz="1050" b="1" baseline="0">
                <a:solidFill>
                  <a:schemeClr val="tx2"/>
                </a:solidFill>
                <a:latin typeface="GHEA Grapalat" panose="02000506050000020003" pitchFamily="50" charset="0"/>
              </a:rPr>
              <a:t>/</a:t>
            </a:r>
            <a:r>
              <a:rPr lang="hy-AM" sz="1050" b="1" baseline="0">
                <a:solidFill>
                  <a:schemeClr val="tx2"/>
                </a:solidFill>
                <a:latin typeface="GHEA Grapalat" panose="02000506050000020003" pitchFamily="50" charset="0"/>
              </a:rPr>
              <a:t>ՀՆԱ</a:t>
            </a:r>
            <a:r>
              <a:rPr lang="en-US" sz="1050" b="1" baseline="0">
                <a:solidFill>
                  <a:schemeClr val="tx2"/>
                </a:solidFill>
                <a:latin typeface="GHEA Grapalat" panose="02000506050000020003" pitchFamily="50" charset="0"/>
              </a:rPr>
              <a:t>, %</a:t>
            </a:r>
            <a:endParaRPr lang="en-US" sz="1050" b="1">
              <a:solidFill>
                <a:schemeClr val="tx2"/>
              </a:solidFill>
              <a:latin typeface="GHEA Grapalat" panose="02000506050000020003" pitchFamily="50" charset="0"/>
            </a:endParaRPr>
          </a:p>
        </c:rich>
      </c:tx>
      <c:layout>
        <c:manualLayout>
          <c:xMode val="edge"/>
          <c:yMode val="edge"/>
          <c:x val="0.24640244969378827"/>
          <c:y val="4.636539997717677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3574385837753548E-2"/>
          <c:y val="0.14718253968253969"/>
          <c:w val="0.87807136032682109"/>
          <c:h val="0.7488560804899387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ՄԺԾԾ սցենար</c:v>
                </c:pt>
              </c:strCache>
            </c:strRef>
          </c:tx>
          <c:spPr>
            <a:ln w="412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5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</c:numCache>
            </c:numRef>
          </c:cat>
          <c:val>
            <c:numRef>
              <c:f>Sheet1!$B$2:$B$7</c:f>
              <c:numCache>
                <c:formatCode>0.0</c:formatCode>
                <c:ptCount val="5"/>
                <c:pt idx="0">
                  <c:v>58.367150873443464</c:v>
                </c:pt>
                <c:pt idx="1">
                  <c:v>57.942947685568228</c:v>
                </c:pt>
                <c:pt idx="2">
                  <c:v>56.006817711834763</c:v>
                </c:pt>
                <c:pt idx="3">
                  <c:v>54.965822442477474</c:v>
                </c:pt>
                <c:pt idx="4">
                  <c:v>53.477284484464796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E83-4649-9893-CB37E3A0E19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Բարձր աճի սցենար</c:v>
                </c:pt>
              </c:strCache>
            </c:strRef>
          </c:tx>
          <c:spPr>
            <a:ln w="41275" cap="rnd">
              <a:solidFill>
                <a:schemeClr val="accent2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5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E83-4649-9893-CB37E3A0E19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Փոխարժեքի շոկ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dashDot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5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</c:numCache>
            </c:numRef>
          </c:cat>
          <c:val>
            <c:numRef>
              <c:f>Sheet1!$D$2:$D$7</c:f>
              <c:numCache>
                <c:formatCode>0.0</c:formatCode>
                <c:ptCount val="5"/>
                <c:pt idx="0">
                  <c:v>58.367150873443464</c:v>
                </c:pt>
                <c:pt idx="1">
                  <c:v>63.05254750336784</c:v>
                </c:pt>
                <c:pt idx="2">
                  <c:v>60.734523746206449</c:v>
                </c:pt>
                <c:pt idx="3">
                  <c:v>59.247669803737047</c:v>
                </c:pt>
                <c:pt idx="4">
                  <c:v>57.393200522380326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E83-4649-9893-CB37E3A0E19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Տնտեսական աճի շոկ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5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</c:numCache>
            </c:numRef>
          </c:cat>
          <c:val>
            <c:numRef>
              <c:f>Sheet1!$E$2:$E$7</c:f>
              <c:numCache>
                <c:formatCode>0.0</c:formatCode>
                <c:ptCount val="5"/>
                <c:pt idx="0">
                  <c:v>58.367150873443464</c:v>
                </c:pt>
                <c:pt idx="1">
                  <c:v>62.492684295597677</c:v>
                </c:pt>
                <c:pt idx="2">
                  <c:v>66.592530439755137</c:v>
                </c:pt>
                <c:pt idx="3">
                  <c:v>65.419449044165731</c:v>
                </c:pt>
                <c:pt idx="4">
                  <c:v>63.713329823687396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E83-4649-9893-CB37E3A0E19B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Առաջնային հաշվեկշռի շոկ</c:v>
                </c:pt>
              </c:strCache>
            </c:strRef>
          </c:tx>
          <c:spPr>
            <a:ln w="28575" cap="rnd">
              <a:solidFill>
                <a:schemeClr val="accent5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5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</c:numCache>
            </c:numRef>
          </c:cat>
          <c:val>
            <c:numRef>
              <c:f>Sheet1!$F$2:$F$7</c:f>
              <c:numCache>
                <c:formatCode>0.0</c:formatCode>
                <c:ptCount val="5"/>
                <c:pt idx="0">
                  <c:v>58.367150873443464</c:v>
                </c:pt>
                <c:pt idx="1">
                  <c:v>58.797183386795304</c:v>
                </c:pt>
                <c:pt idx="2">
                  <c:v>57.698488051870513</c:v>
                </c:pt>
                <c:pt idx="3">
                  <c:v>56.62206536969687</c:v>
                </c:pt>
                <c:pt idx="4">
                  <c:v>55.091034946345644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E83-4649-9893-CB37E3A0E19B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Իրական տոկոսադրույքի շոկ</c:v>
                </c:pt>
              </c:strCache>
            </c:strRef>
          </c:tx>
          <c:spPr>
            <a:ln w="41275" cap="rnd">
              <a:solidFill>
                <a:schemeClr val="accent6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5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</c:numCache>
            </c:numRef>
          </c:cat>
          <c:val>
            <c:numRef>
              <c:f>Sheet1!$G$2:$G$7</c:f>
              <c:numCache>
                <c:formatCode>0.0</c:formatCode>
                <c:ptCount val="5"/>
                <c:pt idx="0">
                  <c:v>58.367150873443464</c:v>
                </c:pt>
                <c:pt idx="1">
                  <c:v>57.942947685568235</c:v>
                </c:pt>
                <c:pt idx="2">
                  <c:v>56.243531483051775</c:v>
                </c:pt>
                <c:pt idx="3">
                  <c:v>55.61057619639157</c:v>
                </c:pt>
                <c:pt idx="4">
                  <c:v>54.761198381585039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E83-4649-9893-CB37E3A0E19B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Column2</c:v>
                </c:pt>
              </c:strCache>
            </c:strRef>
          </c:tx>
          <c:spPr>
            <a:ln w="1587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5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</c:numCache>
            </c:numRef>
          </c:cat>
          <c:val>
            <c:numRef>
              <c:f>Sheet1!$H$2:$H$7</c:f>
              <c:numCache>
                <c:formatCode>0.0</c:formatCode>
                <c:ptCount val="5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E83-4649-9893-CB37E3A0E19B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Column3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5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</c:numCache>
            </c:numRef>
          </c:cat>
          <c:val>
            <c:numRef>
              <c:f>Sheet1!$I$2:$I$7</c:f>
              <c:numCache>
                <c:formatCode>0.0</c:formatCode>
                <c:ptCount val="5"/>
                <c:pt idx="0">
                  <c:v>70</c:v>
                </c:pt>
                <c:pt idx="1">
                  <c:v>70</c:v>
                </c:pt>
                <c:pt idx="2">
                  <c:v>70</c:v>
                </c:pt>
                <c:pt idx="3">
                  <c:v>70</c:v>
                </c:pt>
                <c:pt idx="4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E83-4649-9893-CB37E3A0E1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71113216"/>
        <c:axId val="671114752"/>
      </c:lineChart>
      <c:catAx>
        <c:axId val="67111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1114752"/>
        <c:crosses val="autoZero"/>
        <c:auto val="1"/>
        <c:lblAlgn val="ctr"/>
        <c:lblOffset val="100"/>
        <c:noMultiLvlLbl val="0"/>
      </c:catAx>
      <c:valAx>
        <c:axId val="671114752"/>
        <c:scaling>
          <c:orientation val="minMax"/>
          <c:min val="4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1113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100" b="0" i="0" u="none" strike="noStrike" kern="1200" spc="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y-AM" sz="1100" b="1">
                <a:solidFill>
                  <a:schemeClr val="tx2"/>
                </a:solidFill>
                <a:latin typeface="GHEA Grapalat" panose="02000506050000020003" pitchFamily="50" charset="0"/>
              </a:rPr>
              <a:t>Համախառն ֆինանսավորման կարիք/ՀՆԱ, </a:t>
            </a:r>
            <a:r>
              <a:rPr lang="en-US" sz="1100" b="1">
                <a:solidFill>
                  <a:schemeClr val="tx2"/>
                </a:solidFill>
                <a:latin typeface="GHEA Grapalat" panose="02000506050000020003" pitchFamily="50" charset="0"/>
              </a:rPr>
              <a:t>%</a:t>
            </a:r>
          </a:p>
        </c:rich>
      </c:tx>
      <c:layout>
        <c:manualLayout>
          <c:xMode val="edge"/>
          <c:yMode val="edge"/>
          <c:x val="0.15910839707170629"/>
          <c:y val="2.815557146265807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3574385837753548E-2"/>
          <c:y val="0.14718253968253969"/>
          <c:w val="0.87807136032682109"/>
          <c:h val="0.7414132608423946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Բազային սցենար</c:v>
                </c:pt>
              </c:strCache>
            </c:strRef>
          </c:tx>
          <c:spPr>
            <a:ln w="412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5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</c:numCache>
            </c:numRef>
          </c:cat>
          <c:val>
            <c:numRef>
              <c:f>Sheet1!$B$2:$B$7</c:f>
              <c:numCache>
                <c:formatCode>0.0</c:formatCode>
                <c:ptCount val="5"/>
                <c:pt idx="0">
                  <c:v>4.8128381756295697</c:v>
                </c:pt>
                <c:pt idx="1">
                  <c:v>6.3117229572676985</c:v>
                </c:pt>
                <c:pt idx="2">
                  <c:v>6.5515440159741996</c:v>
                </c:pt>
                <c:pt idx="3">
                  <c:v>8.6713079331686362</c:v>
                </c:pt>
                <c:pt idx="4">
                  <c:v>6.1172262546128504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87-44C5-A8EB-A21E39C6948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ln w="31750" cap="rnd">
              <a:solidFill>
                <a:schemeClr val="accent2">
                  <a:lumMod val="50000"/>
                </a:schemeClr>
              </a:solidFill>
              <a:prstDash val="lgDash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5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87-44C5-A8EB-A21E39C6948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Փոխարժեքի շոկ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dashDot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5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</c:numCache>
            </c:numRef>
          </c:cat>
          <c:val>
            <c:numRef>
              <c:f>Sheet1!$D$2:$D$7</c:f>
              <c:numCache>
                <c:formatCode>0.0</c:formatCode>
                <c:ptCount val="5"/>
                <c:pt idx="0">
                  <c:v>4.8128381756295697</c:v>
                </c:pt>
                <c:pt idx="1">
                  <c:v>6.6014516341327694</c:v>
                </c:pt>
                <c:pt idx="2">
                  <c:v>6.9064062611000674</c:v>
                </c:pt>
                <c:pt idx="3">
                  <c:v>9.3601447517938361</c:v>
                </c:pt>
                <c:pt idx="4">
                  <c:v>6.4648605719622623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D87-44C5-A8EB-A21E39C6948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Տնտեսական աճի շոկ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5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</c:numCache>
            </c:numRef>
          </c:cat>
          <c:val>
            <c:numRef>
              <c:f>Sheet1!$E$2:$E$7</c:f>
              <c:numCache>
                <c:formatCode>0.0</c:formatCode>
                <c:ptCount val="5"/>
                <c:pt idx="0">
                  <c:v>4.8128381756295697</c:v>
                </c:pt>
                <c:pt idx="1">
                  <c:v>8.0217280016673733</c:v>
                </c:pt>
                <c:pt idx="2">
                  <c:v>10.284862648002624</c:v>
                </c:pt>
                <c:pt idx="3">
                  <c:v>10.236395698887597</c:v>
                </c:pt>
                <c:pt idx="4">
                  <c:v>7.4087619129629037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D87-44C5-A8EB-A21E39C6948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Առաջնային հաշվեկշռի շոկ</c:v>
                </c:pt>
              </c:strCache>
            </c:strRef>
          </c:tx>
          <c:spPr>
            <a:ln w="28575" cap="rnd">
              <a:solidFill>
                <a:schemeClr val="accent5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5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</c:numCache>
            </c:numRef>
          </c:cat>
          <c:val>
            <c:numRef>
              <c:f>Sheet1!$F$2:$F$7</c:f>
              <c:numCache>
                <c:formatCode>0.0</c:formatCode>
                <c:ptCount val="5"/>
                <c:pt idx="0">
                  <c:v>4.8128381756295697</c:v>
                </c:pt>
                <c:pt idx="1">
                  <c:v>7.1614147190509847</c:v>
                </c:pt>
                <c:pt idx="2">
                  <c:v>7.4947735238508022</c:v>
                </c:pt>
                <c:pt idx="3">
                  <c:v>8.8784539454460845</c:v>
                </c:pt>
                <c:pt idx="4">
                  <c:v>6.328685098356857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D87-44C5-A8EB-A21E39C69481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Իրական տոկոսադրույքի շոկ</c:v>
                </c:pt>
              </c:strCache>
            </c:strRef>
          </c:tx>
          <c:spPr>
            <a:ln w="28575" cap="rnd">
              <a:solidFill>
                <a:schemeClr val="accent6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5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</c:numCache>
            </c:numRef>
          </c:cat>
          <c:val>
            <c:numRef>
              <c:f>Sheet1!$G$2:$G$7</c:f>
              <c:numCache>
                <c:formatCode>0.0</c:formatCode>
                <c:ptCount val="5"/>
                <c:pt idx="0">
                  <c:v>4.8128381756295697</c:v>
                </c:pt>
                <c:pt idx="1">
                  <c:v>6.3117229572677003</c:v>
                </c:pt>
                <c:pt idx="2">
                  <c:v>6.7873082448887203</c:v>
                </c:pt>
                <c:pt idx="3">
                  <c:v>9.1097076620585842</c:v>
                </c:pt>
                <c:pt idx="4">
                  <c:v>6.8440530052699859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D87-44C5-A8EB-A21E39C694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71192192"/>
        <c:axId val="671193728"/>
      </c:lineChart>
      <c:catAx>
        <c:axId val="67119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1193728"/>
        <c:crosses val="autoZero"/>
        <c:auto val="1"/>
        <c:lblAlgn val="ctr"/>
        <c:lblOffset val="100"/>
        <c:noMultiLvlLbl val="0"/>
      </c:catAx>
      <c:valAx>
        <c:axId val="67119372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1192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3574385837753548E-2"/>
          <c:y val="0.14718253968253969"/>
          <c:w val="0.87807136032682109"/>
          <c:h val="8.2924584812785959E-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ՄԺԾԾ մակրոտնտեսական սցենար</c:v>
                </c:pt>
              </c:strCache>
            </c:strRef>
          </c:tx>
          <c:spPr>
            <a:ln w="412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2F-4ECB-9E5A-10CD5EFCE82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Թիրախային աճի սցենար</c:v>
                </c:pt>
              </c:strCache>
            </c:strRef>
          </c:tx>
          <c:spPr>
            <a:ln w="41275" cap="rnd">
              <a:solidFill>
                <a:schemeClr val="accent2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C2F-4ECB-9E5A-10CD5EFCE82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Փոխարժեքի շոկ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dashDot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C2F-4ECB-9E5A-10CD5EFCE82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Տնտեսական աճի շոկ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</c:numCache>
            </c:numRef>
          </c:cat>
          <c:val>
            <c:numRef>
              <c:f>Sheet1!$E$2:$E$7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C2F-4ECB-9E5A-10CD5EFCE82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Առաջնային հաշվեկշռի շոկ</c:v>
                </c:pt>
              </c:strCache>
            </c:strRef>
          </c:tx>
          <c:spPr>
            <a:ln w="28575" cap="rnd">
              <a:solidFill>
                <a:schemeClr val="accent5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</c:numCache>
            </c:numRef>
          </c:cat>
          <c:val>
            <c:numRef>
              <c:f>Sheet1!$F$2:$F$7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C2F-4ECB-9E5A-10CD5EFCE82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Իրական տոկոսադրույքի շոկ</c:v>
                </c:pt>
              </c:strCache>
            </c:strRef>
          </c:tx>
          <c:spPr>
            <a:ln w="41275" cap="rnd">
              <a:solidFill>
                <a:schemeClr val="accent6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</c:numCache>
            </c:numRef>
          </c:cat>
          <c:val>
            <c:numRef>
              <c:f>Sheet1!$G$2:$G$7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C2F-4ECB-9E5A-10CD5EFCE8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71011968"/>
        <c:axId val="671013504"/>
      </c:lineChart>
      <c:catAx>
        <c:axId val="6710119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71013504"/>
        <c:crosses val="autoZero"/>
        <c:auto val="1"/>
        <c:lblAlgn val="ctr"/>
        <c:lblOffset val="100"/>
        <c:noMultiLvlLbl val="0"/>
      </c:catAx>
      <c:valAx>
        <c:axId val="671013504"/>
        <c:scaling>
          <c:orientation val="minMax"/>
          <c:min val="45"/>
        </c:scaling>
        <c:delete val="1"/>
        <c:axPos val="l"/>
        <c:numFmt formatCode="General" sourceLinked="1"/>
        <c:majorTickMark val="none"/>
        <c:minorTickMark val="none"/>
        <c:tickLblPos val="nextTo"/>
        <c:crossAx val="67101196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3.3952459455756166E-2"/>
          <c:y val="0.12246942536438264"/>
          <c:w val="0.93489946130598167"/>
          <c:h val="0.816242810074272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0.16059</cdr:x>
      <cdr:y>0.20176</cdr:y>
    </cdr:from>
    <cdr:to>
      <cdr:x>0.44928</cdr:x>
      <cdr:y>0.26792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508635" y="581025"/>
          <a:ext cx="91440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0.15729</cdr:x>
      <cdr:y>0.1873</cdr:y>
    </cdr:from>
    <cdr:to>
      <cdr:x>0.49891</cdr:x>
      <cdr:y>0.28652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449448" y="492394"/>
          <a:ext cx="976179" cy="2608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y-AM" sz="900">
              <a:solidFill>
                <a:srgbClr val="FF0000"/>
              </a:solidFill>
              <a:latin typeface="GHEA Grapalat" panose="02000506050000020003" pitchFamily="50" charset="0"/>
            </a:rPr>
            <a:t>ԱՄՀ շեմ</a:t>
          </a:r>
          <a:endParaRPr lang="en-US" sz="900">
            <a:solidFill>
              <a:srgbClr val="FF0000"/>
            </a:solidFill>
            <a:latin typeface="GHEA Grapalat" panose="02000506050000020003" pitchFamily="50" charset="0"/>
          </a:endParaRPr>
        </a:p>
      </cdr:txBody>
    </cdr:sp>
  </cdr:relSizeAnchor>
  <cdr:relSizeAnchor xmlns:cdr="http://schemas.openxmlformats.org/drawingml/2006/chartDrawing">
    <cdr:from>
      <cdr:x>0.13152</cdr:x>
      <cdr:y>0.602</cdr:y>
    </cdr:from>
    <cdr:to>
      <cdr:x>0.68264</cdr:x>
      <cdr:y>0.70123</cdr:y>
    </cdr:to>
    <cdr:sp macro="" textlink="">
      <cdr:nvSpPr>
        <cdr:cNvPr id="7" name="Text Box 1"/>
        <cdr:cNvSpPr txBox="1"/>
      </cdr:nvSpPr>
      <cdr:spPr>
        <a:xfrm xmlns:a="http://schemas.openxmlformats.org/drawingml/2006/main">
          <a:off x="375828" y="1560041"/>
          <a:ext cx="1574825" cy="2571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>
              <a:solidFill>
                <a:srgbClr val="FF0000"/>
              </a:solidFill>
              <a:latin typeface="GHEA Grapalat" panose="02000506050000020003" pitchFamily="50" charset="0"/>
            </a:rPr>
            <a:t>Հ</a:t>
          </a:r>
          <a:r>
            <a:rPr lang="hy-AM" sz="900">
              <a:solidFill>
                <a:srgbClr val="FF0000"/>
              </a:solidFill>
              <a:latin typeface="GHEA Grapalat" panose="02000506050000020003" pitchFamily="50" charset="0"/>
            </a:rPr>
            <a:t>Հ հարկաբյուջետային կանոնի</a:t>
          </a:r>
          <a:r>
            <a:rPr lang="hy-AM" sz="900" baseline="0">
              <a:solidFill>
                <a:srgbClr val="FF0000"/>
              </a:solidFill>
              <a:latin typeface="GHEA Grapalat" panose="02000506050000020003" pitchFamily="50" charset="0"/>
            </a:rPr>
            <a:t> սահմանային շեմ</a:t>
          </a:r>
          <a:endParaRPr lang="en-US" sz="900">
            <a:solidFill>
              <a:srgbClr val="FF0000"/>
            </a:solidFill>
            <a:latin typeface="GHEA Grapalat" panose="02000506050000020003" pitchFamily="50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0.16059</cdr:x>
      <cdr:y>0.20176</cdr:y>
    </cdr:from>
    <cdr:to>
      <cdr:x>0.44928</cdr:x>
      <cdr:y>0.26792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508635" y="581025"/>
          <a:ext cx="91440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74CD-3AD9-4FCA-864B-0A8CE602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2226</Words>
  <Characters>12690</Characters>
  <Application>Microsoft Office Word</Application>
  <DocSecurity>0</DocSecurity>
  <Lines>105</Lines>
  <Paragraphs>29</Paragraphs>
  <ScaleCrop>false</ScaleCrop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Narek Karapetyan </dc:creator>
  <cp:keywords/>
  <dc:description/>
  <cp:lastModifiedBy>Armenuhi Tsaghikyan</cp:lastModifiedBy>
  <cp:revision>3</cp:revision>
  <dcterms:created xsi:type="dcterms:W3CDTF">2021-08-05T07:07:00Z</dcterms:created>
  <dcterms:modified xsi:type="dcterms:W3CDTF">2022-07-11T06:20:00Z</dcterms:modified>
</cp:coreProperties>
</file>