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FA" w:rsidRPr="003941F1" w:rsidRDefault="00FF75FA" w:rsidP="00FF75FA">
      <w:pPr>
        <w:spacing w:line="360" w:lineRule="auto"/>
        <w:ind w:right="-187"/>
        <w:jc w:val="center"/>
        <w:rPr>
          <w:rFonts w:ascii="GHEA Grapalat" w:hAnsi="GHEA Grapalat" w:cs="Calibri"/>
          <w:b/>
          <w:i/>
          <w:sz w:val="22"/>
          <w:szCs w:val="22"/>
        </w:rPr>
      </w:pPr>
      <w:r w:rsidRPr="003941F1">
        <w:rPr>
          <w:rFonts w:ascii="GHEA Grapalat" w:hAnsi="GHEA Grapalat" w:cs="Sylfaen"/>
          <w:b/>
          <w:i/>
          <w:sz w:val="22"/>
          <w:szCs w:val="22"/>
          <w:lang w:val="hy-AM"/>
        </w:rPr>
        <w:t>Տ</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Ղ</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Կ</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Ա</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Տ</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Վ</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ՈՒ</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Թ</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Յ</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ՈՒ</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Ն</w:t>
      </w:r>
    </w:p>
    <w:p w:rsidR="00FF75FA" w:rsidRPr="003941F1" w:rsidRDefault="00FF75FA" w:rsidP="00FF75FA">
      <w:pPr>
        <w:spacing w:line="360" w:lineRule="auto"/>
        <w:ind w:right="-187"/>
        <w:jc w:val="center"/>
        <w:rPr>
          <w:rFonts w:ascii="GHEA Grapalat" w:hAnsi="GHEA Grapalat" w:cs="Calibri"/>
          <w:b/>
          <w:i/>
          <w:sz w:val="22"/>
          <w:szCs w:val="22"/>
          <w:lang w:val="hy-AM"/>
        </w:rPr>
      </w:pPr>
      <w:r w:rsidRPr="003941F1">
        <w:rPr>
          <w:rFonts w:ascii="GHEA Grapalat" w:hAnsi="GHEA Grapalat" w:cs="Sylfaen"/>
          <w:b/>
          <w:i/>
          <w:sz w:val="22"/>
          <w:szCs w:val="22"/>
          <w:lang w:val="hy-AM"/>
        </w:rPr>
        <w:t>ՀԱՅԱՍՏԱՆԻ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ՀԱՆՐԱՊԵՏՈՒԹՅԱՆ</w:t>
      </w:r>
      <w:r w:rsidRPr="003941F1">
        <w:rPr>
          <w:rFonts w:ascii="GHEA Grapalat" w:hAnsi="GHEA Grapalat" w:cs="Calibri"/>
          <w:b/>
          <w:i/>
          <w:sz w:val="22"/>
          <w:szCs w:val="22"/>
          <w:lang w:val="hy-AM"/>
        </w:rPr>
        <w:t xml:space="preserve"> 201</w:t>
      </w:r>
      <w:r w:rsidR="001C0D1F">
        <w:rPr>
          <w:rFonts w:ascii="GHEA Grapalat" w:hAnsi="GHEA Grapalat" w:cs="Calibri"/>
          <w:b/>
          <w:i/>
          <w:sz w:val="22"/>
          <w:szCs w:val="22"/>
        </w:rPr>
        <w:t>6</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ԹՎԱԿԱՆԻ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ԱՌԱՋԻՆ ԵՌԱՄՍՅԱԿԻ</w:t>
      </w:r>
    </w:p>
    <w:p w:rsidR="00FF75FA" w:rsidRPr="003941F1" w:rsidRDefault="00FF75FA" w:rsidP="00FF75FA">
      <w:pPr>
        <w:spacing w:line="360" w:lineRule="auto"/>
        <w:ind w:right="-187"/>
        <w:jc w:val="center"/>
        <w:rPr>
          <w:rFonts w:ascii="GHEA Grapalat" w:hAnsi="GHEA Grapalat" w:cs="Calibri"/>
          <w:b/>
          <w:i/>
          <w:sz w:val="22"/>
          <w:szCs w:val="22"/>
          <w:lang w:val="hy-AM"/>
        </w:rPr>
      </w:pPr>
      <w:r w:rsidRPr="003941F1">
        <w:rPr>
          <w:rFonts w:ascii="GHEA Grapalat" w:hAnsi="GHEA Grapalat" w:cs="Sylfaen"/>
          <w:b/>
          <w:i/>
          <w:sz w:val="22"/>
          <w:szCs w:val="22"/>
          <w:lang w:val="hy-AM"/>
        </w:rPr>
        <w:t>ՊԵՏԱԿԱՆ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ԲՅՈՒՋԵԻ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ԿԱՏԱՐՄԱՆ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ԸՆԹԱՑՔԻ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ՎԵՐԱԲԵՐՅԱԼ</w:t>
      </w:r>
    </w:p>
    <w:p w:rsidR="00FF75FA" w:rsidRPr="003941F1" w:rsidRDefault="00FF75FA" w:rsidP="00FF75FA">
      <w:pPr>
        <w:spacing w:line="480" w:lineRule="auto"/>
        <w:ind w:right="-187" w:firstLine="561"/>
        <w:rPr>
          <w:rFonts w:ascii="GHEA Grapalat" w:hAnsi="GHEA Grapalat" w:cs="Sylfaen"/>
          <w:b/>
          <w:i/>
          <w:sz w:val="22"/>
          <w:szCs w:val="22"/>
          <w:lang w:val="hy-AM"/>
        </w:rPr>
      </w:pPr>
    </w:p>
    <w:p w:rsidR="00FF75FA" w:rsidRPr="003941F1" w:rsidRDefault="00FF75FA" w:rsidP="00FF75FA">
      <w:pPr>
        <w:spacing w:line="480" w:lineRule="auto"/>
        <w:ind w:left="561" w:right="-187"/>
        <w:rPr>
          <w:rFonts w:ascii="GHEA Grapalat" w:hAnsi="GHEA Grapalat" w:cs="Sylfaen"/>
          <w:b/>
          <w:i/>
          <w:sz w:val="22"/>
          <w:szCs w:val="22"/>
          <w:lang w:val="hy-AM"/>
        </w:rPr>
      </w:pPr>
      <w:r w:rsidRPr="003941F1">
        <w:rPr>
          <w:rFonts w:ascii="GHEA Grapalat" w:hAnsi="GHEA Grapalat" w:cs="Sylfaen"/>
          <w:b/>
          <w:i/>
          <w:sz w:val="22"/>
          <w:szCs w:val="22"/>
          <w:lang w:val="hy-AM"/>
        </w:rPr>
        <w:t>ՀՀ</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ՍՈՑԻԱԼ</w:t>
      </w:r>
      <w:r w:rsidRPr="003941F1">
        <w:rPr>
          <w:rFonts w:ascii="GHEA Grapalat" w:hAnsi="GHEA Grapalat" w:cs="Calibri"/>
          <w:b/>
          <w:i/>
          <w:sz w:val="22"/>
          <w:szCs w:val="22"/>
          <w:lang w:val="hy-AM"/>
        </w:rPr>
        <w:t>-</w:t>
      </w:r>
      <w:r w:rsidRPr="003941F1">
        <w:rPr>
          <w:rFonts w:ascii="GHEA Grapalat" w:hAnsi="GHEA Grapalat" w:cs="Sylfaen"/>
          <w:b/>
          <w:i/>
          <w:sz w:val="22"/>
          <w:szCs w:val="22"/>
          <w:lang w:val="hy-AM"/>
        </w:rPr>
        <w:t>ՏՆՏԵՍԱԿԱՆ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ԻՐԱՎԻՃԱԿԸ</w:t>
      </w:r>
    </w:p>
    <w:p w:rsidR="00B93ADB" w:rsidRPr="00446AF7" w:rsidRDefault="00B93ADB"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t xml:space="preserve">2016 թվականի առաջին եռամսյակի տվյալների ամփոփումը ցույց տվեց, որ տնտեսության զարգացումն ընթանում է նախորդ տարվա համեմատ ավելի արագ տեմպերով` պայմանավորված հիմնականում ծառայությունների և արդյունաբերության աճով: </w:t>
      </w:r>
    </w:p>
    <w:p w:rsidR="00B93ADB" w:rsidRPr="00446AF7" w:rsidRDefault="00B93ADB"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t>2016 թվականի առաջին եռամսյակում ՀՀ սպառողական շուկայում արձանագրվել է միջին գների նվազում` 1.4%-ով: Արձանագրվել է պետական բյուջեի ընդհանուր եկամուտների անվանական շուրջ 0.3 % և ծախսերի գծով</w:t>
      </w:r>
      <w:r w:rsidR="00446AF7" w:rsidRPr="009272AD">
        <w:rPr>
          <w:rFonts w:ascii="GHEA Grapalat" w:hAnsi="GHEA Grapalat" w:cs="Sylfaen"/>
          <w:sz w:val="22"/>
          <w:szCs w:val="22"/>
          <w:lang w:val="hy-AM"/>
        </w:rPr>
        <w:t>՝</w:t>
      </w:r>
      <w:r w:rsidRPr="00446AF7">
        <w:rPr>
          <w:rFonts w:ascii="GHEA Grapalat" w:hAnsi="GHEA Grapalat" w:cs="Sylfaen"/>
          <w:sz w:val="22"/>
          <w:szCs w:val="22"/>
          <w:lang w:val="hy-AM"/>
        </w:rPr>
        <w:t xml:space="preserve"> 5.7% աճ: Հարկաբյուջետային քաղաքականությունը 2016 թվականի առաջին եռամսյակի արդյունքներով ամբողջական պահանջարկի վրա թողել է ընդլայնող ազդեցություն: </w:t>
      </w:r>
    </w:p>
    <w:p w:rsidR="001C0D1F" w:rsidRPr="00446AF7" w:rsidRDefault="001C0D1F" w:rsidP="00446AF7">
      <w:pPr>
        <w:spacing w:line="360" w:lineRule="auto"/>
        <w:ind w:right="-12" w:firstLine="561"/>
        <w:jc w:val="both"/>
        <w:rPr>
          <w:rFonts w:ascii="GHEA Grapalat" w:hAnsi="GHEA Grapalat" w:cs="Sylfaen"/>
          <w:sz w:val="22"/>
          <w:szCs w:val="22"/>
          <w:lang w:val="hy-AM"/>
        </w:rPr>
      </w:pPr>
    </w:p>
    <w:p w:rsidR="001C0D1F" w:rsidRPr="009272AD" w:rsidRDefault="00CD4C90" w:rsidP="00BA0949">
      <w:pPr>
        <w:autoSpaceDE w:val="0"/>
        <w:autoSpaceDN w:val="0"/>
        <w:adjustRightInd w:val="0"/>
        <w:spacing w:line="480" w:lineRule="auto"/>
        <w:ind w:firstLine="540"/>
        <w:jc w:val="both"/>
        <w:rPr>
          <w:rFonts w:ascii="GHEA Grapalat" w:hAnsi="GHEA Grapalat"/>
          <w:sz w:val="22"/>
          <w:szCs w:val="22"/>
          <w:lang w:val="hy-AM"/>
        </w:rPr>
      </w:pPr>
      <w:r w:rsidRPr="009272AD">
        <w:rPr>
          <w:rFonts w:ascii="GHEA Grapalat" w:hAnsi="GHEA Grapalat" w:cs="Sylfaen"/>
          <w:b/>
          <w:i/>
          <w:sz w:val="22"/>
          <w:szCs w:val="22"/>
          <w:lang w:val="hy-AM"/>
        </w:rPr>
        <w:t>Համախառն առաջարկ</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t>2016 թվականի հունվար-մարտին տնտեսական ակտիվությունն արագացել է նախորդ տարվա համեմատությամբ: Ընդ որում</w:t>
      </w:r>
      <w:r w:rsidR="00FF0CAA" w:rsidRPr="009272AD">
        <w:rPr>
          <w:rFonts w:ascii="GHEA Grapalat" w:hAnsi="GHEA Grapalat" w:cs="Sylfaen"/>
          <w:sz w:val="22"/>
          <w:szCs w:val="22"/>
          <w:lang w:val="hy-AM"/>
        </w:rPr>
        <w:t>,</w:t>
      </w:r>
      <w:r w:rsidRPr="00446AF7">
        <w:rPr>
          <w:rFonts w:ascii="GHEA Grapalat" w:hAnsi="GHEA Grapalat" w:cs="Sylfaen"/>
          <w:sz w:val="22"/>
          <w:szCs w:val="22"/>
          <w:lang w:val="hy-AM"/>
        </w:rPr>
        <w:t xml:space="preserve"> աճն ապահովվել է նախորդ տարվանից սկսված արտաքին աշխարհից եկող ոչ բարենպաստ տնտեսական զարգացումների պայմաններում, մասնավորապես՝ Ռուսաստանի տնտեսությունը և հումքային ապրանքների գները շարունակում են նվազել: Նախորդ տարվա նույն ժամանակահատվածի նկատմամբ գրանցվել է տնտեսական ակտիվության իրական արտահայտությամբ 5.5% աճ, որը գերազանցում է նախորդ տարվա ցուցանիշը 2.5 տոկոսային կետով: Տնտեսական ակտիվությանն ամենամեծ դրական նպաստումն են ունեցել ծառայությունների (3.5 տոկոսային կետ) և արդյունաբերության (1.6 տոկոսային կետ) ճյուղերը: Գյուղատնտեսությունը դրական է նպաստել 0.6 տոկոսային կետով, իսկ շինարարությունը բացասական է նպաստել տնտեսական ակտիվությանը 0.2 տոկոսային կետով: Գործընկեր երկրների տնտեսություններից եկող բացասական զարգացումներն իրենց արտացոլումն են գտել հիմնականում իրական տնօրինվող եկամտի փոքր աճի վրա՝ հանգեցնելով առևտրի նվազմանը: </w:t>
      </w:r>
    </w:p>
    <w:p w:rsidR="00446AF7" w:rsidRPr="009272AD" w:rsidRDefault="00446AF7" w:rsidP="00446AF7">
      <w:pPr>
        <w:autoSpaceDE w:val="0"/>
        <w:autoSpaceDN w:val="0"/>
        <w:adjustRightInd w:val="0"/>
        <w:spacing w:line="336" w:lineRule="auto"/>
        <w:ind w:firstLine="540"/>
        <w:jc w:val="both"/>
        <w:rPr>
          <w:rFonts w:ascii="GHEA Grapalat" w:hAnsi="GHEA Grapalat"/>
          <w:lang w:val="hy-AM"/>
        </w:rPr>
      </w:pPr>
    </w:p>
    <w:p w:rsidR="00446AF7" w:rsidRPr="009272AD" w:rsidRDefault="00446AF7" w:rsidP="00446AF7">
      <w:pPr>
        <w:spacing w:line="360" w:lineRule="auto"/>
        <w:rPr>
          <w:rFonts w:ascii="GHEA Grapalat" w:hAnsi="GHEA Grapalat" w:cs="Sylfaen"/>
          <w:b/>
          <w:sz w:val="22"/>
          <w:szCs w:val="22"/>
          <w:lang w:val="hy-AM"/>
        </w:rPr>
      </w:pPr>
    </w:p>
    <w:p w:rsidR="00446AF7" w:rsidRPr="009272AD" w:rsidRDefault="00446AF7" w:rsidP="00446AF7">
      <w:pPr>
        <w:spacing w:line="360" w:lineRule="auto"/>
        <w:rPr>
          <w:rFonts w:ascii="GHEA Grapalat" w:hAnsi="GHEA Grapalat" w:cs="Sylfaen"/>
          <w:b/>
          <w:sz w:val="22"/>
          <w:szCs w:val="22"/>
          <w:lang w:val="hy-AM"/>
        </w:rPr>
      </w:pPr>
    </w:p>
    <w:p w:rsidR="00446AF7" w:rsidRPr="009272AD" w:rsidRDefault="00446AF7" w:rsidP="00446AF7">
      <w:pPr>
        <w:spacing w:line="360" w:lineRule="auto"/>
        <w:rPr>
          <w:rFonts w:ascii="GHEA Grapalat" w:hAnsi="GHEA Grapalat" w:cs="Sylfaen"/>
          <w:b/>
          <w:sz w:val="22"/>
          <w:szCs w:val="22"/>
          <w:lang w:val="hy-AM"/>
        </w:rPr>
      </w:pPr>
    </w:p>
    <w:p w:rsidR="00446AF7" w:rsidRPr="009272AD" w:rsidRDefault="00446AF7" w:rsidP="00446AF7">
      <w:pPr>
        <w:spacing w:line="360" w:lineRule="auto"/>
        <w:rPr>
          <w:rFonts w:ascii="GHEA Grapalat" w:hAnsi="GHEA Grapalat" w:cs="Sylfaen"/>
          <w:b/>
          <w:sz w:val="22"/>
          <w:szCs w:val="22"/>
          <w:lang w:val="hy-AM"/>
        </w:rPr>
      </w:pPr>
    </w:p>
    <w:p w:rsidR="00446AF7" w:rsidRPr="009272AD" w:rsidRDefault="00446AF7" w:rsidP="00446AF7">
      <w:pPr>
        <w:spacing w:line="360" w:lineRule="auto"/>
        <w:rPr>
          <w:rFonts w:ascii="GHEA Grapalat" w:hAnsi="GHEA Grapalat" w:cs="Sylfaen"/>
          <w:sz w:val="22"/>
          <w:szCs w:val="22"/>
          <w:lang w:val="hy-AM"/>
        </w:rPr>
      </w:pPr>
      <w:r w:rsidRPr="009272AD">
        <w:rPr>
          <w:rFonts w:ascii="GHEA Grapalat" w:hAnsi="GHEA Grapalat" w:cs="Sylfaen"/>
          <w:b/>
          <w:sz w:val="22"/>
          <w:szCs w:val="22"/>
          <w:lang w:val="hy-AM"/>
        </w:rPr>
        <w:lastRenderedPageBreak/>
        <w:t>Գծապատկեր 1.</w:t>
      </w:r>
      <w:r w:rsidRPr="009272AD">
        <w:rPr>
          <w:rFonts w:ascii="GHEA Grapalat" w:hAnsi="GHEA Grapalat" w:cs="Sylfaen"/>
          <w:sz w:val="22"/>
          <w:szCs w:val="22"/>
          <w:lang w:val="hy-AM"/>
        </w:rPr>
        <w:t xml:space="preserve"> 2015-2016 թվականների հունվար-մարտ ամիսներին տնտեսության ճյուղերի թողարկումների նպաստումները տնտեսական ակտիվության իրական աճին, տոկոսային կետ</w:t>
      </w:r>
    </w:p>
    <w:p w:rsidR="00446AF7" w:rsidRPr="009272AD" w:rsidRDefault="00446AF7" w:rsidP="00446AF7">
      <w:pPr>
        <w:spacing w:line="360" w:lineRule="auto"/>
        <w:rPr>
          <w:rFonts w:ascii="GHEA Grapalat" w:hAnsi="GHEA Grapalat" w:cs="Sylfaen"/>
          <w:sz w:val="22"/>
          <w:szCs w:val="22"/>
          <w:lang w:val="hy-AM"/>
        </w:rPr>
      </w:pPr>
    </w:p>
    <w:p w:rsidR="00CD4C90" w:rsidRPr="00CD4C90" w:rsidRDefault="00446AF7" w:rsidP="00446AF7">
      <w:pPr>
        <w:tabs>
          <w:tab w:val="num" w:pos="720"/>
        </w:tabs>
        <w:rPr>
          <w:rFonts w:ascii="GHEA Grapalat" w:hAnsi="GHEA Grapalat"/>
          <w:sz w:val="22"/>
          <w:szCs w:val="22"/>
        </w:rPr>
      </w:pPr>
      <w:r w:rsidRPr="005A364D">
        <w:rPr>
          <w:rFonts w:ascii="GHEA Grapalat" w:hAnsi="GHEA Grapalat" w:cs="Sylfaen"/>
          <w:b/>
          <w:i/>
          <w:noProof/>
          <w:lang w:val="ru-RU" w:eastAsia="ru-RU"/>
        </w:rPr>
        <w:drawing>
          <wp:inline distT="0" distB="0" distL="0" distR="0" wp14:anchorId="572BF03D" wp14:editId="4BAC3258">
            <wp:extent cx="2905125" cy="26384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A364D">
        <w:rPr>
          <w:rFonts w:ascii="GHEA Grapalat" w:hAnsi="GHEA Grapalat" w:cs="Sylfaen"/>
          <w:b/>
          <w:i/>
          <w:noProof/>
          <w:lang w:val="ru-RU" w:eastAsia="ru-RU"/>
        </w:rPr>
        <w:drawing>
          <wp:inline distT="0" distB="0" distL="0" distR="0" wp14:anchorId="2814402C" wp14:editId="2BEEA889">
            <wp:extent cx="2724150" cy="26289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4C90" w:rsidRPr="00BA0949" w:rsidRDefault="00CD4C90" w:rsidP="00BA0949">
      <w:pPr>
        <w:spacing w:line="360" w:lineRule="auto"/>
        <w:ind w:right="-12" w:firstLine="561"/>
        <w:jc w:val="both"/>
        <w:rPr>
          <w:rFonts w:ascii="GHEA Grapalat" w:hAnsi="GHEA Grapalat" w:cs="Sylfaen"/>
          <w:sz w:val="22"/>
          <w:szCs w:val="22"/>
          <w:lang w:val="hy-AM"/>
        </w:rPr>
      </w:pP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9272AD">
        <w:rPr>
          <w:rFonts w:ascii="GHEA Grapalat" w:hAnsi="GHEA Grapalat" w:cs="Sylfaen"/>
          <w:b/>
          <w:sz w:val="22"/>
          <w:szCs w:val="22"/>
          <w:lang w:val="hy-AM"/>
        </w:rPr>
        <w:t>Արդյունաբերություն</w:t>
      </w:r>
      <w:r w:rsidRPr="00BA0949">
        <w:rPr>
          <w:rStyle w:val="ae"/>
          <w:rFonts w:ascii="GHEA Grapalat" w:hAnsi="GHEA Grapalat" w:cs="Sylfaen"/>
          <w:b/>
          <w:sz w:val="22"/>
          <w:szCs w:val="22"/>
        </w:rPr>
        <w:footnoteReference w:id="1"/>
      </w:r>
      <w:r w:rsidR="00BA0949" w:rsidRPr="009272AD">
        <w:rPr>
          <w:rFonts w:ascii="GHEA Grapalat" w:hAnsi="GHEA Grapalat" w:cs="Sylfaen"/>
          <w:b/>
          <w:sz w:val="22"/>
          <w:szCs w:val="22"/>
          <w:lang w:val="hy-AM"/>
        </w:rPr>
        <w:t>:</w:t>
      </w:r>
      <w:r w:rsidRPr="009272AD">
        <w:rPr>
          <w:rFonts w:ascii="GHEA Grapalat" w:hAnsi="GHEA Grapalat" w:cs="Arial LatArm"/>
          <w:b/>
          <w:sz w:val="22"/>
          <w:szCs w:val="22"/>
          <w:lang w:val="hy-AM"/>
        </w:rPr>
        <w:t xml:space="preserve"> </w:t>
      </w:r>
      <w:r w:rsidRPr="00446AF7">
        <w:rPr>
          <w:rFonts w:ascii="GHEA Grapalat" w:hAnsi="GHEA Grapalat" w:cs="Sylfaen"/>
          <w:sz w:val="22"/>
          <w:szCs w:val="22"/>
          <w:lang w:val="hy-AM"/>
        </w:rPr>
        <w:t>201</w:t>
      </w:r>
      <w:r w:rsidR="00C11DBF" w:rsidRPr="009272AD">
        <w:rPr>
          <w:rFonts w:ascii="GHEA Grapalat" w:hAnsi="GHEA Grapalat" w:cs="Sylfaen"/>
          <w:sz w:val="22"/>
          <w:szCs w:val="22"/>
          <w:lang w:val="hy-AM"/>
        </w:rPr>
        <w:t>6</w:t>
      </w:r>
      <w:r w:rsidRPr="00446AF7">
        <w:rPr>
          <w:rFonts w:ascii="GHEA Grapalat" w:hAnsi="GHEA Grapalat" w:cs="Sylfaen"/>
          <w:sz w:val="22"/>
          <w:szCs w:val="22"/>
          <w:lang w:val="hy-AM"/>
        </w:rPr>
        <w:t xml:space="preserve"> թվականի հունվար-մարտին արդյունաբերությունն աճել է՝</w:t>
      </w:r>
      <w:r>
        <w:rPr>
          <w:rFonts w:ascii="GHEA Grapalat" w:hAnsi="GHEA Grapalat" w:cs="Sylfaen"/>
          <w:sz w:val="22"/>
          <w:szCs w:val="22"/>
          <w:lang w:val="hy-AM"/>
        </w:rPr>
        <w:t xml:space="preserve"> </w:t>
      </w:r>
      <w:r w:rsidRPr="00446AF7">
        <w:rPr>
          <w:rFonts w:ascii="GHEA Grapalat" w:hAnsi="GHEA Grapalat" w:cs="Sylfaen"/>
          <w:sz w:val="22"/>
          <w:szCs w:val="22"/>
          <w:lang w:val="hy-AM"/>
        </w:rPr>
        <w:t>պայմանավորված հիմնականում հանքագործական արդյունաբերությամբ: Արձանագրվել է արդյունաբերական արտադրանքի թողարկման ծավալի 8.9% աճ: Չնայած միջազգային շուկայում մետաղների գների նվազման միտումին</w:t>
      </w:r>
      <w:r w:rsidRPr="00BA0949">
        <w:rPr>
          <w:rFonts w:ascii="GHEA Grapalat" w:hAnsi="GHEA Grapalat" w:cs="Sylfaen"/>
          <w:sz w:val="22"/>
          <w:szCs w:val="22"/>
          <w:vertAlign w:val="superscript"/>
          <w:lang w:val="hy-AM"/>
        </w:rPr>
        <w:footnoteReference w:id="2"/>
      </w:r>
      <w:r w:rsidRPr="00446AF7">
        <w:rPr>
          <w:rFonts w:ascii="GHEA Grapalat" w:hAnsi="GHEA Grapalat" w:cs="Sylfaen"/>
          <w:sz w:val="22"/>
          <w:szCs w:val="22"/>
          <w:lang w:val="hy-AM"/>
        </w:rPr>
        <w:t>՝ հանքագործական արդյունաբերությունն աճել է 27.7%-ով, որը կրել է Թեղուտի հանքավայրի շահագործման ազդեցությունը:</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t>Մշակող արդյունաբերությունը նվազել է՝ հիմնականում կրելով արտաքին տնտեսական զարգացումների ազդեցությունը: Մշակող արդյունաբերության նվազումը կազմել է 0.5%, ինչը պայմանավորված է եղել հիմնականում հիմնային մետաղների (21.6%) և սննդամթերքի (5.4%) արտադրության նվազ</w:t>
      </w:r>
      <w:r w:rsidR="008E2E27" w:rsidRPr="009272AD">
        <w:rPr>
          <w:rFonts w:ascii="GHEA Grapalat" w:hAnsi="GHEA Grapalat" w:cs="Sylfaen"/>
          <w:sz w:val="22"/>
          <w:szCs w:val="22"/>
          <w:lang w:val="hy-AM"/>
        </w:rPr>
        <w:t>մամբ</w:t>
      </w:r>
      <w:r w:rsidRPr="00446AF7">
        <w:rPr>
          <w:rFonts w:ascii="GHEA Grapalat" w:hAnsi="GHEA Grapalat" w:cs="Sylfaen"/>
          <w:sz w:val="22"/>
          <w:szCs w:val="22"/>
          <w:lang w:val="hy-AM"/>
        </w:rPr>
        <w:t>: Սննդամթերքի արտադրության իրացման նվազումը տեղի է ունեցել ներքին պահանջարկի նվազման և արտաքին պահանջարկի ավելացման, իսկ հիմնային մետաղների արտադրության իրացման նվազումը` արտաքին պահանջարկի նվազման պայմաններում</w:t>
      </w:r>
      <w:r w:rsidRPr="00BA0949">
        <w:rPr>
          <w:rFonts w:ascii="GHEA Grapalat" w:hAnsi="GHEA Grapalat"/>
          <w:sz w:val="22"/>
          <w:szCs w:val="22"/>
          <w:vertAlign w:val="superscript"/>
          <w:lang w:val="hy-AM"/>
        </w:rPr>
        <w:footnoteReference w:id="3"/>
      </w:r>
      <w:r w:rsidRPr="00446AF7">
        <w:rPr>
          <w:rFonts w:ascii="GHEA Grapalat" w:hAnsi="GHEA Grapalat" w:cs="Sylfaen"/>
          <w:sz w:val="22"/>
          <w:szCs w:val="22"/>
          <w:lang w:val="hy-AM"/>
        </w:rPr>
        <w:t>:</w:t>
      </w:r>
      <w:r>
        <w:rPr>
          <w:rFonts w:ascii="GHEA Grapalat" w:hAnsi="GHEA Grapalat" w:cs="Sylfaen"/>
          <w:sz w:val="22"/>
          <w:szCs w:val="22"/>
          <w:lang w:val="hy-AM"/>
        </w:rPr>
        <w:t xml:space="preserve"> </w:t>
      </w:r>
      <w:r w:rsidRPr="00446AF7">
        <w:rPr>
          <w:rFonts w:ascii="GHEA Grapalat" w:hAnsi="GHEA Grapalat" w:cs="Sylfaen"/>
          <w:sz w:val="22"/>
          <w:szCs w:val="22"/>
          <w:lang w:val="hy-AM"/>
        </w:rPr>
        <w:t>Մշակող արդյունաբերությանն էական դրական նպաստում են ունեցել ծխախոտային արտադրատեսակների արտադրության 51.4% աճը, որը պայմանավորված է ծխախոտի արտահանման ծավալների (հիմնականում դեպի Իրաք) աճով, ինչպես նաև խմիչքների արտադրության 17.5% աճը: Նախորդ տարվա ընթացքում խմիչքների արտադրությանը բնորոշ արտահանման նվազման փոխարեն 2016</w:t>
      </w:r>
      <w:r w:rsidRPr="009272AD">
        <w:rPr>
          <w:rFonts w:ascii="GHEA Grapalat" w:hAnsi="GHEA Grapalat" w:cs="Sylfaen"/>
          <w:sz w:val="22"/>
          <w:szCs w:val="22"/>
          <w:lang w:val="hy-AM"/>
        </w:rPr>
        <w:t xml:space="preserve"> </w:t>
      </w:r>
      <w:r w:rsidRPr="00446AF7">
        <w:rPr>
          <w:rFonts w:ascii="GHEA Grapalat" w:hAnsi="GHEA Grapalat" w:cs="Sylfaen"/>
          <w:sz w:val="22"/>
          <w:szCs w:val="22"/>
          <w:lang w:val="hy-AM"/>
        </w:rPr>
        <w:t>թ</w:t>
      </w:r>
      <w:r w:rsidRPr="009272AD">
        <w:rPr>
          <w:rFonts w:ascii="GHEA Grapalat" w:hAnsi="GHEA Grapalat" w:cs="Sylfaen"/>
          <w:sz w:val="22"/>
          <w:szCs w:val="22"/>
          <w:lang w:val="hy-AM"/>
        </w:rPr>
        <w:t>վականի</w:t>
      </w:r>
      <w:r w:rsidRPr="00446AF7">
        <w:rPr>
          <w:rFonts w:ascii="GHEA Grapalat" w:hAnsi="GHEA Grapalat" w:cs="Sylfaen"/>
          <w:sz w:val="22"/>
          <w:szCs w:val="22"/>
          <w:lang w:val="hy-AM"/>
        </w:rPr>
        <w:t xml:space="preserve"> հունվար-մարտին արտահանումն աճել է: </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lastRenderedPageBreak/>
        <w:t xml:space="preserve">Էլեկտրաէներգիայի և ջրամատակարարման ճյուղերում արձանագրվել </w:t>
      </w:r>
      <w:r w:rsidRPr="009272AD">
        <w:rPr>
          <w:rFonts w:ascii="GHEA Grapalat" w:hAnsi="GHEA Grapalat" w:cs="Sylfaen"/>
          <w:sz w:val="22"/>
          <w:szCs w:val="22"/>
          <w:lang w:val="hy-AM"/>
        </w:rPr>
        <w:t>է</w:t>
      </w:r>
      <w:r w:rsidRPr="00446AF7">
        <w:rPr>
          <w:rFonts w:ascii="GHEA Grapalat" w:hAnsi="GHEA Grapalat" w:cs="Sylfaen"/>
          <w:sz w:val="22"/>
          <w:szCs w:val="22"/>
          <w:lang w:val="hy-AM"/>
        </w:rPr>
        <w:t xml:space="preserve"> համապատասխանաբար 18% և 9.3% աճ: Էլեկտրաէներգիայի աճը հունվար-մարտին պայմանավորված է եղել էլեկտրաէներգիայի արտահանման 2.6 անգամ աճով: Էլեկտրաէներգիայի արտադրության աճը հիմնականում ապահովվել է ՀԷԿ-երի և ՀԱԷԿ-ի կողմից արտադրության ծավալների հ</w:t>
      </w:r>
      <w:r w:rsidR="008E2E27">
        <w:rPr>
          <w:rFonts w:ascii="GHEA Grapalat" w:hAnsi="GHEA Grapalat" w:cs="Sylfaen"/>
          <w:sz w:val="22"/>
          <w:szCs w:val="22"/>
          <w:lang w:val="hy-AM"/>
        </w:rPr>
        <w:t>ամապատասխանաբար 28.2% և 1.1% աճ</w:t>
      </w:r>
      <w:r w:rsidRPr="00446AF7">
        <w:rPr>
          <w:rFonts w:ascii="GHEA Grapalat" w:hAnsi="GHEA Grapalat" w:cs="Sylfaen"/>
          <w:sz w:val="22"/>
          <w:szCs w:val="22"/>
          <w:lang w:val="hy-AM"/>
        </w:rPr>
        <w:t>ի հաշվին, իսկ Ջէկ-երի կողմից արտադրված էլեկտրաէներգիան նվազել է 3.5%-ով:</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Գյուղատնտեսություն</w:t>
      </w:r>
      <w:r w:rsidR="00BA0949" w:rsidRPr="009272AD">
        <w:rPr>
          <w:rFonts w:ascii="GHEA Grapalat" w:hAnsi="GHEA Grapalat" w:cs="Sylfaen"/>
          <w:b/>
          <w:sz w:val="22"/>
          <w:szCs w:val="22"/>
          <w:lang w:val="hy-AM"/>
        </w:rPr>
        <w:t>:</w:t>
      </w:r>
      <w:r w:rsidRPr="00446AF7">
        <w:rPr>
          <w:rFonts w:ascii="GHEA Grapalat" w:hAnsi="GHEA Grapalat" w:cs="Sylfaen"/>
          <w:sz w:val="22"/>
          <w:szCs w:val="22"/>
          <w:lang w:val="hy-AM"/>
        </w:rPr>
        <w:t xml:space="preserve"> Գյուղատնտեսությունը չափավոր աճի ցուցանիշներ է արձանագրել: 2016 թվականի հունվար-մարտին գյուղատնտեսության համախառն թողարկումն աճել է իրական արտահայտությամբ 3.8%-ով: Գյուղատնտեսության աճը հիմնականում պայմանավորված է եղել անասնաբուծության 2.9% աճով: Բուսաբուծությունը և ձկնորսությունը նույնպես նպաստել են գյուղատնտեսությանը՝ աճելով 12.4%</w:t>
      </w:r>
      <w:r w:rsidR="008E2E27" w:rsidRPr="009272AD">
        <w:rPr>
          <w:rFonts w:ascii="GHEA Grapalat" w:hAnsi="GHEA Grapalat" w:cs="Sylfaen"/>
          <w:sz w:val="22"/>
          <w:szCs w:val="22"/>
          <w:lang w:val="hy-AM"/>
        </w:rPr>
        <w:t>-ով</w:t>
      </w:r>
      <w:r w:rsidRPr="00446AF7">
        <w:rPr>
          <w:rFonts w:ascii="GHEA Grapalat" w:hAnsi="GHEA Grapalat" w:cs="Sylfaen"/>
          <w:sz w:val="22"/>
          <w:szCs w:val="22"/>
          <w:lang w:val="hy-AM"/>
        </w:rPr>
        <w:t xml:space="preserve"> և 7.5%-ով: Անասնաբուծության ճյուղի աճը պայմանավորված է եղել մսի և կաթի հ</w:t>
      </w:r>
      <w:r w:rsidR="008E2E27">
        <w:rPr>
          <w:rFonts w:ascii="GHEA Grapalat" w:hAnsi="GHEA Grapalat" w:cs="Sylfaen"/>
          <w:sz w:val="22"/>
          <w:szCs w:val="22"/>
          <w:lang w:val="hy-AM"/>
        </w:rPr>
        <w:t>ամապատասխանաբար 4.4% և 6.1% աճ</w:t>
      </w:r>
      <w:r w:rsidRPr="00446AF7">
        <w:rPr>
          <w:rFonts w:ascii="GHEA Grapalat" w:hAnsi="GHEA Grapalat" w:cs="Sylfaen"/>
          <w:sz w:val="22"/>
          <w:szCs w:val="22"/>
          <w:lang w:val="hy-AM"/>
        </w:rPr>
        <w:t>ով, իսկ ձվի արտադրությունը նվազել է 1.2%-ով: Հատկանշական է, որ գյուղատնտեսության աճն ուղեկցվել է ոլորտում կապիտալ ներդրումների</w:t>
      </w:r>
      <w:r w:rsidRPr="00BA0949">
        <w:rPr>
          <w:rFonts w:ascii="GHEA Grapalat" w:hAnsi="GHEA Grapalat" w:cs="Sylfaen"/>
          <w:sz w:val="22"/>
          <w:szCs w:val="22"/>
          <w:vertAlign w:val="superscript"/>
          <w:lang w:val="hy-AM"/>
        </w:rPr>
        <w:footnoteReference w:id="4"/>
      </w:r>
      <w:r w:rsidRPr="00446AF7">
        <w:rPr>
          <w:rFonts w:ascii="GHEA Grapalat" w:hAnsi="GHEA Grapalat" w:cs="Sylfaen"/>
          <w:sz w:val="22"/>
          <w:szCs w:val="22"/>
          <w:lang w:val="hy-AM"/>
        </w:rPr>
        <w:t xml:space="preserve"> 3.2 անգամ աճով:</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Շինարարություն</w:t>
      </w:r>
      <w:r w:rsidR="00BA0949" w:rsidRPr="009272AD">
        <w:rPr>
          <w:rFonts w:ascii="GHEA Grapalat" w:hAnsi="GHEA Grapalat" w:cs="Sylfaen"/>
          <w:b/>
          <w:sz w:val="22"/>
          <w:szCs w:val="22"/>
          <w:lang w:val="hy-AM"/>
        </w:rPr>
        <w:t>:</w:t>
      </w:r>
      <w:r w:rsidRPr="00446AF7">
        <w:rPr>
          <w:rFonts w:ascii="GHEA Grapalat" w:hAnsi="GHEA Grapalat" w:cs="Sylfaen"/>
          <w:sz w:val="22"/>
          <w:szCs w:val="22"/>
          <w:lang w:val="hy-AM"/>
        </w:rPr>
        <w:t xml:space="preserve"> 2016 թվականի հունվար-մարտին ճյուղում գրանցվել է 2.2% նվազում, ինչը պայմանավորված է եղել հիմնականում կազ</w:t>
      </w:r>
      <w:r w:rsidRPr="00446AF7">
        <w:rPr>
          <w:rFonts w:ascii="GHEA Grapalat" w:hAnsi="GHEA Grapalat" w:cs="Sylfaen"/>
          <w:sz w:val="22"/>
          <w:szCs w:val="22"/>
          <w:lang w:val="hy-AM"/>
        </w:rPr>
        <w:softHyphen/>
        <w:t>մա</w:t>
      </w:r>
      <w:r w:rsidRPr="00446AF7">
        <w:rPr>
          <w:rFonts w:ascii="GHEA Grapalat" w:hAnsi="GHEA Grapalat" w:cs="Sylfaen"/>
          <w:sz w:val="22"/>
          <w:szCs w:val="22"/>
          <w:lang w:val="hy-AM"/>
        </w:rPr>
        <w:softHyphen/>
        <w:t>կերպությունների միջոցների հաշվին իրականացված շինարարության ծավալների (24.7%), պետական բյուջեի միջոցների հաշվին իրականացված շինարարության ծավալների (34.1%) և բնակչության միջոցների հաշվին իրականացված շինարարության ծավալների (18.5%) կրճատմամբ: Շինարարությանը դրական</w:t>
      </w:r>
      <w:r w:rsidR="008E2E27" w:rsidRPr="009272AD">
        <w:rPr>
          <w:rFonts w:ascii="GHEA Grapalat" w:hAnsi="GHEA Grapalat" w:cs="Sylfaen"/>
          <w:sz w:val="22"/>
          <w:szCs w:val="22"/>
          <w:lang w:val="hy-AM"/>
        </w:rPr>
        <w:t>որեն</w:t>
      </w:r>
      <w:r w:rsidRPr="00446AF7">
        <w:rPr>
          <w:rFonts w:ascii="GHEA Grapalat" w:hAnsi="GHEA Grapalat" w:cs="Sylfaen"/>
          <w:sz w:val="22"/>
          <w:szCs w:val="22"/>
          <w:lang w:val="hy-AM"/>
        </w:rPr>
        <w:t xml:space="preserve"> է նպաստել միջազգային վարկերի միջոցներով իրականացված շինարարության ծավալների (4.1 անգամ) աճը: </w:t>
      </w:r>
    </w:p>
    <w:p w:rsidR="00446AF7" w:rsidRPr="00446AF7" w:rsidRDefault="00446AF7" w:rsidP="00446AF7">
      <w:pPr>
        <w:spacing w:line="360" w:lineRule="auto"/>
        <w:ind w:right="-12" w:firstLine="561"/>
        <w:jc w:val="both"/>
        <w:rPr>
          <w:rFonts w:ascii="GHEA Grapalat" w:hAnsi="GHEA Grapalat" w:cs="Sylfaen"/>
          <w:sz w:val="22"/>
          <w:szCs w:val="22"/>
          <w:lang w:val="hy-AM"/>
        </w:rPr>
      </w:pPr>
      <w:r w:rsidRPr="00446AF7">
        <w:rPr>
          <w:rFonts w:ascii="GHEA Grapalat" w:hAnsi="GHEA Grapalat" w:cs="Sylfaen"/>
          <w:sz w:val="22"/>
          <w:szCs w:val="22"/>
          <w:lang w:val="hy-AM"/>
        </w:rPr>
        <w:t>Ըստ տնտեսական գործունեության տեսակների շինարարությանը հիմնականում դրական</w:t>
      </w:r>
      <w:r w:rsidR="008E2E27" w:rsidRPr="009272AD">
        <w:rPr>
          <w:rFonts w:ascii="GHEA Grapalat" w:hAnsi="GHEA Grapalat" w:cs="Sylfaen"/>
          <w:sz w:val="22"/>
          <w:szCs w:val="22"/>
          <w:lang w:val="hy-AM"/>
        </w:rPr>
        <w:t>որեն</w:t>
      </w:r>
      <w:r w:rsidRPr="00446AF7">
        <w:rPr>
          <w:rFonts w:ascii="GHEA Grapalat" w:hAnsi="GHEA Grapalat" w:cs="Sylfaen"/>
          <w:sz w:val="22"/>
          <w:szCs w:val="22"/>
          <w:lang w:val="hy-AM"/>
        </w:rPr>
        <w:t xml:space="preserve"> </w:t>
      </w:r>
      <w:r w:rsidR="008E2E27" w:rsidRPr="009272AD">
        <w:rPr>
          <w:rFonts w:ascii="GHEA Grapalat" w:hAnsi="GHEA Grapalat" w:cs="Sylfaen"/>
          <w:sz w:val="22"/>
          <w:szCs w:val="22"/>
          <w:lang w:val="hy-AM"/>
        </w:rPr>
        <w:t>է</w:t>
      </w:r>
      <w:r w:rsidRPr="00446AF7">
        <w:rPr>
          <w:rFonts w:ascii="GHEA Grapalat" w:hAnsi="GHEA Grapalat" w:cs="Sylfaen"/>
          <w:sz w:val="22"/>
          <w:szCs w:val="22"/>
          <w:lang w:val="hy-AM"/>
        </w:rPr>
        <w:t xml:space="preserve"> նպաստել տրանսպորտի գործունեության (4 անգամ), մշակույթ</w:t>
      </w:r>
      <w:r w:rsidR="008E2E27" w:rsidRPr="009272AD">
        <w:rPr>
          <w:rFonts w:ascii="GHEA Grapalat" w:hAnsi="GHEA Grapalat" w:cs="Sylfaen"/>
          <w:sz w:val="22"/>
          <w:szCs w:val="22"/>
          <w:lang w:val="hy-AM"/>
        </w:rPr>
        <w:t>ի</w:t>
      </w:r>
      <w:r w:rsidRPr="00446AF7">
        <w:rPr>
          <w:rFonts w:ascii="GHEA Grapalat" w:hAnsi="GHEA Grapalat" w:cs="Sylfaen"/>
          <w:sz w:val="22"/>
          <w:szCs w:val="22"/>
          <w:lang w:val="hy-AM"/>
        </w:rPr>
        <w:t>, զվարճություններ</w:t>
      </w:r>
      <w:r w:rsidR="008E2E27" w:rsidRPr="009272AD">
        <w:rPr>
          <w:rFonts w:ascii="GHEA Grapalat" w:hAnsi="GHEA Grapalat" w:cs="Sylfaen"/>
          <w:sz w:val="22"/>
          <w:szCs w:val="22"/>
          <w:lang w:val="hy-AM"/>
        </w:rPr>
        <w:t>ի</w:t>
      </w:r>
      <w:r w:rsidRPr="00446AF7">
        <w:rPr>
          <w:rFonts w:ascii="GHEA Grapalat" w:hAnsi="GHEA Grapalat" w:cs="Sylfaen"/>
          <w:sz w:val="22"/>
          <w:szCs w:val="22"/>
          <w:lang w:val="hy-AM"/>
        </w:rPr>
        <w:t xml:space="preserve"> և հանգստի (3 անգամ), ինչպես նաև գյուղատնտեսության և անտառային տնտեսության (3.2 անգ</w:t>
      </w:r>
      <w:r w:rsidR="008E2E27">
        <w:rPr>
          <w:rFonts w:ascii="GHEA Grapalat" w:hAnsi="GHEA Grapalat" w:cs="Sylfaen"/>
          <w:sz w:val="22"/>
          <w:szCs w:val="22"/>
          <w:lang w:val="hy-AM"/>
        </w:rPr>
        <w:t>ամ) շինարարության ծավալների աճ</w:t>
      </w:r>
      <w:r w:rsidRPr="00446AF7">
        <w:rPr>
          <w:rFonts w:ascii="GHEA Grapalat" w:hAnsi="GHEA Grapalat" w:cs="Sylfaen"/>
          <w:sz w:val="22"/>
          <w:szCs w:val="22"/>
          <w:lang w:val="hy-AM"/>
        </w:rPr>
        <w:t xml:space="preserve">ը: Միևնույն ժամանակ, բացասական ազդեցություն </w:t>
      </w:r>
      <w:r w:rsidR="008E2E27" w:rsidRPr="009272AD">
        <w:rPr>
          <w:rFonts w:ascii="GHEA Grapalat" w:hAnsi="GHEA Grapalat" w:cs="Sylfaen"/>
          <w:sz w:val="22"/>
          <w:szCs w:val="22"/>
          <w:lang w:val="hy-AM"/>
        </w:rPr>
        <w:t>է</w:t>
      </w:r>
      <w:r w:rsidRPr="00446AF7">
        <w:rPr>
          <w:rFonts w:ascii="GHEA Grapalat" w:hAnsi="GHEA Grapalat" w:cs="Sylfaen"/>
          <w:sz w:val="22"/>
          <w:szCs w:val="22"/>
          <w:lang w:val="hy-AM"/>
        </w:rPr>
        <w:t xml:space="preserve"> ունեցել հիմնականում անշարժ գույքի հետ կապված գործունեության (38%), ջրամատակարարման, կոյուղու և թափոնների կառավարմանն (62.7%) ու կացություն և հանրային սննդի կազմակերպմանն (60.9%) ուղղված շինարարության ծավալների կրճատումը: </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Ծառայություններ և առևտուր</w:t>
      </w:r>
      <w:r w:rsidR="00BA0949" w:rsidRPr="009272AD">
        <w:rPr>
          <w:rFonts w:ascii="GHEA Grapalat" w:hAnsi="GHEA Grapalat" w:cs="Sylfaen"/>
          <w:b/>
          <w:sz w:val="22"/>
          <w:szCs w:val="22"/>
          <w:lang w:val="hy-AM"/>
        </w:rPr>
        <w:t>:</w:t>
      </w:r>
      <w:r w:rsidRPr="00BA0949">
        <w:rPr>
          <w:rFonts w:ascii="GHEA Grapalat" w:hAnsi="GHEA Grapalat" w:cs="Sylfaen"/>
          <w:sz w:val="22"/>
          <w:szCs w:val="22"/>
          <w:lang w:val="hy-AM"/>
        </w:rPr>
        <w:t xml:space="preserve"> </w:t>
      </w:r>
      <w:r w:rsidRPr="007C46CC">
        <w:rPr>
          <w:rFonts w:ascii="GHEA Grapalat" w:hAnsi="GHEA Grapalat" w:cs="Sylfaen"/>
          <w:sz w:val="22"/>
          <w:szCs w:val="22"/>
          <w:lang w:val="hy-AM"/>
        </w:rPr>
        <w:t xml:space="preserve">2016 թվականի հունվար-մարտին ծառայություններն աճել են 10%-ով, ինչին հիմնականում նպաստել </w:t>
      </w:r>
      <w:r w:rsidR="001C05B7" w:rsidRPr="009272AD">
        <w:rPr>
          <w:rFonts w:ascii="GHEA Grapalat" w:hAnsi="GHEA Grapalat" w:cs="Sylfaen"/>
          <w:sz w:val="22"/>
          <w:szCs w:val="22"/>
          <w:lang w:val="hy-AM"/>
        </w:rPr>
        <w:t>է</w:t>
      </w:r>
      <w:r w:rsidRPr="007C46CC">
        <w:rPr>
          <w:rFonts w:ascii="GHEA Grapalat" w:hAnsi="GHEA Grapalat" w:cs="Sylfaen"/>
          <w:sz w:val="22"/>
          <w:szCs w:val="22"/>
          <w:lang w:val="hy-AM"/>
        </w:rPr>
        <w:t xml:space="preserve"> տրանսպորտի (25.7%), մշակույթի, զվարճու</w:t>
      </w:r>
      <w:r w:rsidRPr="007C46CC">
        <w:rPr>
          <w:rFonts w:ascii="GHEA Grapalat" w:hAnsi="GHEA Grapalat" w:cs="Sylfaen"/>
          <w:sz w:val="22"/>
          <w:szCs w:val="22"/>
          <w:lang w:val="hy-AM"/>
        </w:rPr>
        <w:softHyphen/>
        <w:t>թյուն</w:t>
      </w:r>
      <w:r w:rsidRPr="007C46CC">
        <w:rPr>
          <w:rFonts w:ascii="GHEA Grapalat" w:hAnsi="GHEA Grapalat" w:cs="Sylfaen"/>
          <w:sz w:val="22"/>
          <w:szCs w:val="22"/>
          <w:lang w:val="hy-AM"/>
        </w:rPr>
        <w:softHyphen/>
        <w:t xml:space="preserve">ների </w:t>
      </w:r>
      <w:r w:rsidR="00FF0CAA" w:rsidRPr="009272AD">
        <w:rPr>
          <w:rFonts w:ascii="GHEA Grapalat" w:hAnsi="GHEA Grapalat" w:cs="Sylfaen"/>
          <w:sz w:val="22"/>
          <w:szCs w:val="22"/>
          <w:lang w:val="hy-AM"/>
        </w:rPr>
        <w:t>ու</w:t>
      </w:r>
      <w:r w:rsidRPr="007C46CC">
        <w:rPr>
          <w:rFonts w:ascii="GHEA Grapalat" w:hAnsi="GHEA Grapalat" w:cs="Sylfaen"/>
          <w:sz w:val="22"/>
          <w:szCs w:val="22"/>
          <w:lang w:val="hy-AM"/>
        </w:rPr>
        <w:t xml:space="preserve"> հանգստի (46.1%) և ֆինանսական </w:t>
      </w:r>
      <w:r w:rsidR="00FF0CAA" w:rsidRPr="009272AD">
        <w:rPr>
          <w:rFonts w:ascii="GHEA Grapalat" w:hAnsi="GHEA Grapalat" w:cs="Sylfaen"/>
          <w:sz w:val="22"/>
          <w:szCs w:val="22"/>
          <w:lang w:val="hy-AM"/>
        </w:rPr>
        <w:t>ու</w:t>
      </w:r>
      <w:r w:rsidRPr="007C46CC">
        <w:rPr>
          <w:rFonts w:ascii="GHEA Grapalat" w:hAnsi="GHEA Grapalat" w:cs="Sylfaen"/>
          <w:sz w:val="22"/>
          <w:szCs w:val="22"/>
          <w:lang w:val="hy-AM"/>
        </w:rPr>
        <w:t xml:space="preserve"> ապահովագրական գործունեության (2.8%) աճը: </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7C46CC">
        <w:rPr>
          <w:rFonts w:ascii="GHEA Grapalat" w:hAnsi="GHEA Grapalat" w:cs="Sylfaen"/>
          <w:sz w:val="22"/>
          <w:szCs w:val="22"/>
          <w:lang w:val="hy-AM"/>
        </w:rPr>
        <w:t>Ծառայությունների աճի</w:t>
      </w:r>
      <w:r w:rsidR="001C05B7" w:rsidRPr="009272AD">
        <w:rPr>
          <w:rFonts w:ascii="GHEA Grapalat" w:hAnsi="GHEA Grapalat" w:cs="Sylfaen"/>
          <w:sz w:val="22"/>
          <w:szCs w:val="22"/>
          <w:lang w:val="hy-AM"/>
        </w:rPr>
        <w:t xml:space="preserve"> վրա</w:t>
      </w:r>
      <w:r w:rsidRPr="007C46CC">
        <w:rPr>
          <w:rFonts w:ascii="GHEA Grapalat" w:hAnsi="GHEA Grapalat" w:cs="Sylfaen"/>
          <w:sz w:val="22"/>
          <w:szCs w:val="22"/>
          <w:lang w:val="hy-AM"/>
        </w:rPr>
        <w:t xml:space="preserve"> բացասա</w:t>
      </w:r>
      <w:r w:rsidR="001C05B7" w:rsidRPr="009272AD">
        <w:rPr>
          <w:rFonts w:ascii="GHEA Grapalat" w:hAnsi="GHEA Grapalat" w:cs="Sylfaen"/>
          <w:sz w:val="22"/>
          <w:szCs w:val="22"/>
          <w:lang w:val="hy-AM"/>
        </w:rPr>
        <w:t>բար</w:t>
      </w:r>
      <w:r w:rsidRPr="007C46CC">
        <w:rPr>
          <w:rFonts w:ascii="GHEA Grapalat" w:hAnsi="GHEA Grapalat" w:cs="Sylfaen"/>
          <w:sz w:val="22"/>
          <w:szCs w:val="22"/>
          <w:lang w:val="hy-AM"/>
        </w:rPr>
        <w:t xml:space="preserve"> է ազդել հիմնականում մասնագիտական, գիտական և տեխնիկական գործունեություն ենթաճյուղի (20.2%) նվազումը: </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7C46CC">
        <w:rPr>
          <w:rFonts w:ascii="GHEA Grapalat" w:hAnsi="GHEA Grapalat" w:cs="Sylfaen"/>
          <w:sz w:val="22"/>
          <w:szCs w:val="22"/>
          <w:lang w:val="hy-AM"/>
        </w:rPr>
        <w:lastRenderedPageBreak/>
        <w:t>2016 թվականի հունվար-մարտ ամիսներին առևտրի շրջանառությունը նախորդ տարվա նույն ժամանակաշրջանի նկատմամբ նվազել է 1.1%-ով: Առևտրի անկումը պայմանավորվել է մանրածախ առևտրի 4.8% նվազմամբ: Մեծածախ առևտուր</w:t>
      </w:r>
      <w:r w:rsidR="001C05B7" w:rsidRPr="009272AD">
        <w:rPr>
          <w:rFonts w:ascii="GHEA Grapalat" w:hAnsi="GHEA Grapalat" w:cs="Sylfaen"/>
          <w:sz w:val="22"/>
          <w:szCs w:val="22"/>
          <w:lang w:val="hy-AM"/>
        </w:rPr>
        <w:t>ն</w:t>
      </w:r>
      <w:r w:rsidR="001C05B7">
        <w:rPr>
          <w:rFonts w:ascii="GHEA Grapalat" w:hAnsi="GHEA Grapalat" w:cs="Sylfaen"/>
          <w:sz w:val="22"/>
          <w:szCs w:val="22"/>
          <w:lang w:val="hy-AM"/>
        </w:rPr>
        <w:t xml:space="preserve"> ունեցել է դրական ազդեցություն</w:t>
      </w:r>
      <w:r w:rsidR="001C05B7" w:rsidRPr="009272AD">
        <w:rPr>
          <w:rFonts w:ascii="GHEA Grapalat" w:hAnsi="GHEA Grapalat" w:cs="Sylfaen"/>
          <w:sz w:val="22"/>
          <w:szCs w:val="22"/>
          <w:lang w:val="hy-AM"/>
        </w:rPr>
        <w:t>՝</w:t>
      </w:r>
      <w:r w:rsidRPr="007C46CC">
        <w:rPr>
          <w:rFonts w:ascii="GHEA Grapalat" w:hAnsi="GHEA Grapalat" w:cs="Sylfaen"/>
          <w:sz w:val="22"/>
          <w:szCs w:val="22"/>
          <w:lang w:val="hy-AM"/>
        </w:rPr>
        <w:t xml:space="preserve"> աճելով 4.7%-ով, իսկ ավտոմեքենաների առևտուրը՝ չեզոք ազդեցություն:</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7C46CC">
        <w:rPr>
          <w:rFonts w:ascii="GHEA Grapalat" w:hAnsi="GHEA Grapalat" w:cs="Sylfaen"/>
          <w:sz w:val="22"/>
          <w:szCs w:val="22"/>
          <w:lang w:val="hy-AM"/>
        </w:rPr>
        <w:t xml:space="preserve"> Առևտրի նվազման դանդաղումը և ծառայությունների աճը հիմնականում բնակչության տնօրինվող եկամտի աճի, ինչպես նաև ոլորտի վարկավորման ծավալների ավելացման հետևանք են:</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Տրանսպորտ և կապ</w:t>
      </w:r>
      <w:r w:rsidR="00BA0949" w:rsidRPr="009272AD">
        <w:rPr>
          <w:rFonts w:ascii="GHEA Grapalat" w:hAnsi="GHEA Grapalat" w:cs="Sylfaen"/>
          <w:b/>
          <w:sz w:val="22"/>
          <w:szCs w:val="22"/>
          <w:lang w:val="hy-AM"/>
        </w:rPr>
        <w:t>:</w:t>
      </w:r>
      <w:r w:rsidRPr="007C46CC">
        <w:rPr>
          <w:rFonts w:ascii="GHEA Grapalat" w:hAnsi="GHEA Grapalat" w:cs="Sylfaen"/>
          <w:sz w:val="22"/>
          <w:szCs w:val="22"/>
          <w:lang w:val="hy-AM"/>
        </w:rPr>
        <w:t xml:space="preserve"> 2016 թվականի հունվար-մարտին հանրապետությունում ընդհանուր օգտագործման տրանսպորտով բեռնափոխադրումների ծավալը կտրուկ աճի, իսկ ուղևորափոխադրումների ծավալը</w:t>
      </w:r>
      <w:r w:rsidR="001C05B7" w:rsidRPr="009272AD">
        <w:rPr>
          <w:rFonts w:ascii="GHEA Grapalat" w:hAnsi="GHEA Grapalat" w:cs="Sylfaen"/>
          <w:sz w:val="22"/>
          <w:szCs w:val="22"/>
          <w:lang w:val="hy-AM"/>
        </w:rPr>
        <w:t>՝</w:t>
      </w:r>
      <w:r w:rsidRPr="007C46CC">
        <w:rPr>
          <w:rFonts w:ascii="GHEA Grapalat" w:hAnsi="GHEA Grapalat" w:cs="Sylfaen"/>
          <w:sz w:val="22"/>
          <w:szCs w:val="22"/>
          <w:lang w:val="hy-AM"/>
        </w:rPr>
        <w:t xml:space="preserve"> նվազման միտում են դրսևորել:</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7C46CC">
        <w:rPr>
          <w:rFonts w:ascii="GHEA Grapalat" w:hAnsi="GHEA Grapalat" w:cs="Sylfaen"/>
          <w:sz w:val="22"/>
          <w:szCs w:val="22"/>
          <w:lang w:val="hy-AM"/>
        </w:rPr>
        <w:t>Ընդհանուր օգտագործման տրանսպորտով բեռնափոխադրումների ծավալն աճել է 62.9%-ով, ինչը պայմանավորված է եղել հիմնականում ավտոմոբիլային տրանսպորտի 2.3 անգամ աճով՝ հիմնականում ներհանրապետական ավտոմոբիլային փոխադրումների 2.9 անգամ աճի հաշվին: Երկաթուղային և օդային տրանսպորտով բեռնափոխադրումները նույնպես աճել են</w:t>
      </w:r>
      <w:r w:rsidR="001C05B7" w:rsidRPr="009272AD">
        <w:rPr>
          <w:rFonts w:ascii="GHEA Grapalat" w:hAnsi="GHEA Grapalat" w:cs="Sylfaen"/>
          <w:sz w:val="22"/>
          <w:szCs w:val="22"/>
          <w:lang w:val="hy-AM"/>
        </w:rPr>
        <w:t>՝</w:t>
      </w:r>
      <w:r w:rsidRPr="007C46CC">
        <w:rPr>
          <w:rFonts w:ascii="GHEA Grapalat" w:hAnsi="GHEA Grapalat" w:cs="Sylfaen"/>
          <w:sz w:val="22"/>
          <w:szCs w:val="22"/>
          <w:lang w:val="hy-AM"/>
        </w:rPr>
        <w:t xml:space="preserve"> համապատասխան</w:t>
      </w:r>
      <w:r w:rsidR="001C05B7">
        <w:rPr>
          <w:rFonts w:ascii="GHEA Grapalat" w:hAnsi="GHEA Grapalat" w:cs="Sylfaen"/>
          <w:sz w:val="22"/>
          <w:szCs w:val="22"/>
          <w:lang w:val="hy-AM"/>
        </w:rPr>
        <w:t>աբա</w:t>
      </w:r>
      <w:r w:rsidR="001C05B7" w:rsidRPr="009272AD">
        <w:rPr>
          <w:rFonts w:ascii="GHEA Grapalat" w:hAnsi="GHEA Grapalat" w:cs="Sylfaen"/>
          <w:sz w:val="22"/>
          <w:szCs w:val="22"/>
          <w:lang w:val="hy-AM"/>
        </w:rPr>
        <w:t>ր</w:t>
      </w:r>
      <w:r w:rsidRPr="007C46CC">
        <w:rPr>
          <w:rFonts w:ascii="GHEA Grapalat" w:hAnsi="GHEA Grapalat" w:cs="Sylfaen"/>
          <w:sz w:val="22"/>
          <w:szCs w:val="22"/>
          <w:lang w:val="hy-AM"/>
        </w:rPr>
        <w:t xml:space="preserve"> 23.4%-ով և 58.8%-ով, իսկ մայրուղային խողովակաշարային տրանսպորտով բեռնափոխադրումները</w:t>
      </w:r>
      <w:r w:rsidR="001C05B7" w:rsidRPr="009272AD">
        <w:rPr>
          <w:rFonts w:ascii="GHEA Grapalat" w:hAnsi="GHEA Grapalat" w:cs="Sylfaen"/>
          <w:sz w:val="22"/>
          <w:szCs w:val="22"/>
          <w:lang w:val="hy-AM"/>
        </w:rPr>
        <w:t>՝</w:t>
      </w:r>
      <w:r w:rsidRPr="007C46CC">
        <w:rPr>
          <w:rFonts w:ascii="GHEA Grapalat" w:hAnsi="GHEA Grapalat" w:cs="Sylfaen"/>
          <w:sz w:val="22"/>
          <w:szCs w:val="22"/>
          <w:lang w:val="hy-AM"/>
        </w:rPr>
        <w:t xml:space="preserve"> նվազել 13%-ով: </w:t>
      </w:r>
    </w:p>
    <w:p w:rsidR="00446AF7" w:rsidRPr="007C46CC" w:rsidRDefault="00446AF7" w:rsidP="007C46CC">
      <w:pPr>
        <w:spacing w:line="360" w:lineRule="auto"/>
        <w:ind w:right="-12" w:firstLine="561"/>
        <w:jc w:val="both"/>
        <w:rPr>
          <w:rFonts w:ascii="GHEA Grapalat" w:hAnsi="GHEA Grapalat" w:cs="Sylfaen"/>
          <w:sz w:val="22"/>
          <w:szCs w:val="22"/>
          <w:lang w:val="hy-AM"/>
        </w:rPr>
      </w:pPr>
      <w:r w:rsidRPr="007C46CC">
        <w:rPr>
          <w:rFonts w:ascii="GHEA Grapalat" w:hAnsi="GHEA Grapalat" w:cs="Sylfaen"/>
          <w:sz w:val="22"/>
          <w:szCs w:val="22"/>
          <w:lang w:val="hy-AM"/>
        </w:rPr>
        <w:t>Ընդհանուր օգտագործման տրանսպորտով ուղևորափոխ</w:t>
      </w:r>
      <w:r w:rsidR="007C46CC">
        <w:rPr>
          <w:rFonts w:ascii="GHEA Grapalat" w:hAnsi="GHEA Grapalat" w:cs="Sylfaen"/>
          <w:sz w:val="22"/>
          <w:szCs w:val="22"/>
          <w:lang w:val="hy-AM"/>
        </w:rPr>
        <w:t>ադրումների ծավալը նվազել է 1.2%</w:t>
      </w:r>
      <w:r w:rsidR="001C05B7" w:rsidRPr="009272AD">
        <w:rPr>
          <w:rFonts w:ascii="GHEA Grapalat" w:hAnsi="GHEA Grapalat" w:cs="Sylfaen"/>
          <w:sz w:val="22"/>
          <w:szCs w:val="22"/>
          <w:lang w:val="hy-AM"/>
        </w:rPr>
        <w:noBreakHyphen/>
      </w:r>
      <w:r w:rsidRPr="007C46CC">
        <w:rPr>
          <w:rFonts w:ascii="GHEA Grapalat" w:hAnsi="GHEA Grapalat" w:cs="Sylfaen"/>
          <w:sz w:val="22"/>
          <w:szCs w:val="22"/>
          <w:lang w:val="hy-AM"/>
        </w:rPr>
        <w:t>ով, ինչը պայմանավորված է եղել հիմնականում ավտոմոբիլային տրանսպորտով ուղևորափոխադրումների 1.4% նվազմամբ: Երկաթուղային և օդային տրանսպորտով ուղևորափոխադրումները նույնպես աճել են</w:t>
      </w:r>
      <w:r w:rsidR="001C05B7" w:rsidRPr="009272AD">
        <w:rPr>
          <w:rFonts w:ascii="GHEA Grapalat" w:hAnsi="GHEA Grapalat" w:cs="Sylfaen"/>
          <w:sz w:val="22"/>
          <w:szCs w:val="22"/>
          <w:lang w:val="hy-AM"/>
        </w:rPr>
        <w:t>՝</w:t>
      </w:r>
      <w:r w:rsidRPr="007C46CC">
        <w:rPr>
          <w:rFonts w:ascii="GHEA Grapalat" w:hAnsi="GHEA Grapalat" w:cs="Sylfaen"/>
          <w:sz w:val="22"/>
          <w:szCs w:val="22"/>
          <w:lang w:val="hy-AM"/>
        </w:rPr>
        <w:t xml:space="preserve"> համապատասխ</w:t>
      </w:r>
      <w:r w:rsidR="001C05B7">
        <w:rPr>
          <w:rFonts w:ascii="GHEA Grapalat" w:hAnsi="GHEA Grapalat" w:cs="Sylfaen"/>
          <w:sz w:val="22"/>
          <w:szCs w:val="22"/>
          <w:lang w:val="hy-AM"/>
        </w:rPr>
        <w:t>անաբար</w:t>
      </w:r>
      <w:r w:rsidRPr="007C46CC">
        <w:rPr>
          <w:rFonts w:ascii="GHEA Grapalat" w:hAnsi="GHEA Grapalat" w:cs="Sylfaen"/>
          <w:sz w:val="22"/>
          <w:szCs w:val="22"/>
          <w:lang w:val="hy-AM"/>
        </w:rPr>
        <w:t xml:space="preserve"> 1.1%</w:t>
      </w:r>
      <w:r w:rsidR="001C05B7" w:rsidRPr="009272AD">
        <w:rPr>
          <w:rFonts w:ascii="GHEA Grapalat" w:hAnsi="GHEA Grapalat" w:cs="Sylfaen"/>
          <w:sz w:val="22"/>
          <w:szCs w:val="22"/>
          <w:lang w:val="hy-AM"/>
        </w:rPr>
        <w:t>-ով</w:t>
      </w:r>
      <w:r w:rsidRPr="007C46CC">
        <w:rPr>
          <w:rFonts w:ascii="GHEA Grapalat" w:hAnsi="GHEA Grapalat" w:cs="Sylfaen"/>
          <w:sz w:val="22"/>
          <w:szCs w:val="22"/>
          <w:lang w:val="hy-AM"/>
        </w:rPr>
        <w:t xml:space="preserve"> և 9.7%-ով: Նվազում է արձանագրվել միայն էլեկտրատրանսպորտով ուղևորափոխադրումներ</w:t>
      </w:r>
      <w:r w:rsidR="001C05B7" w:rsidRPr="009272AD">
        <w:rPr>
          <w:rFonts w:ascii="GHEA Grapalat" w:hAnsi="GHEA Grapalat" w:cs="Sylfaen"/>
          <w:sz w:val="22"/>
          <w:szCs w:val="22"/>
          <w:lang w:val="hy-AM"/>
        </w:rPr>
        <w:t>ում</w:t>
      </w:r>
      <w:r w:rsidRPr="007C46CC">
        <w:rPr>
          <w:rFonts w:ascii="GHEA Grapalat" w:hAnsi="GHEA Grapalat" w:cs="Sylfaen"/>
          <w:sz w:val="22"/>
          <w:szCs w:val="22"/>
          <w:lang w:val="hy-AM"/>
        </w:rPr>
        <w:t>, ինչը կազմել է 0.2%:</w:t>
      </w:r>
    </w:p>
    <w:p w:rsidR="00446AF7" w:rsidRPr="00C43AF7" w:rsidRDefault="00446AF7" w:rsidP="00C43AF7">
      <w:pPr>
        <w:spacing w:line="360" w:lineRule="auto"/>
        <w:ind w:right="-12" w:firstLine="561"/>
        <w:jc w:val="both"/>
        <w:rPr>
          <w:rFonts w:ascii="GHEA Grapalat" w:hAnsi="GHEA Grapalat" w:cs="Sylfaen"/>
          <w:sz w:val="22"/>
          <w:szCs w:val="22"/>
          <w:lang w:val="hy-AM"/>
        </w:rPr>
      </w:pPr>
      <w:r w:rsidRPr="00C43AF7">
        <w:rPr>
          <w:rFonts w:ascii="GHEA Grapalat" w:hAnsi="GHEA Grapalat" w:cs="Sylfaen"/>
          <w:sz w:val="22"/>
          <w:szCs w:val="22"/>
          <w:lang w:val="hy-AM"/>
        </w:rPr>
        <w:t>Կապի ծառայությունները նվազման միտում են դրսևորել: Կապի ծառայություններից ստացված հասույթը նախորդ տարվա նույն ժամանակաշրջանի նկատմամբ նվազել է 2.3%-ով, ինչը հիմնականում պայմանավորված է հեռահաղորդակցման ծառայությունների 1.5%-ով կրճատմամբ, որը հիմնականում արդյունք է բջջային և լարային հեռախոսային հեռահաղորդակցման ծառայությունների համնապատասխանաբար 6.8% և 9% նվազման:</w:t>
      </w:r>
    </w:p>
    <w:p w:rsidR="00446AF7" w:rsidRPr="00C43AF7" w:rsidRDefault="00446AF7" w:rsidP="00C43AF7">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Գներ և սակագներ</w:t>
      </w:r>
      <w:r w:rsidR="00BA0949" w:rsidRPr="009272AD">
        <w:rPr>
          <w:rFonts w:ascii="GHEA Grapalat" w:hAnsi="GHEA Grapalat" w:cs="Sylfaen"/>
          <w:b/>
          <w:sz w:val="22"/>
          <w:szCs w:val="22"/>
          <w:lang w:val="hy-AM"/>
        </w:rPr>
        <w:t>:</w:t>
      </w:r>
      <w:r w:rsidRPr="00BA0949">
        <w:rPr>
          <w:rFonts w:ascii="GHEA Grapalat" w:hAnsi="GHEA Grapalat" w:cs="Sylfaen"/>
          <w:sz w:val="22"/>
          <w:szCs w:val="22"/>
          <w:lang w:val="hy-AM"/>
        </w:rPr>
        <w:t xml:space="preserve"> </w:t>
      </w:r>
      <w:r w:rsidRPr="00C43AF7">
        <w:rPr>
          <w:rFonts w:ascii="GHEA Grapalat" w:hAnsi="GHEA Grapalat" w:cs="Sylfaen"/>
          <w:sz w:val="22"/>
          <w:szCs w:val="22"/>
          <w:lang w:val="hy-AM"/>
        </w:rPr>
        <w:t>2016 թվականի առաջին եռամսյակում ՀՀ սպառողական շուկայում արձանագրվել է գների նվազում: Միջին գնանկումը կազմել է 1.4%, ինչը հիմնականում պայմանավորվել է պարենային ապրանքների (ներառյալ ոգելից խմիչք և ծխախոտ) գների 4.6% գնանկումով, ոչ պարենային ապրանքների գների անփոփոխ մակարդակով և ծառայությունների սակագների 3.2% աճով:</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lastRenderedPageBreak/>
        <w:t>Աշխատանքի շուկա</w:t>
      </w:r>
      <w:r w:rsidR="00BA0949" w:rsidRPr="009272AD">
        <w:rPr>
          <w:rFonts w:ascii="GHEA Grapalat" w:hAnsi="GHEA Grapalat" w:cs="Sylfaen"/>
          <w:b/>
          <w:sz w:val="22"/>
          <w:szCs w:val="22"/>
          <w:lang w:val="hy-AM"/>
        </w:rPr>
        <w:t>:</w:t>
      </w:r>
      <w:r w:rsidRPr="00BA0949">
        <w:rPr>
          <w:rFonts w:ascii="GHEA Grapalat" w:hAnsi="GHEA Grapalat" w:cs="Sylfaen"/>
          <w:sz w:val="22"/>
          <w:szCs w:val="22"/>
          <w:lang w:val="hy-AM"/>
        </w:rPr>
        <w:t xml:space="preserve"> </w:t>
      </w:r>
      <w:r w:rsidRPr="00051A9F">
        <w:rPr>
          <w:rFonts w:ascii="GHEA Grapalat" w:hAnsi="GHEA Grapalat" w:cs="Sylfaen"/>
          <w:sz w:val="22"/>
          <w:szCs w:val="22"/>
          <w:lang w:val="hy-AM"/>
        </w:rPr>
        <w:t>2016 թվականի հունվար-մարտ ամիսներին պաշտոնապես գրանցված գործազուրկների թվաքանակը հանրապետությունում նախորդ տարվա նույն ժաման</w:t>
      </w:r>
      <w:r w:rsidR="00051A9F">
        <w:rPr>
          <w:rFonts w:ascii="GHEA Grapalat" w:hAnsi="GHEA Grapalat" w:cs="Sylfaen"/>
          <w:sz w:val="22"/>
          <w:szCs w:val="22"/>
          <w:lang w:val="hy-AM"/>
        </w:rPr>
        <w:t>ակահատվածի նկատմամբ աճել է 14.7</w:t>
      </w:r>
      <w:r w:rsidR="00051A9F" w:rsidRPr="009272AD">
        <w:rPr>
          <w:rFonts w:ascii="GHEA Grapalat" w:hAnsi="GHEA Grapalat" w:cs="Sylfaen"/>
          <w:sz w:val="22"/>
          <w:szCs w:val="22"/>
          <w:lang w:val="hy-AM"/>
        </w:rPr>
        <w:t>%-</w:t>
      </w:r>
      <w:r w:rsidRPr="00051A9F">
        <w:rPr>
          <w:rFonts w:ascii="GHEA Grapalat" w:hAnsi="GHEA Grapalat" w:cs="Sylfaen"/>
          <w:sz w:val="22"/>
          <w:szCs w:val="22"/>
          <w:lang w:val="hy-AM"/>
        </w:rPr>
        <w:t>ով՝ կազմելով 78688 մարդ:</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051A9F">
        <w:rPr>
          <w:rFonts w:ascii="GHEA Grapalat" w:hAnsi="GHEA Grapalat" w:cs="Sylfaen"/>
          <w:sz w:val="22"/>
          <w:szCs w:val="22"/>
          <w:lang w:val="hy-AM"/>
        </w:rPr>
        <w:t>2016 հունվար-մարտ ամիսներին միջին ամսական անվանական աշխատավարձը 2015 թվականի նույն ժամանակահատվածում գրանցված ցուցանիշի նկատմամբ աճել է 3.5%-ով` կազմելով 181667 դրամ</w:t>
      </w:r>
      <w:r w:rsidRPr="00BA0949">
        <w:rPr>
          <w:rFonts w:ascii="GHEA Grapalat" w:hAnsi="GHEA Grapalat"/>
          <w:sz w:val="22"/>
          <w:szCs w:val="22"/>
          <w:vertAlign w:val="superscript"/>
          <w:lang w:val="hy-AM"/>
        </w:rPr>
        <w:footnoteReference w:id="5"/>
      </w:r>
      <w:r w:rsidRPr="00051A9F">
        <w:rPr>
          <w:rFonts w:ascii="GHEA Grapalat" w:hAnsi="GHEA Grapalat" w:cs="Sylfaen"/>
          <w:sz w:val="22"/>
          <w:szCs w:val="22"/>
          <w:lang w:val="hy-AM"/>
        </w:rPr>
        <w:t>: Միջին ամսական անվանական աշխատավարձի ցուցանիշները պետական և ոչ պետական հատվածներում աճել են 1.3% և 5.4%-ով` կազմելով համապատասխանաբար 158037 և 214785 դրամ: Իրական աշխատավարձը 2015 թվականի նույն ժամանակահատվածի համեմատ աճել է 4.9%-ով:</w:t>
      </w:r>
    </w:p>
    <w:p w:rsidR="00446AF7" w:rsidRPr="00051A9F" w:rsidRDefault="00446AF7" w:rsidP="00051A9F">
      <w:pPr>
        <w:spacing w:line="360" w:lineRule="auto"/>
        <w:ind w:right="-12" w:firstLine="561"/>
        <w:jc w:val="both"/>
        <w:rPr>
          <w:rFonts w:ascii="GHEA Grapalat" w:hAnsi="GHEA Grapalat" w:cs="Sylfaen"/>
          <w:sz w:val="22"/>
          <w:szCs w:val="22"/>
          <w:lang w:val="hy-AM"/>
        </w:rPr>
      </w:pPr>
    </w:p>
    <w:p w:rsidR="00446AF7" w:rsidRPr="009272AD" w:rsidRDefault="00446AF7" w:rsidP="00BA0949">
      <w:pPr>
        <w:autoSpaceDE w:val="0"/>
        <w:autoSpaceDN w:val="0"/>
        <w:adjustRightInd w:val="0"/>
        <w:spacing w:line="480" w:lineRule="auto"/>
        <w:ind w:firstLine="540"/>
        <w:jc w:val="both"/>
        <w:rPr>
          <w:rFonts w:ascii="GHEA Grapalat" w:hAnsi="GHEA Grapalat" w:cs="Arial LatArm"/>
          <w:sz w:val="22"/>
          <w:szCs w:val="22"/>
          <w:lang w:val="hy-AM"/>
        </w:rPr>
      </w:pPr>
      <w:r w:rsidRPr="009272AD">
        <w:rPr>
          <w:rFonts w:ascii="GHEA Grapalat" w:hAnsi="GHEA Grapalat" w:cs="Sylfaen"/>
          <w:b/>
          <w:i/>
          <w:sz w:val="22"/>
          <w:szCs w:val="22"/>
          <w:lang w:val="hy-AM"/>
        </w:rPr>
        <w:t>Համախառն պահանջարկ</w:t>
      </w:r>
      <w:r w:rsidRPr="005A364D">
        <w:rPr>
          <w:rStyle w:val="ae"/>
          <w:rFonts w:ascii="GHEA Grapalat" w:hAnsi="GHEA Grapalat"/>
          <w:b/>
        </w:rPr>
        <w:footnoteReference w:id="6"/>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051A9F">
        <w:rPr>
          <w:rFonts w:ascii="GHEA Grapalat" w:hAnsi="GHEA Grapalat" w:cs="Sylfaen"/>
          <w:sz w:val="22"/>
          <w:szCs w:val="22"/>
          <w:lang w:val="hy-AM"/>
        </w:rPr>
        <w:t xml:space="preserve">2016 թվականի առաջին եռամսյակում տնտեսական աճն ուղեկցվել է ներքին պահանջարկի նվազմամբ և զուտ արտահանման բարելավմամբ: </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Սպառում:</w:t>
      </w:r>
      <w:r w:rsidRPr="00051A9F">
        <w:rPr>
          <w:rFonts w:ascii="GHEA Grapalat" w:hAnsi="GHEA Grapalat" w:cs="Sylfaen"/>
          <w:sz w:val="22"/>
          <w:szCs w:val="22"/>
          <w:lang w:val="hy-AM"/>
        </w:rPr>
        <w:t xml:space="preserve"> 2016 թվականի առաջին եռամսյակում վերջնական սպառումը նախորդ տարվա նույն ժամանակահատվածի նկատմամբ իրական արտահայտությամբ նվազել է 2%-ով: Ընդ որում</w:t>
      </w:r>
      <w:r w:rsidR="0085747B" w:rsidRPr="009272AD">
        <w:rPr>
          <w:rFonts w:ascii="GHEA Grapalat" w:hAnsi="GHEA Grapalat" w:cs="Sylfaen"/>
          <w:sz w:val="22"/>
          <w:szCs w:val="22"/>
          <w:lang w:val="hy-AM"/>
        </w:rPr>
        <w:t>,</w:t>
      </w:r>
      <w:r w:rsidRPr="00051A9F">
        <w:rPr>
          <w:rFonts w:ascii="GHEA Grapalat" w:hAnsi="GHEA Grapalat" w:cs="Sylfaen"/>
          <w:sz w:val="22"/>
          <w:szCs w:val="22"/>
          <w:lang w:val="hy-AM"/>
        </w:rPr>
        <w:t xml:space="preserve"> վերջնական սպառման նվազումը պայմանավորվել է ինչպես մասնավոր, այնպես էլ պետական սպառման նվազմամբ: Ներհոսող դրամական փոխանցումների և սպառողական վարկերի ծավալների նվազման պայմաններում մասնավոր սպառում</w:t>
      </w:r>
      <w:r w:rsidR="0085747B" w:rsidRPr="009272AD">
        <w:rPr>
          <w:rFonts w:ascii="GHEA Grapalat" w:hAnsi="GHEA Grapalat" w:cs="Sylfaen"/>
          <w:sz w:val="22"/>
          <w:szCs w:val="22"/>
          <w:lang w:val="hy-AM"/>
        </w:rPr>
        <w:t>ն</w:t>
      </w:r>
      <w:r w:rsidRPr="00051A9F">
        <w:rPr>
          <w:rFonts w:ascii="GHEA Grapalat" w:hAnsi="GHEA Grapalat" w:cs="Sylfaen"/>
          <w:sz w:val="22"/>
          <w:szCs w:val="22"/>
          <w:lang w:val="hy-AM"/>
        </w:rPr>
        <w:t xml:space="preserve"> իրական արտահայտությամբ նվազել է 0.5%-ով, իսկ պետական սպառումը` 12.4%-ով: </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Ներդրումներ:</w:t>
      </w:r>
      <w:r w:rsidRPr="00051A9F">
        <w:rPr>
          <w:rFonts w:ascii="GHEA Grapalat" w:hAnsi="GHEA Grapalat" w:cs="Sylfaen"/>
          <w:sz w:val="22"/>
          <w:szCs w:val="22"/>
          <w:lang w:val="hy-AM"/>
        </w:rPr>
        <w:t xml:space="preserve"> 2016 թվականի առաջին եռամսյակում կապիտալ ներդրումները նախորդ տարվա նույն ժամանակահատվածի նկատմամբ իրական արտ</w:t>
      </w:r>
      <w:r w:rsidR="0085747B">
        <w:rPr>
          <w:rFonts w:ascii="GHEA Grapalat" w:hAnsi="GHEA Grapalat" w:cs="Sylfaen"/>
          <w:sz w:val="22"/>
          <w:szCs w:val="22"/>
          <w:lang w:val="hy-AM"/>
        </w:rPr>
        <w:t>ահայտությամբ նվազել են շուրջ 1%</w:t>
      </w:r>
      <w:r w:rsidR="0085747B" w:rsidRPr="009272AD">
        <w:rPr>
          <w:rFonts w:ascii="GHEA Grapalat" w:hAnsi="GHEA Grapalat" w:cs="Sylfaen"/>
          <w:sz w:val="22"/>
          <w:szCs w:val="22"/>
          <w:lang w:val="hy-AM"/>
        </w:rPr>
        <w:noBreakHyphen/>
      </w:r>
      <w:r w:rsidRPr="00051A9F">
        <w:rPr>
          <w:rFonts w:ascii="GHEA Grapalat" w:hAnsi="GHEA Grapalat" w:cs="Sylfaen"/>
          <w:sz w:val="22"/>
          <w:szCs w:val="22"/>
          <w:lang w:val="hy-AM"/>
        </w:rPr>
        <w:t xml:space="preserve">ով` պայմանավորված մասնավոր ներդրումների շուրջ 2.3% իրական նվազմամբ: Մասնավոր ներդրումների նվազմանը նպաստել են շինարարության նվազումը և տնտեսության իրական հատվածի վարկավորման աճի տեմպերի դանդաղումը: Մասնավոր ներդրումների թույլ ակտիվության բացասական հետևանքները մեղմվել </w:t>
      </w:r>
      <w:r w:rsidR="0085747B" w:rsidRPr="009272AD">
        <w:rPr>
          <w:rFonts w:ascii="GHEA Grapalat" w:hAnsi="GHEA Grapalat" w:cs="Sylfaen"/>
          <w:sz w:val="22"/>
          <w:szCs w:val="22"/>
          <w:lang w:val="hy-AM"/>
        </w:rPr>
        <w:t>են</w:t>
      </w:r>
      <w:r w:rsidRPr="00051A9F">
        <w:rPr>
          <w:rFonts w:ascii="GHEA Grapalat" w:hAnsi="GHEA Grapalat" w:cs="Sylfaen"/>
          <w:sz w:val="22"/>
          <w:szCs w:val="22"/>
          <w:lang w:val="hy-AM"/>
        </w:rPr>
        <w:t xml:space="preserve"> խթանող հարկաբյուջետային քաղաքականության միջոցով, որի արդյունքում 2016 թվականի առաջին եռամսյակում պետական ներդրումներն իրական արտահայտությամբ աճել են 12.5%-ով: </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051A9F">
        <w:rPr>
          <w:rFonts w:ascii="GHEA Grapalat" w:hAnsi="GHEA Grapalat" w:cs="Sylfaen"/>
          <w:sz w:val="22"/>
          <w:szCs w:val="22"/>
          <w:lang w:val="hy-AM"/>
        </w:rPr>
        <w:t>Ներդրումներին դրական</w:t>
      </w:r>
      <w:r w:rsidR="0085747B" w:rsidRPr="009272AD">
        <w:rPr>
          <w:rFonts w:ascii="GHEA Grapalat" w:hAnsi="GHEA Grapalat" w:cs="Sylfaen"/>
          <w:sz w:val="22"/>
          <w:szCs w:val="22"/>
          <w:lang w:val="hy-AM"/>
        </w:rPr>
        <w:t>որեն</w:t>
      </w:r>
      <w:r w:rsidRPr="00051A9F">
        <w:rPr>
          <w:rFonts w:ascii="GHEA Grapalat" w:hAnsi="GHEA Grapalat" w:cs="Sylfaen"/>
          <w:sz w:val="22"/>
          <w:szCs w:val="22"/>
          <w:lang w:val="hy-AM"/>
        </w:rPr>
        <w:t xml:space="preserve"> </w:t>
      </w:r>
      <w:r w:rsidR="0085747B" w:rsidRPr="009272AD">
        <w:rPr>
          <w:rFonts w:ascii="GHEA Grapalat" w:hAnsi="GHEA Grapalat" w:cs="Sylfaen"/>
          <w:sz w:val="22"/>
          <w:szCs w:val="22"/>
          <w:lang w:val="hy-AM"/>
        </w:rPr>
        <w:t>է</w:t>
      </w:r>
      <w:r w:rsidRPr="00051A9F">
        <w:rPr>
          <w:rFonts w:ascii="GHEA Grapalat" w:hAnsi="GHEA Grapalat" w:cs="Sylfaen"/>
          <w:sz w:val="22"/>
          <w:szCs w:val="22"/>
          <w:lang w:val="hy-AM"/>
        </w:rPr>
        <w:t xml:space="preserve"> նպաստել ծառայությունների և գյուղատնտեսության ճյուղերում կատ</w:t>
      </w:r>
      <w:r w:rsidR="0085747B">
        <w:rPr>
          <w:rFonts w:ascii="GHEA Grapalat" w:hAnsi="GHEA Grapalat" w:cs="Sylfaen"/>
          <w:sz w:val="22"/>
          <w:szCs w:val="22"/>
          <w:lang w:val="hy-AM"/>
        </w:rPr>
        <w:t>արված ներդրումների աճը, բացասա</w:t>
      </w:r>
      <w:r w:rsidR="0085747B" w:rsidRPr="009272AD">
        <w:rPr>
          <w:rFonts w:ascii="GHEA Grapalat" w:hAnsi="GHEA Grapalat" w:cs="Sylfaen"/>
          <w:sz w:val="22"/>
          <w:szCs w:val="22"/>
          <w:lang w:val="hy-AM"/>
        </w:rPr>
        <w:t>բար</w:t>
      </w:r>
      <w:r w:rsidRPr="00051A9F">
        <w:rPr>
          <w:rFonts w:ascii="GHEA Grapalat" w:hAnsi="GHEA Grapalat" w:cs="Sylfaen"/>
          <w:sz w:val="22"/>
          <w:szCs w:val="22"/>
          <w:lang w:val="hy-AM"/>
        </w:rPr>
        <w:t xml:space="preserve"> </w:t>
      </w:r>
      <w:r w:rsidR="0085747B" w:rsidRPr="009272AD">
        <w:rPr>
          <w:rFonts w:ascii="GHEA Grapalat" w:hAnsi="GHEA Grapalat" w:cs="Sylfaen"/>
          <w:sz w:val="22"/>
          <w:szCs w:val="22"/>
          <w:lang w:val="hy-AM"/>
        </w:rPr>
        <w:t>է</w:t>
      </w:r>
      <w:r w:rsidRPr="00051A9F">
        <w:rPr>
          <w:rFonts w:ascii="GHEA Grapalat" w:hAnsi="GHEA Grapalat" w:cs="Sylfaen"/>
          <w:sz w:val="22"/>
          <w:szCs w:val="22"/>
          <w:lang w:val="hy-AM"/>
        </w:rPr>
        <w:t xml:space="preserve"> ազդել արդյունաբերության ճյուղում կատարված ներդրումների նվազումը</w:t>
      </w:r>
      <w:r w:rsidRPr="00051A9F">
        <w:rPr>
          <w:rFonts w:cs="Sylfaen"/>
          <w:sz w:val="22"/>
          <w:szCs w:val="22"/>
          <w:lang w:val="hy-AM"/>
        </w:rPr>
        <w:t xml:space="preserve"> </w:t>
      </w:r>
      <w:r w:rsidRPr="00BA0949">
        <w:rPr>
          <w:rFonts w:ascii="GHEA Grapalat" w:hAnsi="GHEA Grapalat" w:cs="Sylfaen"/>
          <w:sz w:val="22"/>
          <w:szCs w:val="22"/>
          <w:vertAlign w:val="superscript"/>
          <w:lang w:val="hy-AM"/>
        </w:rPr>
        <w:footnoteReference w:id="7"/>
      </w:r>
      <w:r w:rsidRPr="00051A9F">
        <w:rPr>
          <w:rFonts w:ascii="GHEA Grapalat" w:hAnsi="GHEA Grapalat" w:cs="Sylfaen"/>
          <w:sz w:val="22"/>
          <w:szCs w:val="22"/>
          <w:lang w:val="hy-AM"/>
        </w:rPr>
        <w:t xml:space="preserve">: </w:t>
      </w:r>
    </w:p>
    <w:p w:rsidR="00446AF7" w:rsidRPr="00051A9F" w:rsidRDefault="00446AF7" w:rsidP="00051A9F">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lastRenderedPageBreak/>
        <w:t>Զուտ արտահանում:</w:t>
      </w:r>
      <w:r w:rsidRPr="00051A9F">
        <w:rPr>
          <w:rFonts w:ascii="GHEA Grapalat" w:hAnsi="GHEA Grapalat" w:cs="Sylfaen"/>
          <w:sz w:val="22"/>
          <w:szCs w:val="22"/>
          <w:lang w:val="hy-AM"/>
        </w:rPr>
        <w:t xml:space="preserve"> 2016 թվականի առաջին եռամսյակում ապրանքների և ծառայությունների արտահանման իրական ծավալները նախորդ տարվա նույն ժամանակահատվածի համեմատ աճել են 10.2%-ով` հիմնականում պայմանավորված հանքարդյունահանման ոլորտում նախկինում կատարված ներդումներով պայմանավորված նոր հանքավայրերի շահագործմամբ և արտաքին պահանջարկի աստիճանական բարելավմամբ: Մյուս կողմից, ապրանքների և ծառայությունների ներմուծում</w:t>
      </w:r>
      <w:r w:rsidR="0085747B" w:rsidRPr="009272AD">
        <w:rPr>
          <w:rFonts w:ascii="GHEA Grapalat" w:hAnsi="GHEA Grapalat" w:cs="Sylfaen"/>
          <w:sz w:val="22"/>
          <w:szCs w:val="22"/>
          <w:lang w:val="hy-AM"/>
        </w:rPr>
        <w:t>ն</w:t>
      </w:r>
      <w:r w:rsidRPr="00051A9F">
        <w:rPr>
          <w:rFonts w:ascii="GHEA Grapalat" w:hAnsi="GHEA Grapalat" w:cs="Sylfaen"/>
          <w:sz w:val="22"/>
          <w:szCs w:val="22"/>
          <w:lang w:val="hy-AM"/>
        </w:rPr>
        <w:t xml:space="preserve"> իրական արտահայտությամբ նվազել է 12.3%-ով, ինչը պայմանավորված է եղել ներքին պահանջարկի նվազմամբ:</w:t>
      </w:r>
    </w:p>
    <w:p w:rsidR="00446AF7" w:rsidRPr="00051A9F" w:rsidRDefault="00446AF7" w:rsidP="00051A9F">
      <w:pPr>
        <w:spacing w:line="360" w:lineRule="auto"/>
        <w:ind w:right="-12" w:firstLine="561"/>
        <w:jc w:val="both"/>
        <w:rPr>
          <w:rFonts w:ascii="GHEA Grapalat" w:hAnsi="GHEA Grapalat" w:cs="Sylfaen"/>
          <w:sz w:val="22"/>
          <w:szCs w:val="22"/>
          <w:lang w:val="hy-AM"/>
        </w:rPr>
      </w:pPr>
    </w:p>
    <w:p w:rsidR="00446AF7" w:rsidRPr="009272AD" w:rsidRDefault="00446AF7" w:rsidP="00BA0949">
      <w:pPr>
        <w:autoSpaceDE w:val="0"/>
        <w:autoSpaceDN w:val="0"/>
        <w:adjustRightInd w:val="0"/>
        <w:spacing w:line="480" w:lineRule="auto"/>
        <w:ind w:firstLine="540"/>
        <w:jc w:val="both"/>
        <w:rPr>
          <w:rFonts w:ascii="GHEA Grapalat" w:hAnsi="GHEA Grapalat" w:cs="Sylfaen"/>
          <w:b/>
          <w:i/>
          <w:sz w:val="22"/>
          <w:szCs w:val="22"/>
          <w:lang w:val="hy-AM"/>
        </w:rPr>
      </w:pPr>
      <w:r w:rsidRPr="009272AD">
        <w:rPr>
          <w:rFonts w:ascii="GHEA Grapalat" w:hAnsi="GHEA Grapalat" w:cs="Sylfaen"/>
          <w:b/>
          <w:i/>
          <w:sz w:val="22"/>
          <w:szCs w:val="22"/>
          <w:lang w:val="hy-AM"/>
        </w:rPr>
        <w:t xml:space="preserve">Արտաքին հատված </w:t>
      </w:r>
    </w:p>
    <w:p w:rsidR="00446AF7" w:rsidRPr="00BA0949"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b/>
          <w:sz w:val="22"/>
          <w:szCs w:val="22"/>
          <w:lang w:val="hy-AM"/>
        </w:rPr>
        <w:t>Արտաքին առևտուր (դոլարային արտահայտությամբ)</w:t>
      </w:r>
      <w:r w:rsidRPr="00BA0949">
        <w:rPr>
          <w:rFonts w:ascii="GHEA Grapalat" w:hAnsi="GHEA Grapalat" w:cs="Sylfaen"/>
          <w:b/>
          <w:sz w:val="22"/>
          <w:szCs w:val="22"/>
          <w:vertAlign w:val="superscript"/>
          <w:lang w:val="hy-AM"/>
        </w:rPr>
        <w:footnoteReference w:id="8"/>
      </w:r>
      <w:r w:rsidRPr="00BA0949">
        <w:rPr>
          <w:rFonts w:ascii="GHEA Grapalat" w:hAnsi="GHEA Grapalat" w:cs="Sylfaen"/>
          <w:b/>
          <w:sz w:val="22"/>
          <w:szCs w:val="22"/>
          <w:lang w:val="hy-AM"/>
        </w:rPr>
        <w:t>:</w:t>
      </w:r>
      <w:r w:rsidRPr="00BA0949">
        <w:rPr>
          <w:rFonts w:ascii="GHEA Grapalat" w:hAnsi="GHEA Grapalat" w:cs="Sylfaen"/>
          <w:sz w:val="22"/>
          <w:szCs w:val="22"/>
          <w:lang w:val="hy-AM"/>
        </w:rPr>
        <w:t xml:space="preserve"> 2016 թվականի առաջին եռամսյակի ընթացքում նախորդ տարվա համեմատ արձանագրվել է արտաքին հատվածի ցուցանիշների որոշակի բարելավում. ներմուծման անկման պայմաններում աճել են ապրանքների արտահանումից մուտքերը՝ ֆինանսավորելով ներմուծման մոտ երկու երրորդը: </w:t>
      </w:r>
    </w:p>
    <w:p w:rsidR="00446AF7" w:rsidRPr="009272AD"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sz w:val="22"/>
          <w:szCs w:val="22"/>
          <w:lang w:val="hy-AM"/>
        </w:rPr>
        <w:t xml:space="preserve">2016 թվականի առաջին երեք ամիսներին ապրանքների գծով արտաքին առևտրի բացասական մնացորդը (տե´ս Գծապատկեր 2) կազմել է 245.3 մլն ԱՄՆ դոլար` շարունակելով նախորդ տարվա կրճատման միտումը (հիմնականում պայմանավորված ներմուծման կրճատմամբ): </w:t>
      </w:r>
    </w:p>
    <w:p w:rsidR="00BA0949" w:rsidRPr="009272AD" w:rsidRDefault="00BA0949" w:rsidP="00BA0949">
      <w:pPr>
        <w:spacing w:line="360" w:lineRule="auto"/>
        <w:ind w:right="-12" w:firstLine="561"/>
        <w:jc w:val="both"/>
        <w:rPr>
          <w:rFonts w:ascii="GHEA Grapalat" w:hAnsi="GHEA Grapalat" w:cs="Sylfaen"/>
          <w:sz w:val="22"/>
          <w:szCs w:val="22"/>
          <w:lang w:val="hy-AM"/>
        </w:rPr>
      </w:pPr>
    </w:p>
    <w:p w:rsidR="00446AF7" w:rsidRPr="00BA0949" w:rsidRDefault="00446AF7" w:rsidP="00BA0949">
      <w:pPr>
        <w:spacing w:line="360" w:lineRule="auto"/>
        <w:ind w:right="-12"/>
        <w:jc w:val="both"/>
        <w:rPr>
          <w:rFonts w:ascii="GHEA Grapalat" w:hAnsi="GHEA Grapalat" w:cs="Sylfaen"/>
          <w:sz w:val="22"/>
          <w:szCs w:val="22"/>
          <w:lang w:val="hy-AM"/>
        </w:rPr>
      </w:pPr>
      <w:r w:rsidRPr="00BA0949">
        <w:rPr>
          <w:rFonts w:ascii="GHEA Grapalat" w:hAnsi="GHEA Grapalat" w:cs="Sylfaen"/>
          <w:b/>
          <w:sz w:val="22"/>
          <w:szCs w:val="22"/>
          <w:lang w:val="hy-AM"/>
        </w:rPr>
        <w:t>Գծապատկեր 2.</w:t>
      </w:r>
      <w:r w:rsidRPr="00BA0949">
        <w:rPr>
          <w:rFonts w:ascii="GHEA Grapalat" w:hAnsi="GHEA Grapalat" w:cs="Sylfaen"/>
          <w:sz w:val="22"/>
          <w:szCs w:val="22"/>
          <w:lang w:val="hy-AM"/>
        </w:rPr>
        <w:t xml:space="preserve"> Առևտրային հաշվեկշռի դինամիկան հունվար-մարտ ամիսներին (մլն ԱՄՆ դոլար)</w:t>
      </w:r>
    </w:p>
    <w:p w:rsidR="00446AF7" w:rsidRPr="005A364D" w:rsidRDefault="00446AF7" w:rsidP="00446AF7">
      <w:pPr>
        <w:tabs>
          <w:tab w:val="num" w:pos="720"/>
        </w:tabs>
        <w:spacing w:line="360" w:lineRule="auto"/>
        <w:jc w:val="center"/>
        <w:rPr>
          <w:rFonts w:ascii="GHEA Grapalat" w:hAnsi="GHEA Grapalat" w:cs="Sylfaen"/>
        </w:rPr>
      </w:pPr>
      <w:r w:rsidRPr="005A364D">
        <w:rPr>
          <w:rFonts w:ascii="GHEA Grapalat" w:hAnsi="GHEA Grapalat" w:cs="Sylfaen"/>
          <w:noProof/>
          <w:lang w:val="ru-RU" w:eastAsia="ru-RU"/>
        </w:rPr>
        <w:drawing>
          <wp:inline distT="0" distB="0" distL="0" distR="0" wp14:anchorId="23732CB4" wp14:editId="1486BEC0">
            <wp:extent cx="5829300" cy="2800350"/>
            <wp:effectExtent l="0" t="0" r="19050" b="1905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0949" w:rsidRDefault="00BA0949" w:rsidP="00BA0949">
      <w:pPr>
        <w:spacing w:line="360" w:lineRule="auto"/>
        <w:ind w:right="-12" w:firstLine="561"/>
        <w:jc w:val="both"/>
        <w:rPr>
          <w:rFonts w:ascii="GHEA Grapalat" w:hAnsi="GHEA Grapalat" w:cs="Sylfaen"/>
          <w:sz w:val="22"/>
          <w:szCs w:val="22"/>
        </w:rPr>
      </w:pPr>
    </w:p>
    <w:p w:rsidR="00446AF7" w:rsidRPr="00BA0949"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sz w:val="22"/>
          <w:szCs w:val="22"/>
          <w:lang w:val="hy-AM"/>
        </w:rPr>
        <w:lastRenderedPageBreak/>
        <w:t>Արտաքին ապրանքաշրջանառությունը 2016 թվականի առաջին երեք ամիսների արդյունքներով կազմել է 997.0 մլն ԱՄՆ դոլար` նախորդ տարվա համեմատ կրճատվելով 3.8%-ով: Հաշվետու ժամանակահատվածում տեղի է ունեցել դոլարային արտահայտությամբ արտահանման ծավալների աճ և ներմուծման նվազում. արտահանումն աճել է 26.3%-ով` կազմելով 375.9 մլն ԱՄՆ դոլար, իսկ ներմուծումը նվազել է 15.9%-ով և կազմել 621.2 մլն ԱՄՆ դոլար:</w:t>
      </w:r>
    </w:p>
    <w:p w:rsidR="00446AF7" w:rsidRPr="00BA0949"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i/>
          <w:sz w:val="22"/>
          <w:szCs w:val="22"/>
          <w:lang w:val="hy-AM"/>
        </w:rPr>
        <w:t>Ներմուծում:</w:t>
      </w:r>
      <w:r w:rsidRPr="00BA0949">
        <w:rPr>
          <w:rFonts w:ascii="GHEA Grapalat" w:hAnsi="GHEA Grapalat" w:cs="Sylfaen"/>
          <w:sz w:val="22"/>
          <w:szCs w:val="22"/>
          <w:lang w:val="hy-AM"/>
        </w:rPr>
        <w:t xml:space="preserve"> Ներմուծման ծավալների կրճատումը հիմնականում պայմանավորվել է ներքին պահանջարկի կրճատմամբ: Մասնավորապես` ներմուծման կառուցվածքում ամենամեծ կշիռ ունեցող «Հանքահումքային արտադրանք» ապրանքախմբի կրճատումը շարունակել է դեռևս 2013 թվականից սկիզբ առած բացասական ազդեցության միտումը (մոտ 2.5 տոկոսային կետով): 2016 թվականի առաջին երեք ամիսների ներմուծման նվազմանը ամենաբարձր մասնակցություն</w:t>
      </w:r>
      <w:r w:rsidR="000523C5" w:rsidRPr="009272AD">
        <w:rPr>
          <w:rFonts w:ascii="GHEA Grapalat" w:hAnsi="GHEA Grapalat" w:cs="Sylfaen"/>
          <w:sz w:val="22"/>
          <w:szCs w:val="22"/>
          <w:lang w:val="hy-AM"/>
        </w:rPr>
        <w:t>ն</w:t>
      </w:r>
      <w:r w:rsidRPr="00BA0949">
        <w:rPr>
          <w:rFonts w:ascii="GHEA Grapalat" w:hAnsi="GHEA Grapalat" w:cs="Sylfaen"/>
          <w:sz w:val="22"/>
          <w:szCs w:val="22"/>
          <w:lang w:val="hy-AM"/>
        </w:rPr>
        <w:t xml:space="preserve"> ունեցել է «Ոչ թանկարժեք մետաղներ և դրանցից իրեր» ապրա</w:t>
      </w:r>
      <w:r w:rsidR="00FF0CAA" w:rsidRPr="009272AD">
        <w:rPr>
          <w:rFonts w:ascii="GHEA Grapalat" w:hAnsi="GHEA Grapalat" w:cs="Sylfaen"/>
          <w:sz w:val="22"/>
          <w:szCs w:val="22"/>
          <w:lang w:val="hy-AM"/>
        </w:rPr>
        <w:t>ն</w:t>
      </w:r>
      <w:r w:rsidRPr="00BA0949">
        <w:rPr>
          <w:rFonts w:ascii="GHEA Grapalat" w:hAnsi="GHEA Grapalat" w:cs="Sylfaen"/>
          <w:sz w:val="22"/>
          <w:szCs w:val="22"/>
          <w:lang w:val="hy-AM"/>
        </w:rPr>
        <w:t>քախմբի կրճատումը (մոտ 4.5 տոկոսային կետով):</w:t>
      </w:r>
    </w:p>
    <w:p w:rsidR="00446AF7" w:rsidRPr="00BA0949"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i/>
          <w:sz w:val="22"/>
          <w:szCs w:val="22"/>
          <w:lang w:val="hy-AM"/>
        </w:rPr>
        <w:t>Արտահանում:</w:t>
      </w:r>
      <w:r w:rsidRPr="00BA0949">
        <w:rPr>
          <w:rFonts w:ascii="GHEA Grapalat" w:hAnsi="GHEA Grapalat" w:cs="Sylfaen"/>
          <w:sz w:val="22"/>
          <w:szCs w:val="22"/>
          <w:lang w:val="hy-AM"/>
        </w:rPr>
        <w:t xml:space="preserve"> 2016 թվականի առաջին երեք ամիսների արդյունքներով արտահանման աճը հիմնականում պայմանավորված է եղել «Թանկարժեք և կիսաթանկարժեք քարեր, թանկարժեք մետաղներ և դրանցից իրեր», «Պատրաստի սննդի արտադրանք», «Հանքահումքային արտադրանք» և «Մանածագործական իրեր» ապրանքախմբերով (համապատասխանաբար մոտ 10.9, 7.6, 5.7 և 2.9 տոկոսային կետերով): Արտահանման աճին հիմնականում հակազդել է «Ոչ թանկարժեք մետաղներ և դրանցից պատրաստված իրեր» ապրանքախումբը (5 տոկոսային կետով): Բացասական է եղել նաև «Մեքենաներ, սարքավորումներ և մեխանիզմներ», «Պլաստմասսա և դրանցից իրեր, կաուչուկ և ռետինե իրեր», «Տարբեր արդյունաբերական ապրանքներ» և «Վերգետնյա, օդային և ջրային տրանսպորտի միջոցներ» ապրանքախմբերի նվազման ազդեցությունը:</w:t>
      </w:r>
    </w:p>
    <w:p w:rsidR="00446AF7" w:rsidRPr="009272AD"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i/>
          <w:sz w:val="22"/>
          <w:szCs w:val="22"/>
          <w:lang w:val="hy-AM"/>
        </w:rPr>
        <w:t>Ներմուծման ծածկման գործակից:</w:t>
      </w:r>
      <w:r w:rsidRPr="00BA0949">
        <w:rPr>
          <w:rFonts w:ascii="GHEA Grapalat" w:hAnsi="GHEA Grapalat" w:cs="Sylfaen"/>
          <w:sz w:val="22"/>
          <w:szCs w:val="22"/>
          <w:lang w:val="hy-AM"/>
        </w:rPr>
        <w:t xml:space="preserve"> Ներմուծման ծածկման գործակիցը գտնվում է իր պատմական առավելագույն մակարդակին` պայմանավորված արտահանման աճով և ներմուծման կրճատմամբ: 2016 թվականի առաջին եռամսյակի ընթացքում ներմուծման ծածկման գործակիցը նախորդ տարվա համեմատ բարելավվել է մոտ 23 տոկոսային կետով. արտահանման հաշվին ֆինանսավորվել է ներմուծման 71.5%</w:t>
      </w:r>
      <w:r w:rsidR="00851B13" w:rsidRPr="009272AD">
        <w:rPr>
          <w:rFonts w:ascii="GHEA Grapalat" w:hAnsi="GHEA Grapalat" w:cs="Sylfaen"/>
          <w:sz w:val="22"/>
          <w:szCs w:val="22"/>
          <w:lang w:val="hy-AM"/>
        </w:rPr>
        <w:t>-ը</w:t>
      </w:r>
      <w:r w:rsidRPr="00BA0949">
        <w:rPr>
          <w:rFonts w:ascii="GHEA Grapalat" w:hAnsi="GHEA Grapalat" w:cs="Sylfaen"/>
          <w:sz w:val="22"/>
          <w:szCs w:val="22"/>
          <w:lang w:val="hy-AM"/>
        </w:rPr>
        <w:t xml:space="preserve"> (տե</w:t>
      </w:r>
      <w:r w:rsidR="00BA0949" w:rsidRPr="009272AD">
        <w:rPr>
          <w:rFonts w:ascii="GHEA Grapalat" w:hAnsi="GHEA Grapalat" w:cs="Sylfaen"/>
          <w:sz w:val="22"/>
          <w:szCs w:val="22"/>
          <w:lang w:val="hy-AM"/>
        </w:rPr>
        <w:t>´</w:t>
      </w:r>
      <w:r w:rsidRPr="00BA0949">
        <w:rPr>
          <w:rFonts w:ascii="GHEA Grapalat" w:hAnsi="GHEA Grapalat" w:cs="Sylfaen"/>
          <w:sz w:val="22"/>
          <w:szCs w:val="22"/>
          <w:lang w:val="hy-AM"/>
        </w:rPr>
        <w:t>ս Գծապատկեր 3):</w:t>
      </w:r>
    </w:p>
    <w:p w:rsidR="00BA0949" w:rsidRPr="009272AD" w:rsidRDefault="00BA0949" w:rsidP="00BA0949">
      <w:pPr>
        <w:spacing w:line="360" w:lineRule="auto"/>
        <w:ind w:right="-12" w:firstLine="561"/>
        <w:jc w:val="both"/>
        <w:rPr>
          <w:rFonts w:ascii="GHEA Grapalat" w:hAnsi="GHEA Grapalat" w:cs="Sylfaen"/>
          <w:sz w:val="22"/>
          <w:szCs w:val="22"/>
          <w:lang w:val="hy-AM"/>
        </w:rPr>
      </w:pPr>
    </w:p>
    <w:p w:rsidR="00BA0949" w:rsidRPr="009272AD" w:rsidRDefault="00BA0949" w:rsidP="00BA0949">
      <w:pPr>
        <w:spacing w:line="360" w:lineRule="auto"/>
        <w:ind w:right="-12" w:firstLine="561"/>
        <w:jc w:val="both"/>
        <w:rPr>
          <w:rFonts w:ascii="GHEA Grapalat" w:hAnsi="GHEA Grapalat" w:cs="Sylfaen"/>
          <w:sz w:val="22"/>
          <w:szCs w:val="22"/>
          <w:lang w:val="hy-AM"/>
        </w:rPr>
      </w:pPr>
    </w:p>
    <w:p w:rsidR="00BA0949" w:rsidRPr="009272AD" w:rsidRDefault="00BA0949" w:rsidP="00BA0949">
      <w:pPr>
        <w:spacing w:line="360" w:lineRule="auto"/>
        <w:ind w:right="-12" w:firstLine="561"/>
        <w:jc w:val="both"/>
        <w:rPr>
          <w:rFonts w:ascii="GHEA Grapalat" w:hAnsi="GHEA Grapalat" w:cs="Sylfaen"/>
          <w:sz w:val="22"/>
          <w:szCs w:val="22"/>
          <w:lang w:val="hy-AM"/>
        </w:rPr>
      </w:pPr>
    </w:p>
    <w:p w:rsidR="00BA0949" w:rsidRPr="009272AD" w:rsidRDefault="00BA0949" w:rsidP="00BA0949">
      <w:pPr>
        <w:spacing w:line="360" w:lineRule="auto"/>
        <w:ind w:right="-12" w:firstLine="561"/>
        <w:jc w:val="both"/>
        <w:rPr>
          <w:rFonts w:ascii="GHEA Grapalat" w:hAnsi="GHEA Grapalat" w:cs="Sylfaen"/>
          <w:sz w:val="22"/>
          <w:szCs w:val="22"/>
          <w:lang w:val="hy-AM"/>
        </w:rPr>
      </w:pPr>
    </w:p>
    <w:p w:rsidR="00BA0949" w:rsidRPr="009272AD" w:rsidRDefault="00BA0949" w:rsidP="00BA0949">
      <w:pPr>
        <w:spacing w:line="360" w:lineRule="auto"/>
        <w:ind w:right="-12" w:firstLine="561"/>
        <w:jc w:val="both"/>
        <w:rPr>
          <w:rFonts w:ascii="GHEA Grapalat" w:hAnsi="GHEA Grapalat" w:cs="Sylfaen"/>
          <w:sz w:val="22"/>
          <w:szCs w:val="22"/>
          <w:lang w:val="hy-AM"/>
        </w:rPr>
      </w:pPr>
    </w:p>
    <w:p w:rsidR="00BA0949" w:rsidRPr="009272AD" w:rsidRDefault="00BA0949" w:rsidP="00BA0949">
      <w:pPr>
        <w:spacing w:line="360" w:lineRule="auto"/>
        <w:ind w:right="-12" w:firstLine="561"/>
        <w:jc w:val="both"/>
        <w:rPr>
          <w:rFonts w:ascii="GHEA Grapalat" w:hAnsi="GHEA Grapalat" w:cs="Sylfaen"/>
          <w:sz w:val="22"/>
          <w:szCs w:val="22"/>
          <w:lang w:val="hy-AM"/>
        </w:rPr>
      </w:pPr>
    </w:p>
    <w:p w:rsidR="00BA0949" w:rsidRPr="009272AD" w:rsidRDefault="00BA0949" w:rsidP="00BA0949">
      <w:pPr>
        <w:spacing w:line="360" w:lineRule="auto"/>
        <w:ind w:right="-12" w:firstLine="561"/>
        <w:jc w:val="both"/>
        <w:rPr>
          <w:rFonts w:ascii="GHEA Grapalat" w:hAnsi="GHEA Grapalat" w:cs="Sylfaen"/>
          <w:sz w:val="22"/>
          <w:szCs w:val="22"/>
          <w:lang w:val="hy-AM"/>
        </w:rPr>
      </w:pPr>
    </w:p>
    <w:p w:rsidR="00446AF7" w:rsidRPr="00BA0949" w:rsidRDefault="00446AF7" w:rsidP="00BA0949">
      <w:pPr>
        <w:spacing w:line="360" w:lineRule="auto"/>
        <w:ind w:right="-12"/>
        <w:jc w:val="both"/>
        <w:rPr>
          <w:rFonts w:ascii="GHEA Grapalat" w:hAnsi="GHEA Grapalat" w:cs="Sylfaen"/>
          <w:sz w:val="22"/>
          <w:szCs w:val="22"/>
          <w:lang w:val="hy-AM"/>
        </w:rPr>
      </w:pPr>
      <w:r w:rsidRPr="0075224B">
        <w:rPr>
          <w:rFonts w:ascii="GHEA Grapalat" w:hAnsi="GHEA Grapalat" w:cs="Sylfaen"/>
          <w:b/>
          <w:sz w:val="22"/>
          <w:szCs w:val="22"/>
          <w:lang w:val="hy-AM"/>
        </w:rPr>
        <w:t>Գծապատկեր 3.</w:t>
      </w:r>
      <w:r w:rsidRPr="00BA0949">
        <w:rPr>
          <w:rFonts w:ascii="GHEA Grapalat" w:hAnsi="GHEA Grapalat" w:cs="Sylfaen"/>
          <w:sz w:val="22"/>
          <w:szCs w:val="22"/>
          <w:lang w:val="hy-AM"/>
        </w:rPr>
        <w:t xml:space="preserve"> Ներմուծման բացասա</w:t>
      </w:r>
      <w:r w:rsidR="000523C5" w:rsidRPr="009272AD">
        <w:rPr>
          <w:rFonts w:ascii="GHEA Grapalat" w:hAnsi="GHEA Grapalat" w:cs="Sylfaen"/>
          <w:sz w:val="22"/>
          <w:szCs w:val="22"/>
          <w:lang w:val="hy-AM"/>
        </w:rPr>
        <w:t>կ</w:t>
      </w:r>
      <w:r w:rsidRPr="00BA0949">
        <w:rPr>
          <w:rFonts w:ascii="GHEA Grapalat" w:hAnsi="GHEA Grapalat" w:cs="Sylfaen"/>
          <w:sz w:val="22"/>
          <w:szCs w:val="22"/>
          <w:lang w:val="hy-AM"/>
        </w:rPr>
        <w:t>ան ծածկման գործակիցը</w:t>
      </w:r>
      <w:r w:rsidRPr="00BA0949">
        <w:rPr>
          <w:rFonts w:ascii="GHEA Grapalat" w:hAnsi="GHEA Grapalat" w:cs="Sylfaen"/>
          <w:sz w:val="22"/>
          <w:szCs w:val="22"/>
          <w:vertAlign w:val="superscript"/>
          <w:lang w:val="hy-AM"/>
        </w:rPr>
        <w:footnoteReference w:id="9"/>
      </w:r>
      <w:r w:rsidRPr="00BA0949">
        <w:rPr>
          <w:rFonts w:ascii="GHEA Grapalat" w:hAnsi="GHEA Grapalat" w:cs="Sylfaen"/>
          <w:sz w:val="22"/>
          <w:szCs w:val="22"/>
          <w:lang w:val="hy-AM"/>
        </w:rPr>
        <w:t>, տոկոսներով (առաջին եռամսյակներ)</w:t>
      </w:r>
    </w:p>
    <w:p w:rsidR="00446AF7" w:rsidRPr="005A364D" w:rsidRDefault="00446AF7" w:rsidP="00446AF7">
      <w:pPr>
        <w:pStyle w:val="33"/>
        <w:jc w:val="center"/>
        <w:rPr>
          <w:rFonts w:ascii="GHEA Grapalat" w:hAnsi="GHEA Grapalat"/>
          <w:i w:val="0"/>
          <w:szCs w:val="22"/>
        </w:rPr>
      </w:pPr>
      <w:r w:rsidRPr="005A364D">
        <w:rPr>
          <w:rFonts w:ascii="GHEA Grapalat" w:hAnsi="GHEA Grapalat"/>
          <w:i w:val="0"/>
          <w:noProof/>
          <w:szCs w:val="22"/>
          <w:lang w:val="ru-RU" w:eastAsia="ru-RU"/>
        </w:rPr>
        <w:drawing>
          <wp:inline distT="0" distB="0" distL="0" distR="0" wp14:anchorId="1050788F" wp14:editId="7A2DD140">
            <wp:extent cx="5715000" cy="28575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6AF7" w:rsidRPr="005A364D" w:rsidRDefault="00446AF7" w:rsidP="00446AF7">
      <w:pPr>
        <w:spacing w:line="360" w:lineRule="auto"/>
        <w:ind w:firstLine="720"/>
        <w:jc w:val="both"/>
        <w:rPr>
          <w:rFonts w:ascii="GHEA Grapalat" w:hAnsi="GHEA Grapalat" w:cs="Sylfaen"/>
          <w:i/>
        </w:rPr>
      </w:pPr>
    </w:p>
    <w:p w:rsidR="00446AF7" w:rsidRPr="00BA0949" w:rsidRDefault="00446AF7" w:rsidP="00BA0949">
      <w:pPr>
        <w:spacing w:line="360" w:lineRule="auto"/>
        <w:ind w:right="-12" w:firstLine="561"/>
        <w:jc w:val="both"/>
        <w:rPr>
          <w:rFonts w:ascii="GHEA Grapalat" w:hAnsi="GHEA Grapalat" w:cs="Sylfaen"/>
          <w:sz w:val="22"/>
          <w:szCs w:val="22"/>
          <w:lang w:val="hy-AM"/>
        </w:rPr>
      </w:pPr>
      <w:r w:rsidRPr="00BA0949">
        <w:rPr>
          <w:rFonts w:ascii="GHEA Grapalat" w:hAnsi="GHEA Grapalat" w:cs="Sylfaen"/>
          <w:i/>
          <w:sz w:val="22"/>
          <w:szCs w:val="22"/>
          <w:lang w:val="hy-AM"/>
        </w:rPr>
        <w:t>Ներճյուղային առևտուր</w:t>
      </w:r>
      <w:r w:rsidRPr="00BA0949">
        <w:rPr>
          <w:rFonts w:ascii="GHEA Grapalat" w:hAnsi="GHEA Grapalat"/>
          <w:i/>
          <w:sz w:val="22"/>
          <w:szCs w:val="22"/>
          <w:vertAlign w:val="superscript"/>
          <w:lang w:val="hy-AM"/>
        </w:rPr>
        <w:footnoteReference w:id="10"/>
      </w:r>
      <w:r w:rsidRPr="00BA0949">
        <w:rPr>
          <w:rFonts w:ascii="GHEA Grapalat" w:hAnsi="GHEA Grapalat" w:cs="Sylfaen"/>
          <w:i/>
          <w:sz w:val="22"/>
          <w:szCs w:val="22"/>
          <w:lang w:val="hy-AM"/>
        </w:rPr>
        <w:t xml:space="preserve">: </w:t>
      </w:r>
      <w:r w:rsidRPr="00BA0949">
        <w:rPr>
          <w:rFonts w:ascii="GHEA Grapalat" w:hAnsi="GHEA Grapalat" w:cs="Sylfaen"/>
          <w:sz w:val="22"/>
          <w:szCs w:val="22"/>
          <w:lang w:val="hy-AM"/>
        </w:rPr>
        <w:t>2016 թվականի առաջին եռամսյակի ՀՀ ներճյուղային առևտրի մակարդակի վերլուծությունը վկայում է, որ «Կաշվեհումք, կաշի, մորթի և դրանցից պատրաստված իրեր» և «Պատրաստի սննդի արտադրանք» ապրանքախմբերի գծով իրականացվում է ակտիվ երկկողմանի արտաքին առևտուր: Երկկողմանի արտաքին առևտուր է իրականացվում նաև «Ոչ թանկարժեք մետաղներ և դրանցից պատրաստված իրեր», «Հանքահումքային արտադրանք», «Բուսական ծագման արտադրանք», «Մանածագործական իրեր» և «Սարքեր և ապարատներ» ապրանքախմբերի գծով (տե</w:t>
      </w:r>
      <w:r w:rsidR="00BA0949">
        <w:rPr>
          <w:rFonts w:ascii="GHEA Grapalat" w:hAnsi="GHEA Grapalat" w:cs="Sylfaen"/>
          <w:sz w:val="22"/>
          <w:szCs w:val="22"/>
        </w:rPr>
        <w:t>´</w:t>
      </w:r>
      <w:r w:rsidRPr="00BA0949">
        <w:rPr>
          <w:rFonts w:ascii="GHEA Grapalat" w:hAnsi="GHEA Grapalat" w:cs="Sylfaen"/>
          <w:sz w:val="22"/>
          <w:szCs w:val="22"/>
          <w:lang w:val="hy-AM"/>
        </w:rPr>
        <w:t xml:space="preserve">ս Գծապատկեր 4): </w:t>
      </w:r>
    </w:p>
    <w:p w:rsidR="0075224B" w:rsidRDefault="0075224B" w:rsidP="0075224B">
      <w:pPr>
        <w:spacing w:line="360" w:lineRule="auto"/>
        <w:ind w:right="-12"/>
        <w:jc w:val="both"/>
        <w:rPr>
          <w:rFonts w:ascii="GHEA Grapalat" w:hAnsi="GHEA Grapalat" w:cs="Sylfaen"/>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75224B" w:rsidRDefault="0075224B" w:rsidP="0075224B">
      <w:pPr>
        <w:spacing w:line="360" w:lineRule="auto"/>
        <w:ind w:right="-12"/>
        <w:jc w:val="both"/>
        <w:rPr>
          <w:rFonts w:ascii="GHEA Grapalat" w:hAnsi="GHEA Grapalat" w:cs="Sylfaen"/>
          <w:b/>
          <w:sz w:val="22"/>
          <w:szCs w:val="22"/>
        </w:rPr>
      </w:pPr>
    </w:p>
    <w:p w:rsidR="00446AF7" w:rsidRPr="0075224B" w:rsidRDefault="00446AF7" w:rsidP="0075224B">
      <w:pPr>
        <w:spacing w:line="360" w:lineRule="auto"/>
        <w:ind w:right="-12"/>
        <w:jc w:val="both"/>
        <w:rPr>
          <w:rFonts w:ascii="GHEA Grapalat" w:hAnsi="GHEA Grapalat" w:cs="Sylfaen"/>
          <w:sz w:val="22"/>
          <w:szCs w:val="22"/>
          <w:lang w:val="hy-AM"/>
        </w:rPr>
      </w:pPr>
      <w:r w:rsidRPr="0075224B">
        <w:rPr>
          <w:rFonts w:ascii="GHEA Grapalat" w:hAnsi="GHEA Grapalat" w:cs="Sylfaen"/>
          <w:b/>
          <w:sz w:val="22"/>
          <w:szCs w:val="22"/>
          <w:lang w:val="hy-AM"/>
        </w:rPr>
        <w:t xml:space="preserve">Գծապատկեր 4. </w:t>
      </w:r>
      <w:r w:rsidRPr="0075224B">
        <w:rPr>
          <w:rFonts w:ascii="GHEA Grapalat" w:hAnsi="GHEA Grapalat" w:cs="Sylfaen"/>
          <w:sz w:val="22"/>
          <w:szCs w:val="22"/>
          <w:lang w:val="hy-AM"/>
        </w:rPr>
        <w:t>2016 թվականի առաջին եռամսյակի ներճյուղային առևտուրը</w:t>
      </w:r>
    </w:p>
    <w:p w:rsidR="00446AF7" w:rsidRPr="005A364D" w:rsidRDefault="00446AF7" w:rsidP="00446AF7">
      <w:pPr>
        <w:tabs>
          <w:tab w:val="num" w:pos="0"/>
        </w:tabs>
        <w:spacing w:line="360" w:lineRule="auto"/>
        <w:jc w:val="center"/>
        <w:rPr>
          <w:rFonts w:ascii="GHEA Grapalat" w:hAnsi="GHEA Grapalat"/>
        </w:rPr>
      </w:pPr>
      <w:r w:rsidRPr="005A364D">
        <w:rPr>
          <w:rFonts w:ascii="GHEA Grapalat" w:hAnsi="GHEA Grapalat" w:cs="Sylfaen"/>
          <w:b/>
          <w:i/>
          <w:noProof/>
          <w:lang w:val="ru-RU" w:eastAsia="ru-RU"/>
        </w:rPr>
        <mc:AlternateContent>
          <mc:Choice Requires="wps">
            <w:drawing>
              <wp:anchor distT="0" distB="0" distL="114300" distR="114300" simplePos="0" relativeHeight="251659264" behindDoc="0" locked="0" layoutInCell="1" allowOverlap="1" wp14:anchorId="4AC17325" wp14:editId="7A6B25AF">
                <wp:simplePos x="0" y="0"/>
                <wp:positionH relativeFrom="column">
                  <wp:posOffset>2360295</wp:posOffset>
                </wp:positionH>
                <wp:positionV relativeFrom="paragraph">
                  <wp:posOffset>361950</wp:posOffset>
                </wp:positionV>
                <wp:extent cx="0" cy="1500505"/>
                <wp:effectExtent l="0" t="0" r="19050"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05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10B8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28.5pt" to="185.8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cDwIAACk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" strokeweight="1.5pt"/>
            </w:pict>
          </mc:Fallback>
        </mc:AlternateContent>
      </w:r>
      <w:r w:rsidRPr="005A364D">
        <w:rPr>
          <w:rFonts w:ascii="GHEA Grapalat" w:hAnsi="GHEA Grapalat"/>
          <w:i/>
          <w:noProof/>
          <w:sz w:val="22"/>
          <w:szCs w:val="22"/>
          <w:lang w:val="ru-RU" w:eastAsia="ru-RU"/>
        </w:rPr>
        <w:drawing>
          <wp:inline distT="0" distB="0" distL="0" distR="0" wp14:anchorId="7B91A335" wp14:editId="1D2F132E">
            <wp:extent cx="6477000" cy="3343275"/>
            <wp:effectExtent l="0" t="0" r="19050" b="9525"/>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224B" w:rsidRDefault="0075224B" w:rsidP="0075224B">
      <w:pPr>
        <w:spacing w:line="360" w:lineRule="auto"/>
        <w:ind w:right="-12" w:firstLine="561"/>
        <w:jc w:val="both"/>
        <w:rPr>
          <w:rFonts w:ascii="GHEA Grapalat" w:hAnsi="GHEA Grapalat" w:cs="Sylfaen"/>
          <w:sz w:val="22"/>
          <w:szCs w:val="22"/>
        </w:rPr>
      </w:pPr>
    </w:p>
    <w:p w:rsidR="00446AF7" w:rsidRPr="0075224B" w:rsidRDefault="00446AF7" w:rsidP="0075224B">
      <w:pPr>
        <w:spacing w:line="360" w:lineRule="auto"/>
        <w:ind w:right="-12" w:firstLine="561"/>
        <w:jc w:val="both"/>
        <w:rPr>
          <w:rFonts w:ascii="GHEA Grapalat" w:hAnsi="GHEA Grapalat" w:cs="Sylfaen"/>
          <w:sz w:val="22"/>
          <w:szCs w:val="22"/>
          <w:lang w:val="hy-AM"/>
        </w:rPr>
      </w:pPr>
      <w:r w:rsidRPr="0075224B">
        <w:rPr>
          <w:rFonts w:ascii="GHEA Grapalat" w:hAnsi="GHEA Grapalat" w:cs="Sylfaen"/>
          <w:sz w:val="22"/>
          <w:szCs w:val="22"/>
          <w:lang w:val="hy-AM"/>
        </w:rPr>
        <w:t>«Կաշվեհումք, կաշի, մորթի և դրանցից պատրաստված իրեր», «Պատրաստի սննդի արտադրանք», «Ոչ թանկարժեք մետաղներ և դրանցից պատրաստված իրեր», «Թանկարժեք ու կիսաթանկարժեք քարեր, թանկարժեք մետաղներ և դրանցից իրեր» և «Արվեստի ստեղծագործություններ» ապրանքախմբերի դրական</w:t>
      </w:r>
      <w:r w:rsidRPr="0075224B">
        <w:rPr>
          <w:rFonts w:ascii="GHEA Grapalat" w:hAnsi="GHEA Grapalat"/>
          <w:sz w:val="22"/>
          <w:szCs w:val="22"/>
          <w:vertAlign w:val="superscript"/>
          <w:lang w:val="hy-AM"/>
        </w:rPr>
        <w:footnoteReference w:id="11"/>
      </w:r>
      <w:r w:rsidRPr="0075224B">
        <w:rPr>
          <w:rFonts w:ascii="GHEA Grapalat" w:hAnsi="GHEA Grapalat" w:cs="Sylfaen"/>
          <w:sz w:val="22"/>
          <w:szCs w:val="22"/>
          <w:lang w:val="hy-AM"/>
        </w:rPr>
        <w:t xml:space="preserve"> առևտրային մնացորդը վկայում է մեր երկրի կողմից այդ ապրանքատեսակների գծով արտաքին աշխարհի պահանջարկը բավարարելու մասին: Ընդ որում` դրական առևտրային հաշվեկշիռ ձևավորած ապրանքախմբերի քանակ</w:t>
      </w:r>
      <w:r w:rsidR="000523C5">
        <w:rPr>
          <w:rFonts w:ascii="GHEA Grapalat" w:hAnsi="GHEA Grapalat" w:cs="Sylfaen"/>
          <w:sz w:val="22"/>
          <w:szCs w:val="22"/>
        </w:rPr>
        <w:t>ն</w:t>
      </w:r>
      <w:r w:rsidRPr="0075224B">
        <w:rPr>
          <w:rFonts w:ascii="GHEA Grapalat" w:hAnsi="GHEA Grapalat" w:cs="Sylfaen"/>
          <w:sz w:val="22"/>
          <w:szCs w:val="22"/>
          <w:lang w:val="hy-AM"/>
        </w:rPr>
        <w:t xml:space="preserve"> ընթացիկ տարվա առաջին եռամսյակի ընթացքում ընդլայնվել է: </w:t>
      </w:r>
    </w:p>
    <w:p w:rsidR="00446AF7" w:rsidRPr="0075224B" w:rsidRDefault="00446AF7" w:rsidP="0075224B">
      <w:pPr>
        <w:spacing w:line="360" w:lineRule="auto"/>
        <w:ind w:right="-12" w:firstLine="561"/>
        <w:jc w:val="both"/>
        <w:rPr>
          <w:rFonts w:ascii="GHEA Grapalat" w:hAnsi="GHEA Grapalat" w:cs="Sylfaen"/>
          <w:sz w:val="22"/>
          <w:szCs w:val="22"/>
          <w:lang w:val="hy-AM"/>
        </w:rPr>
      </w:pPr>
      <w:r w:rsidRPr="0075224B">
        <w:rPr>
          <w:rFonts w:ascii="GHEA Grapalat" w:hAnsi="GHEA Grapalat" w:cs="Sylfaen"/>
          <w:sz w:val="22"/>
          <w:szCs w:val="22"/>
          <w:lang w:val="hy-AM"/>
        </w:rPr>
        <w:t xml:space="preserve">Մնացած ապրանքախմբերով տեղի է ունեցել մեծ մասամբ միակողմանի առևտուր` ներքին պահանջարկը բավարարելու ուղղությամբ (բացասական առևտրային մնացորդ): </w:t>
      </w:r>
    </w:p>
    <w:p w:rsidR="00446AF7" w:rsidRPr="0075224B" w:rsidRDefault="00446AF7" w:rsidP="0075224B">
      <w:pPr>
        <w:spacing w:line="360" w:lineRule="auto"/>
        <w:ind w:right="-12" w:firstLine="561"/>
        <w:jc w:val="both"/>
        <w:rPr>
          <w:rFonts w:ascii="GHEA Grapalat" w:hAnsi="GHEA Grapalat" w:cs="Sylfaen"/>
          <w:sz w:val="22"/>
          <w:szCs w:val="22"/>
          <w:lang w:val="hy-AM"/>
        </w:rPr>
      </w:pPr>
      <w:r w:rsidRPr="0075224B">
        <w:rPr>
          <w:rFonts w:ascii="GHEA Grapalat" w:hAnsi="GHEA Grapalat" w:cs="Sylfaen"/>
          <w:b/>
          <w:sz w:val="22"/>
          <w:szCs w:val="22"/>
          <w:lang w:val="hy-AM"/>
        </w:rPr>
        <w:t>Արտաքին առևտուրն ըստ գործընկեր երկրների:</w:t>
      </w:r>
      <w:r w:rsidRPr="0075224B">
        <w:rPr>
          <w:rFonts w:ascii="GHEA Grapalat" w:hAnsi="GHEA Grapalat" w:cs="Sylfaen"/>
          <w:sz w:val="22"/>
          <w:szCs w:val="22"/>
          <w:lang w:val="hy-AM"/>
        </w:rPr>
        <w:t xml:space="preserve"> Հիմնական գործընկեր երկրների կազմը գրեթե չի փոփոխվել, մինչդեռ ըստ աշխարհագրական կառուցվածքի` արտաքին առևտրի կշիռները փոխվել են ի օգուտ ԵՄ և այլ երկրների: Մասնավորապես` ՀՀ արտաքին առևտրաշրջանառության 27.7</w:t>
      </w:r>
      <w:r w:rsidR="00851B13">
        <w:rPr>
          <w:rFonts w:ascii="GHEA Grapalat" w:hAnsi="GHEA Grapalat" w:cs="Sylfaen"/>
          <w:sz w:val="22"/>
          <w:szCs w:val="22"/>
          <w:lang w:val="hy-AM"/>
        </w:rPr>
        <w:t>%-ը</w:t>
      </w:r>
      <w:r w:rsidRPr="0075224B">
        <w:rPr>
          <w:rFonts w:ascii="GHEA Grapalat" w:hAnsi="GHEA Grapalat" w:cs="Sylfaen"/>
          <w:sz w:val="22"/>
          <w:szCs w:val="22"/>
          <w:lang w:val="hy-AM"/>
        </w:rPr>
        <w:t xml:space="preserve"> բաժին է ընկել ԱՊՀ, 25.1</w:t>
      </w:r>
      <w:r w:rsidR="00851B13">
        <w:rPr>
          <w:rFonts w:ascii="GHEA Grapalat" w:hAnsi="GHEA Grapalat" w:cs="Sylfaen"/>
          <w:sz w:val="22"/>
          <w:szCs w:val="22"/>
          <w:lang w:val="hy-AM"/>
        </w:rPr>
        <w:t>%-ը</w:t>
      </w:r>
      <w:r w:rsidRPr="0075224B">
        <w:rPr>
          <w:rFonts w:ascii="GHEA Grapalat" w:hAnsi="GHEA Grapalat" w:cs="Sylfaen"/>
          <w:sz w:val="22"/>
          <w:szCs w:val="22"/>
          <w:lang w:val="hy-AM"/>
        </w:rPr>
        <w:t>` ԵՄ և 47.2</w:t>
      </w:r>
      <w:r w:rsidR="00851B13">
        <w:rPr>
          <w:rFonts w:ascii="GHEA Grapalat" w:hAnsi="GHEA Grapalat" w:cs="Sylfaen"/>
          <w:sz w:val="22"/>
          <w:szCs w:val="22"/>
          <w:lang w:val="hy-AM"/>
        </w:rPr>
        <w:t>%-ը</w:t>
      </w:r>
      <w:r w:rsidR="00851B13" w:rsidRPr="009272AD">
        <w:rPr>
          <w:rFonts w:ascii="GHEA Grapalat" w:hAnsi="GHEA Grapalat" w:cs="Sylfaen"/>
          <w:sz w:val="22"/>
          <w:szCs w:val="22"/>
          <w:lang w:val="hy-AM"/>
        </w:rPr>
        <w:t>՝</w:t>
      </w:r>
      <w:r w:rsidRPr="0075224B">
        <w:rPr>
          <w:rFonts w:ascii="GHEA Grapalat" w:hAnsi="GHEA Grapalat" w:cs="Sylfaen"/>
          <w:sz w:val="22"/>
          <w:szCs w:val="22"/>
          <w:lang w:val="hy-AM"/>
        </w:rPr>
        <w:t xml:space="preserve"> այլ երկրներին՝ նախորդ տարվա համապատասխան ժամանակահատվածի 30.7, 24.9 և 44.4 տոկոսի դիմաց: ՀՀ խոշոր առևտրային գործընկեր</w:t>
      </w:r>
      <w:r w:rsidR="00851B13" w:rsidRPr="009272AD">
        <w:rPr>
          <w:rFonts w:ascii="GHEA Grapalat" w:hAnsi="GHEA Grapalat" w:cs="Sylfaen"/>
          <w:sz w:val="22"/>
          <w:szCs w:val="22"/>
          <w:lang w:val="hy-AM"/>
        </w:rPr>
        <w:t>ներ</w:t>
      </w:r>
      <w:r w:rsidRPr="0075224B">
        <w:rPr>
          <w:rFonts w:ascii="GHEA Grapalat" w:hAnsi="GHEA Grapalat" w:cs="Sylfaen"/>
          <w:sz w:val="22"/>
          <w:szCs w:val="22"/>
          <w:lang w:val="hy-AM"/>
        </w:rPr>
        <w:t>ի շրջանակում ընդգրկված են Ռուսաստանը (առևտրաշրջանառության 24.7</w:t>
      </w:r>
      <w:r w:rsidR="00851B13" w:rsidRPr="009272AD">
        <w:rPr>
          <w:rFonts w:ascii="GHEA Grapalat" w:hAnsi="GHEA Grapalat" w:cs="Sylfaen"/>
          <w:sz w:val="22"/>
          <w:szCs w:val="22"/>
          <w:lang w:val="hy-AM"/>
        </w:rPr>
        <w:t>%-ը</w:t>
      </w:r>
      <w:r w:rsidRPr="0075224B">
        <w:rPr>
          <w:rFonts w:ascii="GHEA Grapalat" w:hAnsi="GHEA Grapalat" w:cs="Sylfaen"/>
          <w:sz w:val="22"/>
          <w:szCs w:val="22"/>
          <w:lang w:val="hy-AM"/>
        </w:rPr>
        <w:t xml:space="preserve">), </w:t>
      </w:r>
      <w:r w:rsidR="00851B13">
        <w:rPr>
          <w:rFonts w:ascii="GHEA Grapalat" w:hAnsi="GHEA Grapalat" w:cs="Sylfaen"/>
          <w:sz w:val="22"/>
          <w:szCs w:val="22"/>
          <w:lang w:val="hy-AM"/>
        </w:rPr>
        <w:lastRenderedPageBreak/>
        <w:t>Չինաստանը (9.4</w:t>
      </w:r>
      <w:r w:rsidR="00851B13" w:rsidRPr="009272AD">
        <w:rPr>
          <w:rFonts w:ascii="GHEA Grapalat" w:hAnsi="GHEA Grapalat" w:cs="Sylfaen"/>
          <w:sz w:val="22"/>
          <w:szCs w:val="22"/>
          <w:lang w:val="hy-AM"/>
        </w:rPr>
        <w:t>%</w:t>
      </w:r>
      <w:r w:rsidRPr="0075224B">
        <w:rPr>
          <w:rFonts w:ascii="GHEA Grapalat" w:hAnsi="GHEA Grapalat" w:cs="Sylfaen"/>
          <w:sz w:val="22"/>
          <w:szCs w:val="22"/>
          <w:lang w:val="hy-AM"/>
        </w:rPr>
        <w:t>), Գերմանիան (7.1</w:t>
      </w:r>
      <w:r w:rsidR="00851B13" w:rsidRPr="009272AD">
        <w:rPr>
          <w:rFonts w:ascii="GHEA Grapalat" w:hAnsi="GHEA Grapalat" w:cs="Sylfaen"/>
          <w:sz w:val="22"/>
          <w:szCs w:val="22"/>
          <w:lang w:val="hy-AM"/>
        </w:rPr>
        <w:t>%</w:t>
      </w:r>
      <w:r w:rsidRPr="0075224B">
        <w:rPr>
          <w:rFonts w:ascii="GHEA Grapalat" w:hAnsi="GHEA Grapalat" w:cs="Sylfaen"/>
          <w:sz w:val="22"/>
          <w:szCs w:val="22"/>
          <w:lang w:val="hy-AM"/>
        </w:rPr>
        <w:t>), Իրանը (5.5</w:t>
      </w:r>
      <w:r w:rsidR="00851B13" w:rsidRPr="009272AD">
        <w:rPr>
          <w:rFonts w:ascii="GHEA Grapalat" w:hAnsi="GHEA Grapalat" w:cs="Sylfaen"/>
          <w:sz w:val="22"/>
          <w:szCs w:val="22"/>
          <w:lang w:val="hy-AM"/>
        </w:rPr>
        <w:t>%</w:t>
      </w:r>
      <w:r w:rsidR="00851B13">
        <w:rPr>
          <w:rFonts w:ascii="GHEA Grapalat" w:hAnsi="GHEA Grapalat" w:cs="Sylfaen"/>
          <w:sz w:val="22"/>
          <w:szCs w:val="22"/>
          <w:lang w:val="hy-AM"/>
        </w:rPr>
        <w:t>), Վրաստանը (5.1</w:t>
      </w:r>
      <w:r w:rsidR="00851B13" w:rsidRPr="009272AD">
        <w:rPr>
          <w:rFonts w:ascii="GHEA Grapalat" w:hAnsi="GHEA Grapalat" w:cs="Sylfaen"/>
          <w:sz w:val="22"/>
          <w:szCs w:val="22"/>
          <w:lang w:val="hy-AM"/>
        </w:rPr>
        <w:t>%</w:t>
      </w:r>
      <w:r w:rsidRPr="0075224B">
        <w:rPr>
          <w:rFonts w:ascii="GHEA Grapalat" w:hAnsi="GHEA Grapalat" w:cs="Sylfaen"/>
          <w:sz w:val="22"/>
          <w:szCs w:val="22"/>
          <w:lang w:val="hy-AM"/>
        </w:rPr>
        <w:t>), Բուլղարիան (4.9</w:t>
      </w:r>
      <w:r w:rsidR="00851B13" w:rsidRPr="009272AD">
        <w:rPr>
          <w:rFonts w:ascii="GHEA Grapalat" w:hAnsi="GHEA Grapalat" w:cs="Sylfaen"/>
          <w:sz w:val="22"/>
          <w:szCs w:val="22"/>
          <w:lang w:val="hy-AM"/>
        </w:rPr>
        <w:t>%</w:t>
      </w:r>
      <w:r w:rsidRPr="0075224B">
        <w:rPr>
          <w:rFonts w:ascii="GHEA Grapalat" w:hAnsi="GHEA Grapalat" w:cs="Sylfaen"/>
          <w:sz w:val="22"/>
          <w:szCs w:val="22"/>
          <w:lang w:val="hy-AM"/>
        </w:rPr>
        <w:t>), Իրաքը (4.0</w:t>
      </w:r>
      <w:r w:rsidR="00851B13" w:rsidRPr="009272AD">
        <w:rPr>
          <w:rFonts w:ascii="GHEA Grapalat" w:hAnsi="GHEA Grapalat" w:cs="Sylfaen"/>
          <w:sz w:val="22"/>
          <w:szCs w:val="22"/>
          <w:lang w:val="hy-AM"/>
        </w:rPr>
        <w:t>%</w:t>
      </w:r>
      <w:r w:rsidRPr="0075224B">
        <w:rPr>
          <w:rFonts w:ascii="GHEA Grapalat" w:hAnsi="GHEA Grapalat" w:cs="Sylfaen"/>
          <w:sz w:val="22"/>
          <w:szCs w:val="22"/>
          <w:lang w:val="hy-AM"/>
        </w:rPr>
        <w:t>), ԱՄՆ-ն (2.9</w:t>
      </w:r>
      <w:r w:rsidR="00851B13" w:rsidRPr="009272AD">
        <w:rPr>
          <w:rFonts w:ascii="GHEA Grapalat" w:hAnsi="GHEA Grapalat" w:cs="Sylfaen"/>
          <w:sz w:val="22"/>
          <w:szCs w:val="22"/>
          <w:lang w:val="hy-AM"/>
        </w:rPr>
        <w:t>%</w:t>
      </w:r>
      <w:r w:rsidRPr="0075224B">
        <w:rPr>
          <w:rFonts w:ascii="GHEA Grapalat" w:hAnsi="GHEA Grapalat" w:cs="Sylfaen"/>
          <w:sz w:val="22"/>
          <w:szCs w:val="22"/>
          <w:lang w:val="hy-AM"/>
        </w:rPr>
        <w:t>), Իտալիան (2.8</w:t>
      </w:r>
      <w:r w:rsidR="00851B13" w:rsidRPr="009272AD">
        <w:rPr>
          <w:rFonts w:ascii="GHEA Grapalat" w:hAnsi="GHEA Grapalat" w:cs="Sylfaen"/>
          <w:sz w:val="22"/>
          <w:szCs w:val="22"/>
          <w:lang w:val="hy-AM"/>
        </w:rPr>
        <w:t>%</w:t>
      </w:r>
      <w:r w:rsidRPr="0075224B">
        <w:rPr>
          <w:rFonts w:ascii="GHEA Grapalat" w:hAnsi="GHEA Grapalat" w:cs="Sylfaen"/>
          <w:sz w:val="22"/>
          <w:szCs w:val="22"/>
          <w:lang w:val="hy-AM"/>
        </w:rPr>
        <w:t>), Կանադան (2.6</w:t>
      </w:r>
      <w:r w:rsidR="00851B13" w:rsidRPr="009272AD">
        <w:rPr>
          <w:rFonts w:ascii="GHEA Grapalat" w:hAnsi="GHEA Grapalat" w:cs="Sylfaen"/>
          <w:sz w:val="22"/>
          <w:szCs w:val="22"/>
          <w:lang w:val="hy-AM"/>
        </w:rPr>
        <w:t>%</w:t>
      </w:r>
      <w:r w:rsidRPr="0075224B">
        <w:rPr>
          <w:rFonts w:ascii="GHEA Grapalat" w:hAnsi="GHEA Grapalat" w:cs="Sylfaen"/>
          <w:sz w:val="22"/>
          <w:szCs w:val="22"/>
          <w:lang w:val="hy-AM"/>
        </w:rPr>
        <w:t>): Հանրապետության թվով 38 հիմնական գործընկեր երկրները մեծամասամբ (մոտ</w:t>
      </w:r>
      <w:r w:rsidR="00851B13">
        <w:rPr>
          <w:rFonts w:ascii="GHEA Grapalat" w:hAnsi="GHEA Grapalat" w:cs="Sylfaen"/>
          <w:sz w:val="22"/>
          <w:szCs w:val="22"/>
          <w:lang w:val="hy-AM"/>
        </w:rPr>
        <w:t xml:space="preserve"> 90</w:t>
      </w:r>
      <w:r w:rsidR="00851B13" w:rsidRPr="009272AD">
        <w:rPr>
          <w:rFonts w:ascii="GHEA Grapalat" w:hAnsi="GHEA Grapalat" w:cs="Sylfaen"/>
          <w:sz w:val="22"/>
          <w:szCs w:val="22"/>
          <w:lang w:val="hy-AM"/>
        </w:rPr>
        <w:t>%-</w:t>
      </w:r>
      <w:r w:rsidRPr="0075224B">
        <w:rPr>
          <w:rFonts w:ascii="GHEA Grapalat" w:hAnsi="GHEA Grapalat" w:cs="Sylfaen"/>
          <w:sz w:val="22"/>
          <w:szCs w:val="22"/>
          <w:lang w:val="hy-AM"/>
        </w:rPr>
        <w:t>ը) հանդիսանում են ԱՀԿ անդամ պետություններ:</w:t>
      </w:r>
    </w:p>
    <w:p w:rsidR="00446AF7" w:rsidRPr="009272AD" w:rsidRDefault="00446AF7" w:rsidP="0075224B">
      <w:pPr>
        <w:spacing w:line="360" w:lineRule="auto"/>
        <w:ind w:right="-12" w:firstLine="561"/>
        <w:jc w:val="both"/>
        <w:rPr>
          <w:rFonts w:ascii="GHEA Grapalat" w:hAnsi="GHEA Grapalat" w:cs="Sylfaen"/>
          <w:sz w:val="22"/>
          <w:szCs w:val="22"/>
          <w:lang w:val="hy-AM"/>
        </w:rPr>
      </w:pPr>
      <w:r w:rsidRPr="0075224B">
        <w:rPr>
          <w:rFonts w:ascii="GHEA Grapalat" w:hAnsi="GHEA Grapalat" w:cs="Sylfaen"/>
          <w:b/>
          <w:sz w:val="22"/>
          <w:szCs w:val="22"/>
          <w:lang w:val="hy-AM"/>
        </w:rPr>
        <w:t>Երկկողմանի փոխարժեք:</w:t>
      </w:r>
      <w:r w:rsidRPr="0075224B">
        <w:rPr>
          <w:rFonts w:ascii="GHEA Grapalat" w:hAnsi="GHEA Grapalat" w:cs="Sylfaen"/>
          <w:sz w:val="22"/>
          <w:szCs w:val="22"/>
          <w:lang w:val="hy-AM"/>
        </w:rPr>
        <w:t xml:space="preserve"> ՀՀ դրամի փոխարժեքը ԱՄՆ դոլարի նկատմամբ դրսևորել է հարաբերական կայուն վարքագիծ: 2016 թվականի առաջին եռամսյակ</w:t>
      </w:r>
      <w:r w:rsidR="00465651" w:rsidRPr="009272AD">
        <w:rPr>
          <w:rFonts w:ascii="GHEA Grapalat" w:hAnsi="GHEA Grapalat" w:cs="Sylfaen"/>
          <w:sz w:val="22"/>
          <w:szCs w:val="22"/>
          <w:lang w:val="hy-AM"/>
        </w:rPr>
        <w:t>ում</w:t>
      </w:r>
      <w:r w:rsidRPr="0075224B">
        <w:rPr>
          <w:rFonts w:ascii="GHEA Grapalat" w:hAnsi="GHEA Grapalat" w:cs="Sylfaen"/>
          <w:sz w:val="22"/>
          <w:szCs w:val="22"/>
          <w:lang w:val="hy-AM"/>
        </w:rPr>
        <w:t xml:space="preserve"> միջին փոխարժեքը կազմել է 488.7 դրամ մեկ ԱՄՆ դոլարի դիմաց՝ նախորդ տարվա համապատասխան ժամանակահատվածի միջին փոխարժեքի (477.3) նկատմամբ արժեզրկվելով 2.3%-ով՝ 2015 թվականի համապատասխան 13.9% արժեզրկման դիմաց (տե</w:t>
      </w:r>
      <w:r w:rsidR="0075224B" w:rsidRPr="009272AD">
        <w:rPr>
          <w:rFonts w:ascii="GHEA Grapalat" w:hAnsi="GHEA Grapalat" w:cs="Sylfaen"/>
          <w:sz w:val="22"/>
          <w:szCs w:val="22"/>
          <w:lang w:val="hy-AM"/>
        </w:rPr>
        <w:t>´</w:t>
      </w:r>
      <w:r w:rsidRPr="0075224B">
        <w:rPr>
          <w:rFonts w:ascii="GHEA Grapalat" w:hAnsi="GHEA Grapalat" w:cs="Sylfaen"/>
          <w:sz w:val="22"/>
          <w:szCs w:val="22"/>
          <w:lang w:val="hy-AM"/>
        </w:rPr>
        <w:t xml:space="preserve">ս Գծապատկեր 5): Ըստ էության, փոխարժեքի նման վարքագիծը համաշխարհային տնտեսության և տարածաշրջանային զարգացումների արդյունք էր: </w:t>
      </w:r>
    </w:p>
    <w:p w:rsidR="00DB2B71" w:rsidRPr="00DB2B71" w:rsidRDefault="00DB2B71" w:rsidP="0075224B">
      <w:pPr>
        <w:spacing w:line="360" w:lineRule="auto"/>
        <w:ind w:right="-12" w:firstLine="561"/>
        <w:jc w:val="both"/>
        <w:rPr>
          <w:rFonts w:ascii="GHEA Grapalat" w:hAnsi="GHEA Grapalat" w:cs="Sylfaen"/>
          <w:sz w:val="22"/>
          <w:szCs w:val="22"/>
          <w:lang w:val="hy-AM"/>
        </w:rPr>
      </w:pPr>
    </w:p>
    <w:p w:rsidR="00446AF7" w:rsidRPr="00DB2B71" w:rsidRDefault="00446AF7" w:rsidP="00DB2B71">
      <w:pPr>
        <w:spacing w:line="360" w:lineRule="auto"/>
        <w:ind w:right="-12"/>
        <w:jc w:val="both"/>
        <w:rPr>
          <w:rFonts w:ascii="GHEA Grapalat" w:hAnsi="GHEA Grapalat" w:cs="Sylfaen"/>
          <w:sz w:val="22"/>
          <w:szCs w:val="22"/>
          <w:lang w:val="hy-AM"/>
        </w:rPr>
      </w:pPr>
      <w:r w:rsidRPr="00DB2B71">
        <w:rPr>
          <w:rFonts w:ascii="GHEA Grapalat" w:hAnsi="GHEA Grapalat" w:cs="Sylfaen"/>
          <w:b/>
          <w:sz w:val="22"/>
          <w:szCs w:val="22"/>
          <w:lang w:val="hy-AM"/>
        </w:rPr>
        <w:t>Գծապատկեր 5.</w:t>
      </w:r>
      <w:r w:rsidRPr="00DB2B71">
        <w:rPr>
          <w:rFonts w:ascii="GHEA Grapalat" w:hAnsi="GHEA Grapalat" w:cs="Sylfaen"/>
          <w:sz w:val="22"/>
          <w:szCs w:val="22"/>
          <w:lang w:val="hy-AM"/>
        </w:rPr>
        <w:t xml:space="preserve"> ԱՄՆ դոլար/ՀՀ դրամ փոխարժեքի (կուտակային) փոփոխության դինամիկան (նախորդ տարվա նույն ժամանակահատվածի համեմատ, %)</w:t>
      </w:r>
    </w:p>
    <w:p w:rsidR="00446AF7" w:rsidRPr="005A364D" w:rsidRDefault="00446AF7" w:rsidP="00446AF7">
      <w:pPr>
        <w:spacing w:line="360" w:lineRule="auto"/>
        <w:jc w:val="center"/>
        <w:rPr>
          <w:rFonts w:ascii="GHEA Grapalat" w:hAnsi="GHEA Grapalat" w:cs="Sylfaen"/>
        </w:rPr>
      </w:pPr>
      <w:r w:rsidRPr="005A364D">
        <w:rPr>
          <w:rFonts w:ascii="GHEA Grapalat" w:hAnsi="GHEA Grapalat" w:cs="Sylfaen"/>
          <w:noProof/>
          <w:lang w:val="ru-RU" w:eastAsia="ru-RU"/>
        </w:rPr>
        <w:drawing>
          <wp:inline distT="0" distB="0" distL="0" distR="0" wp14:anchorId="31FF86FB" wp14:editId="32EA18A9">
            <wp:extent cx="6391275" cy="26765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4D20" w:rsidRDefault="00BE4D20" w:rsidP="00DB2B71">
      <w:pPr>
        <w:spacing w:line="360" w:lineRule="auto"/>
        <w:ind w:right="-12" w:firstLine="561"/>
        <w:jc w:val="both"/>
        <w:rPr>
          <w:rFonts w:ascii="GHEA Grapalat" w:hAnsi="GHEA Grapalat" w:cs="Sylfaen"/>
          <w:sz w:val="22"/>
          <w:szCs w:val="22"/>
        </w:rPr>
      </w:pP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 xml:space="preserve">2016 թվականի առաջին եռամսյակում նկատվել է </w:t>
      </w:r>
      <w:r w:rsidR="00DB2B71">
        <w:rPr>
          <w:rFonts w:ascii="GHEA Grapalat" w:hAnsi="GHEA Grapalat" w:cs="Sylfaen"/>
          <w:sz w:val="22"/>
          <w:szCs w:val="22"/>
        </w:rPr>
        <w:t>ե</w:t>
      </w:r>
      <w:r w:rsidRPr="00DB2B71">
        <w:rPr>
          <w:rFonts w:ascii="GHEA Grapalat" w:hAnsi="GHEA Grapalat" w:cs="Sylfaen"/>
          <w:sz w:val="22"/>
          <w:szCs w:val="22"/>
          <w:lang w:val="hy-AM"/>
        </w:rPr>
        <w:t xml:space="preserve">վրոյի դիմաց ՀՀ դրամի փոխարժեքի արժևորման տեմպի կտրուկ դանդաղման միտում. նախորդ տարվա նույն ժամանակահատվածի համեմատությամբ հունվարի 4.9% արժևորման դիմաց հունվար-մարտ ամիսներին միջին արժեքով ՀՀ դրամը </w:t>
      </w:r>
      <w:r w:rsidR="00DB2B71">
        <w:rPr>
          <w:rFonts w:ascii="GHEA Grapalat" w:hAnsi="GHEA Grapalat" w:cs="Sylfaen"/>
          <w:sz w:val="22"/>
          <w:szCs w:val="22"/>
        </w:rPr>
        <w:t>ե</w:t>
      </w:r>
      <w:r w:rsidRPr="00DB2B71">
        <w:rPr>
          <w:rFonts w:ascii="GHEA Grapalat" w:hAnsi="GHEA Grapalat" w:cs="Sylfaen"/>
          <w:sz w:val="22"/>
          <w:szCs w:val="22"/>
          <w:lang w:val="hy-AM"/>
        </w:rPr>
        <w:t xml:space="preserve">վրոյի նկատմամբ արժեզրկվել է 0.1%-ով: Իսկ ՌԴ ռուբլու նկատմամբ նշված ժամանակահատվածում ՀՀ դրամի փոխարժեքը դրսևորել է արժևորման տեմպի դանդաղման միտում. ընթացիկ տարվա հունվար-մարտ ամիսներին ՀՀ դրամի միջին փոխարժեքը ՌԴ ռուբլու նկատմամբ նախորդ տարվա նույն ժամանակահատվածի համեմատությամբ արժևորվել է 16.5%-ով (2015թ. </w:t>
      </w:r>
      <w:r w:rsidR="00DB2B71">
        <w:rPr>
          <w:rFonts w:ascii="GHEA Grapalat" w:hAnsi="GHEA Grapalat" w:cs="Sylfaen"/>
          <w:sz w:val="22"/>
          <w:szCs w:val="22"/>
        </w:rPr>
        <w:t>առաջին</w:t>
      </w:r>
      <w:r w:rsidRPr="00DB2B71">
        <w:rPr>
          <w:rFonts w:ascii="GHEA Grapalat" w:hAnsi="GHEA Grapalat" w:cs="Sylfaen"/>
          <w:sz w:val="22"/>
          <w:szCs w:val="22"/>
          <w:lang w:val="hy-AM"/>
        </w:rPr>
        <w:t xml:space="preserve"> եռ</w:t>
      </w:r>
      <w:r w:rsidR="00DB2B71">
        <w:rPr>
          <w:rFonts w:ascii="GHEA Grapalat" w:hAnsi="GHEA Grapalat" w:cs="Sylfaen"/>
          <w:sz w:val="22"/>
          <w:szCs w:val="22"/>
        </w:rPr>
        <w:t>ամսյակում</w:t>
      </w:r>
      <w:r w:rsidRPr="00DB2B71">
        <w:rPr>
          <w:rFonts w:ascii="GHEA Grapalat" w:hAnsi="GHEA Grapalat" w:cs="Sylfaen"/>
          <w:sz w:val="22"/>
          <w:szCs w:val="22"/>
          <w:lang w:val="hy-AM"/>
        </w:rPr>
        <w:t>` 54.1%</w:t>
      </w:r>
      <w:r w:rsidR="00DB2B71">
        <w:rPr>
          <w:rFonts w:ascii="GHEA Grapalat" w:hAnsi="GHEA Grapalat" w:cs="Sylfaen"/>
          <w:sz w:val="22"/>
          <w:szCs w:val="22"/>
        </w:rPr>
        <w:t>-ով</w:t>
      </w:r>
      <w:r w:rsidRPr="00DB2B71">
        <w:rPr>
          <w:rFonts w:ascii="GHEA Grapalat" w:hAnsi="GHEA Grapalat" w:cs="Sylfaen"/>
          <w:sz w:val="22"/>
          <w:szCs w:val="22"/>
          <w:lang w:val="hy-AM"/>
        </w:rPr>
        <w:t xml:space="preserve">): </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b/>
          <w:sz w:val="22"/>
          <w:szCs w:val="22"/>
          <w:lang w:val="hy-AM"/>
        </w:rPr>
        <w:lastRenderedPageBreak/>
        <w:t>Արդյունավետ փոխարժեք:</w:t>
      </w:r>
      <w:r w:rsidRPr="00DB2B71">
        <w:rPr>
          <w:rFonts w:ascii="GHEA Grapalat" w:hAnsi="GHEA Grapalat" w:cs="Sylfaen"/>
          <w:sz w:val="22"/>
          <w:szCs w:val="22"/>
          <w:lang w:val="hy-AM"/>
        </w:rPr>
        <w:t xml:space="preserve"> Արտաքին առևտրի տեսանկյունից առավել կարևոր արժույթներից բաղկացած «զամբյուղի» նկատմամբ ՀՀ ազգային արժույթը (անվանական արդյունավետ փոխարժեք) միջին արժեքով 2016 թվականի առաջին երկու ամիսներին նախորդ տարվա նույն ժամանակահատվածի համեմատ արժևորվել է 8.7%-ով, ինչը նշանակում է, որ ՀՀ դրամի դիրքերը ուժեղացել են հիմնական արժույթների միավորված գնի համեմատ, քանի որ վերոնշյալ «զամբյուղում» ընդգրկված մնացած երկրների արժույթները միջին հաշվով ԱՄՆ դոլարի նկատմամբ արժեզրկվել են ավելի շատ (մոտ 11%-ով), քան ՀՀ դրամը: Հիմնականում պայմանավորված անվանական արդյունավետ փոխարժեքի վարքագծով` իրական արդյունավետ փոխարժեքը, շարունակելով նախորդ տարվա միտումը, միջին արժեքով նշված ժամանակահատվածում արժևորվել է 2.4%-ով</w:t>
      </w:r>
      <w:r w:rsidRPr="00DB2B71">
        <w:rPr>
          <w:rFonts w:ascii="GHEA Grapalat" w:hAnsi="GHEA Grapalat" w:cs="Sylfaen"/>
          <w:sz w:val="22"/>
          <w:szCs w:val="22"/>
          <w:vertAlign w:val="superscript"/>
          <w:lang w:val="hy-AM"/>
        </w:rPr>
        <w:footnoteReference w:id="12"/>
      </w:r>
      <w:r w:rsidRPr="00DB2B71">
        <w:rPr>
          <w:rFonts w:ascii="GHEA Grapalat" w:hAnsi="GHEA Grapalat" w:cs="Sylfaen"/>
          <w:sz w:val="22"/>
          <w:szCs w:val="22"/>
          <w:lang w:val="hy-AM"/>
        </w:rPr>
        <w:t xml:space="preserve"> (տե՛ս Գծապատկեր 6): Իրական արդյունավետ փոխարժեքը` չնայած արժևորման տեմպի դանդաղմանը, այնուամենայնիվ, շարունակում է մնալ արժևորված` իր բացասական ազդեցությունը թողնելով հայրենական ապրանքների արտաքին մրցունակության վրա:</w:t>
      </w:r>
    </w:p>
    <w:p w:rsidR="00446AF7" w:rsidRPr="00DB2B71" w:rsidRDefault="00446AF7" w:rsidP="00DB2B71">
      <w:pPr>
        <w:spacing w:line="360" w:lineRule="auto"/>
        <w:ind w:right="-12" w:firstLine="561"/>
        <w:jc w:val="both"/>
        <w:rPr>
          <w:rFonts w:ascii="GHEA Grapalat" w:hAnsi="GHEA Grapalat" w:cs="Sylfaen"/>
          <w:sz w:val="22"/>
          <w:szCs w:val="22"/>
          <w:lang w:val="hy-AM"/>
        </w:rPr>
      </w:pPr>
    </w:p>
    <w:p w:rsidR="00446AF7" w:rsidRPr="00DB2B71" w:rsidRDefault="00446AF7" w:rsidP="00DB2B71">
      <w:pPr>
        <w:spacing w:line="360" w:lineRule="auto"/>
        <w:ind w:right="-12"/>
        <w:jc w:val="both"/>
        <w:rPr>
          <w:rFonts w:ascii="GHEA Grapalat" w:hAnsi="GHEA Grapalat" w:cs="Sylfaen"/>
          <w:sz w:val="22"/>
          <w:szCs w:val="22"/>
          <w:lang w:val="hy-AM"/>
        </w:rPr>
      </w:pPr>
      <w:r w:rsidRPr="00DB2B71">
        <w:rPr>
          <w:rFonts w:ascii="GHEA Grapalat" w:hAnsi="GHEA Grapalat" w:cs="Sylfaen"/>
          <w:b/>
          <w:sz w:val="22"/>
          <w:szCs w:val="22"/>
          <w:lang w:val="hy-AM"/>
        </w:rPr>
        <w:t>Գծապատկեր 6.</w:t>
      </w:r>
      <w:r w:rsidRPr="00DB2B71">
        <w:rPr>
          <w:rFonts w:ascii="GHEA Grapalat" w:hAnsi="GHEA Grapalat" w:cs="Sylfaen"/>
          <w:sz w:val="22"/>
          <w:szCs w:val="22"/>
          <w:lang w:val="hy-AM"/>
        </w:rPr>
        <w:t xml:space="preserve"> Իրական արդյունավետ փոխարժեքի (կուտակային) փոփոխության դինամիկան (նախորդ տարվա նույն ժամանակահատվածի նկատմամբ, %)</w:t>
      </w:r>
    </w:p>
    <w:p w:rsidR="00446AF7" w:rsidRPr="005A364D" w:rsidRDefault="00446AF7" w:rsidP="00446AF7">
      <w:pPr>
        <w:tabs>
          <w:tab w:val="left" w:pos="0"/>
          <w:tab w:val="num" w:pos="720"/>
        </w:tabs>
        <w:spacing w:line="360" w:lineRule="auto"/>
        <w:jc w:val="center"/>
        <w:rPr>
          <w:rFonts w:ascii="GHEA Grapalat" w:hAnsi="GHEA Grapalat" w:cs="Sylfaen"/>
          <w:i/>
        </w:rPr>
      </w:pPr>
      <w:r w:rsidRPr="005A364D">
        <w:rPr>
          <w:rFonts w:ascii="GHEA Grapalat" w:hAnsi="GHEA Grapalat" w:cs="Sylfaen"/>
          <w:i/>
          <w:noProof/>
          <w:lang w:val="ru-RU" w:eastAsia="ru-RU"/>
        </w:rPr>
        <w:drawing>
          <wp:inline distT="0" distB="0" distL="0" distR="0" wp14:anchorId="56F3EC1E" wp14:editId="66B60F44">
            <wp:extent cx="61722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6AF7" w:rsidRPr="00DB2B71" w:rsidRDefault="00446AF7" w:rsidP="00DB2B71">
      <w:pPr>
        <w:spacing w:line="360" w:lineRule="auto"/>
        <w:ind w:right="-12" w:firstLine="561"/>
        <w:jc w:val="both"/>
        <w:rPr>
          <w:rFonts w:ascii="GHEA Grapalat" w:hAnsi="GHEA Grapalat" w:cs="Sylfaen"/>
          <w:sz w:val="22"/>
          <w:szCs w:val="22"/>
          <w:lang w:val="hy-AM"/>
        </w:rPr>
      </w:pPr>
    </w:p>
    <w:p w:rsidR="00DB2B71" w:rsidRPr="009272AD" w:rsidRDefault="00446AF7" w:rsidP="00DB2B71">
      <w:pPr>
        <w:autoSpaceDE w:val="0"/>
        <w:autoSpaceDN w:val="0"/>
        <w:adjustRightInd w:val="0"/>
        <w:spacing w:line="480" w:lineRule="auto"/>
        <w:ind w:firstLine="540"/>
        <w:jc w:val="both"/>
        <w:rPr>
          <w:rFonts w:ascii="GHEA Grapalat" w:hAnsi="GHEA Grapalat" w:cs="Sylfaen"/>
          <w:b/>
          <w:i/>
          <w:sz w:val="22"/>
          <w:szCs w:val="22"/>
          <w:lang w:val="hy-AM"/>
        </w:rPr>
      </w:pPr>
      <w:r w:rsidRPr="009272AD">
        <w:rPr>
          <w:rFonts w:ascii="GHEA Grapalat" w:hAnsi="GHEA Grapalat" w:cs="Sylfaen"/>
          <w:b/>
          <w:i/>
          <w:sz w:val="22"/>
          <w:szCs w:val="22"/>
          <w:lang w:val="hy-AM"/>
        </w:rPr>
        <w:t>Ֆինանսական շուկա, փող և վարկ</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Փողի բազան ընդլայնվել է</w:t>
      </w:r>
      <w:r w:rsidR="00DB2B71" w:rsidRPr="009272AD">
        <w:rPr>
          <w:rFonts w:ascii="GHEA Grapalat" w:hAnsi="GHEA Grapalat" w:cs="Sylfaen"/>
          <w:sz w:val="22"/>
          <w:szCs w:val="22"/>
          <w:lang w:val="hy-AM"/>
        </w:rPr>
        <w:t>՝</w:t>
      </w:r>
      <w:r w:rsidRPr="00DB2B71">
        <w:rPr>
          <w:rFonts w:ascii="GHEA Grapalat" w:hAnsi="GHEA Grapalat" w:cs="Sylfaen"/>
          <w:sz w:val="22"/>
          <w:szCs w:val="22"/>
          <w:lang w:val="hy-AM"/>
        </w:rPr>
        <w:t xml:space="preserve"> ՀՀ ԿԲ զուտ արտաքին ակտիվների և զուտ ներքին ակտիվերի աճով պայմանավորված: 2016 թվականի մարտին փողի բազան կազմել է շուրջ 850 մլրդ դրամ` </w:t>
      </w:r>
      <w:r w:rsidRPr="00DB2B71">
        <w:rPr>
          <w:rFonts w:ascii="GHEA Grapalat" w:hAnsi="GHEA Grapalat" w:cs="Sylfaen"/>
          <w:sz w:val="22"/>
          <w:szCs w:val="22"/>
          <w:lang w:val="hy-AM"/>
        </w:rPr>
        <w:lastRenderedPageBreak/>
        <w:t>նախորդ տարվա նույն ամսվա նկատմամբ աճելով 7.3%-ով: Ընդ որում, զուտ արտաքին ակտիվներն աճել են 5.1%-ով, իսկ զուտ ներքին ակտիվները` 9.7%-ով:</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Նույն ժամանակահատվածում փողի բազայում ԿԲ-ից դուրս կանխիկ</w:t>
      </w:r>
      <w:r w:rsidR="00AF6A2D" w:rsidRPr="009272AD">
        <w:rPr>
          <w:rFonts w:ascii="GHEA Grapalat" w:hAnsi="GHEA Grapalat" w:cs="Sylfaen"/>
          <w:sz w:val="22"/>
          <w:szCs w:val="22"/>
          <w:lang w:val="hy-AM"/>
        </w:rPr>
        <w:t>ն</w:t>
      </w:r>
      <w:r w:rsidRPr="00DB2B71">
        <w:rPr>
          <w:rFonts w:ascii="GHEA Grapalat" w:hAnsi="GHEA Grapalat" w:cs="Sylfaen"/>
          <w:sz w:val="22"/>
          <w:szCs w:val="22"/>
          <w:lang w:val="hy-AM"/>
        </w:rPr>
        <w:t xml:space="preserve"> աճել է շուրջ 1%-ով (տեսակարար կշիռը փողի բազայում կազմել է շուրջ 41%), իսկ պարտադիր պահուստները դրամով և արտարժույթով` 12.7%-ով (տեսակարար կշիռը փողի բազայում կազմել է շուրջ 58%):</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Փողի զանգվածն ընդլայնվել է</w:t>
      </w:r>
      <w:r w:rsidR="00AF6A2D" w:rsidRPr="009272AD">
        <w:rPr>
          <w:rFonts w:ascii="GHEA Grapalat" w:hAnsi="GHEA Grapalat" w:cs="Sylfaen"/>
          <w:sz w:val="22"/>
          <w:szCs w:val="22"/>
          <w:lang w:val="hy-AM"/>
        </w:rPr>
        <w:t>՝</w:t>
      </w:r>
      <w:r w:rsidRPr="00DB2B71">
        <w:rPr>
          <w:rFonts w:ascii="GHEA Grapalat" w:hAnsi="GHEA Grapalat" w:cs="Sylfaen"/>
          <w:sz w:val="22"/>
          <w:szCs w:val="22"/>
          <w:lang w:val="hy-AM"/>
        </w:rPr>
        <w:t xml:space="preserve"> զուտ արտաքին ակտիվների և զուտ ներքին ակտիվերի աճով պայմանավորված: 2016 թվականի մարտին փողի զանգվածը կազմել է 1872 մլրդ դրամ` նախորդ տարվա նույն ժամանակահատվածի նկատմամբ աճելով 16.9%-ով: Ընդ որում, զուտ արտաքին ակտիվներն աճել են շուրջ 24%-ով, իսկ զուտ ներքին ակտիվերը` 9%-ով:</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Փողի զանգվածում բանկային համակարգից դուրս կանխիկը գտնվել է անփոփոխ մակարդակում (0.1% աճ), դրամային ավանդների նպաստո</w:t>
      </w:r>
      <w:r w:rsidR="00AF6A2D">
        <w:rPr>
          <w:rFonts w:ascii="GHEA Grapalat" w:hAnsi="GHEA Grapalat" w:cs="Sylfaen"/>
          <w:sz w:val="22"/>
          <w:szCs w:val="22"/>
          <w:lang w:val="hy-AM"/>
        </w:rPr>
        <w:t>ւմը փողի զանգվածի աճին կազմել է</w:t>
      </w:r>
      <w:r w:rsidRPr="00DB2B71">
        <w:rPr>
          <w:rFonts w:ascii="GHEA Grapalat" w:hAnsi="GHEA Grapalat" w:cs="Sylfaen"/>
          <w:sz w:val="22"/>
          <w:szCs w:val="22"/>
          <w:lang w:val="hy-AM"/>
        </w:rPr>
        <w:t xml:space="preserve"> 5.7 տոկոսային կետ, իսկ արտարժութային ավանդների դրական նպաստումը` 11.2 տոկոսային կետ</w:t>
      </w:r>
      <w:r w:rsidRPr="00DB2B71">
        <w:rPr>
          <w:rFonts w:ascii="GHEA Grapalat" w:hAnsi="GHEA Grapalat" w:cs="Sylfaen"/>
          <w:sz w:val="22"/>
          <w:szCs w:val="22"/>
          <w:vertAlign w:val="superscript"/>
          <w:lang w:val="hy-AM"/>
        </w:rPr>
        <w:footnoteReference w:id="13"/>
      </w:r>
      <w:r w:rsidRPr="00DB2B71">
        <w:rPr>
          <w:rFonts w:ascii="GHEA Grapalat" w:hAnsi="GHEA Grapalat" w:cs="Sylfaen"/>
          <w:sz w:val="22"/>
          <w:szCs w:val="22"/>
          <w:lang w:val="hy-AM"/>
        </w:rPr>
        <w:t>:</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Դոլարայնացման մակարդակը դեռևս բարձր է</w:t>
      </w:r>
      <w:r w:rsidR="00DB2B71" w:rsidRPr="009272AD">
        <w:rPr>
          <w:rFonts w:ascii="GHEA Grapalat" w:hAnsi="GHEA Grapalat" w:cs="Sylfaen"/>
          <w:sz w:val="22"/>
          <w:szCs w:val="22"/>
          <w:lang w:val="hy-AM"/>
        </w:rPr>
        <w:t>`</w:t>
      </w:r>
      <w:r w:rsidRPr="00DB2B71">
        <w:rPr>
          <w:rFonts w:ascii="GHEA Grapalat" w:hAnsi="GHEA Grapalat" w:cs="Sylfaen"/>
          <w:sz w:val="22"/>
          <w:szCs w:val="22"/>
          <w:lang w:val="hy-AM"/>
        </w:rPr>
        <w:t xml:space="preserve"> գտնվելով նույն մակարդակում: 2016 թվականի մարտին արտարժույթով ավանդների կշիռը</w:t>
      </w:r>
      <w:r w:rsidR="00760E1B">
        <w:rPr>
          <w:rFonts w:ascii="GHEA Grapalat" w:hAnsi="GHEA Grapalat" w:cs="Sylfaen"/>
          <w:sz w:val="22"/>
          <w:szCs w:val="22"/>
          <w:lang w:val="hy-AM"/>
        </w:rPr>
        <w:t xml:space="preserve"> փողի զանգվածում կազմել է 54.7%</w:t>
      </w:r>
      <w:r w:rsidR="00760E1B" w:rsidRPr="009272AD">
        <w:rPr>
          <w:rFonts w:ascii="GHEA Grapalat" w:hAnsi="GHEA Grapalat" w:cs="Sylfaen"/>
          <w:sz w:val="22"/>
          <w:szCs w:val="22"/>
          <w:lang w:val="hy-AM"/>
        </w:rPr>
        <w:t>՝</w:t>
      </w:r>
      <w:r w:rsidRPr="00DB2B71">
        <w:rPr>
          <w:rFonts w:ascii="GHEA Grapalat" w:hAnsi="GHEA Grapalat" w:cs="Sylfaen"/>
          <w:sz w:val="22"/>
          <w:szCs w:val="22"/>
          <w:lang w:val="hy-AM"/>
        </w:rPr>
        <w:t xml:space="preserve"> նախորդ տարվա նույն ժամանակահատվածի նկատմամբ աճելով 2 տոկոսային կետով, իսկ դոլարային ավանդների կշիռն ընդհանուր ավանդների մեջ կազմել է 65%</w:t>
      </w:r>
      <w:r w:rsidR="00DB2B71" w:rsidRPr="009272AD">
        <w:rPr>
          <w:rFonts w:ascii="GHEA Grapalat" w:hAnsi="GHEA Grapalat" w:cs="Sylfaen"/>
          <w:sz w:val="22"/>
          <w:szCs w:val="22"/>
          <w:lang w:val="hy-AM"/>
        </w:rPr>
        <w:t>`</w:t>
      </w:r>
      <w:r w:rsidR="00DB2B71">
        <w:rPr>
          <w:rFonts w:ascii="GHEA Grapalat" w:hAnsi="GHEA Grapalat" w:cs="Sylfaen"/>
          <w:sz w:val="22"/>
          <w:szCs w:val="22"/>
          <w:lang w:val="hy-AM"/>
        </w:rPr>
        <w:t xml:space="preserve"> աճելով</w:t>
      </w:r>
      <w:r w:rsidRPr="00DB2B71">
        <w:rPr>
          <w:rFonts w:ascii="GHEA Grapalat" w:hAnsi="GHEA Grapalat" w:cs="Sylfaen"/>
          <w:sz w:val="22"/>
          <w:szCs w:val="22"/>
          <w:lang w:val="hy-AM"/>
        </w:rPr>
        <w:t xml:space="preserve"> 0.3 տոկոսային կետով: </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ՀՀ ֆինանսական շուկայում վարկավորման պահանջարկը դեռևս ցածր է մնում:</w:t>
      </w:r>
      <w:r w:rsidR="00DB2B71" w:rsidRPr="00DB2B71">
        <w:rPr>
          <w:rFonts w:ascii="GHEA Grapalat" w:hAnsi="GHEA Grapalat" w:cs="Sylfaen"/>
          <w:sz w:val="22"/>
          <w:szCs w:val="22"/>
          <w:lang w:val="hy-AM"/>
        </w:rPr>
        <w:t xml:space="preserve"> </w:t>
      </w:r>
      <w:r w:rsidRPr="00DB2B71">
        <w:rPr>
          <w:rFonts w:ascii="GHEA Grapalat" w:hAnsi="GHEA Grapalat" w:cs="Sylfaen"/>
          <w:sz w:val="22"/>
          <w:szCs w:val="22"/>
          <w:lang w:val="hy-AM"/>
        </w:rPr>
        <w:t>Առևտրային բանկերի կողմից ռեզիդենտներից և ոչ ռեզիդենտներից ներգրա</w:t>
      </w:r>
      <w:r w:rsidR="00760E1B" w:rsidRPr="009272AD">
        <w:rPr>
          <w:rFonts w:ascii="GHEA Grapalat" w:hAnsi="GHEA Grapalat" w:cs="Sylfaen"/>
          <w:sz w:val="22"/>
          <w:szCs w:val="22"/>
          <w:lang w:val="hy-AM"/>
        </w:rPr>
        <w:t>վ</w:t>
      </w:r>
      <w:r w:rsidRPr="00DB2B71">
        <w:rPr>
          <w:rFonts w:ascii="GHEA Grapalat" w:hAnsi="GHEA Grapalat" w:cs="Sylfaen"/>
          <w:sz w:val="22"/>
          <w:szCs w:val="22"/>
          <w:lang w:val="hy-AM"/>
        </w:rPr>
        <w:t>ված ավանդները 2016 թվականի մարտին նախորդ տարվա նույն ամսվա նկատմամբ աճել են շուրջ 18%-ով: Նույն ժամանակահատվածում դրամային ավանդների (մինչև մեկ տարի ժամկետով ներգրավված) տոկոսադրույքների միջին ամսական մակարդակը կազմել է 11.45%</w:t>
      </w:r>
      <w:r w:rsidR="00760E1B" w:rsidRPr="009272AD">
        <w:rPr>
          <w:rFonts w:ascii="GHEA Grapalat" w:hAnsi="GHEA Grapalat" w:cs="Sylfaen"/>
          <w:sz w:val="22"/>
          <w:szCs w:val="22"/>
          <w:lang w:val="hy-AM"/>
        </w:rPr>
        <w:t>՝</w:t>
      </w:r>
      <w:r w:rsidRPr="00DB2B71">
        <w:rPr>
          <w:rFonts w:ascii="GHEA Grapalat" w:hAnsi="GHEA Grapalat" w:cs="Sylfaen"/>
          <w:sz w:val="22"/>
          <w:szCs w:val="22"/>
          <w:lang w:val="hy-AM"/>
        </w:rPr>
        <w:t xml:space="preserve"> 2015 թվականի 15.21%-ի համեմատ, մինչդեռ արտարժույթով ավանդների տոկոսադրույք</w:t>
      </w:r>
      <w:r w:rsidR="00851B13" w:rsidRPr="009272AD">
        <w:rPr>
          <w:rFonts w:ascii="GHEA Grapalat" w:hAnsi="GHEA Grapalat" w:cs="Sylfaen"/>
          <w:sz w:val="22"/>
          <w:szCs w:val="22"/>
          <w:lang w:val="hy-AM"/>
        </w:rPr>
        <w:t>ն</w:t>
      </w:r>
      <w:r w:rsidRPr="00DB2B71">
        <w:rPr>
          <w:rFonts w:ascii="GHEA Grapalat" w:hAnsi="GHEA Grapalat" w:cs="Sylfaen"/>
          <w:sz w:val="22"/>
          <w:szCs w:val="22"/>
          <w:lang w:val="hy-AM"/>
        </w:rPr>
        <w:t xml:space="preserve"> աճել է 5.55%-ից մինչև 5.91%: Անհրաժեշտ է նշել, որ դրամով ներգրավված ավանդների աճը (22.5%) գերազան</w:t>
      </w:r>
      <w:r w:rsidR="00DB2B71">
        <w:rPr>
          <w:rFonts w:ascii="GHEA Grapalat" w:hAnsi="GHEA Grapalat" w:cs="Sylfaen"/>
          <w:sz w:val="22"/>
          <w:szCs w:val="22"/>
          <w:lang w:val="hy-AM"/>
        </w:rPr>
        <w:t>ցել է արտարժույթով ավանդների աճ</w:t>
      </w:r>
      <w:r w:rsidR="00DB2B71" w:rsidRPr="009272AD">
        <w:rPr>
          <w:rFonts w:ascii="GHEA Grapalat" w:hAnsi="GHEA Grapalat" w:cs="Sylfaen"/>
          <w:sz w:val="22"/>
          <w:szCs w:val="22"/>
          <w:lang w:val="hy-AM"/>
        </w:rPr>
        <w:t>ը</w:t>
      </w:r>
      <w:r w:rsidRPr="00DB2B71">
        <w:rPr>
          <w:rFonts w:ascii="GHEA Grapalat" w:hAnsi="GHEA Grapalat" w:cs="Sylfaen"/>
          <w:sz w:val="22"/>
          <w:szCs w:val="22"/>
          <w:lang w:val="hy-AM"/>
        </w:rPr>
        <w:t xml:space="preserve"> (15.7%):</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Առևտրային բանկերի կողմից ռեզիդենտներին և ոչ ռեզիդենտներին տրված վարկերը 2016 թվականի մարտին նախորդ տարվա նույն ամսվա նկատմամբ աճել է շուրջ 3.5%-ով</w:t>
      </w:r>
      <w:r w:rsidRPr="00880CFF">
        <w:rPr>
          <w:rFonts w:ascii="GHEA Grapalat" w:hAnsi="GHEA Grapalat" w:cs="Sylfaen"/>
          <w:sz w:val="22"/>
          <w:szCs w:val="22"/>
          <w:vertAlign w:val="superscript"/>
          <w:lang w:val="hy-AM"/>
        </w:rPr>
        <w:footnoteReference w:id="14"/>
      </w:r>
      <w:r w:rsidRPr="00880CFF">
        <w:rPr>
          <w:rFonts w:ascii="GHEA Grapalat" w:hAnsi="GHEA Grapalat" w:cs="Sylfaen"/>
          <w:sz w:val="22"/>
          <w:szCs w:val="22"/>
          <w:vertAlign w:val="superscript"/>
          <w:lang w:val="hy-AM"/>
        </w:rPr>
        <w:t>:</w:t>
      </w:r>
      <w:r w:rsidRPr="00DB2B71">
        <w:rPr>
          <w:rFonts w:ascii="GHEA Grapalat" w:hAnsi="GHEA Grapalat" w:cs="Sylfaen"/>
          <w:sz w:val="22"/>
          <w:szCs w:val="22"/>
          <w:lang w:val="hy-AM"/>
        </w:rPr>
        <w:t xml:space="preserve"> Նշենք</w:t>
      </w:r>
      <w:r w:rsidR="00851B13" w:rsidRPr="009272AD">
        <w:rPr>
          <w:rFonts w:ascii="GHEA Grapalat" w:hAnsi="GHEA Grapalat" w:cs="Sylfaen"/>
          <w:sz w:val="22"/>
          <w:szCs w:val="22"/>
          <w:lang w:val="hy-AM"/>
        </w:rPr>
        <w:t>,</w:t>
      </w:r>
      <w:r w:rsidRPr="00DB2B71">
        <w:rPr>
          <w:rFonts w:ascii="GHEA Grapalat" w:hAnsi="GHEA Grapalat" w:cs="Sylfaen"/>
          <w:sz w:val="22"/>
          <w:szCs w:val="22"/>
          <w:lang w:val="hy-AM"/>
        </w:rPr>
        <w:t xml:space="preserve"> որ վարկերի գերակշռող մասը</w:t>
      </w:r>
      <w:r w:rsidR="00760E1B" w:rsidRPr="009272AD">
        <w:rPr>
          <w:rFonts w:ascii="GHEA Grapalat" w:hAnsi="GHEA Grapalat" w:cs="Sylfaen"/>
          <w:sz w:val="22"/>
          <w:szCs w:val="22"/>
          <w:lang w:val="hy-AM"/>
        </w:rPr>
        <w:t>՝</w:t>
      </w:r>
      <w:r w:rsidRPr="00DB2B71">
        <w:rPr>
          <w:rFonts w:ascii="GHEA Grapalat" w:hAnsi="GHEA Grapalat" w:cs="Sylfaen"/>
          <w:sz w:val="22"/>
          <w:szCs w:val="22"/>
          <w:lang w:val="hy-AM"/>
        </w:rPr>
        <w:t xml:space="preserve"> 66.4%-ը կազմում են արտարժույթով վարկերը: ՀՀ դրամով վարկավորման միջին ամսական տոկոսադրույքը 2015 և 2016 թվականների մարտ ամիսներին կազմել է 19.11%, իսկ արտարժույթվ վարկավորման տոկոս</w:t>
      </w:r>
      <w:r w:rsidR="00DB2B71">
        <w:rPr>
          <w:rFonts w:ascii="GHEA Grapalat" w:hAnsi="GHEA Grapalat" w:cs="Sylfaen"/>
          <w:sz w:val="22"/>
          <w:szCs w:val="22"/>
          <w:lang w:val="hy-AM"/>
        </w:rPr>
        <w:t>ադրույքը 9.3%-ից նվազել է մինչև</w:t>
      </w:r>
      <w:r w:rsidRPr="00DB2B71">
        <w:rPr>
          <w:rFonts w:ascii="GHEA Grapalat" w:hAnsi="GHEA Grapalat" w:cs="Sylfaen"/>
          <w:sz w:val="22"/>
          <w:szCs w:val="22"/>
          <w:lang w:val="hy-AM"/>
        </w:rPr>
        <w:t xml:space="preserve"> 8.0%: </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Ֆինանսական շուկայում նկատվել է տոկոսադրույքների սպրեդի ընդլայնում: 2016 թվականի առաջին եռամսյակում առևտրային բանկերի</w:t>
      </w:r>
      <w:r w:rsidR="00760E1B" w:rsidRPr="009272AD">
        <w:rPr>
          <w:rFonts w:ascii="GHEA Grapalat" w:hAnsi="GHEA Grapalat" w:cs="Sylfaen"/>
          <w:sz w:val="22"/>
          <w:szCs w:val="22"/>
          <w:lang w:val="hy-AM"/>
        </w:rPr>
        <w:t>՝</w:t>
      </w:r>
      <w:r w:rsidRPr="00DB2B71">
        <w:rPr>
          <w:rFonts w:ascii="GHEA Grapalat" w:hAnsi="GHEA Grapalat" w:cs="Sylfaen"/>
          <w:sz w:val="22"/>
          <w:szCs w:val="22"/>
          <w:lang w:val="hy-AM"/>
        </w:rPr>
        <w:t xml:space="preserve"> մինչև մեկ տարի ժամկետով ՀՀ դրամով ներգրավված </w:t>
      </w:r>
      <w:r w:rsidRPr="00DB2B71">
        <w:rPr>
          <w:rFonts w:ascii="GHEA Grapalat" w:hAnsi="GHEA Grapalat" w:cs="Sylfaen"/>
          <w:sz w:val="22"/>
          <w:szCs w:val="22"/>
          <w:lang w:val="hy-AM"/>
        </w:rPr>
        <w:lastRenderedPageBreak/>
        <w:t>ավանդների և վարկերի միջին տոկոսադրույքների տարբերության միջև աճի միտում է արձանագրվել: Միջին եռամսյակային ցուցանիշը (սպրեդ) նախորդ տարվա նույն եռամսյակի համեմատ աճել է 2 տոկոսային կետով</w:t>
      </w:r>
      <w:r w:rsidR="00DB2B71" w:rsidRPr="009272AD">
        <w:rPr>
          <w:rFonts w:ascii="GHEA Grapalat" w:hAnsi="GHEA Grapalat" w:cs="Sylfaen"/>
          <w:sz w:val="22"/>
          <w:szCs w:val="22"/>
          <w:lang w:val="hy-AM"/>
        </w:rPr>
        <w:t>՝</w:t>
      </w:r>
      <w:r w:rsidR="00DB2B71">
        <w:rPr>
          <w:rFonts w:ascii="GHEA Grapalat" w:hAnsi="GHEA Grapalat" w:cs="Sylfaen"/>
          <w:sz w:val="22"/>
          <w:szCs w:val="22"/>
          <w:lang w:val="hy-AM"/>
        </w:rPr>
        <w:t xml:space="preserve"> կազմելով</w:t>
      </w:r>
      <w:r w:rsidRPr="00DB2B71">
        <w:rPr>
          <w:rFonts w:ascii="GHEA Grapalat" w:hAnsi="GHEA Grapalat" w:cs="Sylfaen"/>
          <w:sz w:val="22"/>
          <w:szCs w:val="22"/>
          <w:lang w:val="hy-AM"/>
        </w:rPr>
        <w:t xml:space="preserve"> 6.3 տոկոսային կետ:</w:t>
      </w:r>
    </w:p>
    <w:p w:rsidR="00446AF7" w:rsidRPr="00DB2B71" w:rsidRDefault="00446AF7" w:rsidP="00DB2B71">
      <w:pPr>
        <w:spacing w:line="360" w:lineRule="auto"/>
        <w:ind w:right="-12" w:firstLine="561"/>
        <w:jc w:val="both"/>
        <w:rPr>
          <w:rFonts w:ascii="GHEA Grapalat" w:hAnsi="GHEA Grapalat" w:cs="Sylfaen"/>
          <w:sz w:val="22"/>
          <w:szCs w:val="22"/>
          <w:lang w:val="hy-AM"/>
        </w:rPr>
      </w:pPr>
      <w:r w:rsidRPr="00DB2B71">
        <w:rPr>
          <w:rFonts w:ascii="GHEA Grapalat" w:hAnsi="GHEA Grapalat" w:cs="Sylfaen"/>
          <w:sz w:val="22"/>
          <w:szCs w:val="22"/>
          <w:lang w:val="hy-AM"/>
        </w:rPr>
        <w:t>2016 թվականի առաջին եռամսյակում ՀՀ պետական պարտատոմսերի շուկայում նկատվել է տոկոսադրույքների նվազում: Այսպես, եթե 2015 թվականի նույն ժամանակահատվածում տեղաբաշխված պետական արժեթղթերի միջին եկամտաբերությունը կազմել է</w:t>
      </w:r>
      <w:r w:rsidR="00DB2B71" w:rsidRPr="009272AD">
        <w:rPr>
          <w:rFonts w:ascii="GHEA Grapalat" w:hAnsi="GHEA Grapalat" w:cs="Sylfaen"/>
          <w:sz w:val="22"/>
          <w:szCs w:val="22"/>
          <w:lang w:val="hy-AM"/>
        </w:rPr>
        <w:t>ր</w:t>
      </w:r>
      <w:r w:rsidRPr="00DB2B71">
        <w:rPr>
          <w:rFonts w:ascii="GHEA Grapalat" w:hAnsi="GHEA Grapalat" w:cs="Sylfaen"/>
          <w:sz w:val="22"/>
          <w:szCs w:val="22"/>
          <w:lang w:val="hy-AM"/>
        </w:rPr>
        <w:t xml:space="preserve"> 14.8%, ապա 2016 թվականի առաջին եռամսյակում այն կազմել է 13.9%: Նույն ժամանակահատվածում տեղաբաշխված պետական արժեթղթերի ծավալը կազմել է 29.5 մլրդ դրամ</w:t>
      </w:r>
      <w:r w:rsidR="00DB2B71" w:rsidRPr="009272AD">
        <w:rPr>
          <w:rFonts w:ascii="GHEA Grapalat" w:hAnsi="GHEA Grapalat" w:cs="Sylfaen"/>
          <w:sz w:val="22"/>
          <w:szCs w:val="22"/>
          <w:lang w:val="hy-AM"/>
        </w:rPr>
        <w:t>՝</w:t>
      </w:r>
      <w:r w:rsidRPr="00DB2B71">
        <w:rPr>
          <w:rFonts w:ascii="GHEA Grapalat" w:hAnsi="GHEA Grapalat" w:cs="Sylfaen"/>
          <w:sz w:val="22"/>
          <w:szCs w:val="22"/>
          <w:lang w:val="hy-AM"/>
        </w:rPr>
        <w:t xml:space="preserve"> նախորդ տարվա նույն ժամանակահատվածի 31 մլրդ դրամի համեմատ, իսկ միջին ժամկետայնությունը կազմել է 1104 օր</w:t>
      </w:r>
      <w:r w:rsidR="00880CFF" w:rsidRPr="009272AD">
        <w:rPr>
          <w:rFonts w:ascii="GHEA Grapalat" w:hAnsi="GHEA Grapalat" w:cs="Sylfaen"/>
          <w:sz w:val="22"/>
          <w:szCs w:val="22"/>
          <w:lang w:val="hy-AM"/>
        </w:rPr>
        <w:t>՝</w:t>
      </w:r>
      <w:r w:rsidRPr="00DB2B71">
        <w:rPr>
          <w:rFonts w:ascii="GHEA Grapalat" w:hAnsi="GHEA Grapalat" w:cs="Sylfaen"/>
          <w:sz w:val="22"/>
          <w:szCs w:val="22"/>
          <w:lang w:val="hy-AM"/>
        </w:rPr>
        <w:t xml:space="preserve"> նախորդ տարվա նույն ժամանակահատվածի 835 օրվա համեմատ:</w:t>
      </w:r>
    </w:p>
    <w:p w:rsidR="00446AF7" w:rsidRPr="009272AD" w:rsidRDefault="00446AF7" w:rsidP="00880CFF">
      <w:pPr>
        <w:spacing w:line="360" w:lineRule="auto"/>
        <w:ind w:right="-12" w:firstLine="561"/>
        <w:jc w:val="both"/>
        <w:rPr>
          <w:rFonts w:ascii="GHEA Grapalat" w:hAnsi="GHEA Grapalat" w:cs="Sylfaen"/>
          <w:sz w:val="22"/>
          <w:szCs w:val="22"/>
          <w:lang w:val="hy-AM"/>
        </w:rPr>
      </w:pPr>
      <w:r w:rsidRPr="00880CFF">
        <w:rPr>
          <w:rFonts w:ascii="GHEA Grapalat" w:hAnsi="GHEA Grapalat" w:cs="Sylfaen"/>
          <w:sz w:val="22"/>
          <w:szCs w:val="22"/>
          <w:lang w:val="hy-AM"/>
        </w:rPr>
        <w:t xml:space="preserve"> 2016 թվականի առաջին եռամսյակում պետական (շուկայական) պարտատոմսերի նկատմամբ պահանջարկը գերազանցել է թողարկման ցուցանիշը 2.3 անգամ, իսկ տեղաբաշխում/թողարկում հարաբերակցության միջին մեծությունը կազմել է 1: </w:t>
      </w:r>
    </w:p>
    <w:p w:rsidR="00880CFF" w:rsidRPr="009272AD" w:rsidRDefault="00880CFF" w:rsidP="00880CFF">
      <w:pPr>
        <w:spacing w:line="360" w:lineRule="auto"/>
        <w:ind w:right="-12" w:firstLine="561"/>
        <w:jc w:val="both"/>
        <w:rPr>
          <w:rFonts w:ascii="GHEA Grapalat" w:hAnsi="GHEA Grapalat" w:cs="Sylfaen"/>
          <w:sz w:val="22"/>
          <w:szCs w:val="22"/>
          <w:lang w:val="hy-AM"/>
        </w:rPr>
      </w:pPr>
    </w:p>
    <w:p w:rsidR="00446AF7" w:rsidRPr="00880CFF" w:rsidRDefault="00446AF7" w:rsidP="00880CFF">
      <w:pPr>
        <w:spacing w:line="360" w:lineRule="auto"/>
        <w:ind w:right="-12"/>
        <w:jc w:val="both"/>
        <w:rPr>
          <w:rFonts w:ascii="GHEA Grapalat" w:hAnsi="GHEA Grapalat" w:cs="Sylfaen"/>
          <w:sz w:val="22"/>
          <w:szCs w:val="22"/>
          <w:lang w:val="hy-AM"/>
        </w:rPr>
      </w:pPr>
      <w:r w:rsidRPr="00880CFF">
        <w:rPr>
          <w:rFonts w:ascii="GHEA Grapalat" w:hAnsi="GHEA Grapalat" w:cs="Sylfaen"/>
          <w:b/>
          <w:sz w:val="22"/>
          <w:szCs w:val="22"/>
          <w:lang w:val="hy-AM"/>
        </w:rPr>
        <w:t>Աղյուսակ 1.</w:t>
      </w:r>
      <w:r w:rsidRPr="00880CFF">
        <w:rPr>
          <w:rFonts w:ascii="GHEA Grapalat" w:hAnsi="GHEA Grapalat" w:cs="Sylfaen"/>
          <w:sz w:val="22"/>
          <w:szCs w:val="22"/>
          <w:lang w:val="hy-AM"/>
        </w:rPr>
        <w:t xml:space="preserve"> Ֆինանսական շուկայի տոկոսադրույքները 201</w:t>
      </w:r>
      <w:r w:rsidR="004270E9" w:rsidRPr="009272AD">
        <w:rPr>
          <w:rFonts w:ascii="GHEA Grapalat" w:hAnsi="GHEA Grapalat" w:cs="Sylfaen"/>
          <w:sz w:val="22"/>
          <w:szCs w:val="22"/>
          <w:lang w:val="hy-AM"/>
        </w:rPr>
        <w:t>6</w:t>
      </w:r>
      <w:r w:rsidRPr="00880CFF">
        <w:rPr>
          <w:rFonts w:ascii="GHEA Grapalat" w:hAnsi="GHEA Grapalat" w:cs="Sylfaen"/>
          <w:sz w:val="22"/>
          <w:szCs w:val="22"/>
          <w:lang w:val="hy-AM"/>
        </w:rPr>
        <w:t xml:space="preserve"> թվականի </w:t>
      </w:r>
      <w:r w:rsidR="00880CFF" w:rsidRPr="009272AD">
        <w:rPr>
          <w:rFonts w:ascii="GHEA Grapalat" w:hAnsi="GHEA Grapalat" w:cs="Sylfaen"/>
          <w:sz w:val="22"/>
          <w:szCs w:val="22"/>
          <w:lang w:val="hy-AM"/>
        </w:rPr>
        <w:t>առաջ</w:t>
      </w:r>
      <w:r w:rsidRPr="00880CFF">
        <w:rPr>
          <w:rFonts w:ascii="GHEA Grapalat" w:hAnsi="GHEA Grapalat" w:cs="Sylfaen"/>
          <w:sz w:val="22"/>
          <w:szCs w:val="22"/>
          <w:lang w:val="hy-AM"/>
        </w:rPr>
        <w:t>ին եռամսյակի ընթացքում</w:t>
      </w:r>
    </w:p>
    <w:tbl>
      <w:tblPr>
        <w:tblW w:w="6698" w:type="dxa"/>
        <w:jc w:val="center"/>
        <w:tblLook w:val="04A0" w:firstRow="1" w:lastRow="0" w:firstColumn="1" w:lastColumn="0" w:noHBand="0" w:noVBand="1"/>
      </w:tblPr>
      <w:tblGrid>
        <w:gridCol w:w="3833"/>
        <w:gridCol w:w="973"/>
        <w:gridCol w:w="919"/>
        <w:gridCol w:w="973"/>
      </w:tblGrid>
      <w:tr w:rsidR="00446AF7" w:rsidRPr="005A364D" w:rsidTr="00446AF7">
        <w:trPr>
          <w:trHeight w:val="305"/>
          <w:jc w:val="center"/>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AF7" w:rsidRPr="005A364D" w:rsidRDefault="00446AF7" w:rsidP="00446AF7">
            <w:pPr>
              <w:rPr>
                <w:rFonts w:ascii="GHEA Grapalat" w:hAnsi="GHEA Grapalat"/>
                <w:b/>
                <w:sz w:val="20"/>
                <w:szCs w:val="20"/>
              </w:rPr>
            </w:pPr>
            <w:r w:rsidRPr="005A364D">
              <w:rPr>
                <w:rFonts w:ascii="GHEA Grapalat" w:hAnsi="GHEA Grapalat" w:cs="Sylfaen"/>
                <w:b/>
                <w:sz w:val="20"/>
                <w:szCs w:val="20"/>
              </w:rPr>
              <w:t>Ամիսներ</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b/>
                <w:bCs/>
                <w:sz w:val="20"/>
                <w:szCs w:val="20"/>
              </w:rPr>
            </w:pPr>
            <w:r w:rsidRPr="005A364D">
              <w:rPr>
                <w:rFonts w:ascii="GHEA Grapalat" w:hAnsi="GHEA Grapalat"/>
                <w:b/>
                <w:bCs/>
                <w:sz w:val="20"/>
                <w:szCs w:val="20"/>
              </w:rPr>
              <w:t>I</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b/>
                <w:bCs/>
                <w:sz w:val="20"/>
                <w:szCs w:val="20"/>
              </w:rPr>
            </w:pPr>
            <w:r w:rsidRPr="005A364D">
              <w:rPr>
                <w:rFonts w:ascii="GHEA Grapalat" w:hAnsi="GHEA Grapalat"/>
                <w:b/>
                <w:bCs/>
                <w:sz w:val="20"/>
                <w:szCs w:val="20"/>
              </w:rPr>
              <w:t>II</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b/>
                <w:bCs/>
                <w:sz w:val="20"/>
                <w:szCs w:val="20"/>
              </w:rPr>
            </w:pPr>
            <w:r w:rsidRPr="005A364D">
              <w:rPr>
                <w:rFonts w:ascii="GHEA Grapalat" w:hAnsi="GHEA Grapalat"/>
                <w:b/>
                <w:bCs/>
                <w:sz w:val="20"/>
                <w:szCs w:val="20"/>
              </w:rPr>
              <w:t>III</w:t>
            </w:r>
          </w:p>
        </w:tc>
      </w:tr>
      <w:tr w:rsidR="00446AF7" w:rsidRPr="005A364D" w:rsidTr="00446AF7">
        <w:trPr>
          <w:trHeight w:val="435"/>
          <w:jc w:val="cent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446AF7" w:rsidRPr="005A364D" w:rsidRDefault="00446AF7" w:rsidP="00446AF7">
            <w:pPr>
              <w:rPr>
                <w:rFonts w:ascii="GHEA Grapalat" w:hAnsi="GHEA Grapalat"/>
                <w:sz w:val="20"/>
                <w:szCs w:val="20"/>
              </w:rPr>
            </w:pPr>
            <w:r w:rsidRPr="005A364D">
              <w:rPr>
                <w:rFonts w:ascii="GHEA Grapalat" w:hAnsi="GHEA Grapalat" w:cs="Sylfaen"/>
                <w:sz w:val="20"/>
                <w:szCs w:val="20"/>
              </w:rPr>
              <w:t>Առևտրային բանկերի վարկեր*</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17.0</w:t>
            </w:r>
          </w:p>
        </w:tc>
        <w:tc>
          <w:tcPr>
            <w:tcW w:w="919"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19.2</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19.1</w:t>
            </w:r>
          </w:p>
        </w:tc>
      </w:tr>
      <w:tr w:rsidR="00446AF7" w:rsidRPr="005A364D" w:rsidTr="00446AF7">
        <w:trPr>
          <w:trHeight w:val="435"/>
          <w:jc w:val="cent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446AF7" w:rsidRPr="005A364D" w:rsidRDefault="00446AF7" w:rsidP="00446AF7">
            <w:pPr>
              <w:rPr>
                <w:rFonts w:ascii="GHEA Grapalat" w:hAnsi="GHEA Grapalat"/>
                <w:sz w:val="20"/>
                <w:szCs w:val="20"/>
              </w:rPr>
            </w:pPr>
            <w:r w:rsidRPr="005A364D">
              <w:rPr>
                <w:rFonts w:ascii="GHEA Grapalat" w:hAnsi="GHEA Grapalat" w:cs="Sylfaen"/>
                <w:sz w:val="20"/>
                <w:szCs w:val="20"/>
              </w:rPr>
              <w:t>Առևտրային բանկերի ավանդներ*</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13.4</w:t>
            </w:r>
          </w:p>
        </w:tc>
        <w:tc>
          <w:tcPr>
            <w:tcW w:w="919"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11.4</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11.5</w:t>
            </w:r>
          </w:p>
        </w:tc>
      </w:tr>
      <w:tr w:rsidR="00446AF7" w:rsidRPr="005A364D" w:rsidTr="00446AF7">
        <w:trPr>
          <w:trHeight w:val="435"/>
          <w:jc w:val="center"/>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446AF7" w:rsidRPr="005A364D" w:rsidRDefault="00446AF7" w:rsidP="00446AF7">
            <w:pPr>
              <w:rPr>
                <w:rFonts w:ascii="GHEA Grapalat" w:hAnsi="GHEA Grapalat"/>
                <w:sz w:val="20"/>
                <w:szCs w:val="20"/>
              </w:rPr>
            </w:pPr>
            <w:r w:rsidRPr="005A364D">
              <w:rPr>
                <w:rFonts w:ascii="GHEA Grapalat" w:hAnsi="GHEA Grapalat" w:cs="Sylfaen"/>
                <w:sz w:val="20"/>
                <w:szCs w:val="20"/>
              </w:rPr>
              <w:t xml:space="preserve">ՀՀ ԿԲ ռեպո գործառնություններ </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8.75</w:t>
            </w:r>
          </w:p>
        </w:tc>
        <w:tc>
          <w:tcPr>
            <w:tcW w:w="919"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8.5</w:t>
            </w:r>
          </w:p>
        </w:tc>
        <w:tc>
          <w:tcPr>
            <w:tcW w:w="973" w:type="dxa"/>
            <w:tcBorders>
              <w:top w:val="nil"/>
              <w:left w:val="nil"/>
              <w:bottom w:val="single" w:sz="4" w:space="0" w:color="auto"/>
              <w:right w:val="single" w:sz="4" w:space="0" w:color="auto"/>
            </w:tcBorders>
            <w:shd w:val="clear" w:color="auto" w:fill="auto"/>
            <w:vAlign w:val="center"/>
            <w:hideMark/>
          </w:tcPr>
          <w:p w:rsidR="00446AF7" w:rsidRPr="005A364D" w:rsidRDefault="00446AF7" w:rsidP="00446AF7">
            <w:pPr>
              <w:jc w:val="center"/>
              <w:rPr>
                <w:rFonts w:ascii="GHEA Grapalat" w:hAnsi="GHEA Grapalat"/>
                <w:sz w:val="20"/>
                <w:szCs w:val="20"/>
              </w:rPr>
            </w:pPr>
            <w:r w:rsidRPr="005A364D">
              <w:rPr>
                <w:rFonts w:ascii="GHEA Grapalat" w:hAnsi="GHEA Grapalat"/>
                <w:sz w:val="20"/>
                <w:szCs w:val="20"/>
              </w:rPr>
              <w:t>8.25</w:t>
            </w:r>
          </w:p>
        </w:tc>
      </w:tr>
    </w:tbl>
    <w:p w:rsidR="00446AF7" w:rsidRPr="005A364D" w:rsidRDefault="00446AF7" w:rsidP="00446AF7">
      <w:pPr>
        <w:pStyle w:val="ac"/>
        <w:ind w:left="360"/>
        <w:rPr>
          <w:rFonts w:ascii="GHEA Grapalat" w:hAnsi="GHEA Grapalat" w:cs="Sylfaen"/>
          <w:sz w:val="18"/>
          <w:szCs w:val="18"/>
        </w:rPr>
      </w:pPr>
    </w:p>
    <w:p w:rsidR="00446AF7" w:rsidRPr="005A364D" w:rsidRDefault="00446AF7" w:rsidP="00446AF7">
      <w:pPr>
        <w:pStyle w:val="ac"/>
        <w:ind w:left="360"/>
        <w:rPr>
          <w:rFonts w:ascii="GHEA Grapalat" w:hAnsi="GHEA Grapalat" w:cs="Times Armenian"/>
          <w:sz w:val="18"/>
          <w:szCs w:val="18"/>
        </w:rPr>
      </w:pPr>
      <w:r w:rsidRPr="005A364D">
        <w:rPr>
          <w:rFonts w:ascii="GHEA Grapalat" w:hAnsi="GHEA Grapalat" w:cs="Sylfaen"/>
          <w:sz w:val="18"/>
          <w:szCs w:val="18"/>
        </w:rPr>
        <w:t>* Հաշվարկված</w:t>
      </w:r>
      <w:r w:rsidRPr="005A364D">
        <w:rPr>
          <w:rFonts w:ascii="GHEA Grapalat" w:hAnsi="GHEA Grapalat" w:cs="Times Armenian"/>
          <w:sz w:val="18"/>
          <w:szCs w:val="18"/>
        </w:rPr>
        <w:t xml:space="preserve"> </w:t>
      </w:r>
      <w:r w:rsidRPr="005A364D">
        <w:rPr>
          <w:rFonts w:ascii="GHEA Grapalat" w:hAnsi="GHEA Grapalat" w:cs="Sylfaen"/>
          <w:sz w:val="18"/>
          <w:szCs w:val="18"/>
        </w:rPr>
        <w:t>է</w:t>
      </w:r>
      <w:r w:rsidRPr="005A364D">
        <w:rPr>
          <w:rFonts w:ascii="GHEA Grapalat" w:hAnsi="GHEA Grapalat" w:cs="Times Armenian"/>
          <w:sz w:val="18"/>
          <w:szCs w:val="18"/>
        </w:rPr>
        <w:t xml:space="preserve"> 16 </w:t>
      </w:r>
      <w:r w:rsidRPr="005A364D">
        <w:rPr>
          <w:rFonts w:ascii="GHEA Grapalat" w:hAnsi="GHEA Grapalat" w:cs="Sylfaen"/>
          <w:sz w:val="18"/>
          <w:szCs w:val="18"/>
        </w:rPr>
        <w:t>օրից</w:t>
      </w:r>
      <w:r w:rsidRPr="005A364D">
        <w:rPr>
          <w:rFonts w:ascii="GHEA Grapalat" w:hAnsi="GHEA Grapalat" w:cs="Times Armenian"/>
          <w:sz w:val="18"/>
          <w:szCs w:val="18"/>
        </w:rPr>
        <w:t xml:space="preserve"> </w:t>
      </w:r>
      <w:r w:rsidRPr="005A364D">
        <w:rPr>
          <w:rFonts w:ascii="GHEA Grapalat" w:hAnsi="GHEA Grapalat" w:cs="Sylfaen"/>
          <w:sz w:val="18"/>
          <w:szCs w:val="18"/>
        </w:rPr>
        <w:t>մինչև</w:t>
      </w:r>
      <w:r w:rsidRPr="005A364D">
        <w:rPr>
          <w:rFonts w:ascii="GHEA Grapalat" w:hAnsi="GHEA Grapalat" w:cs="Times Armenian"/>
          <w:sz w:val="18"/>
          <w:szCs w:val="18"/>
        </w:rPr>
        <w:t xml:space="preserve"> </w:t>
      </w:r>
      <w:r w:rsidRPr="005A364D">
        <w:rPr>
          <w:rFonts w:ascii="GHEA Grapalat" w:hAnsi="GHEA Grapalat" w:cs="Sylfaen"/>
          <w:sz w:val="18"/>
          <w:szCs w:val="18"/>
        </w:rPr>
        <w:t>մեկ</w:t>
      </w:r>
      <w:r w:rsidRPr="005A364D">
        <w:rPr>
          <w:rFonts w:ascii="GHEA Grapalat" w:hAnsi="GHEA Grapalat" w:cs="Times Armenian"/>
          <w:sz w:val="18"/>
          <w:szCs w:val="18"/>
        </w:rPr>
        <w:t xml:space="preserve"> </w:t>
      </w:r>
      <w:r w:rsidRPr="005A364D">
        <w:rPr>
          <w:rFonts w:ascii="GHEA Grapalat" w:hAnsi="GHEA Grapalat" w:cs="Sylfaen"/>
          <w:sz w:val="18"/>
          <w:szCs w:val="18"/>
        </w:rPr>
        <w:t>տարի</w:t>
      </w:r>
      <w:r w:rsidRPr="005A364D">
        <w:rPr>
          <w:rFonts w:ascii="GHEA Grapalat" w:hAnsi="GHEA Grapalat" w:cs="Times Armenian"/>
          <w:sz w:val="18"/>
          <w:szCs w:val="18"/>
        </w:rPr>
        <w:t xml:space="preserve"> </w:t>
      </w:r>
      <w:r w:rsidRPr="005A364D">
        <w:rPr>
          <w:rFonts w:ascii="GHEA Grapalat" w:hAnsi="GHEA Grapalat" w:cs="Sylfaen"/>
          <w:sz w:val="18"/>
          <w:szCs w:val="18"/>
        </w:rPr>
        <w:t>ժամկետով</w:t>
      </w:r>
      <w:r w:rsidRPr="005A364D">
        <w:rPr>
          <w:rFonts w:ascii="GHEA Grapalat" w:hAnsi="GHEA Grapalat" w:cs="Times Armenian"/>
          <w:sz w:val="18"/>
          <w:szCs w:val="18"/>
        </w:rPr>
        <w:t xml:space="preserve">, </w:t>
      </w:r>
      <w:r w:rsidRPr="005A364D">
        <w:rPr>
          <w:rFonts w:ascii="GHEA Grapalat" w:hAnsi="GHEA Grapalat" w:cs="Sylfaen"/>
          <w:sz w:val="18"/>
          <w:szCs w:val="18"/>
        </w:rPr>
        <w:t>միայն</w:t>
      </w:r>
      <w:r w:rsidRPr="005A364D">
        <w:rPr>
          <w:rFonts w:ascii="GHEA Grapalat" w:hAnsi="GHEA Grapalat" w:cs="Times Armenian"/>
          <w:sz w:val="18"/>
          <w:szCs w:val="18"/>
        </w:rPr>
        <w:t xml:space="preserve"> </w:t>
      </w:r>
      <w:r w:rsidRPr="005A364D">
        <w:rPr>
          <w:rFonts w:ascii="GHEA Grapalat" w:hAnsi="GHEA Grapalat" w:cs="Sylfaen"/>
          <w:sz w:val="18"/>
          <w:szCs w:val="18"/>
        </w:rPr>
        <w:t>դրամով</w:t>
      </w:r>
      <w:r w:rsidRPr="005A364D">
        <w:rPr>
          <w:rFonts w:ascii="GHEA Grapalat" w:hAnsi="GHEA Grapalat" w:cs="Times Armenian"/>
          <w:sz w:val="18"/>
          <w:szCs w:val="18"/>
        </w:rPr>
        <w:t xml:space="preserve"> </w:t>
      </w:r>
      <w:r w:rsidRPr="005A364D">
        <w:rPr>
          <w:rFonts w:ascii="GHEA Grapalat" w:hAnsi="GHEA Grapalat" w:cs="Sylfaen"/>
          <w:sz w:val="18"/>
          <w:szCs w:val="18"/>
        </w:rPr>
        <w:t>տրամադրված</w:t>
      </w:r>
      <w:r w:rsidRPr="005A364D">
        <w:rPr>
          <w:rFonts w:ascii="GHEA Grapalat" w:hAnsi="GHEA Grapalat" w:cs="Times Armenian"/>
          <w:sz w:val="18"/>
          <w:szCs w:val="18"/>
        </w:rPr>
        <w:t xml:space="preserve"> </w:t>
      </w:r>
      <w:r w:rsidRPr="005A364D">
        <w:rPr>
          <w:rFonts w:ascii="GHEA Grapalat" w:hAnsi="GHEA Grapalat" w:cs="Sylfaen"/>
          <w:sz w:val="18"/>
          <w:szCs w:val="18"/>
        </w:rPr>
        <w:t>վարկերի</w:t>
      </w:r>
      <w:r w:rsidRPr="005A364D">
        <w:rPr>
          <w:rFonts w:ascii="GHEA Grapalat" w:hAnsi="GHEA Grapalat" w:cs="Times Armenian"/>
          <w:sz w:val="18"/>
          <w:szCs w:val="18"/>
        </w:rPr>
        <w:t xml:space="preserve"> </w:t>
      </w:r>
      <w:r w:rsidRPr="005A364D">
        <w:rPr>
          <w:rFonts w:ascii="GHEA Grapalat" w:hAnsi="GHEA Grapalat" w:cs="Sylfaen"/>
          <w:sz w:val="18"/>
          <w:szCs w:val="18"/>
        </w:rPr>
        <w:t>և</w:t>
      </w:r>
      <w:r w:rsidRPr="005A364D">
        <w:rPr>
          <w:rFonts w:ascii="GHEA Grapalat" w:hAnsi="GHEA Grapalat" w:cs="Times Armenian"/>
          <w:sz w:val="18"/>
          <w:szCs w:val="18"/>
        </w:rPr>
        <w:t xml:space="preserve"> </w:t>
      </w:r>
      <w:r w:rsidRPr="005A364D">
        <w:rPr>
          <w:rFonts w:ascii="GHEA Grapalat" w:hAnsi="GHEA Grapalat" w:cs="Sylfaen"/>
          <w:sz w:val="18"/>
          <w:szCs w:val="18"/>
        </w:rPr>
        <w:t>ներգրավված</w:t>
      </w:r>
      <w:r w:rsidRPr="005A364D">
        <w:rPr>
          <w:rFonts w:ascii="GHEA Grapalat" w:hAnsi="GHEA Grapalat" w:cs="Times Armenian"/>
          <w:sz w:val="18"/>
          <w:szCs w:val="18"/>
        </w:rPr>
        <w:t xml:space="preserve"> </w:t>
      </w:r>
      <w:r w:rsidRPr="005A364D">
        <w:rPr>
          <w:rFonts w:ascii="GHEA Grapalat" w:hAnsi="GHEA Grapalat" w:cs="Sylfaen"/>
          <w:sz w:val="18"/>
          <w:szCs w:val="18"/>
        </w:rPr>
        <w:t>ավանդների</w:t>
      </w:r>
      <w:r w:rsidRPr="005A364D">
        <w:rPr>
          <w:rFonts w:ascii="GHEA Grapalat" w:hAnsi="GHEA Grapalat" w:cs="Times Armenian"/>
          <w:sz w:val="18"/>
          <w:szCs w:val="18"/>
        </w:rPr>
        <w:t xml:space="preserve"> </w:t>
      </w:r>
      <w:r w:rsidRPr="005A364D">
        <w:rPr>
          <w:rFonts w:ascii="GHEA Grapalat" w:hAnsi="GHEA Grapalat" w:cs="Sylfaen"/>
          <w:sz w:val="18"/>
          <w:szCs w:val="18"/>
        </w:rPr>
        <w:t>համար</w:t>
      </w:r>
      <w:r w:rsidRPr="005A364D">
        <w:rPr>
          <w:rFonts w:ascii="GHEA Grapalat" w:hAnsi="GHEA Grapalat" w:cs="Times Armenian"/>
          <w:sz w:val="18"/>
          <w:szCs w:val="18"/>
        </w:rPr>
        <w:t xml:space="preserve"> (</w:t>
      </w:r>
      <w:r w:rsidRPr="005A364D">
        <w:rPr>
          <w:rFonts w:ascii="GHEA Grapalat" w:hAnsi="GHEA Grapalat" w:cs="Sylfaen"/>
          <w:sz w:val="18"/>
          <w:szCs w:val="18"/>
        </w:rPr>
        <w:t>առանց</w:t>
      </w:r>
      <w:r w:rsidRPr="005A364D">
        <w:rPr>
          <w:rFonts w:ascii="GHEA Grapalat" w:hAnsi="GHEA Grapalat" w:cs="Times Armenian"/>
          <w:sz w:val="18"/>
          <w:szCs w:val="18"/>
        </w:rPr>
        <w:t xml:space="preserve"> </w:t>
      </w:r>
      <w:r w:rsidRPr="005A364D">
        <w:rPr>
          <w:rFonts w:ascii="GHEA Grapalat" w:hAnsi="GHEA Grapalat" w:cs="Sylfaen"/>
          <w:sz w:val="18"/>
          <w:szCs w:val="18"/>
        </w:rPr>
        <w:t>միջբանկային</w:t>
      </w:r>
      <w:r w:rsidRPr="005A364D">
        <w:rPr>
          <w:rFonts w:ascii="GHEA Grapalat" w:hAnsi="GHEA Grapalat" w:cs="Times Armenian"/>
          <w:sz w:val="18"/>
          <w:szCs w:val="18"/>
        </w:rPr>
        <w:t xml:space="preserve"> </w:t>
      </w:r>
      <w:r w:rsidRPr="005A364D">
        <w:rPr>
          <w:rFonts w:ascii="GHEA Grapalat" w:hAnsi="GHEA Grapalat" w:cs="Sylfaen"/>
          <w:sz w:val="18"/>
          <w:szCs w:val="18"/>
        </w:rPr>
        <w:t>շուկայի</w:t>
      </w:r>
      <w:r w:rsidRPr="005A364D">
        <w:rPr>
          <w:rFonts w:ascii="GHEA Grapalat" w:hAnsi="GHEA Grapalat" w:cs="Times Armenian"/>
          <w:sz w:val="18"/>
          <w:szCs w:val="18"/>
        </w:rPr>
        <w:t>):</w:t>
      </w:r>
    </w:p>
    <w:p w:rsidR="00446AF7" w:rsidRPr="00880CFF" w:rsidRDefault="00446AF7" w:rsidP="00880CFF">
      <w:pPr>
        <w:spacing w:line="360" w:lineRule="auto"/>
        <w:ind w:right="-12" w:firstLine="561"/>
        <w:jc w:val="both"/>
        <w:rPr>
          <w:rFonts w:ascii="GHEA Grapalat" w:hAnsi="GHEA Grapalat" w:cs="Sylfaen"/>
          <w:sz w:val="22"/>
          <w:szCs w:val="22"/>
          <w:lang w:val="hy-AM"/>
        </w:rPr>
      </w:pPr>
      <w:r w:rsidRPr="00880CFF">
        <w:rPr>
          <w:rFonts w:ascii="GHEA Grapalat" w:hAnsi="GHEA Grapalat" w:cs="Sylfaen"/>
          <w:sz w:val="22"/>
          <w:szCs w:val="22"/>
          <w:lang w:val="hy-AM"/>
        </w:rPr>
        <w:tab/>
        <w:t xml:space="preserve"> </w:t>
      </w:r>
    </w:p>
    <w:p w:rsidR="00446AF7" w:rsidRPr="009272AD" w:rsidRDefault="00446AF7" w:rsidP="00880CFF">
      <w:pPr>
        <w:autoSpaceDE w:val="0"/>
        <w:autoSpaceDN w:val="0"/>
        <w:adjustRightInd w:val="0"/>
        <w:spacing w:line="480" w:lineRule="auto"/>
        <w:ind w:firstLine="540"/>
        <w:jc w:val="both"/>
        <w:rPr>
          <w:rFonts w:ascii="GHEA Grapalat" w:hAnsi="GHEA Grapalat" w:cs="Sylfaen"/>
          <w:b/>
          <w:i/>
          <w:sz w:val="22"/>
          <w:szCs w:val="22"/>
          <w:lang w:val="hy-AM"/>
        </w:rPr>
      </w:pPr>
      <w:r w:rsidRPr="009272AD">
        <w:rPr>
          <w:rFonts w:ascii="GHEA Grapalat" w:hAnsi="GHEA Grapalat" w:cs="Sylfaen"/>
          <w:b/>
          <w:i/>
          <w:sz w:val="22"/>
          <w:szCs w:val="22"/>
          <w:lang w:val="hy-AM"/>
        </w:rPr>
        <w:t>Հարկաբյուջետային հատված</w:t>
      </w:r>
    </w:p>
    <w:p w:rsidR="00446AF7" w:rsidRPr="00880CFF" w:rsidRDefault="00446AF7" w:rsidP="00880CFF">
      <w:pPr>
        <w:spacing w:line="360" w:lineRule="auto"/>
        <w:ind w:right="-12" w:firstLine="561"/>
        <w:jc w:val="both"/>
        <w:rPr>
          <w:rFonts w:ascii="GHEA Grapalat" w:hAnsi="GHEA Grapalat" w:cs="Sylfaen"/>
          <w:sz w:val="22"/>
          <w:szCs w:val="22"/>
          <w:lang w:val="hy-AM"/>
        </w:rPr>
      </w:pPr>
      <w:r w:rsidRPr="00880CFF">
        <w:rPr>
          <w:rFonts w:ascii="GHEA Grapalat" w:hAnsi="GHEA Grapalat" w:cs="Sylfaen"/>
          <w:sz w:val="22"/>
          <w:szCs w:val="22"/>
          <w:lang w:val="hy-AM"/>
        </w:rPr>
        <w:t xml:space="preserve">Հարկաբյուջետային քաղաքականության ազդեցությունը տնտեսության վրա եղել է խթանող: 2016 թվականի առաջին եռամսյակի արդյունքներով ՀՀ պետական բյուջեի ընդհանուր եկամուտները կազմել են 250.5 </w:t>
      </w:r>
      <w:r w:rsidR="00880CFF">
        <w:rPr>
          <w:rFonts w:ascii="GHEA Grapalat" w:hAnsi="GHEA Grapalat" w:cs="Sylfaen"/>
          <w:sz w:val="22"/>
          <w:szCs w:val="22"/>
          <w:lang w:val="hy-AM"/>
        </w:rPr>
        <w:t>մլրդ</w:t>
      </w:r>
      <w:r w:rsidRPr="00880CFF">
        <w:rPr>
          <w:rFonts w:ascii="GHEA Grapalat" w:hAnsi="GHEA Grapalat" w:cs="Sylfaen"/>
          <w:sz w:val="22"/>
          <w:szCs w:val="22"/>
          <w:lang w:val="hy-AM"/>
        </w:rPr>
        <w:t xml:space="preserve"> դրամ՝ նախորդ տարվա նույն</w:t>
      </w:r>
      <w:r w:rsidR="00851B13">
        <w:rPr>
          <w:rFonts w:ascii="GHEA Grapalat" w:hAnsi="GHEA Grapalat" w:cs="Sylfaen"/>
          <w:sz w:val="22"/>
          <w:szCs w:val="22"/>
          <w:lang w:val="hy-AM"/>
        </w:rPr>
        <w:t xml:space="preserve"> ժամանակահատվածի համեմատ աճելով</w:t>
      </w:r>
      <w:r w:rsidRPr="00880CFF">
        <w:rPr>
          <w:rFonts w:ascii="GHEA Grapalat" w:hAnsi="GHEA Grapalat" w:cs="Sylfaen"/>
          <w:sz w:val="22"/>
          <w:szCs w:val="22"/>
          <w:lang w:val="hy-AM"/>
        </w:rPr>
        <w:t xml:space="preserve"> 0.3</w:t>
      </w:r>
      <w:r w:rsidR="00851B13">
        <w:rPr>
          <w:rFonts w:ascii="GHEA Grapalat" w:hAnsi="GHEA Grapalat" w:cs="Sylfaen"/>
          <w:sz w:val="22"/>
          <w:szCs w:val="22"/>
          <w:lang w:val="hy-AM"/>
        </w:rPr>
        <w:t>%-ով</w:t>
      </w:r>
      <w:r w:rsidRPr="00880CFF">
        <w:rPr>
          <w:rFonts w:ascii="GHEA Grapalat" w:hAnsi="GHEA Grapalat" w:cs="Sylfaen"/>
          <w:sz w:val="22"/>
          <w:szCs w:val="22"/>
          <w:lang w:val="hy-AM"/>
        </w:rPr>
        <w:t xml:space="preserve">, իսկ հարկային եկամուտներ և տուրքերը կազմել են 231.1 </w:t>
      </w:r>
      <w:r w:rsidR="00880CFF">
        <w:rPr>
          <w:rFonts w:ascii="GHEA Grapalat" w:hAnsi="GHEA Grapalat" w:cs="Sylfaen"/>
          <w:sz w:val="22"/>
          <w:szCs w:val="22"/>
          <w:lang w:val="hy-AM"/>
        </w:rPr>
        <w:t>մլրդ</w:t>
      </w:r>
      <w:r w:rsidRPr="00880CFF">
        <w:rPr>
          <w:rFonts w:ascii="GHEA Grapalat" w:hAnsi="GHEA Grapalat" w:cs="Sylfaen"/>
          <w:sz w:val="22"/>
          <w:szCs w:val="22"/>
          <w:lang w:val="hy-AM"/>
        </w:rPr>
        <w:t xml:space="preserve"> դրամ</w:t>
      </w:r>
      <w:r w:rsidR="00851B13" w:rsidRPr="009272AD">
        <w:rPr>
          <w:rFonts w:ascii="GHEA Grapalat" w:hAnsi="GHEA Grapalat" w:cs="Sylfaen"/>
          <w:sz w:val="22"/>
          <w:szCs w:val="22"/>
          <w:lang w:val="hy-AM"/>
        </w:rPr>
        <w:t>՝</w:t>
      </w:r>
      <w:r w:rsidRPr="00880CFF">
        <w:rPr>
          <w:rFonts w:ascii="GHEA Grapalat" w:hAnsi="GHEA Grapalat" w:cs="Sylfaen"/>
          <w:sz w:val="22"/>
          <w:szCs w:val="22"/>
          <w:lang w:val="hy-AM"/>
        </w:rPr>
        <w:t xml:space="preserve"> նախորդ տարվա նույն ժ</w:t>
      </w:r>
      <w:r w:rsidR="00851B13">
        <w:rPr>
          <w:rFonts w:ascii="GHEA Grapalat" w:hAnsi="GHEA Grapalat" w:cs="Sylfaen"/>
          <w:sz w:val="22"/>
          <w:szCs w:val="22"/>
          <w:lang w:val="hy-AM"/>
        </w:rPr>
        <w:t>ամանակահատվածի համեմատ նվազելով</w:t>
      </w:r>
      <w:r w:rsidRPr="00880CFF">
        <w:rPr>
          <w:rFonts w:ascii="GHEA Grapalat" w:hAnsi="GHEA Grapalat" w:cs="Sylfaen"/>
          <w:sz w:val="22"/>
          <w:szCs w:val="22"/>
          <w:lang w:val="hy-AM"/>
        </w:rPr>
        <w:t xml:space="preserve"> 0.6</w:t>
      </w:r>
      <w:r w:rsidR="00851B13">
        <w:rPr>
          <w:rFonts w:ascii="GHEA Grapalat" w:hAnsi="GHEA Grapalat" w:cs="Sylfaen"/>
          <w:sz w:val="22"/>
          <w:szCs w:val="22"/>
          <w:lang w:val="hy-AM"/>
        </w:rPr>
        <w:t>%-ով</w:t>
      </w:r>
      <w:r w:rsidRPr="00880CFF">
        <w:rPr>
          <w:rFonts w:ascii="GHEA Grapalat" w:hAnsi="GHEA Grapalat" w:cs="Sylfaen"/>
          <w:sz w:val="22"/>
          <w:szCs w:val="22"/>
          <w:lang w:val="hy-AM"/>
        </w:rPr>
        <w:t xml:space="preserve">: Ընդ որում, հարկային եկամուտների և տուրքերի նվազումը պայմանավորվել է հիմնականում ավելացված արժեքի հարկի և մաքսատուրքերի նվազմամբ, իսկ շահութահարկի և եկամտային հարկի մասով արձանագրվել </w:t>
      </w:r>
      <w:r w:rsidR="004270E9" w:rsidRPr="009272AD">
        <w:rPr>
          <w:rFonts w:ascii="GHEA Grapalat" w:hAnsi="GHEA Grapalat" w:cs="Sylfaen"/>
          <w:sz w:val="22"/>
          <w:szCs w:val="22"/>
          <w:lang w:val="hy-AM"/>
        </w:rPr>
        <w:t>է</w:t>
      </w:r>
      <w:r w:rsidRPr="00880CFF">
        <w:rPr>
          <w:rFonts w:ascii="GHEA Grapalat" w:hAnsi="GHEA Grapalat" w:cs="Sylfaen"/>
          <w:sz w:val="22"/>
          <w:szCs w:val="22"/>
          <w:lang w:val="hy-AM"/>
        </w:rPr>
        <w:t xml:space="preserve"> աճ:</w:t>
      </w:r>
    </w:p>
    <w:p w:rsidR="00446AF7" w:rsidRPr="00880CFF" w:rsidRDefault="00446AF7" w:rsidP="00880CFF">
      <w:pPr>
        <w:spacing w:line="360" w:lineRule="auto"/>
        <w:ind w:right="-12" w:firstLine="561"/>
        <w:jc w:val="both"/>
        <w:rPr>
          <w:rFonts w:ascii="GHEA Grapalat" w:hAnsi="GHEA Grapalat" w:cs="Sylfaen"/>
          <w:sz w:val="22"/>
          <w:szCs w:val="22"/>
          <w:lang w:val="hy-AM"/>
        </w:rPr>
      </w:pPr>
      <w:r w:rsidRPr="00880CFF">
        <w:rPr>
          <w:rFonts w:ascii="GHEA Grapalat" w:hAnsi="GHEA Grapalat" w:cs="Sylfaen"/>
          <w:sz w:val="22"/>
          <w:szCs w:val="22"/>
          <w:lang w:val="hy-AM"/>
        </w:rPr>
        <w:t xml:space="preserve">2016 թվականի առաջին եռամսյակի արդյունքներով պետական բյուջեի ծախսերը կազմել են 283.6 </w:t>
      </w:r>
      <w:r w:rsidR="00880CFF">
        <w:rPr>
          <w:rFonts w:ascii="GHEA Grapalat" w:hAnsi="GHEA Grapalat" w:cs="Sylfaen"/>
          <w:sz w:val="22"/>
          <w:szCs w:val="22"/>
          <w:lang w:val="hy-AM"/>
        </w:rPr>
        <w:t>մլրդ</w:t>
      </w:r>
      <w:r w:rsidRPr="00880CFF">
        <w:rPr>
          <w:rFonts w:ascii="GHEA Grapalat" w:hAnsi="GHEA Grapalat" w:cs="Sylfaen"/>
          <w:sz w:val="22"/>
          <w:szCs w:val="22"/>
          <w:lang w:val="hy-AM"/>
        </w:rPr>
        <w:t xml:space="preserve"> դրամ՝ նախորդ նույն ժամանակահատվածի համեմատ աճելով 5.7</w:t>
      </w:r>
      <w:r w:rsidR="00491851" w:rsidRPr="009272AD">
        <w:rPr>
          <w:rFonts w:ascii="GHEA Grapalat" w:hAnsi="GHEA Grapalat" w:cs="Sylfaen"/>
          <w:sz w:val="22"/>
          <w:szCs w:val="22"/>
          <w:lang w:val="hy-AM"/>
        </w:rPr>
        <w:t>%-</w:t>
      </w:r>
      <w:r w:rsidRPr="00880CFF">
        <w:rPr>
          <w:rFonts w:ascii="GHEA Grapalat" w:hAnsi="GHEA Grapalat" w:cs="Sylfaen"/>
          <w:sz w:val="22"/>
          <w:szCs w:val="22"/>
          <w:lang w:val="hy-AM"/>
        </w:rPr>
        <w:t xml:space="preserve">ով: Ընդ որում, ընթացիկ ծախսերը կազմել են 275.7 </w:t>
      </w:r>
      <w:r w:rsidR="00880CFF">
        <w:rPr>
          <w:rFonts w:ascii="GHEA Grapalat" w:hAnsi="GHEA Grapalat" w:cs="Sylfaen"/>
          <w:sz w:val="22"/>
          <w:szCs w:val="22"/>
          <w:lang w:val="hy-AM"/>
        </w:rPr>
        <w:t>մլրդ</w:t>
      </w:r>
      <w:r w:rsidRPr="00880CFF">
        <w:rPr>
          <w:rFonts w:ascii="GHEA Grapalat" w:hAnsi="GHEA Grapalat" w:cs="Sylfaen"/>
          <w:sz w:val="22"/>
          <w:szCs w:val="22"/>
          <w:lang w:val="hy-AM"/>
        </w:rPr>
        <w:t xml:space="preserve"> դրամ</w:t>
      </w:r>
      <w:r w:rsidR="00851B13" w:rsidRPr="009272AD">
        <w:rPr>
          <w:rFonts w:ascii="GHEA Grapalat" w:hAnsi="GHEA Grapalat" w:cs="Sylfaen"/>
          <w:sz w:val="22"/>
          <w:szCs w:val="22"/>
          <w:lang w:val="hy-AM"/>
        </w:rPr>
        <w:t>՝</w:t>
      </w:r>
      <w:r w:rsidRPr="00880CFF">
        <w:rPr>
          <w:rFonts w:ascii="GHEA Grapalat" w:hAnsi="GHEA Grapalat" w:cs="Sylfaen"/>
          <w:sz w:val="22"/>
          <w:szCs w:val="22"/>
          <w:lang w:val="hy-AM"/>
        </w:rPr>
        <w:t xml:space="preserve"> նախորդ տարվա նույն ժամանակահատվածի </w:t>
      </w:r>
      <w:r w:rsidRPr="00880CFF">
        <w:rPr>
          <w:rFonts w:ascii="GHEA Grapalat" w:hAnsi="GHEA Grapalat" w:cs="Sylfaen"/>
          <w:sz w:val="22"/>
          <w:szCs w:val="22"/>
          <w:lang w:val="hy-AM"/>
        </w:rPr>
        <w:lastRenderedPageBreak/>
        <w:t>համեմատ աճելով 6.6</w:t>
      </w:r>
      <w:r w:rsidR="00851B13">
        <w:rPr>
          <w:rFonts w:ascii="GHEA Grapalat" w:hAnsi="GHEA Grapalat" w:cs="Sylfaen"/>
          <w:sz w:val="22"/>
          <w:szCs w:val="22"/>
          <w:lang w:val="hy-AM"/>
        </w:rPr>
        <w:t>%-ով</w:t>
      </w:r>
      <w:r w:rsidRPr="00880CFF">
        <w:rPr>
          <w:rFonts w:ascii="GHEA Grapalat" w:hAnsi="GHEA Grapalat" w:cs="Sylfaen"/>
          <w:sz w:val="22"/>
          <w:szCs w:val="22"/>
          <w:lang w:val="hy-AM"/>
        </w:rPr>
        <w:t xml:space="preserve">, իսկ ոչ ֆինանսական ակտիվների գծով ծախսերը կազմել են 10.9 </w:t>
      </w:r>
      <w:r w:rsidR="00880CFF">
        <w:rPr>
          <w:rFonts w:ascii="GHEA Grapalat" w:hAnsi="GHEA Grapalat" w:cs="Sylfaen"/>
          <w:sz w:val="22"/>
          <w:szCs w:val="22"/>
          <w:lang w:val="hy-AM"/>
        </w:rPr>
        <w:t>մլրդ</w:t>
      </w:r>
      <w:r w:rsidRPr="00880CFF">
        <w:rPr>
          <w:rFonts w:ascii="GHEA Grapalat" w:hAnsi="GHEA Grapalat" w:cs="Sylfaen"/>
          <w:sz w:val="22"/>
          <w:szCs w:val="22"/>
          <w:lang w:val="hy-AM"/>
        </w:rPr>
        <w:t xml:space="preserve"> դրամ` նախորդ տարվա նույն ժամանակահատվածի համեմատ աճելով 12.1</w:t>
      </w:r>
      <w:r w:rsidR="00491851" w:rsidRPr="009272AD">
        <w:rPr>
          <w:rFonts w:ascii="GHEA Grapalat" w:hAnsi="GHEA Grapalat" w:cs="Sylfaen"/>
          <w:sz w:val="22"/>
          <w:szCs w:val="22"/>
          <w:lang w:val="hy-AM"/>
        </w:rPr>
        <w:t>%-</w:t>
      </w:r>
      <w:r w:rsidRPr="00880CFF">
        <w:rPr>
          <w:rFonts w:ascii="GHEA Grapalat" w:hAnsi="GHEA Grapalat" w:cs="Sylfaen"/>
          <w:sz w:val="22"/>
          <w:szCs w:val="22"/>
          <w:lang w:val="hy-AM"/>
        </w:rPr>
        <w:t>ով: Ընթացիկ ծախսերի աճը պայմանավորվել է հիմնականում տոկոսավճարների և սոցիալական նպաստների ու կենսաթոշակների աճով</w:t>
      </w:r>
      <w:r w:rsidRPr="00880CFF">
        <w:rPr>
          <w:rFonts w:ascii="GHEA Grapalat" w:hAnsi="GHEA Grapalat"/>
          <w:sz w:val="22"/>
          <w:szCs w:val="22"/>
          <w:vertAlign w:val="superscript"/>
          <w:lang w:val="hy-AM"/>
        </w:rPr>
        <w:footnoteReference w:id="15"/>
      </w:r>
      <w:r w:rsidRPr="00880CFF">
        <w:rPr>
          <w:rFonts w:ascii="GHEA Grapalat" w:hAnsi="GHEA Grapalat" w:cs="Sylfaen"/>
          <w:sz w:val="22"/>
          <w:szCs w:val="22"/>
          <w:lang w:val="hy-AM"/>
        </w:rPr>
        <w:t xml:space="preserve">: </w:t>
      </w:r>
    </w:p>
    <w:p w:rsidR="00446AF7" w:rsidRPr="00880CFF" w:rsidRDefault="00446AF7" w:rsidP="00880CFF">
      <w:pPr>
        <w:spacing w:line="360" w:lineRule="auto"/>
        <w:ind w:right="-12" w:firstLine="561"/>
        <w:jc w:val="both"/>
        <w:rPr>
          <w:rFonts w:ascii="GHEA Grapalat" w:hAnsi="GHEA Grapalat" w:cs="Sylfaen"/>
          <w:sz w:val="22"/>
          <w:szCs w:val="22"/>
          <w:lang w:val="hy-AM"/>
        </w:rPr>
      </w:pPr>
      <w:r w:rsidRPr="00880CFF">
        <w:rPr>
          <w:rFonts w:ascii="GHEA Grapalat" w:hAnsi="GHEA Grapalat" w:cs="Sylfaen"/>
          <w:sz w:val="22"/>
          <w:szCs w:val="22"/>
          <w:lang w:val="hy-AM"/>
        </w:rPr>
        <w:t>2016 թվականի առաջին եռամսյակի արդյունքում պետական բյուջեի պակասուրդը կազմել է 33.2 մլրդ դրամ</w:t>
      </w:r>
      <w:r w:rsidR="004270E9" w:rsidRPr="009272AD">
        <w:rPr>
          <w:rFonts w:ascii="GHEA Grapalat" w:hAnsi="GHEA Grapalat" w:cs="Sylfaen"/>
          <w:sz w:val="22"/>
          <w:szCs w:val="22"/>
          <w:lang w:val="hy-AM"/>
        </w:rPr>
        <w:t>՝</w:t>
      </w:r>
      <w:r w:rsidRPr="00880CFF">
        <w:rPr>
          <w:rFonts w:ascii="GHEA Grapalat" w:hAnsi="GHEA Grapalat" w:cs="Sylfaen"/>
          <w:sz w:val="22"/>
          <w:szCs w:val="22"/>
          <w:lang w:val="hy-AM"/>
        </w:rPr>
        <w:t xml:space="preserve"> նախորդ տարի նույն ժամանակահատվածում ձևավորված 18.6 մլրդ դրամի համեմատ: </w:t>
      </w:r>
    </w:p>
    <w:p w:rsidR="00446AF7" w:rsidRPr="001609FD" w:rsidRDefault="00446AF7" w:rsidP="001609FD">
      <w:pPr>
        <w:spacing w:line="360" w:lineRule="auto"/>
        <w:ind w:right="-12" w:firstLine="561"/>
        <w:jc w:val="both"/>
        <w:rPr>
          <w:rFonts w:ascii="GHEA Grapalat" w:hAnsi="GHEA Grapalat" w:cs="Sylfaen"/>
          <w:sz w:val="22"/>
          <w:szCs w:val="22"/>
          <w:lang w:val="hy-AM"/>
        </w:rPr>
      </w:pPr>
      <w:r w:rsidRPr="001609FD">
        <w:rPr>
          <w:rFonts w:ascii="GHEA Grapalat" w:hAnsi="GHEA Grapalat" w:cs="Sylfaen"/>
          <w:b/>
          <w:sz w:val="22"/>
          <w:szCs w:val="22"/>
          <w:lang w:val="hy-AM"/>
        </w:rPr>
        <w:t>Հարկաբյուջետային ազդակը:</w:t>
      </w:r>
      <w:r w:rsidRPr="001609FD">
        <w:rPr>
          <w:rFonts w:ascii="GHEA Grapalat" w:hAnsi="GHEA Grapalat" w:cs="Sylfaen"/>
          <w:sz w:val="22"/>
          <w:szCs w:val="22"/>
          <w:lang w:val="hy-AM"/>
        </w:rPr>
        <w:t xml:space="preserve"> Համախառն պահանջարկի վրա հարկաբյուջետային քաղաքականությունը 2016 թվականի առաջին եռամսյակ</w:t>
      </w:r>
      <w:r w:rsidR="006C5F2B" w:rsidRPr="009272AD">
        <w:rPr>
          <w:rFonts w:ascii="GHEA Grapalat" w:hAnsi="GHEA Grapalat" w:cs="Sylfaen"/>
          <w:sz w:val="22"/>
          <w:szCs w:val="22"/>
          <w:lang w:val="hy-AM"/>
        </w:rPr>
        <w:t>ում</w:t>
      </w:r>
      <w:r w:rsidRPr="001609FD">
        <w:rPr>
          <w:rFonts w:ascii="GHEA Grapalat" w:hAnsi="GHEA Grapalat" w:cs="Sylfaen"/>
          <w:sz w:val="22"/>
          <w:szCs w:val="22"/>
          <w:lang w:val="hy-AM"/>
        </w:rPr>
        <w:t xml:space="preserve"> նախորդ տարվա նույն ժամանակահատվածի նկատմամբ ունեցել է 1.4 ընդլայնող հարկաբյուջետային ազդեցություն` պայմանավորված և´ եկամուտների (0.8), և´ ծախսերի (0.6) ընդլայնող ազդեցություններով: </w:t>
      </w:r>
    </w:p>
    <w:p w:rsidR="00446AF7" w:rsidRPr="001609FD" w:rsidRDefault="00446AF7" w:rsidP="001609FD">
      <w:pPr>
        <w:spacing w:line="360" w:lineRule="auto"/>
        <w:ind w:right="-12" w:firstLine="561"/>
        <w:jc w:val="both"/>
        <w:rPr>
          <w:rFonts w:ascii="GHEA Grapalat" w:hAnsi="GHEA Grapalat" w:cs="Sylfaen"/>
          <w:sz w:val="22"/>
          <w:szCs w:val="22"/>
          <w:lang w:val="hy-AM"/>
        </w:rPr>
      </w:pPr>
    </w:p>
    <w:p w:rsidR="00446AF7" w:rsidRPr="006C5F2B" w:rsidRDefault="00446AF7" w:rsidP="006C5F2B">
      <w:pPr>
        <w:spacing w:line="360" w:lineRule="auto"/>
        <w:ind w:right="-12"/>
        <w:jc w:val="both"/>
        <w:rPr>
          <w:rFonts w:ascii="GHEA Grapalat" w:hAnsi="GHEA Grapalat" w:cs="Sylfaen"/>
          <w:sz w:val="22"/>
          <w:szCs w:val="22"/>
          <w:lang w:val="hy-AM"/>
        </w:rPr>
      </w:pPr>
      <w:r w:rsidRPr="006C5F2B">
        <w:rPr>
          <w:rFonts w:ascii="GHEA Grapalat" w:hAnsi="GHEA Grapalat" w:cs="Sylfaen"/>
          <w:b/>
          <w:sz w:val="22"/>
          <w:szCs w:val="22"/>
          <w:lang w:val="hy-AM"/>
        </w:rPr>
        <w:t>Գծապատկեր 7.</w:t>
      </w:r>
      <w:r w:rsidRPr="006C5F2B">
        <w:rPr>
          <w:rFonts w:ascii="GHEA Grapalat" w:hAnsi="GHEA Grapalat" w:cs="Sylfaen"/>
          <w:sz w:val="22"/>
          <w:szCs w:val="22"/>
          <w:lang w:val="hy-AM"/>
        </w:rPr>
        <w:t xml:space="preserve"> Հարկաբյուջետային ազդակը 2013 թվականից եռամսյակային կտրվածքով</w:t>
      </w:r>
    </w:p>
    <w:p w:rsidR="00446AF7" w:rsidRDefault="00446AF7" w:rsidP="00446AF7">
      <w:pPr>
        <w:jc w:val="center"/>
        <w:rPr>
          <w:rFonts w:ascii="GHEA Grapalat" w:hAnsi="GHEA Grapalat" w:cs="Sylfaen"/>
          <w:b/>
          <w:i/>
          <w:sz w:val="22"/>
          <w:szCs w:val="22"/>
        </w:rPr>
      </w:pPr>
      <w:r w:rsidRPr="005A364D">
        <w:rPr>
          <w:rFonts w:ascii="GHEA Grapalat" w:hAnsi="GHEA Grapalat"/>
          <w:noProof/>
          <w:lang w:val="ru-RU" w:eastAsia="ru-RU"/>
        </w:rPr>
        <w:drawing>
          <wp:inline distT="0" distB="0" distL="0" distR="0" wp14:anchorId="004BB269" wp14:editId="73080A42">
            <wp:extent cx="5943600" cy="3398520"/>
            <wp:effectExtent l="0" t="0" r="1905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75FA" w:rsidRPr="003941F1" w:rsidRDefault="00FF75FA" w:rsidP="009272AD">
      <w:pPr>
        <w:spacing w:line="480" w:lineRule="auto"/>
        <w:ind w:right="-187"/>
        <w:rPr>
          <w:rFonts w:ascii="GHEA Grapalat" w:hAnsi="GHEA Grapalat" w:cs="Sylfaen"/>
          <w:b/>
          <w:i/>
          <w:sz w:val="22"/>
          <w:szCs w:val="22"/>
          <w:lang w:val="hy-AM"/>
        </w:rPr>
        <w:sectPr w:rsidR="00FF75FA" w:rsidRPr="003941F1" w:rsidSect="009C41C6">
          <w:footerReference w:type="even" r:id="rId16"/>
          <w:footerReference w:type="default" r:id="rId17"/>
          <w:pgSz w:w="11907" w:h="16840" w:code="9"/>
          <w:pgMar w:top="1134" w:right="567" w:bottom="567" w:left="1134" w:header="720" w:footer="567" w:gutter="0"/>
          <w:cols w:space="720"/>
        </w:sectPr>
      </w:pPr>
      <w:bookmarkStart w:id="0" w:name="_GoBack"/>
      <w:bookmarkEnd w:id="0"/>
    </w:p>
    <w:p w:rsidR="001A231A" w:rsidRPr="001A231A" w:rsidRDefault="001A231A" w:rsidP="009272AD">
      <w:pPr>
        <w:spacing w:line="360" w:lineRule="auto"/>
        <w:jc w:val="both"/>
        <w:rPr>
          <w:rFonts w:ascii="GHEA Grapalat" w:hAnsi="GHEA Grapalat"/>
          <w:sz w:val="22"/>
          <w:szCs w:val="22"/>
          <w:lang w:val="hy-AM"/>
        </w:rPr>
      </w:pPr>
    </w:p>
    <w:sectPr w:rsidR="001A231A" w:rsidRPr="001A231A" w:rsidSect="009C41C6">
      <w:footerReference w:type="even" r:id="rId18"/>
      <w:footerReference w:type="default" r:id="rId19"/>
      <w:pgSz w:w="11907" w:h="16840" w:code="9"/>
      <w:pgMar w:top="1134" w:right="567"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03" w:rsidRDefault="00EA5F03">
      <w:r>
        <w:separator/>
      </w:r>
    </w:p>
  </w:endnote>
  <w:endnote w:type="continuationSeparator" w:id="0">
    <w:p w:rsidR="00EA5F03" w:rsidRDefault="00EA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2D" w:rsidRDefault="00AF6A2D" w:rsidP="00B41D8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6A2D" w:rsidRDefault="00AF6A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2D" w:rsidRPr="00F569CE" w:rsidRDefault="00AF6A2D" w:rsidP="00B41D84">
    <w:pPr>
      <w:pStyle w:val="a5"/>
      <w:framePr w:wrap="around" w:vAnchor="text" w:hAnchor="margin" w:xAlign="center" w:y="1"/>
      <w:rPr>
        <w:rStyle w:val="a7"/>
        <w:rFonts w:ascii="GHEA Grapalat" w:hAnsi="GHEA Grapalat"/>
        <w:sz w:val="22"/>
        <w:szCs w:val="22"/>
      </w:rPr>
    </w:pPr>
    <w:r w:rsidRPr="00F569CE">
      <w:rPr>
        <w:rStyle w:val="a7"/>
        <w:rFonts w:ascii="GHEA Grapalat" w:hAnsi="GHEA Grapalat"/>
        <w:sz w:val="22"/>
        <w:szCs w:val="22"/>
      </w:rPr>
      <w:fldChar w:fldCharType="begin"/>
    </w:r>
    <w:r w:rsidRPr="00F569CE">
      <w:rPr>
        <w:rStyle w:val="a7"/>
        <w:rFonts w:ascii="GHEA Grapalat" w:hAnsi="GHEA Grapalat"/>
        <w:sz w:val="22"/>
        <w:szCs w:val="22"/>
      </w:rPr>
      <w:instrText xml:space="preserve">PAGE  </w:instrText>
    </w:r>
    <w:r w:rsidRPr="00F569CE">
      <w:rPr>
        <w:rStyle w:val="a7"/>
        <w:rFonts w:ascii="GHEA Grapalat" w:hAnsi="GHEA Grapalat"/>
        <w:sz w:val="22"/>
        <w:szCs w:val="22"/>
      </w:rPr>
      <w:fldChar w:fldCharType="separate"/>
    </w:r>
    <w:r w:rsidR="009272AD">
      <w:rPr>
        <w:rStyle w:val="a7"/>
        <w:rFonts w:ascii="GHEA Grapalat" w:hAnsi="GHEA Grapalat"/>
        <w:noProof/>
        <w:sz w:val="22"/>
        <w:szCs w:val="22"/>
      </w:rPr>
      <w:t>1</w:t>
    </w:r>
    <w:r w:rsidRPr="00F569CE">
      <w:rPr>
        <w:rStyle w:val="a7"/>
        <w:rFonts w:ascii="GHEA Grapalat" w:hAnsi="GHEA Grapalat"/>
        <w:sz w:val="22"/>
        <w:szCs w:val="22"/>
      </w:rPr>
      <w:fldChar w:fldCharType="end"/>
    </w:r>
  </w:p>
  <w:p w:rsidR="00AF6A2D" w:rsidRDefault="00AF6A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2D" w:rsidRDefault="00AF6A2D" w:rsidP="003819D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6A2D" w:rsidRDefault="00AF6A2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2D" w:rsidRPr="00544C1A" w:rsidRDefault="00AF6A2D" w:rsidP="003819D4">
    <w:pPr>
      <w:pStyle w:val="a5"/>
      <w:framePr w:wrap="around" w:vAnchor="text" w:hAnchor="margin" w:xAlign="center" w:y="1"/>
      <w:rPr>
        <w:rStyle w:val="a7"/>
        <w:sz w:val="22"/>
        <w:szCs w:val="22"/>
      </w:rPr>
    </w:pPr>
    <w:r w:rsidRPr="00544C1A">
      <w:rPr>
        <w:rStyle w:val="a7"/>
        <w:sz w:val="22"/>
        <w:szCs w:val="22"/>
      </w:rPr>
      <w:fldChar w:fldCharType="begin"/>
    </w:r>
    <w:r w:rsidRPr="00544C1A">
      <w:rPr>
        <w:rStyle w:val="a7"/>
        <w:sz w:val="22"/>
        <w:szCs w:val="22"/>
      </w:rPr>
      <w:instrText xml:space="preserve">PAGE  </w:instrText>
    </w:r>
    <w:r w:rsidRPr="00544C1A">
      <w:rPr>
        <w:rStyle w:val="a7"/>
        <w:sz w:val="22"/>
        <w:szCs w:val="22"/>
      </w:rPr>
      <w:fldChar w:fldCharType="separate"/>
    </w:r>
    <w:r w:rsidR="009272AD">
      <w:rPr>
        <w:rStyle w:val="a7"/>
        <w:noProof/>
        <w:sz w:val="22"/>
        <w:szCs w:val="22"/>
      </w:rPr>
      <w:t>15</w:t>
    </w:r>
    <w:r w:rsidRPr="00544C1A">
      <w:rPr>
        <w:rStyle w:val="a7"/>
        <w:sz w:val="22"/>
        <w:szCs w:val="22"/>
      </w:rPr>
      <w:fldChar w:fldCharType="end"/>
    </w:r>
  </w:p>
  <w:p w:rsidR="00AF6A2D" w:rsidRDefault="00AF6A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03" w:rsidRDefault="00EA5F03">
      <w:r>
        <w:separator/>
      </w:r>
    </w:p>
  </w:footnote>
  <w:footnote w:type="continuationSeparator" w:id="0">
    <w:p w:rsidR="00EA5F03" w:rsidRDefault="00EA5F03">
      <w:r>
        <w:continuationSeparator/>
      </w:r>
    </w:p>
  </w:footnote>
  <w:footnote w:id="1">
    <w:p w:rsidR="00AF6A2D" w:rsidRPr="00446AF7" w:rsidRDefault="00AF6A2D" w:rsidP="00446AF7">
      <w:pPr>
        <w:pStyle w:val="ac"/>
        <w:jc w:val="both"/>
        <w:rPr>
          <w:rFonts w:ascii="GHEA Grapalat" w:hAnsi="GHEA Grapalat"/>
          <w:sz w:val="18"/>
          <w:szCs w:val="18"/>
        </w:rPr>
      </w:pPr>
      <w:r w:rsidRPr="00446AF7">
        <w:rPr>
          <w:rStyle w:val="ae"/>
          <w:rFonts w:ascii="GHEA Grapalat" w:hAnsi="GHEA Grapalat"/>
          <w:sz w:val="18"/>
          <w:szCs w:val="18"/>
        </w:rPr>
        <w:footnoteRef/>
      </w:r>
      <w:r w:rsidRPr="00446AF7">
        <w:rPr>
          <w:rFonts w:ascii="GHEA Grapalat" w:hAnsi="GHEA Grapalat"/>
          <w:sz w:val="18"/>
          <w:szCs w:val="18"/>
        </w:rPr>
        <w:t xml:space="preserve"> </w:t>
      </w:r>
      <w:r w:rsidRPr="00446AF7">
        <w:rPr>
          <w:rFonts w:ascii="GHEA Grapalat" w:hAnsi="GHEA Grapalat" w:cs="Sylfaen"/>
          <w:sz w:val="18"/>
          <w:szCs w:val="18"/>
        </w:rPr>
        <w:t>Այսուհետ ներկայացված են ճյուղերի համախառն թողարկումների ցուցանիշները:</w:t>
      </w:r>
    </w:p>
  </w:footnote>
  <w:footnote w:id="2">
    <w:p w:rsidR="00AF6A2D" w:rsidRPr="00446AF7" w:rsidRDefault="00AF6A2D" w:rsidP="00446AF7">
      <w:pPr>
        <w:pStyle w:val="ac"/>
        <w:jc w:val="both"/>
        <w:rPr>
          <w:rFonts w:ascii="GHEA Grapalat" w:hAnsi="GHEA Grapalat"/>
          <w:sz w:val="18"/>
          <w:szCs w:val="18"/>
        </w:rPr>
      </w:pPr>
      <w:r w:rsidRPr="00446AF7">
        <w:rPr>
          <w:rStyle w:val="ae"/>
          <w:rFonts w:ascii="GHEA Grapalat" w:hAnsi="GHEA Grapalat"/>
          <w:sz w:val="18"/>
          <w:szCs w:val="18"/>
        </w:rPr>
        <w:footnoteRef/>
      </w:r>
      <w:r w:rsidRPr="00446AF7">
        <w:rPr>
          <w:rFonts w:ascii="GHEA Grapalat" w:hAnsi="GHEA Grapalat"/>
          <w:sz w:val="18"/>
          <w:szCs w:val="18"/>
        </w:rPr>
        <w:t xml:space="preserve"> Հունվար-մարտին</w:t>
      </w:r>
      <w:r>
        <w:rPr>
          <w:rFonts w:ascii="GHEA Grapalat" w:hAnsi="GHEA Grapalat"/>
          <w:sz w:val="18"/>
          <w:szCs w:val="18"/>
        </w:rPr>
        <w:t>՝</w:t>
      </w:r>
      <w:r w:rsidRPr="00446AF7">
        <w:rPr>
          <w:rFonts w:ascii="GHEA Grapalat" w:hAnsi="GHEA Grapalat"/>
          <w:sz w:val="18"/>
          <w:szCs w:val="18"/>
        </w:rPr>
        <w:t xml:space="preserve"> 19.9% ըստ ԱՄՀ տվյալների</w:t>
      </w:r>
      <w:r>
        <w:rPr>
          <w:rFonts w:ascii="GHEA Grapalat" w:hAnsi="GHEA Grapalat"/>
          <w:sz w:val="18"/>
          <w:szCs w:val="18"/>
        </w:rPr>
        <w:t>:</w:t>
      </w:r>
    </w:p>
  </w:footnote>
  <w:footnote w:id="3">
    <w:p w:rsidR="00AF6A2D" w:rsidRPr="00446AF7" w:rsidRDefault="00AF6A2D" w:rsidP="00446AF7">
      <w:pPr>
        <w:pStyle w:val="ac"/>
        <w:jc w:val="both"/>
        <w:rPr>
          <w:rFonts w:ascii="GHEA Grapalat" w:hAnsi="GHEA Grapalat" w:cs="Sylfaen"/>
          <w:sz w:val="18"/>
          <w:szCs w:val="18"/>
        </w:rPr>
      </w:pPr>
      <w:r w:rsidRPr="00446AF7">
        <w:rPr>
          <w:rStyle w:val="ae"/>
          <w:rFonts w:ascii="GHEA Grapalat" w:hAnsi="GHEA Grapalat"/>
          <w:sz w:val="18"/>
          <w:szCs w:val="18"/>
        </w:rPr>
        <w:footnoteRef/>
      </w:r>
      <w:r w:rsidRPr="00446AF7">
        <w:rPr>
          <w:rFonts w:ascii="GHEA Grapalat" w:hAnsi="GHEA Grapalat"/>
          <w:sz w:val="18"/>
          <w:szCs w:val="18"/>
        </w:rPr>
        <w:t xml:space="preserve"> </w:t>
      </w:r>
      <w:r w:rsidRPr="00446AF7">
        <w:rPr>
          <w:rFonts w:ascii="GHEA Grapalat" w:hAnsi="GHEA Grapalat" w:cs="Sylfaen"/>
          <w:sz w:val="18"/>
          <w:szCs w:val="18"/>
        </w:rPr>
        <w:t>Սննդամթերքի արտադրության իրացումը</w:t>
      </w:r>
      <w:r w:rsidRPr="00446AF7">
        <w:rPr>
          <w:rFonts w:ascii="GHEA Grapalat" w:hAnsi="GHEA Grapalat"/>
          <w:sz w:val="18"/>
          <w:szCs w:val="18"/>
        </w:rPr>
        <w:t xml:space="preserve"> </w:t>
      </w:r>
      <w:r w:rsidRPr="00446AF7">
        <w:rPr>
          <w:rFonts w:ascii="GHEA Grapalat" w:hAnsi="GHEA Grapalat" w:cs="Sylfaen"/>
          <w:sz w:val="18"/>
          <w:szCs w:val="18"/>
        </w:rPr>
        <w:t>անվանական արտահայտությամբ նվազել է 6.5</w:t>
      </w:r>
      <w:r>
        <w:rPr>
          <w:rFonts w:ascii="GHEA Grapalat" w:hAnsi="GHEA Grapalat" w:cs="Sylfaen"/>
          <w:sz w:val="18"/>
          <w:szCs w:val="18"/>
        </w:rPr>
        <w:t>%-ով</w:t>
      </w:r>
      <w:r w:rsidRPr="00446AF7">
        <w:rPr>
          <w:rFonts w:ascii="GHEA Grapalat" w:hAnsi="GHEA Grapalat" w:cs="Sylfaen"/>
          <w:sz w:val="18"/>
          <w:szCs w:val="18"/>
        </w:rPr>
        <w:t>, ընդ որում` արտահանումն աճել է 23</w:t>
      </w:r>
      <w:r w:rsidRPr="00446AF7">
        <w:rPr>
          <w:rFonts w:ascii="GHEA Grapalat" w:hAnsi="GHEA Grapalat"/>
          <w:sz w:val="18"/>
          <w:szCs w:val="18"/>
        </w:rPr>
        <w:t>%-ով</w:t>
      </w:r>
      <w:r w:rsidRPr="00446AF7">
        <w:rPr>
          <w:rFonts w:ascii="GHEA Grapalat" w:hAnsi="GHEA Grapalat" w:cs="Sylfaen"/>
          <w:sz w:val="18"/>
          <w:szCs w:val="18"/>
        </w:rPr>
        <w:t>, ներքին պահանջարկը</w:t>
      </w:r>
      <w:r>
        <w:rPr>
          <w:rFonts w:ascii="GHEA Grapalat" w:hAnsi="GHEA Grapalat" w:cs="Sylfaen"/>
          <w:sz w:val="18"/>
          <w:szCs w:val="18"/>
        </w:rPr>
        <w:t>՝</w:t>
      </w:r>
      <w:r w:rsidRPr="00446AF7">
        <w:rPr>
          <w:rFonts w:ascii="GHEA Grapalat" w:hAnsi="GHEA Grapalat" w:cs="Sylfaen"/>
          <w:sz w:val="18"/>
          <w:szCs w:val="18"/>
        </w:rPr>
        <w:t xml:space="preserve"> նվազել 7.7</w:t>
      </w:r>
      <w:r w:rsidRPr="00446AF7">
        <w:rPr>
          <w:rFonts w:ascii="GHEA Grapalat" w:hAnsi="GHEA Grapalat"/>
          <w:sz w:val="18"/>
          <w:szCs w:val="18"/>
        </w:rPr>
        <w:t>%-</w:t>
      </w:r>
      <w:r w:rsidRPr="00446AF7">
        <w:rPr>
          <w:rFonts w:ascii="GHEA Grapalat" w:hAnsi="GHEA Grapalat" w:cs="Sylfaen"/>
          <w:sz w:val="18"/>
          <w:szCs w:val="18"/>
        </w:rPr>
        <w:t>ով, իսկ հիմնային մետաղներինը նվազել է 19.9%-ով` պայմանավորված հիմնականում արտահանման 22.1</w:t>
      </w:r>
      <w:r w:rsidRPr="00446AF7">
        <w:rPr>
          <w:rFonts w:ascii="GHEA Grapalat" w:hAnsi="GHEA Grapalat"/>
          <w:sz w:val="18"/>
          <w:szCs w:val="18"/>
        </w:rPr>
        <w:t xml:space="preserve">% նվազմամբ: </w:t>
      </w:r>
    </w:p>
  </w:footnote>
  <w:footnote w:id="4">
    <w:p w:rsidR="00AF6A2D" w:rsidRPr="007C46CC" w:rsidRDefault="00AF6A2D" w:rsidP="00446AF7">
      <w:pPr>
        <w:pStyle w:val="ac"/>
        <w:rPr>
          <w:rFonts w:ascii="GHEA Grapalat" w:hAnsi="GHEA Grapalat"/>
          <w:sz w:val="18"/>
          <w:szCs w:val="18"/>
        </w:rPr>
      </w:pPr>
      <w:r w:rsidRPr="007C46CC">
        <w:rPr>
          <w:rStyle w:val="ae"/>
          <w:rFonts w:ascii="GHEA Grapalat" w:hAnsi="GHEA Grapalat"/>
          <w:sz w:val="18"/>
          <w:szCs w:val="18"/>
        </w:rPr>
        <w:footnoteRef/>
      </w:r>
      <w:r w:rsidRPr="007C46CC">
        <w:rPr>
          <w:rFonts w:ascii="GHEA Grapalat" w:hAnsi="GHEA Grapalat"/>
          <w:sz w:val="18"/>
          <w:szCs w:val="18"/>
        </w:rPr>
        <w:t xml:space="preserve"> Հիմք են ընդունվել ՀՀ ԱՎԾ կապիտալ շինարարության ցուցանիշները</w:t>
      </w:r>
      <w:r>
        <w:rPr>
          <w:rFonts w:ascii="GHEA Grapalat" w:hAnsi="GHEA Grapalat"/>
          <w:sz w:val="18"/>
          <w:szCs w:val="18"/>
        </w:rPr>
        <w:t>:</w:t>
      </w:r>
    </w:p>
  </w:footnote>
  <w:footnote w:id="5">
    <w:p w:rsidR="00AF6A2D" w:rsidRPr="00051A9F" w:rsidRDefault="00AF6A2D" w:rsidP="00051A9F">
      <w:pPr>
        <w:pStyle w:val="ac"/>
        <w:jc w:val="both"/>
        <w:rPr>
          <w:rFonts w:ascii="GHEA Grapalat" w:hAnsi="GHEA Grapalat"/>
          <w:sz w:val="18"/>
          <w:szCs w:val="18"/>
        </w:rPr>
      </w:pPr>
      <w:r w:rsidRPr="00051A9F">
        <w:rPr>
          <w:rStyle w:val="ae"/>
          <w:rFonts w:ascii="GHEA Grapalat" w:hAnsi="GHEA Grapalat"/>
          <w:sz w:val="18"/>
          <w:szCs w:val="18"/>
        </w:rPr>
        <w:footnoteRef/>
      </w:r>
      <w:r w:rsidRPr="00051A9F">
        <w:rPr>
          <w:rFonts w:ascii="GHEA Grapalat" w:hAnsi="GHEA Grapalat"/>
          <w:sz w:val="18"/>
          <w:szCs w:val="18"/>
        </w:rPr>
        <w:t xml:space="preserve"> </w:t>
      </w:r>
      <w:r w:rsidRPr="00051A9F">
        <w:rPr>
          <w:rFonts w:ascii="GHEA Grapalat" w:hAnsi="GHEA Grapalat"/>
          <w:sz w:val="18"/>
          <w:szCs w:val="18"/>
          <w:lang w:val="af-ZA"/>
        </w:rPr>
        <w:t>2016թ. միջին ամսական անվանական աշխատավարձի ցուցանիշները նախնական են: Ներառված չեն փոքր և գերփոքր կազմակերպությունների ցուցանիշները:</w:t>
      </w:r>
    </w:p>
  </w:footnote>
  <w:footnote w:id="6">
    <w:p w:rsidR="00AF6A2D" w:rsidRPr="00051A9F" w:rsidRDefault="00AF6A2D" w:rsidP="00051A9F">
      <w:pPr>
        <w:pStyle w:val="ac"/>
        <w:jc w:val="both"/>
        <w:rPr>
          <w:rFonts w:ascii="GHEA Grapalat" w:hAnsi="GHEA Grapalat" w:cs="Sylfaen"/>
          <w:sz w:val="18"/>
          <w:szCs w:val="18"/>
        </w:rPr>
      </w:pPr>
      <w:r w:rsidRPr="00051A9F">
        <w:rPr>
          <w:rStyle w:val="ae"/>
          <w:rFonts w:ascii="GHEA Grapalat" w:hAnsi="GHEA Grapalat"/>
          <w:sz w:val="18"/>
          <w:szCs w:val="18"/>
        </w:rPr>
        <w:footnoteRef/>
      </w:r>
      <w:r w:rsidRPr="00051A9F">
        <w:rPr>
          <w:rFonts w:ascii="GHEA Grapalat" w:hAnsi="GHEA Grapalat"/>
          <w:sz w:val="18"/>
          <w:szCs w:val="18"/>
        </w:rPr>
        <w:t xml:space="preserve"> </w:t>
      </w:r>
      <w:r w:rsidRPr="00051A9F">
        <w:rPr>
          <w:rFonts w:ascii="GHEA Grapalat" w:hAnsi="GHEA Grapalat" w:cs="Sylfaen"/>
          <w:sz w:val="18"/>
          <w:szCs w:val="18"/>
        </w:rPr>
        <w:t>Համախառն պահանջարկի ցուցանիշները ՀՀ Ֆինանսների նախարարության գնահատականներն են:</w:t>
      </w:r>
    </w:p>
  </w:footnote>
  <w:footnote w:id="7">
    <w:p w:rsidR="00AF6A2D" w:rsidRPr="00ED106B" w:rsidRDefault="00AF6A2D" w:rsidP="00051A9F">
      <w:pPr>
        <w:pStyle w:val="ac"/>
        <w:jc w:val="both"/>
        <w:rPr>
          <w:rFonts w:ascii="GHEA Grapalat" w:hAnsi="GHEA Grapalat" w:cs="Sylfaen"/>
          <w:sz w:val="18"/>
          <w:szCs w:val="18"/>
        </w:rPr>
      </w:pPr>
      <w:r w:rsidRPr="00ED106B">
        <w:rPr>
          <w:rStyle w:val="ae"/>
          <w:rFonts w:ascii="GHEA Grapalat" w:hAnsi="GHEA Grapalat"/>
          <w:sz w:val="18"/>
          <w:szCs w:val="18"/>
        </w:rPr>
        <w:footnoteRef/>
      </w:r>
      <w:r w:rsidRPr="00ED106B">
        <w:rPr>
          <w:rFonts w:ascii="GHEA Grapalat" w:hAnsi="GHEA Grapalat"/>
          <w:sz w:val="18"/>
          <w:szCs w:val="18"/>
        </w:rPr>
        <w:t xml:space="preserve"> </w:t>
      </w:r>
      <w:r w:rsidRPr="00ED106B">
        <w:rPr>
          <w:rFonts w:ascii="GHEA Grapalat" w:hAnsi="GHEA Grapalat" w:cs="Sylfaen"/>
          <w:sz w:val="18"/>
          <w:szCs w:val="18"/>
        </w:rPr>
        <w:t>Ներդրումների ճյուղային կառուցվածքի ցուցանիշները վերաբերում են ներդրումների</w:t>
      </w:r>
      <w:r>
        <w:rPr>
          <w:rFonts w:ascii="GHEA Grapalat" w:hAnsi="GHEA Grapalat" w:cs="Sylfaen"/>
          <w:sz w:val="18"/>
          <w:szCs w:val="18"/>
        </w:rPr>
        <w:t>՝</w:t>
      </w:r>
      <w:r w:rsidRPr="00ED106B">
        <w:rPr>
          <w:rFonts w:ascii="GHEA Grapalat" w:hAnsi="GHEA Grapalat" w:cs="Sylfaen"/>
          <w:sz w:val="18"/>
          <w:szCs w:val="18"/>
        </w:rPr>
        <w:t xml:space="preserve"> կապիտալ շինարարությանն ուղղվող մասին: Ավելի մանրամասն տե</w:t>
      </w:r>
      <w:r>
        <w:rPr>
          <w:rFonts w:ascii="GHEA Grapalat" w:hAnsi="GHEA Grapalat" w:cs="Sylfaen"/>
          <w:sz w:val="18"/>
          <w:szCs w:val="18"/>
        </w:rPr>
        <w:t>´</w:t>
      </w:r>
      <w:r w:rsidRPr="00ED106B">
        <w:rPr>
          <w:rFonts w:ascii="GHEA Grapalat" w:hAnsi="GHEA Grapalat" w:cs="Sylfaen"/>
          <w:sz w:val="18"/>
          <w:szCs w:val="18"/>
        </w:rPr>
        <w:t>ս Շինարարություն հատվածում:</w:t>
      </w:r>
    </w:p>
  </w:footnote>
  <w:footnote w:id="8">
    <w:p w:rsidR="00AF6A2D" w:rsidRPr="00ED106B" w:rsidRDefault="00AF6A2D" w:rsidP="00446AF7">
      <w:pPr>
        <w:pStyle w:val="ac"/>
        <w:jc w:val="both"/>
        <w:rPr>
          <w:rFonts w:ascii="Sylfaen" w:hAnsi="Sylfaen"/>
          <w:sz w:val="18"/>
          <w:szCs w:val="18"/>
        </w:rPr>
      </w:pPr>
      <w:r w:rsidRPr="00ED106B">
        <w:rPr>
          <w:rStyle w:val="ae"/>
          <w:rFonts w:ascii="GHEA Grapalat" w:hAnsi="GHEA Grapalat"/>
          <w:sz w:val="18"/>
          <w:szCs w:val="18"/>
        </w:rPr>
        <w:footnoteRef/>
      </w:r>
      <w:r w:rsidRPr="00ED106B">
        <w:rPr>
          <w:rFonts w:ascii="GHEA Grapalat" w:hAnsi="GHEA Grapalat" w:cs="Sylfaen"/>
          <w:sz w:val="18"/>
          <w:szCs w:val="18"/>
        </w:rPr>
        <w:t xml:space="preserve"> Արտա</w:t>
      </w:r>
      <w:r>
        <w:rPr>
          <w:rFonts w:ascii="GHEA Grapalat" w:hAnsi="GHEA Grapalat" w:cs="Sylfaen"/>
          <w:sz w:val="18"/>
          <w:szCs w:val="18"/>
        </w:rPr>
        <w:t>հան</w:t>
      </w:r>
      <w:r w:rsidRPr="00ED106B">
        <w:rPr>
          <w:rFonts w:ascii="GHEA Grapalat" w:hAnsi="GHEA Grapalat" w:cs="Sylfaen"/>
          <w:sz w:val="18"/>
          <w:szCs w:val="18"/>
        </w:rPr>
        <w:t>ումը ՖՕԲ, ներմուծումը` ՍԻՖ գներով:</w:t>
      </w:r>
      <w:r w:rsidRPr="00ED106B">
        <w:rPr>
          <w:rFonts w:ascii="Sylfaen" w:hAnsi="Sylfaen" w:cs="Sylfaen"/>
          <w:sz w:val="18"/>
          <w:szCs w:val="18"/>
        </w:rPr>
        <w:t xml:space="preserve"> </w:t>
      </w:r>
    </w:p>
  </w:footnote>
  <w:footnote w:id="9">
    <w:p w:rsidR="00AF6A2D" w:rsidRPr="00FF0CAA" w:rsidRDefault="00AF6A2D" w:rsidP="00446AF7">
      <w:pPr>
        <w:pStyle w:val="ac"/>
        <w:jc w:val="both"/>
        <w:rPr>
          <w:rFonts w:ascii="GHEA Grapalat" w:hAnsi="GHEA Grapalat" w:cs="Sylfaen"/>
          <w:sz w:val="18"/>
          <w:szCs w:val="18"/>
        </w:rPr>
      </w:pPr>
      <w:r w:rsidRPr="00FF0CAA">
        <w:rPr>
          <w:rStyle w:val="ae"/>
          <w:rFonts w:ascii="GHEA Grapalat" w:hAnsi="GHEA Grapalat"/>
          <w:sz w:val="18"/>
          <w:szCs w:val="18"/>
        </w:rPr>
        <w:footnoteRef/>
      </w:r>
      <w:r w:rsidRPr="00FF0CAA">
        <w:rPr>
          <w:rFonts w:ascii="GHEA Grapalat" w:hAnsi="GHEA Grapalat"/>
          <w:sz w:val="18"/>
          <w:szCs w:val="18"/>
        </w:rPr>
        <w:t xml:space="preserve"> Ը</w:t>
      </w:r>
      <w:r w:rsidRPr="00FF0CAA">
        <w:rPr>
          <w:rFonts w:ascii="GHEA Grapalat" w:hAnsi="GHEA Grapalat" w:cs="Sylfaen"/>
          <w:sz w:val="18"/>
          <w:szCs w:val="18"/>
        </w:rPr>
        <w:t>նթացիկ</w:t>
      </w:r>
      <w:r w:rsidRPr="00FF0CAA">
        <w:rPr>
          <w:rFonts w:ascii="GHEA Grapalat" w:hAnsi="GHEA Grapalat"/>
          <w:sz w:val="18"/>
          <w:szCs w:val="18"/>
        </w:rPr>
        <w:t xml:space="preserve"> </w:t>
      </w:r>
      <w:r w:rsidRPr="00FF0CAA">
        <w:rPr>
          <w:rFonts w:ascii="GHEA Grapalat" w:hAnsi="GHEA Grapalat" w:cs="Sylfaen"/>
          <w:sz w:val="18"/>
          <w:szCs w:val="18"/>
        </w:rPr>
        <w:t>տարվա</w:t>
      </w:r>
      <w:r w:rsidRPr="00FF0CAA">
        <w:rPr>
          <w:rFonts w:ascii="GHEA Grapalat" w:hAnsi="GHEA Grapalat"/>
          <w:sz w:val="18"/>
          <w:szCs w:val="18"/>
        </w:rPr>
        <w:t xml:space="preserve"> </w:t>
      </w:r>
      <w:r w:rsidRPr="00FF0CAA">
        <w:rPr>
          <w:rFonts w:ascii="GHEA Grapalat" w:hAnsi="GHEA Grapalat" w:cs="Sylfaen"/>
          <w:sz w:val="18"/>
          <w:szCs w:val="18"/>
        </w:rPr>
        <w:t>առաջին</w:t>
      </w:r>
      <w:r w:rsidRPr="00FF0CAA">
        <w:rPr>
          <w:rFonts w:ascii="GHEA Grapalat" w:hAnsi="GHEA Grapalat"/>
          <w:sz w:val="18"/>
          <w:szCs w:val="18"/>
        </w:rPr>
        <w:t xml:space="preserve"> </w:t>
      </w:r>
      <w:r w:rsidRPr="00FF0CAA">
        <w:rPr>
          <w:rFonts w:ascii="GHEA Grapalat" w:hAnsi="GHEA Grapalat" w:cs="Sylfaen"/>
          <w:sz w:val="18"/>
          <w:szCs w:val="18"/>
        </w:rPr>
        <w:t>եռամսյակի</w:t>
      </w:r>
      <w:r w:rsidRPr="00FF0CAA">
        <w:rPr>
          <w:rFonts w:ascii="GHEA Grapalat" w:hAnsi="GHEA Grapalat"/>
          <w:sz w:val="18"/>
          <w:szCs w:val="18"/>
        </w:rPr>
        <w:t xml:space="preserve"> </w:t>
      </w:r>
      <w:r w:rsidRPr="00FF0CAA">
        <w:rPr>
          <w:rFonts w:ascii="GHEA Grapalat" w:hAnsi="GHEA Grapalat" w:cs="Sylfaen"/>
          <w:sz w:val="18"/>
          <w:szCs w:val="18"/>
        </w:rPr>
        <w:t>ծառայությունների</w:t>
      </w:r>
      <w:r w:rsidRPr="00FF0CAA">
        <w:rPr>
          <w:rFonts w:ascii="GHEA Grapalat" w:hAnsi="GHEA Grapalat"/>
          <w:sz w:val="18"/>
          <w:szCs w:val="18"/>
        </w:rPr>
        <w:t xml:space="preserve"> </w:t>
      </w:r>
      <w:r w:rsidRPr="00FF0CAA">
        <w:rPr>
          <w:rFonts w:ascii="GHEA Grapalat" w:hAnsi="GHEA Grapalat" w:cs="Sylfaen"/>
          <w:sz w:val="18"/>
          <w:szCs w:val="18"/>
        </w:rPr>
        <w:t>մասին</w:t>
      </w:r>
      <w:r w:rsidRPr="00FF0CAA">
        <w:rPr>
          <w:rFonts w:ascii="GHEA Grapalat" w:hAnsi="GHEA Grapalat"/>
          <w:sz w:val="18"/>
          <w:szCs w:val="18"/>
        </w:rPr>
        <w:t xml:space="preserve"> </w:t>
      </w:r>
      <w:r w:rsidRPr="00FF0CAA">
        <w:rPr>
          <w:rFonts w:ascii="GHEA Grapalat" w:hAnsi="GHEA Grapalat" w:cs="Sylfaen"/>
          <w:sz w:val="18"/>
          <w:szCs w:val="18"/>
        </w:rPr>
        <w:t>տեղեկատվության</w:t>
      </w:r>
      <w:r w:rsidRPr="00FF0CAA">
        <w:rPr>
          <w:rFonts w:ascii="GHEA Grapalat" w:hAnsi="GHEA Grapalat"/>
          <w:sz w:val="18"/>
          <w:szCs w:val="18"/>
        </w:rPr>
        <w:t xml:space="preserve"> </w:t>
      </w:r>
      <w:r w:rsidRPr="00FF0CAA">
        <w:rPr>
          <w:rFonts w:ascii="GHEA Grapalat" w:hAnsi="GHEA Grapalat" w:cs="Sylfaen"/>
          <w:sz w:val="18"/>
          <w:szCs w:val="18"/>
        </w:rPr>
        <w:t>բացակայության</w:t>
      </w:r>
      <w:r w:rsidRPr="00FF0CAA">
        <w:rPr>
          <w:rFonts w:ascii="GHEA Grapalat" w:hAnsi="GHEA Grapalat"/>
          <w:sz w:val="18"/>
          <w:szCs w:val="18"/>
        </w:rPr>
        <w:t xml:space="preserve"> </w:t>
      </w:r>
      <w:r w:rsidRPr="00FF0CAA">
        <w:rPr>
          <w:rFonts w:ascii="GHEA Grapalat" w:hAnsi="GHEA Grapalat" w:cs="Sylfaen"/>
          <w:sz w:val="18"/>
          <w:szCs w:val="18"/>
        </w:rPr>
        <w:t>պատճառով</w:t>
      </w:r>
      <w:r w:rsidRPr="00FF0CAA">
        <w:rPr>
          <w:rFonts w:ascii="GHEA Grapalat" w:hAnsi="GHEA Grapalat"/>
          <w:sz w:val="18"/>
          <w:szCs w:val="18"/>
        </w:rPr>
        <w:t xml:space="preserve"> </w:t>
      </w:r>
      <w:r w:rsidRPr="00FF0CAA">
        <w:rPr>
          <w:rFonts w:ascii="GHEA Grapalat" w:hAnsi="GHEA Grapalat" w:cs="Sylfaen"/>
          <w:sz w:val="18"/>
          <w:szCs w:val="18"/>
        </w:rPr>
        <w:t>ողջ շարքը</w:t>
      </w:r>
      <w:r w:rsidRPr="00FF0CAA">
        <w:rPr>
          <w:rFonts w:ascii="GHEA Grapalat" w:hAnsi="GHEA Grapalat"/>
          <w:sz w:val="18"/>
          <w:szCs w:val="18"/>
        </w:rPr>
        <w:t xml:space="preserve"> </w:t>
      </w:r>
      <w:r w:rsidRPr="00FF0CAA">
        <w:rPr>
          <w:rFonts w:ascii="GHEA Grapalat" w:hAnsi="GHEA Grapalat" w:cs="Sylfaen"/>
          <w:sz w:val="18"/>
          <w:szCs w:val="18"/>
        </w:rPr>
        <w:t>ներկայացված</w:t>
      </w:r>
      <w:r w:rsidRPr="00FF0CAA">
        <w:rPr>
          <w:rFonts w:ascii="GHEA Grapalat" w:hAnsi="GHEA Grapalat"/>
          <w:sz w:val="18"/>
          <w:szCs w:val="18"/>
        </w:rPr>
        <w:t xml:space="preserve"> </w:t>
      </w:r>
      <w:r w:rsidRPr="00FF0CAA">
        <w:rPr>
          <w:rFonts w:ascii="GHEA Grapalat" w:hAnsi="GHEA Grapalat" w:cs="Sylfaen"/>
          <w:sz w:val="18"/>
          <w:szCs w:val="18"/>
        </w:rPr>
        <w:t>է</w:t>
      </w:r>
      <w:r w:rsidRPr="00FF0CAA">
        <w:rPr>
          <w:rFonts w:ascii="GHEA Grapalat" w:hAnsi="GHEA Grapalat"/>
          <w:sz w:val="18"/>
          <w:szCs w:val="18"/>
        </w:rPr>
        <w:t xml:space="preserve"> </w:t>
      </w:r>
      <w:r w:rsidRPr="00FF0CAA">
        <w:rPr>
          <w:rFonts w:ascii="GHEA Grapalat" w:hAnsi="GHEA Grapalat" w:cs="Sylfaen"/>
          <w:sz w:val="18"/>
          <w:szCs w:val="18"/>
        </w:rPr>
        <w:t>ապրանքների</w:t>
      </w:r>
      <w:r w:rsidRPr="00FF0CAA">
        <w:rPr>
          <w:rFonts w:ascii="GHEA Grapalat" w:hAnsi="GHEA Grapalat"/>
          <w:sz w:val="18"/>
          <w:szCs w:val="18"/>
        </w:rPr>
        <w:t xml:space="preserve"> </w:t>
      </w:r>
      <w:r w:rsidRPr="00FF0CAA">
        <w:rPr>
          <w:rFonts w:ascii="GHEA Grapalat" w:hAnsi="GHEA Grapalat" w:cs="Sylfaen"/>
          <w:sz w:val="18"/>
          <w:szCs w:val="18"/>
        </w:rPr>
        <w:t>արտահանման</w:t>
      </w:r>
      <w:r w:rsidRPr="00FF0CAA">
        <w:rPr>
          <w:rFonts w:ascii="GHEA Grapalat" w:hAnsi="GHEA Grapalat"/>
          <w:sz w:val="18"/>
          <w:szCs w:val="18"/>
        </w:rPr>
        <w:t xml:space="preserve"> </w:t>
      </w:r>
      <w:r w:rsidRPr="00FF0CAA">
        <w:rPr>
          <w:rFonts w:ascii="GHEA Grapalat" w:hAnsi="GHEA Grapalat" w:cs="Sylfaen"/>
          <w:sz w:val="18"/>
          <w:szCs w:val="18"/>
        </w:rPr>
        <w:t>և</w:t>
      </w:r>
      <w:r w:rsidRPr="00FF0CAA">
        <w:rPr>
          <w:rFonts w:ascii="GHEA Grapalat" w:hAnsi="GHEA Grapalat"/>
          <w:sz w:val="18"/>
          <w:szCs w:val="18"/>
        </w:rPr>
        <w:t xml:space="preserve"> </w:t>
      </w:r>
      <w:r w:rsidRPr="00FF0CAA">
        <w:rPr>
          <w:rFonts w:ascii="GHEA Grapalat" w:hAnsi="GHEA Grapalat" w:cs="Sylfaen"/>
          <w:sz w:val="18"/>
          <w:szCs w:val="18"/>
        </w:rPr>
        <w:t>ներմուծման</w:t>
      </w:r>
      <w:r w:rsidRPr="00FF0CAA">
        <w:rPr>
          <w:rFonts w:ascii="GHEA Grapalat" w:hAnsi="GHEA Grapalat"/>
          <w:sz w:val="18"/>
          <w:szCs w:val="18"/>
        </w:rPr>
        <w:t xml:space="preserve"> </w:t>
      </w:r>
      <w:r w:rsidRPr="00FF0CAA">
        <w:rPr>
          <w:rFonts w:ascii="GHEA Grapalat" w:hAnsi="GHEA Grapalat" w:cs="Sylfaen"/>
          <w:sz w:val="18"/>
          <w:szCs w:val="18"/>
        </w:rPr>
        <w:t xml:space="preserve">հարաբերակցությամբ (ՖՕԲ գներով` Վճարային հաշվեկշիռ_6, </w:t>
      </w:r>
      <w:r>
        <w:rPr>
          <w:rFonts w:ascii="GHEA Grapalat" w:hAnsi="GHEA Grapalat" w:cs="Sylfaen"/>
          <w:sz w:val="18"/>
          <w:szCs w:val="18"/>
        </w:rPr>
        <w:t>«</w:t>
      </w:r>
      <w:r w:rsidRPr="00FF0CAA">
        <w:rPr>
          <w:rFonts w:ascii="GHEA Grapalat" w:hAnsi="GHEA Grapalat" w:cs="Sylfaen"/>
          <w:sz w:val="18"/>
          <w:szCs w:val="18"/>
        </w:rPr>
        <w:t>Ապրանքների առևտուրն ըստ վճարայի</w:t>
      </w:r>
      <w:r>
        <w:rPr>
          <w:rFonts w:ascii="GHEA Grapalat" w:hAnsi="GHEA Grapalat" w:cs="Sylfaen"/>
          <w:sz w:val="18"/>
          <w:szCs w:val="18"/>
        </w:rPr>
        <w:t>ն հաշվեկշռի հիմքի»</w:t>
      </w:r>
      <w:r w:rsidRPr="00FF0CAA">
        <w:rPr>
          <w:rFonts w:ascii="GHEA Grapalat" w:hAnsi="GHEA Grapalat" w:cs="Sylfaen"/>
          <w:sz w:val="18"/>
          <w:szCs w:val="18"/>
        </w:rPr>
        <w:t xml:space="preserve"> հոդված): 2016 թվականի ցուցանիշը նախնական գնահատական է:</w:t>
      </w:r>
    </w:p>
  </w:footnote>
  <w:footnote w:id="10">
    <w:p w:rsidR="00AF6A2D" w:rsidRPr="00FF0CAA" w:rsidRDefault="00AF6A2D" w:rsidP="00446AF7">
      <w:pPr>
        <w:pStyle w:val="ac"/>
        <w:jc w:val="both"/>
        <w:rPr>
          <w:rFonts w:ascii="GHEA Grapalat" w:hAnsi="GHEA Grapalat"/>
          <w:sz w:val="18"/>
          <w:szCs w:val="18"/>
        </w:rPr>
      </w:pPr>
      <w:r w:rsidRPr="00FF0CAA">
        <w:rPr>
          <w:rFonts w:ascii="GHEA Grapalat" w:hAnsi="GHEA Grapalat" w:cs="Sylfaen"/>
          <w:sz w:val="18"/>
          <w:szCs w:val="18"/>
          <w:vertAlign w:val="superscript"/>
        </w:rPr>
        <w:footnoteRef/>
      </w:r>
      <w:r w:rsidRPr="00FF0CAA">
        <w:rPr>
          <w:rFonts w:ascii="GHEA Grapalat" w:hAnsi="GHEA Grapalat" w:cs="Sylfaen"/>
          <w:sz w:val="18"/>
          <w:szCs w:val="18"/>
        </w:rPr>
        <w:t>Ներճյուղային առևտուրը տեղի է ունենում, երբ երկիրը և</w:t>
      </w:r>
      <w:r>
        <w:rPr>
          <w:rFonts w:ascii="GHEA Grapalat" w:hAnsi="GHEA Grapalat" w:cs="Sylfaen"/>
          <w:sz w:val="18"/>
          <w:szCs w:val="18"/>
        </w:rPr>
        <w:t>´</w:t>
      </w:r>
      <w:r w:rsidRPr="00FF0CAA">
        <w:rPr>
          <w:rFonts w:ascii="GHEA Grapalat" w:hAnsi="GHEA Grapalat" w:cs="Sylfaen"/>
          <w:sz w:val="18"/>
          <w:szCs w:val="18"/>
        </w:rPr>
        <w:t xml:space="preserve"> ներմուծում, և</w:t>
      </w:r>
      <w:r>
        <w:rPr>
          <w:rFonts w:ascii="GHEA Grapalat" w:hAnsi="GHEA Grapalat" w:cs="Sylfaen"/>
          <w:sz w:val="18"/>
          <w:szCs w:val="18"/>
        </w:rPr>
        <w:t>´</w:t>
      </w:r>
      <w:r w:rsidRPr="00FF0CAA">
        <w:rPr>
          <w:rFonts w:ascii="GHEA Grapalat" w:hAnsi="GHEA Grapalat" w:cs="Sylfaen"/>
          <w:sz w:val="18"/>
          <w:szCs w:val="18"/>
        </w:rPr>
        <w:t xml:space="preserve"> արտահանում է առանձին ճյուղում արտադրվող ապրանքատեսակները: Ներճյուղային առևտրի գործակից</w:t>
      </w:r>
      <w:r>
        <w:rPr>
          <w:rFonts w:ascii="GHEA Grapalat" w:hAnsi="GHEA Grapalat" w:cs="Sylfaen"/>
          <w:sz w:val="18"/>
          <w:szCs w:val="18"/>
        </w:rPr>
        <w:t>ն</w:t>
      </w:r>
      <w:r w:rsidRPr="00FF0CAA">
        <w:rPr>
          <w:rFonts w:ascii="GHEA Grapalat" w:hAnsi="GHEA Grapalat" w:cs="Sylfaen"/>
          <w:sz w:val="18"/>
          <w:szCs w:val="18"/>
        </w:rPr>
        <w:t xml:space="preserve"> իրենից ներկայացնում է արտահանման և ներմուծման բացարձակ արժեքով փոքրի հարաբերակցությունը մեծին: «0» նշանակում է լրիվ միակողմանի, իսկ «1»` լրիվ երկկողմանի առևտուր:</w:t>
      </w:r>
    </w:p>
  </w:footnote>
  <w:footnote w:id="11">
    <w:p w:rsidR="00AF6A2D" w:rsidRPr="00EE2A1E" w:rsidRDefault="00AF6A2D" w:rsidP="00446AF7">
      <w:pPr>
        <w:pStyle w:val="ac"/>
        <w:jc w:val="both"/>
        <w:rPr>
          <w:rFonts w:ascii="GHEA Grapalat" w:hAnsi="GHEA Grapalat"/>
          <w:sz w:val="18"/>
          <w:szCs w:val="18"/>
        </w:rPr>
      </w:pPr>
      <w:r w:rsidRPr="00EE2A1E">
        <w:rPr>
          <w:rStyle w:val="ae"/>
          <w:rFonts w:ascii="GHEA Grapalat" w:hAnsi="GHEA Grapalat"/>
          <w:sz w:val="18"/>
          <w:szCs w:val="18"/>
        </w:rPr>
        <w:footnoteRef/>
      </w:r>
      <w:r w:rsidRPr="00EE2A1E">
        <w:rPr>
          <w:rFonts w:ascii="GHEA Grapalat" w:hAnsi="GHEA Grapalat"/>
          <w:sz w:val="18"/>
          <w:szCs w:val="18"/>
        </w:rPr>
        <w:t xml:space="preserve"> </w:t>
      </w:r>
      <w:r w:rsidRPr="00EE2A1E">
        <w:rPr>
          <w:rFonts w:ascii="GHEA Grapalat" w:hAnsi="GHEA Grapalat" w:cs="Sylfaen"/>
          <w:sz w:val="18"/>
          <w:szCs w:val="18"/>
        </w:rPr>
        <w:t>Գծապատկերում դրական և բացասական նշանները տրամադրում են լրացուցիչ տեղեկատվություն և պայմանավորված են համապատասխան ապրանքախմբերի արտաքին առևտրային հաշվեկշռի դրական կամ բացասական մնացորդով:</w:t>
      </w:r>
    </w:p>
  </w:footnote>
  <w:footnote w:id="12">
    <w:p w:rsidR="00AF6A2D" w:rsidRPr="00DB2B71" w:rsidRDefault="00AF6A2D" w:rsidP="00446AF7">
      <w:pPr>
        <w:pStyle w:val="ac"/>
        <w:jc w:val="both"/>
        <w:rPr>
          <w:rFonts w:ascii="GHEA Grapalat" w:hAnsi="GHEA Grapalat" w:cs="Sylfaen"/>
          <w:sz w:val="18"/>
          <w:szCs w:val="18"/>
        </w:rPr>
      </w:pPr>
      <w:r w:rsidRPr="00DB2B71">
        <w:rPr>
          <w:rStyle w:val="ae"/>
          <w:rFonts w:ascii="GHEA Grapalat" w:hAnsi="GHEA Grapalat"/>
          <w:sz w:val="18"/>
          <w:szCs w:val="18"/>
        </w:rPr>
        <w:footnoteRef/>
      </w:r>
      <w:r w:rsidRPr="00DB2B71">
        <w:rPr>
          <w:rFonts w:ascii="GHEA Grapalat" w:hAnsi="GHEA Grapalat" w:cs="Sylfaen"/>
          <w:sz w:val="18"/>
          <w:szCs w:val="18"/>
        </w:rPr>
        <w:t>Հաշվարկներում օգտագործվել են ՀՀ կենտրոնական բանկի պաշտոնական կայքի 2016թ. մայիսի 3-ի դրությամբ տվյալները:</w:t>
      </w:r>
    </w:p>
  </w:footnote>
  <w:footnote w:id="13">
    <w:p w:rsidR="00AF6A2D" w:rsidRPr="00880CFF" w:rsidRDefault="00AF6A2D" w:rsidP="00446AF7">
      <w:pPr>
        <w:pStyle w:val="ac"/>
        <w:jc w:val="both"/>
        <w:rPr>
          <w:rFonts w:ascii="GHEA Grapalat" w:hAnsi="GHEA Grapalat" w:cs="Sylfaen"/>
          <w:sz w:val="18"/>
          <w:szCs w:val="18"/>
        </w:rPr>
      </w:pPr>
      <w:r w:rsidRPr="00880CFF">
        <w:rPr>
          <w:rStyle w:val="ae"/>
          <w:rFonts w:ascii="GHEA Grapalat" w:hAnsi="GHEA Grapalat"/>
          <w:sz w:val="18"/>
          <w:szCs w:val="18"/>
        </w:rPr>
        <w:footnoteRef/>
      </w:r>
      <w:r w:rsidRPr="00880CFF">
        <w:rPr>
          <w:rStyle w:val="ae"/>
          <w:rFonts w:ascii="GHEA Grapalat" w:hAnsi="GHEA Grapalat"/>
          <w:sz w:val="18"/>
          <w:szCs w:val="18"/>
        </w:rPr>
        <w:t xml:space="preserve"> </w:t>
      </w:r>
      <w:r w:rsidRPr="00880CFF">
        <w:rPr>
          <w:rFonts w:ascii="GHEA Grapalat" w:hAnsi="GHEA Grapalat" w:cs="Sylfaen"/>
          <w:sz w:val="18"/>
          <w:szCs w:val="18"/>
        </w:rPr>
        <w:t>Փողի ագրեգատներում ոչ ռեզիդենտների ավանդները չեն ընդգրկվում:</w:t>
      </w:r>
    </w:p>
  </w:footnote>
  <w:footnote w:id="14">
    <w:p w:rsidR="00AF6A2D" w:rsidRPr="00880CFF" w:rsidRDefault="00AF6A2D" w:rsidP="00446AF7">
      <w:pPr>
        <w:pStyle w:val="ac"/>
        <w:tabs>
          <w:tab w:val="left" w:pos="180"/>
          <w:tab w:val="left" w:pos="360"/>
        </w:tabs>
        <w:jc w:val="both"/>
        <w:rPr>
          <w:rFonts w:ascii="GHEA Grapalat" w:hAnsi="GHEA Grapalat" w:cs="Sylfaen"/>
          <w:sz w:val="18"/>
          <w:szCs w:val="18"/>
        </w:rPr>
      </w:pPr>
      <w:r w:rsidRPr="00880CFF">
        <w:rPr>
          <w:rStyle w:val="ae"/>
          <w:rFonts w:ascii="GHEA Grapalat" w:hAnsi="GHEA Grapalat"/>
          <w:sz w:val="18"/>
          <w:szCs w:val="18"/>
        </w:rPr>
        <w:footnoteRef/>
      </w:r>
      <w:r w:rsidRPr="00880CFF">
        <w:rPr>
          <w:rFonts w:ascii="GHEA Grapalat" w:hAnsi="GHEA Grapalat" w:cs="Sylfaen"/>
          <w:sz w:val="18"/>
          <w:szCs w:val="18"/>
        </w:rPr>
        <w:t>Ընդգրկված չեն կուտակված տոկոսները: Վարկերի մեջ ներառված են նաև ֆակտորինգային, լիզինգային գործառնությունները և ռեպո համաձայնագրերը:</w:t>
      </w:r>
    </w:p>
  </w:footnote>
  <w:footnote w:id="15">
    <w:p w:rsidR="00AF6A2D" w:rsidRPr="00C43AF7" w:rsidRDefault="00AF6A2D" w:rsidP="00C43AF7">
      <w:pPr>
        <w:pStyle w:val="ac"/>
        <w:jc w:val="both"/>
        <w:rPr>
          <w:rFonts w:ascii="GHEA Grapalat" w:hAnsi="GHEA Grapalat"/>
          <w:sz w:val="18"/>
          <w:szCs w:val="18"/>
        </w:rPr>
      </w:pPr>
      <w:r w:rsidRPr="00C43AF7">
        <w:rPr>
          <w:rStyle w:val="ae"/>
          <w:rFonts w:ascii="GHEA Grapalat" w:hAnsi="GHEA Grapalat"/>
          <w:sz w:val="18"/>
          <w:szCs w:val="18"/>
        </w:rPr>
        <w:footnoteRef/>
      </w:r>
      <w:r w:rsidRPr="00C43AF7">
        <w:rPr>
          <w:rFonts w:ascii="GHEA Grapalat" w:hAnsi="GHEA Grapalat"/>
          <w:sz w:val="18"/>
          <w:szCs w:val="18"/>
        </w:rPr>
        <w:t xml:space="preserve"> Բ</w:t>
      </w:r>
      <w:r w:rsidRPr="00C43AF7">
        <w:rPr>
          <w:rFonts w:ascii="GHEA Grapalat" w:hAnsi="GHEA Grapalat" w:cs="Sylfaen"/>
          <w:sz w:val="18"/>
          <w:szCs w:val="18"/>
        </w:rPr>
        <w:t>ացառելով ՀՀ կառավարության 2015թ. հունվարի 30-ի</w:t>
      </w:r>
      <w:r>
        <w:rPr>
          <w:rFonts w:ascii="GHEA Grapalat" w:hAnsi="GHEA Grapalat" w:cs="Sylfaen"/>
          <w:sz w:val="18"/>
          <w:szCs w:val="18"/>
        </w:rPr>
        <w:t xml:space="preserve"> N</w:t>
      </w:r>
      <w:r w:rsidRPr="00C43AF7">
        <w:rPr>
          <w:rFonts w:ascii="GHEA Grapalat" w:hAnsi="GHEA Grapalat" w:cs="Sylfaen"/>
          <w:sz w:val="18"/>
          <w:szCs w:val="18"/>
        </w:rPr>
        <w:t xml:space="preserve"> 105-ն որոշման 3-րդ կետի հիման վրա կատարված հոդվածային փոփոխությունը: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8A9"/>
    <w:multiLevelType w:val="multilevel"/>
    <w:tmpl w:val="9C7A8AB2"/>
    <w:lvl w:ilvl="0">
      <w:start w:val="1"/>
      <w:numFmt w:val="decimal"/>
      <w:lvlText w:val="%1)"/>
      <w:lvlJc w:val="left"/>
      <w:pPr>
        <w:tabs>
          <w:tab w:val="num" w:pos="1431"/>
        </w:tabs>
        <w:ind w:left="354" w:firstLine="726"/>
      </w:pPr>
      <w:rPr>
        <w:rFonts w:hint="default"/>
      </w:r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righ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right"/>
      <w:pPr>
        <w:tabs>
          <w:tab w:val="num" w:pos="6834"/>
        </w:tabs>
        <w:ind w:left="6834" w:hanging="180"/>
      </w:pPr>
    </w:lvl>
  </w:abstractNum>
  <w:abstractNum w:abstractNumId="1" w15:restartNumberingAfterBreak="0">
    <w:nsid w:val="05151E95"/>
    <w:multiLevelType w:val="hybridMultilevel"/>
    <w:tmpl w:val="1EBEABC4"/>
    <w:lvl w:ilvl="0" w:tplc="040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764142"/>
    <w:multiLevelType w:val="hybridMultilevel"/>
    <w:tmpl w:val="9B441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C018E"/>
    <w:multiLevelType w:val="hybridMultilevel"/>
    <w:tmpl w:val="97F89A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85748"/>
    <w:multiLevelType w:val="hybridMultilevel"/>
    <w:tmpl w:val="4C803EB0"/>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15:restartNumberingAfterBreak="0">
    <w:nsid w:val="0E6B42CA"/>
    <w:multiLevelType w:val="hybridMultilevel"/>
    <w:tmpl w:val="F052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F2B34"/>
    <w:multiLevelType w:val="hybridMultilevel"/>
    <w:tmpl w:val="E6C4B22E"/>
    <w:lvl w:ilvl="0" w:tplc="6A2475C8">
      <w:numFmt w:val="bullet"/>
      <w:lvlText w:val=""/>
      <w:lvlJc w:val="left"/>
      <w:pPr>
        <w:ind w:left="1353" w:hanging="360"/>
      </w:pPr>
      <w:rPr>
        <w:rFonts w:ascii="Symbol" w:eastAsia="Times New Roman" w:hAnsi="Symbol" w:cs="Sylfaen" w:hint="default"/>
        <w:color w:val="auto"/>
        <w:sz w:val="24"/>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13A95E19"/>
    <w:multiLevelType w:val="multilevel"/>
    <w:tmpl w:val="E974963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9070BC"/>
    <w:multiLevelType w:val="hybridMultilevel"/>
    <w:tmpl w:val="559258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91B494E"/>
    <w:multiLevelType w:val="multilevel"/>
    <w:tmpl w:val="E6C00A3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1AD10020"/>
    <w:multiLevelType w:val="hybridMultilevel"/>
    <w:tmpl w:val="19E83366"/>
    <w:lvl w:ilvl="0" w:tplc="7ABAC81E">
      <w:start w:val="1"/>
      <w:numFmt w:val="decimal"/>
      <w:lvlText w:val="%1)"/>
      <w:lvlJc w:val="left"/>
      <w:pPr>
        <w:ind w:left="1260" w:hanging="360"/>
      </w:pPr>
      <w:rPr>
        <w:rFonts w:ascii="GHEA Grapalat" w:hAnsi="GHEA Grapalat"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D841A35"/>
    <w:multiLevelType w:val="hybridMultilevel"/>
    <w:tmpl w:val="B344B1DA"/>
    <w:lvl w:ilvl="0" w:tplc="04090011">
      <w:start w:val="1"/>
      <w:numFmt w:val="decimal"/>
      <w:lvlText w:val="%1)"/>
      <w:lvlJc w:val="left"/>
      <w:pPr>
        <w:tabs>
          <w:tab w:val="num" w:pos="1546"/>
        </w:tabs>
        <w:ind w:left="1546" w:hanging="360"/>
      </w:pPr>
    </w:lvl>
    <w:lvl w:ilvl="1" w:tplc="A634883E">
      <w:start w:val="1"/>
      <w:numFmt w:val="decimal"/>
      <w:lvlText w:val="%2."/>
      <w:lvlJc w:val="left"/>
      <w:pPr>
        <w:tabs>
          <w:tab w:val="num" w:pos="2266"/>
        </w:tabs>
        <w:ind w:left="2266" w:hanging="360"/>
      </w:pPr>
      <w:rPr>
        <w:rFonts w:hint="default"/>
      </w:rPr>
    </w:lvl>
    <w:lvl w:ilvl="2" w:tplc="0409001B" w:tentative="1">
      <w:start w:val="1"/>
      <w:numFmt w:val="lowerRoman"/>
      <w:lvlText w:val="%3."/>
      <w:lvlJc w:val="right"/>
      <w:pPr>
        <w:tabs>
          <w:tab w:val="num" w:pos="2986"/>
        </w:tabs>
        <w:ind w:left="2986" w:hanging="180"/>
      </w:pPr>
    </w:lvl>
    <w:lvl w:ilvl="3" w:tplc="0409000F" w:tentative="1">
      <w:start w:val="1"/>
      <w:numFmt w:val="decimal"/>
      <w:lvlText w:val="%4."/>
      <w:lvlJc w:val="left"/>
      <w:pPr>
        <w:tabs>
          <w:tab w:val="num" w:pos="3706"/>
        </w:tabs>
        <w:ind w:left="3706" w:hanging="360"/>
      </w:pPr>
    </w:lvl>
    <w:lvl w:ilvl="4" w:tplc="04090019" w:tentative="1">
      <w:start w:val="1"/>
      <w:numFmt w:val="lowerLetter"/>
      <w:lvlText w:val="%5."/>
      <w:lvlJc w:val="left"/>
      <w:pPr>
        <w:tabs>
          <w:tab w:val="num" w:pos="4426"/>
        </w:tabs>
        <w:ind w:left="4426" w:hanging="360"/>
      </w:pPr>
    </w:lvl>
    <w:lvl w:ilvl="5" w:tplc="0409001B" w:tentative="1">
      <w:start w:val="1"/>
      <w:numFmt w:val="lowerRoman"/>
      <w:lvlText w:val="%6."/>
      <w:lvlJc w:val="right"/>
      <w:pPr>
        <w:tabs>
          <w:tab w:val="num" w:pos="5146"/>
        </w:tabs>
        <w:ind w:left="5146" w:hanging="180"/>
      </w:pPr>
    </w:lvl>
    <w:lvl w:ilvl="6" w:tplc="0409000F" w:tentative="1">
      <w:start w:val="1"/>
      <w:numFmt w:val="decimal"/>
      <w:lvlText w:val="%7."/>
      <w:lvlJc w:val="left"/>
      <w:pPr>
        <w:tabs>
          <w:tab w:val="num" w:pos="5866"/>
        </w:tabs>
        <w:ind w:left="5866" w:hanging="360"/>
      </w:pPr>
    </w:lvl>
    <w:lvl w:ilvl="7" w:tplc="04090019" w:tentative="1">
      <w:start w:val="1"/>
      <w:numFmt w:val="lowerLetter"/>
      <w:lvlText w:val="%8."/>
      <w:lvlJc w:val="left"/>
      <w:pPr>
        <w:tabs>
          <w:tab w:val="num" w:pos="6586"/>
        </w:tabs>
        <w:ind w:left="6586" w:hanging="360"/>
      </w:pPr>
    </w:lvl>
    <w:lvl w:ilvl="8" w:tplc="0409001B" w:tentative="1">
      <w:start w:val="1"/>
      <w:numFmt w:val="lowerRoman"/>
      <w:lvlText w:val="%9."/>
      <w:lvlJc w:val="right"/>
      <w:pPr>
        <w:tabs>
          <w:tab w:val="num" w:pos="7306"/>
        </w:tabs>
        <w:ind w:left="7306" w:hanging="180"/>
      </w:pPr>
    </w:lvl>
  </w:abstractNum>
  <w:abstractNum w:abstractNumId="12" w15:restartNumberingAfterBreak="0">
    <w:nsid w:val="1F536F98"/>
    <w:multiLevelType w:val="hybridMultilevel"/>
    <w:tmpl w:val="CE6A5C8C"/>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852D73"/>
    <w:multiLevelType w:val="hybridMultilevel"/>
    <w:tmpl w:val="817E5FC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240E7182"/>
    <w:multiLevelType w:val="hybridMultilevel"/>
    <w:tmpl w:val="D0D4E2F6"/>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5" w15:restartNumberingAfterBreak="0">
    <w:nsid w:val="24550F6D"/>
    <w:multiLevelType w:val="hybridMultilevel"/>
    <w:tmpl w:val="1124D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C63ADB"/>
    <w:multiLevelType w:val="hybridMultilevel"/>
    <w:tmpl w:val="371464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48171C"/>
    <w:multiLevelType w:val="hybridMultilevel"/>
    <w:tmpl w:val="FB207E32"/>
    <w:lvl w:ilvl="0" w:tplc="26D2A334">
      <w:start w:val="1"/>
      <w:numFmt w:val="decimal"/>
      <w:lvlText w:val="%1)"/>
      <w:lvlJc w:val="left"/>
      <w:pPr>
        <w:tabs>
          <w:tab w:val="num" w:pos="1077"/>
        </w:tabs>
        <w:ind w:left="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8A4B9F"/>
    <w:multiLevelType w:val="hybridMultilevel"/>
    <w:tmpl w:val="98463C20"/>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665539"/>
    <w:multiLevelType w:val="hybridMultilevel"/>
    <w:tmpl w:val="7F6E18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24C442C"/>
    <w:multiLevelType w:val="hybridMultilevel"/>
    <w:tmpl w:val="3E8A9B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C3084A"/>
    <w:multiLevelType w:val="hybridMultilevel"/>
    <w:tmpl w:val="3F46E32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2" w15:restartNumberingAfterBreak="0">
    <w:nsid w:val="39FC2790"/>
    <w:multiLevelType w:val="hybridMultilevel"/>
    <w:tmpl w:val="ADE24898"/>
    <w:lvl w:ilvl="0" w:tplc="66A8CD2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B351FFF"/>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EA90ED7"/>
    <w:multiLevelType w:val="hybridMultilevel"/>
    <w:tmpl w:val="E9CE21A2"/>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3443AE5"/>
    <w:multiLevelType w:val="hybridMultilevel"/>
    <w:tmpl w:val="3AB6D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7C725D"/>
    <w:multiLevelType w:val="hybridMultilevel"/>
    <w:tmpl w:val="6FC66D56"/>
    <w:lvl w:ilvl="0" w:tplc="F15E51D4">
      <w:start w:val="1"/>
      <w:numFmt w:val="decimal"/>
      <w:lvlText w:val="%1."/>
      <w:lvlJc w:val="left"/>
      <w:pPr>
        <w:tabs>
          <w:tab w:val="num" w:pos="1108"/>
        </w:tabs>
        <w:ind w:left="1108" w:hanging="360"/>
      </w:pPr>
      <w:rPr>
        <w:rFonts w:ascii="GHEA Grapalat" w:hAnsi="GHEA Grapalat"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7" w15:restartNumberingAfterBreak="0">
    <w:nsid w:val="4AF96D59"/>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D951032"/>
    <w:multiLevelType w:val="hybridMultilevel"/>
    <w:tmpl w:val="F31C1B2E"/>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1D23E91"/>
    <w:multiLevelType w:val="hybridMultilevel"/>
    <w:tmpl w:val="28968C04"/>
    <w:lvl w:ilvl="0" w:tplc="5EFC48BC">
      <w:start w:val="1"/>
      <w:numFmt w:val="decimal"/>
      <w:lvlText w:val="%1)"/>
      <w:lvlJc w:val="left"/>
      <w:pPr>
        <w:ind w:left="175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1C4FCC"/>
    <w:multiLevelType w:val="hybridMultilevel"/>
    <w:tmpl w:val="272650D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5AE4217A"/>
    <w:multiLevelType w:val="hybridMultilevel"/>
    <w:tmpl w:val="060E948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60D87728"/>
    <w:multiLevelType w:val="hybridMultilevel"/>
    <w:tmpl w:val="CEC87DBC"/>
    <w:lvl w:ilvl="0" w:tplc="DECAA61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3CB358B"/>
    <w:multiLevelType w:val="hybridMultilevel"/>
    <w:tmpl w:val="C0B0A8B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4" w15:restartNumberingAfterBreak="0">
    <w:nsid w:val="680F46E6"/>
    <w:multiLevelType w:val="hybridMultilevel"/>
    <w:tmpl w:val="8EEA2F8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EC73E2"/>
    <w:multiLevelType w:val="hybridMultilevel"/>
    <w:tmpl w:val="FB5CC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6309A7"/>
    <w:multiLevelType w:val="hybridMultilevel"/>
    <w:tmpl w:val="E256B99C"/>
    <w:lvl w:ilvl="0" w:tplc="5EFC48B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B6FD5"/>
    <w:multiLevelType w:val="hybridMultilevel"/>
    <w:tmpl w:val="2EEECAF0"/>
    <w:lvl w:ilvl="0" w:tplc="26D2A334">
      <w:start w:val="1"/>
      <w:numFmt w:val="decimal"/>
      <w:lvlText w:val="%1)"/>
      <w:lvlJc w:val="left"/>
      <w:pPr>
        <w:tabs>
          <w:tab w:val="num" w:pos="2337"/>
        </w:tabs>
        <w:ind w:left="1260" w:firstLine="726"/>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15:restartNumberingAfterBreak="0">
    <w:nsid w:val="74DD0A1E"/>
    <w:multiLevelType w:val="hybridMultilevel"/>
    <w:tmpl w:val="94702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25DB7"/>
    <w:multiLevelType w:val="hybridMultilevel"/>
    <w:tmpl w:val="E9749634"/>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5767AF"/>
    <w:multiLevelType w:val="hybridMultilevel"/>
    <w:tmpl w:val="E47ABC80"/>
    <w:lvl w:ilvl="0" w:tplc="B7C82146">
      <w:start w:val="5"/>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3172D"/>
    <w:multiLevelType w:val="hybridMultilevel"/>
    <w:tmpl w:val="9C7A8AB2"/>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2" w15:restartNumberingAfterBreak="0">
    <w:nsid w:val="7D161651"/>
    <w:multiLevelType w:val="multilevel"/>
    <w:tmpl w:val="E256B99C"/>
    <w:lvl w:ilvl="0">
      <w:start w:val="1"/>
      <w:numFmt w:val="decimal"/>
      <w:lvlText w:val="%1)"/>
      <w:lvlJc w:val="left"/>
      <w:pPr>
        <w:ind w:left="1755" w:hanging="103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4"/>
  </w:num>
  <w:num w:numId="3">
    <w:abstractNumId w:val="21"/>
  </w:num>
  <w:num w:numId="4">
    <w:abstractNumId w:val="33"/>
  </w:num>
  <w:num w:numId="5">
    <w:abstractNumId w:val="20"/>
  </w:num>
  <w:num w:numId="6">
    <w:abstractNumId w:val="14"/>
  </w:num>
  <w:num w:numId="7">
    <w:abstractNumId w:val="18"/>
  </w:num>
  <w:num w:numId="8">
    <w:abstractNumId w:val="37"/>
  </w:num>
  <w:num w:numId="9">
    <w:abstractNumId w:val="26"/>
  </w:num>
  <w:num w:numId="10">
    <w:abstractNumId w:val="40"/>
  </w:num>
  <w:num w:numId="11">
    <w:abstractNumId w:val="34"/>
  </w:num>
  <w:num w:numId="12">
    <w:abstractNumId w:val="22"/>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
  </w:num>
  <w:num w:numId="17">
    <w:abstractNumId w:val="36"/>
  </w:num>
  <w:num w:numId="18">
    <w:abstractNumId w:val="25"/>
  </w:num>
  <w:num w:numId="19">
    <w:abstractNumId w:val="38"/>
  </w:num>
  <w:num w:numId="20">
    <w:abstractNumId w:val="13"/>
  </w:num>
  <w:num w:numId="21">
    <w:abstractNumId w:val="42"/>
  </w:num>
  <w:num w:numId="22">
    <w:abstractNumId w:val="29"/>
  </w:num>
  <w:num w:numId="23">
    <w:abstractNumId w:val="6"/>
  </w:num>
  <w:num w:numId="24">
    <w:abstractNumId w:val="41"/>
  </w:num>
  <w:num w:numId="25">
    <w:abstractNumId w:val="24"/>
  </w:num>
  <w:num w:numId="26">
    <w:abstractNumId w:val="0"/>
  </w:num>
  <w:num w:numId="27">
    <w:abstractNumId w:val="15"/>
  </w:num>
  <w:num w:numId="28">
    <w:abstractNumId w:val="31"/>
  </w:num>
  <w:num w:numId="29">
    <w:abstractNumId w:val="23"/>
  </w:num>
  <w:num w:numId="30">
    <w:abstractNumId w:val="27"/>
  </w:num>
  <w:num w:numId="31">
    <w:abstractNumId w:val="1"/>
  </w:num>
  <w:num w:numId="32">
    <w:abstractNumId w:val="8"/>
  </w:num>
  <w:num w:numId="33">
    <w:abstractNumId w:val="32"/>
  </w:num>
  <w:num w:numId="34">
    <w:abstractNumId w:val="30"/>
  </w:num>
  <w:num w:numId="35">
    <w:abstractNumId w:val="5"/>
  </w:num>
  <w:num w:numId="36">
    <w:abstractNumId w:val="3"/>
  </w:num>
  <w:num w:numId="37">
    <w:abstractNumId w:val="9"/>
  </w:num>
  <w:num w:numId="38">
    <w:abstractNumId w:val="12"/>
  </w:num>
  <w:num w:numId="39">
    <w:abstractNumId w:val="39"/>
  </w:num>
  <w:num w:numId="40">
    <w:abstractNumId w:val="7"/>
  </w:num>
  <w:num w:numId="41">
    <w:abstractNumId w:val="19"/>
  </w:num>
  <w:num w:numId="42">
    <w:abstractNumId w:val="28"/>
  </w:num>
  <w:num w:numId="43">
    <w:abstractNumId w:val="35"/>
  </w:num>
  <w:num w:numId="4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3C"/>
    <w:rsid w:val="00000B8F"/>
    <w:rsid w:val="00000CC6"/>
    <w:rsid w:val="00000D27"/>
    <w:rsid w:val="00001056"/>
    <w:rsid w:val="000011F1"/>
    <w:rsid w:val="00001662"/>
    <w:rsid w:val="000022D8"/>
    <w:rsid w:val="000029AF"/>
    <w:rsid w:val="00003D93"/>
    <w:rsid w:val="00003E0C"/>
    <w:rsid w:val="00003E67"/>
    <w:rsid w:val="000043EC"/>
    <w:rsid w:val="000046E0"/>
    <w:rsid w:val="00004782"/>
    <w:rsid w:val="0000488C"/>
    <w:rsid w:val="000049ED"/>
    <w:rsid w:val="00004BF5"/>
    <w:rsid w:val="00004EB7"/>
    <w:rsid w:val="000051A1"/>
    <w:rsid w:val="00006BE1"/>
    <w:rsid w:val="00006C8E"/>
    <w:rsid w:val="00006D44"/>
    <w:rsid w:val="00006F51"/>
    <w:rsid w:val="00007B4C"/>
    <w:rsid w:val="00007B80"/>
    <w:rsid w:val="00007D4B"/>
    <w:rsid w:val="00007FBA"/>
    <w:rsid w:val="0001038E"/>
    <w:rsid w:val="00011CB7"/>
    <w:rsid w:val="00012BCB"/>
    <w:rsid w:val="00013BAF"/>
    <w:rsid w:val="0001467A"/>
    <w:rsid w:val="000158E4"/>
    <w:rsid w:val="00015A48"/>
    <w:rsid w:val="000164D9"/>
    <w:rsid w:val="00017218"/>
    <w:rsid w:val="00017681"/>
    <w:rsid w:val="00020C2C"/>
    <w:rsid w:val="000217F0"/>
    <w:rsid w:val="00021C51"/>
    <w:rsid w:val="000222C5"/>
    <w:rsid w:val="00023C80"/>
    <w:rsid w:val="00024BE3"/>
    <w:rsid w:val="00027310"/>
    <w:rsid w:val="000303D1"/>
    <w:rsid w:val="00030471"/>
    <w:rsid w:val="00030A56"/>
    <w:rsid w:val="00032DE1"/>
    <w:rsid w:val="00034CDA"/>
    <w:rsid w:val="000354DA"/>
    <w:rsid w:val="00035AF2"/>
    <w:rsid w:val="00035D8C"/>
    <w:rsid w:val="00035E1E"/>
    <w:rsid w:val="00035EFF"/>
    <w:rsid w:val="00036A8B"/>
    <w:rsid w:val="000373AC"/>
    <w:rsid w:val="00037C39"/>
    <w:rsid w:val="00040A33"/>
    <w:rsid w:val="00040CBC"/>
    <w:rsid w:val="00041D39"/>
    <w:rsid w:val="000423AB"/>
    <w:rsid w:val="0004241C"/>
    <w:rsid w:val="00042CB7"/>
    <w:rsid w:val="0004304A"/>
    <w:rsid w:val="00043303"/>
    <w:rsid w:val="00043415"/>
    <w:rsid w:val="0004424A"/>
    <w:rsid w:val="00044C1D"/>
    <w:rsid w:val="00045097"/>
    <w:rsid w:val="00045922"/>
    <w:rsid w:val="00046182"/>
    <w:rsid w:val="0005023D"/>
    <w:rsid w:val="000506B4"/>
    <w:rsid w:val="00051632"/>
    <w:rsid w:val="00051A9F"/>
    <w:rsid w:val="00051FE6"/>
    <w:rsid w:val="00051FF3"/>
    <w:rsid w:val="00052132"/>
    <w:rsid w:val="000523C5"/>
    <w:rsid w:val="000526B3"/>
    <w:rsid w:val="00052F1B"/>
    <w:rsid w:val="000530E1"/>
    <w:rsid w:val="00053338"/>
    <w:rsid w:val="00053A90"/>
    <w:rsid w:val="00055D6A"/>
    <w:rsid w:val="00056A1B"/>
    <w:rsid w:val="00057195"/>
    <w:rsid w:val="0005720C"/>
    <w:rsid w:val="00057EEB"/>
    <w:rsid w:val="000604D1"/>
    <w:rsid w:val="0006080B"/>
    <w:rsid w:val="00060974"/>
    <w:rsid w:val="00061ADF"/>
    <w:rsid w:val="00062294"/>
    <w:rsid w:val="00062E70"/>
    <w:rsid w:val="00063FE2"/>
    <w:rsid w:val="000647F8"/>
    <w:rsid w:val="00064CED"/>
    <w:rsid w:val="00064E9F"/>
    <w:rsid w:val="00065ADB"/>
    <w:rsid w:val="000677FB"/>
    <w:rsid w:val="00067916"/>
    <w:rsid w:val="000702B1"/>
    <w:rsid w:val="00070ED4"/>
    <w:rsid w:val="000710A9"/>
    <w:rsid w:val="00071BFB"/>
    <w:rsid w:val="000722F9"/>
    <w:rsid w:val="00072933"/>
    <w:rsid w:val="00074F9B"/>
    <w:rsid w:val="00075484"/>
    <w:rsid w:val="00075682"/>
    <w:rsid w:val="00075BBB"/>
    <w:rsid w:val="000763A2"/>
    <w:rsid w:val="00076548"/>
    <w:rsid w:val="000769F7"/>
    <w:rsid w:val="00077AB6"/>
    <w:rsid w:val="00080A6A"/>
    <w:rsid w:val="0008143C"/>
    <w:rsid w:val="00082E2B"/>
    <w:rsid w:val="000831EF"/>
    <w:rsid w:val="0008492F"/>
    <w:rsid w:val="00084FA9"/>
    <w:rsid w:val="0008542D"/>
    <w:rsid w:val="0008647B"/>
    <w:rsid w:val="000864B8"/>
    <w:rsid w:val="000869F5"/>
    <w:rsid w:val="00086FAB"/>
    <w:rsid w:val="00087656"/>
    <w:rsid w:val="00087A97"/>
    <w:rsid w:val="00090551"/>
    <w:rsid w:val="00091207"/>
    <w:rsid w:val="00092206"/>
    <w:rsid w:val="00092CDA"/>
    <w:rsid w:val="00092DFE"/>
    <w:rsid w:val="0009304F"/>
    <w:rsid w:val="000935B0"/>
    <w:rsid w:val="00093A0E"/>
    <w:rsid w:val="00093F78"/>
    <w:rsid w:val="0009536E"/>
    <w:rsid w:val="000959EB"/>
    <w:rsid w:val="00095B5B"/>
    <w:rsid w:val="00096C25"/>
    <w:rsid w:val="00097145"/>
    <w:rsid w:val="000A0910"/>
    <w:rsid w:val="000A0F70"/>
    <w:rsid w:val="000A1454"/>
    <w:rsid w:val="000A1C94"/>
    <w:rsid w:val="000A1EF0"/>
    <w:rsid w:val="000A25DD"/>
    <w:rsid w:val="000A310C"/>
    <w:rsid w:val="000A512A"/>
    <w:rsid w:val="000A54A3"/>
    <w:rsid w:val="000A5961"/>
    <w:rsid w:val="000A5BEC"/>
    <w:rsid w:val="000A5D74"/>
    <w:rsid w:val="000A6ACE"/>
    <w:rsid w:val="000B2944"/>
    <w:rsid w:val="000B2B5C"/>
    <w:rsid w:val="000B2CE5"/>
    <w:rsid w:val="000B3BE7"/>
    <w:rsid w:val="000B4CEC"/>
    <w:rsid w:val="000B522D"/>
    <w:rsid w:val="000B67DC"/>
    <w:rsid w:val="000B7B4F"/>
    <w:rsid w:val="000C1290"/>
    <w:rsid w:val="000C210B"/>
    <w:rsid w:val="000C2743"/>
    <w:rsid w:val="000C29A3"/>
    <w:rsid w:val="000C30AD"/>
    <w:rsid w:val="000C3B9A"/>
    <w:rsid w:val="000C3F37"/>
    <w:rsid w:val="000C4A2C"/>
    <w:rsid w:val="000C4F9A"/>
    <w:rsid w:val="000C5213"/>
    <w:rsid w:val="000C59C4"/>
    <w:rsid w:val="000C6364"/>
    <w:rsid w:val="000C779C"/>
    <w:rsid w:val="000D0217"/>
    <w:rsid w:val="000D0331"/>
    <w:rsid w:val="000D0556"/>
    <w:rsid w:val="000D17F2"/>
    <w:rsid w:val="000D1EF9"/>
    <w:rsid w:val="000D2B9B"/>
    <w:rsid w:val="000D2BB2"/>
    <w:rsid w:val="000D3122"/>
    <w:rsid w:val="000D4325"/>
    <w:rsid w:val="000D4EA0"/>
    <w:rsid w:val="000D51D6"/>
    <w:rsid w:val="000D5498"/>
    <w:rsid w:val="000D5C17"/>
    <w:rsid w:val="000D6201"/>
    <w:rsid w:val="000D6848"/>
    <w:rsid w:val="000D6918"/>
    <w:rsid w:val="000D7A77"/>
    <w:rsid w:val="000D7D4C"/>
    <w:rsid w:val="000E02B5"/>
    <w:rsid w:val="000E08E0"/>
    <w:rsid w:val="000E1AE6"/>
    <w:rsid w:val="000E2CB0"/>
    <w:rsid w:val="000E3EEF"/>
    <w:rsid w:val="000E440D"/>
    <w:rsid w:val="000E459E"/>
    <w:rsid w:val="000E50D7"/>
    <w:rsid w:val="000E5AAC"/>
    <w:rsid w:val="000E5AC9"/>
    <w:rsid w:val="000E5C16"/>
    <w:rsid w:val="000E607C"/>
    <w:rsid w:val="000E6593"/>
    <w:rsid w:val="000E65BD"/>
    <w:rsid w:val="000F010A"/>
    <w:rsid w:val="000F01B4"/>
    <w:rsid w:val="000F04EB"/>
    <w:rsid w:val="000F0A76"/>
    <w:rsid w:val="000F0DD9"/>
    <w:rsid w:val="000F1737"/>
    <w:rsid w:val="000F2986"/>
    <w:rsid w:val="000F3719"/>
    <w:rsid w:val="000F4239"/>
    <w:rsid w:val="000F479F"/>
    <w:rsid w:val="000F47F8"/>
    <w:rsid w:val="000F5481"/>
    <w:rsid w:val="000F5647"/>
    <w:rsid w:val="000F589E"/>
    <w:rsid w:val="000F5F7A"/>
    <w:rsid w:val="000F75DD"/>
    <w:rsid w:val="000F7F2A"/>
    <w:rsid w:val="0010015A"/>
    <w:rsid w:val="001009B9"/>
    <w:rsid w:val="00101080"/>
    <w:rsid w:val="00101608"/>
    <w:rsid w:val="001019D8"/>
    <w:rsid w:val="00101E99"/>
    <w:rsid w:val="00101EC2"/>
    <w:rsid w:val="0010292C"/>
    <w:rsid w:val="00102BD7"/>
    <w:rsid w:val="00102FAB"/>
    <w:rsid w:val="00104D90"/>
    <w:rsid w:val="00105703"/>
    <w:rsid w:val="001066F3"/>
    <w:rsid w:val="001068A5"/>
    <w:rsid w:val="00107584"/>
    <w:rsid w:val="00107689"/>
    <w:rsid w:val="00107A4D"/>
    <w:rsid w:val="001103F4"/>
    <w:rsid w:val="00110B8E"/>
    <w:rsid w:val="0011104F"/>
    <w:rsid w:val="00111352"/>
    <w:rsid w:val="001113B4"/>
    <w:rsid w:val="001116D2"/>
    <w:rsid w:val="001127E7"/>
    <w:rsid w:val="00112950"/>
    <w:rsid w:val="00112F5E"/>
    <w:rsid w:val="00113B42"/>
    <w:rsid w:val="00113E7E"/>
    <w:rsid w:val="0011473D"/>
    <w:rsid w:val="00115B85"/>
    <w:rsid w:val="001161C7"/>
    <w:rsid w:val="00116295"/>
    <w:rsid w:val="00120218"/>
    <w:rsid w:val="00120584"/>
    <w:rsid w:val="00121052"/>
    <w:rsid w:val="00121233"/>
    <w:rsid w:val="001243F3"/>
    <w:rsid w:val="0012480D"/>
    <w:rsid w:val="00125BA3"/>
    <w:rsid w:val="00125F18"/>
    <w:rsid w:val="001264B5"/>
    <w:rsid w:val="00126ADD"/>
    <w:rsid w:val="00126D79"/>
    <w:rsid w:val="001273D3"/>
    <w:rsid w:val="0012784B"/>
    <w:rsid w:val="00127F83"/>
    <w:rsid w:val="0013020B"/>
    <w:rsid w:val="00131D35"/>
    <w:rsid w:val="00131E5E"/>
    <w:rsid w:val="001321BC"/>
    <w:rsid w:val="00132486"/>
    <w:rsid w:val="00132AA0"/>
    <w:rsid w:val="0013434A"/>
    <w:rsid w:val="00134E08"/>
    <w:rsid w:val="00135D72"/>
    <w:rsid w:val="00136E60"/>
    <w:rsid w:val="001402CF"/>
    <w:rsid w:val="00142B12"/>
    <w:rsid w:val="00142DA1"/>
    <w:rsid w:val="001430CF"/>
    <w:rsid w:val="00143704"/>
    <w:rsid w:val="00143C1C"/>
    <w:rsid w:val="001445A4"/>
    <w:rsid w:val="00144B31"/>
    <w:rsid w:val="001450E0"/>
    <w:rsid w:val="00146010"/>
    <w:rsid w:val="00150057"/>
    <w:rsid w:val="0015008A"/>
    <w:rsid w:val="00150F4B"/>
    <w:rsid w:val="00151124"/>
    <w:rsid w:val="001513D7"/>
    <w:rsid w:val="00152F82"/>
    <w:rsid w:val="00154249"/>
    <w:rsid w:val="00154C36"/>
    <w:rsid w:val="00154F69"/>
    <w:rsid w:val="0015714D"/>
    <w:rsid w:val="00157776"/>
    <w:rsid w:val="00157941"/>
    <w:rsid w:val="001609FD"/>
    <w:rsid w:val="001616B6"/>
    <w:rsid w:val="00161C6D"/>
    <w:rsid w:val="00162E64"/>
    <w:rsid w:val="00166002"/>
    <w:rsid w:val="0016645C"/>
    <w:rsid w:val="001673D8"/>
    <w:rsid w:val="00167518"/>
    <w:rsid w:val="0017111D"/>
    <w:rsid w:val="00171AC0"/>
    <w:rsid w:val="0017289D"/>
    <w:rsid w:val="00173196"/>
    <w:rsid w:val="0017386F"/>
    <w:rsid w:val="001745CE"/>
    <w:rsid w:val="00174654"/>
    <w:rsid w:val="001748EE"/>
    <w:rsid w:val="00174906"/>
    <w:rsid w:val="001764E1"/>
    <w:rsid w:val="0017695C"/>
    <w:rsid w:val="001800AF"/>
    <w:rsid w:val="00180101"/>
    <w:rsid w:val="001807D6"/>
    <w:rsid w:val="00180C80"/>
    <w:rsid w:val="001821E6"/>
    <w:rsid w:val="00182384"/>
    <w:rsid w:val="001833C0"/>
    <w:rsid w:val="001841EF"/>
    <w:rsid w:val="00184E74"/>
    <w:rsid w:val="001863FA"/>
    <w:rsid w:val="00187045"/>
    <w:rsid w:val="00187CC5"/>
    <w:rsid w:val="00192104"/>
    <w:rsid w:val="00192CB6"/>
    <w:rsid w:val="00193655"/>
    <w:rsid w:val="00194E77"/>
    <w:rsid w:val="00194E8C"/>
    <w:rsid w:val="001970F5"/>
    <w:rsid w:val="001976FC"/>
    <w:rsid w:val="00197719"/>
    <w:rsid w:val="001A0BCE"/>
    <w:rsid w:val="001A11DA"/>
    <w:rsid w:val="001A207D"/>
    <w:rsid w:val="001A2152"/>
    <w:rsid w:val="001A231A"/>
    <w:rsid w:val="001A2504"/>
    <w:rsid w:val="001A2D35"/>
    <w:rsid w:val="001A363A"/>
    <w:rsid w:val="001A37FE"/>
    <w:rsid w:val="001A3AED"/>
    <w:rsid w:val="001A418B"/>
    <w:rsid w:val="001A43B3"/>
    <w:rsid w:val="001A4D02"/>
    <w:rsid w:val="001A6EC8"/>
    <w:rsid w:val="001A7942"/>
    <w:rsid w:val="001A7B88"/>
    <w:rsid w:val="001B0247"/>
    <w:rsid w:val="001B1688"/>
    <w:rsid w:val="001B1890"/>
    <w:rsid w:val="001B262C"/>
    <w:rsid w:val="001B369A"/>
    <w:rsid w:val="001B36B3"/>
    <w:rsid w:val="001B4E84"/>
    <w:rsid w:val="001B59FD"/>
    <w:rsid w:val="001B6CF6"/>
    <w:rsid w:val="001B7566"/>
    <w:rsid w:val="001B7FDA"/>
    <w:rsid w:val="001C05B7"/>
    <w:rsid w:val="001C05FE"/>
    <w:rsid w:val="001C0D1F"/>
    <w:rsid w:val="001C0DB1"/>
    <w:rsid w:val="001C2B59"/>
    <w:rsid w:val="001C3187"/>
    <w:rsid w:val="001C3737"/>
    <w:rsid w:val="001C49C9"/>
    <w:rsid w:val="001C4F78"/>
    <w:rsid w:val="001C5318"/>
    <w:rsid w:val="001C5B5A"/>
    <w:rsid w:val="001C5D64"/>
    <w:rsid w:val="001C62F7"/>
    <w:rsid w:val="001C74A1"/>
    <w:rsid w:val="001C7F7C"/>
    <w:rsid w:val="001D086A"/>
    <w:rsid w:val="001D0939"/>
    <w:rsid w:val="001D0C5D"/>
    <w:rsid w:val="001D1571"/>
    <w:rsid w:val="001D24CF"/>
    <w:rsid w:val="001D432F"/>
    <w:rsid w:val="001D495D"/>
    <w:rsid w:val="001D4F3B"/>
    <w:rsid w:val="001D57E6"/>
    <w:rsid w:val="001D60A1"/>
    <w:rsid w:val="001D646D"/>
    <w:rsid w:val="001D6865"/>
    <w:rsid w:val="001D6C20"/>
    <w:rsid w:val="001D7277"/>
    <w:rsid w:val="001D798A"/>
    <w:rsid w:val="001D7A09"/>
    <w:rsid w:val="001E006C"/>
    <w:rsid w:val="001E056A"/>
    <w:rsid w:val="001E13A1"/>
    <w:rsid w:val="001E220B"/>
    <w:rsid w:val="001E2410"/>
    <w:rsid w:val="001E27E4"/>
    <w:rsid w:val="001E3392"/>
    <w:rsid w:val="001E33A0"/>
    <w:rsid w:val="001E3944"/>
    <w:rsid w:val="001E3999"/>
    <w:rsid w:val="001E5A18"/>
    <w:rsid w:val="001E6F9F"/>
    <w:rsid w:val="001F0C79"/>
    <w:rsid w:val="001F1381"/>
    <w:rsid w:val="001F184A"/>
    <w:rsid w:val="001F1971"/>
    <w:rsid w:val="001F1E67"/>
    <w:rsid w:val="001F222D"/>
    <w:rsid w:val="001F2349"/>
    <w:rsid w:val="001F2A93"/>
    <w:rsid w:val="001F349C"/>
    <w:rsid w:val="001F4A87"/>
    <w:rsid w:val="001F58C4"/>
    <w:rsid w:val="001F5A85"/>
    <w:rsid w:val="001F6E53"/>
    <w:rsid w:val="001F6E8C"/>
    <w:rsid w:val="001F76F5"/>
    <w:rsid w:val="001F7839"/>
    <w:rsid w:val="001F7D18"/>
    <w:rsid w:val="00200648"/>
    <w:rsid w:val="00200654"/>
    <w:rsid w:val="002013E5"/>
    <w:rsid w:val="0020317D"/>
    <w:rsid w:val="00203ACE"/>
    <w:rsid w:val="00204C21"/>
    <w:rsid w:val="002065CF"/>
    <w:rsid w:val="0020672B"/>
    <w:rsid w:val="00206803"/>
    <w:rsid w:val="00207AE1"/>
    <w:rsid w:val="00210D0E"/>
    <w:rsid w:val="00211DFB"/>
    <w:rsid w:val="00211E93"/>
    <w:rsid w:val="00211F41"/>
    <w:rsid w:val="00211FB6"/>
    <w:rsid w:val="0021352E"/>
    <w:rsid w:val="00214DD2"/>
    <w:rsid w:val="002157F2"/>
    <w:rsid w:val="00216631"/>
    <w:rsid w:val="00216C49"/>
    <w:rsid w:val="002174A2"/>
    <w:rsid w:val="00217FCC"/>
    <w:rsid w:val="002206A9"/>
    <w:rsid w:val="00220A7B"/>
    <w:rsid w:val="002215EF"/>
    <w:rsid w:val="00221717"/>
    <w:rsid w:val="00221B80"/>
    <w:rsid w:val="00222134"/>
    <w:rsid w:val="002222A2"/>
    <w:rsid w:val="00222654"/>
    <w:rsid w:val="002227AD"/>
    <w:rsid w:val="00222A67"/>
    <w:rsid w:val="00222D67"/>
    <w:rsid w:val="00223225"/>
    <w:rsid w:val="002235C9"/>
    <w:rsid w:val="00223B7E"/>
    <w:rsid w:val="00224350"/>
    <w:rsid w:val="002247AB"/>
    <w:rsid w:val="002259F3"/>
    <w:rsid w:val="00226890"/>
    <w:rsid w:val="00226D15"/>
    <w:rsid w:val="002271CE"/>
    <w:rsid w:val="00231C62"/>
    <w:rsid w:val="00232E1C"/>
    <w:rsid w:val="00233363"/>
    <w:rsid w:val="00233522"/>
    <w:rsid w:val="0023358F"/>
    <w:rsid w:val="002337B8"/>
    <w:rsid w:val="002347B4"/>
    <w:rsid w:val="00234F33"/>
    <w:rsid w:val="00234F72"/>
    <w:rsid w:val="002357F2"/>
    <w:rsid w:val="00236CD9"/>
    <w:rsid w:val="00237706"/>
    <w:rsid w:val="00237A24"/>
    <w:rsid w:val="00237E40"/>
    <w:rsid w:val="00240397"/>
    <w:rsid w:val="002406D6"/>
    <w:rsid w:val="0024098D"/>
    <w:rsid w:val="0024163D"/>
    <w:rsid w:val="00241F1A"/>
    <w:rsid w:val="00242931"/>
    <w:rsid w:val="00243684"/>
    <w:rsid w:val="00244258"/>
    <w:rsid w:val="00244862"/>
    <w:rsid w:val="00245F22"/>
    <w:rsid w:val="00246841"/>
    <w:rsid w:val="00250F94"/>
    <w:rsid w:val="002511C4"/>
    <w:rsid w:val="002521B4"/>
    <w:rsid w:val="00252B7D"/>
    <w:rsid w:val="00253B05"/>
    <w:rsid w:val="00253D18"/>
    <w:rsid w:val="00255484"/>
    <w:rsid w:val="002564A4"/>
    <w:rsid w:val="00257126"/>
    <w:rsid w:val="00257B86"/>
    <w:rsid w:val="00257BB1"/>
    <w:rsid w:val="0026072E"/>
    <w:rsid w:val="002619EC"/>
    <w:rsid w:val="00262564"/>
    <w:rsid w:val="002628D7"/>
    <w:rsid w:val="002631D1"/>
    <w:rsid w:val="002633CA"/>
    <w:rsid w:val="00263F2C"/>
    <w:rsid w:val="00265189"/>
    <w:rsid w:val="002672E0"/>
    <w:rsid w:val="002678A7"/>
    <w:rsid w:val="00267ABB"/>
    <w:rsid w:val="00267B02"/>
    <w:rsid w:val="00270EC8"/>
    <w:rsid w:val="00270FB6"/>
    <w:rsid w:val="00271241"/>
    <w:rsid w:val="002715B2"/>
    <w:rsid w:val="002716DF"/>
    <w:rsid w:val="00271EC3"/>
    <w:rsid w:val="00272621"/>
    <w:rsid w:val="00272E64"/>
    <w:rsid w:val="00273354"/>
    <w:rsid w:val="0027412C"/>
    <w:rsid w:val="00274DF0"/>
    <w:rsid w:val="00275B55"/>
    <w:rsid w:val="002768B3"/>
    <w:rsid w:val="00276FC8"/>
    <w:rsid w:val="002770E5"/>
    <w:rsid w:val="002778BF"/>
    <w:rsid w:val="002804EF"/>
    <w:rsid w:val="00280B74"/>
    <w:rsid w:val="0028125D"/>
    <w:rsid w:val="0028133F"/>
    <w:rsid w:val="00281A4A"/>
    <w:rsid w:val="00281E0E"/>
    <w:rsid w:val="00283369"/>
    <w:rsid w:val="00283A52"/>
    <w:rsid w:val="00283F17"/>
    <w:rsid w:val="00284349"/>
    <w:rsid w:val="00284592"/>
    <w:rsid w:val="00284DD7"/>
    <w:rsid w:val="00284E4E"/>
    <w:rsid w:val="00285209"/>
    <w:rsid w:val="002858E1"/>
    <w:rsid w:val="00285EFB"/>
    <w:rsid w:val="00285F32"/>
    <w:rsid w:val="00285F79"/>
    <w:rsid w:val="00286400"/>
    <w:rsid w:val="00286575"/>
    <w:rsid w:val="00286595"/>
    <w:rsid w:val="002865AD"/>
    <w:rsid w:val="0029065E"/>
    <w:rsid w:val="00290BF8"/>
    <w:rsid w:val="00291387"/>
    <w:rsid w:val="00291511"/>
    <w:rsid w:val="00294340"/>
    <w:rsid w:val="0029445E"/>
    <w:rsid w:val="00294C3C"/>
    <w:rsid w:val="0029561F"/>
    <w:rsid w:val="00295841"/>
    <w:rsid w:val="00296738"/>
    <w:rsid w:val="0029724A"/>
    <w:rsid w:val="00297983"/>
    <w:rsid w:val="00297E6B"/>
    <w:rsid w:val="002A4FA1"/>
    <w:rsid w:val="002A61CA"/>
    <w:rsid w:val="002A6B26"/>
    <w:rsid w:val="002A6DC1"/>
    <w:rsid w:val="002A76B2"/>
    <w:rsid w:val="002B01D5"/>
    <w:rsid w:val="002B0EC5"/>
    <w:rsid w:val="002B1011"/>
    <w:rsid w:val="002B1082"/>
    <w:rsid w:val="002B11F7"/>
    <w:rsid w:val="002B1343"/>
    <w:rsid w:val="002B184F"/>
    <w:rsid w:val="002B2433"/>
    <w:rsid w:val="002B319E"/>
    <w:rsid w:val="002B3603"/>
    <w:rsid w:val="002B3AF3"/>
    <w:rsid w:val="002B53AB"/>
    <w:rsid w:val="002B5A4C"/>
    <w:rsid w:val="002B702F"/>
    <w:rsid w:val="002B7718"/>
    <w:rsid w:val="002C00C4"/>
    <w:rsid w:val="002C049B"/>
    <w:rsid w:val="002C087B"/>
    <w:rsid w:val="002C15CF"/>
    <w:rsid w:val="002C1EA7"/>
    <w:rsid w:val="002C2145"/>
    <w:rsid w:val="002C26CD"/>
    <w:rsid w:val="002C3257"/>
    <w:rsid w:val="002C329A"/>
    <w:rsid w:val="002C3C8E"/>
    <w:rsid w:val="002C4C43"/>
    <w:rsid w:val="002C56C2"/>
    <w:rsid w:val="002D1D80"/>
    <w:rsid w:val="002D1DC8"/>
    <w:rsid w:val="002D2AC3"/>
    <w:rsid w:val="002D3048"/>
    <w:rsid w:val="002D3DF4"/>
    <w:rsid w:val="002D3F25"/>
    <w:rsid w:val="002D42F2"/>
    <w:rsid w:val="002D46DD"/>
    <w:rsid w:val="002D4BC2"/>
    <w:rsid w:val="002D4BE7"/>
    <w:rsid w:val="002D598D"/>
    <w:rsid w:val="002D5C50"/>
    <w:rsid w:val="002E10E9"/>
    <w:rsid w:val="002E1A29"/>
    <w:rsid w:val="002E1F67"/>
    <w:rsid w:val="002E2329"/>
    <w:rsid w:val="002E246C"/>
    <w:rsid w:val="002E2FC7"/>
    <w:rsid w:val="002E31E4"/>
    <w:rsid w:val="002E4BF6"/>
    <w:rsid w:val="002E5BFB"/>
    <w:rsid w:val="002E6E68"/>
    <w:rsid w:val="002E7AA7"/>
    <w:rsid w:val="002E7B63"/>
    <w:rsid w:val="002F026B"/>
    <w:rsid w:val="002F04E8"/>
    <w:rsid w:val="002F0F92"/>
    <w:rsid w:val="002F11BC"/>
    <w:rsid w:val="002F2E44"/>
    <w:rsid w:val="002F3E8F"/>
    <w:rsid w:val="002F41C8"/>
    <w:rsid w:val="002F466B"/>
    <w:rsid w:val="002F492A"/>
    <w:rsid w:val="002F5144"/>
    <w:rsid w:val="002F5609"/>
    <w:rsid w:val="002F5D4C"/>
    <w:rsid w:val="002F65F6"/>
    <w:rsid w:val="002F6EA7"/>
    <w:rsid w:val="00300AFD"/>
    <w:rsid w:val="003014BD"/>
    <w:rsid w:val="0030157D"/>
    <w:rsid w:val="003024DE"/>
    <w:rsid w:val="003027A0"/>
    <w:rsid w:val="003028D4"/>
    <w:rsid w:val="00302D5E"/>
    <w:rsid w:val="00302D61"/>
    <w:rsid w:val="0030428E"/>
    <w:rsid w:val="00304FB6"/>
    <w:rsid w:val="00305D8D"/>
    <w:rsid w:val="0030619A"/>
    <w:rsid w:val="00306C0E"/>
    <w:rsid w:val="003070BE"/>
    <w:rsid w:val="00307C5B"/>
    <w:rsid w:val="00307D3D"/>
    <w:rsid w:val="0031019C"/>
    <w:rsid w:val="00310801"/>
    <w:rsid w:val="003108EC"/>
    <w:rsid w:val="00311085"/>
    <w:rsid w:val="00311360"/>
    <w:rsid w:val="00311945"/>
    <w:rsid w:val="003123D5"/>
    <w:rsid w:val="00312412"/>
    <w:rsid w:val="00312BF8"/>
    <w:rsid w:val="00313320"/>
    <w:rsid w:val="00313621"/>
    <w:rsid w:val="00314326"/>
    <w:rsid w:val="00315982"/>
    <w:rsid w:val="00316095"/>
    <w:rsid w:val="0031686F"/>
    <w:rsid w:val="0031750D"/>
    <w:rsid w:val="003177CE"/>
    <w:rsid w:val="003178E0"/>
    <w:rsid w:val="00320AA6"/>
    <w:rsid w:val="00320DB1"/>
    <w:rsid w:val="0032103F"/>
    <w:rsid w:val="00322801"/>
    <w:rsid w:val="003229A2"/>
    <w:rsid w:val="00322D2B"/>
    <w:rsid w:val="0032328F"/>
    <w:rsid w:val="00323556"/>
    <w:rsid w:val="00323771"/>
    <w:rsid w:val="003237A8"/>
    <w:rsid w:val="00323B5A"/>
    <w:rsid w:val="00323CC3"/>
    <w:rsid w:val="0032469C"/>
    <w:rsid w:val="00324F2F"/>
    <w:rsid w:val="00325899"/>
    <w:rsid w:val="00326189"/>
    <w:rsid w:val="00326DB4"/>
    <w:rsid w:val="00326DF2"/>
    <w:rsid w:val="00327939"/>
    <w:rsid w:val="00327C5B"/>
    <w:rsid w:val="00327F92"/>
    <w:rsid w:val="0033039D"/>
    <w:rsid w:val="003306F4"/>
    <w:rsid w:val="00330D13"/>
    <w:rsid w:val="003319FE"/>
    <w:rsid w:val="00331C5C"/>
    <w:rsid w:val="00332C58"/>
    <w:rsid w:val="00332FAB"/>
    <w:rsid w:val="00333209"/>
    <w:rsid w:val="003336AF"/>
    <w:rsid w:val="00334C7F"/>
    <w:rsid w:val="00335577"/>
    <w:rsid w:val="00337534"/>
    <w:rsid w:val="0033782A"/>
    <w:rsid w:val="003404D0"/>
    <w:rsid w:val="00340F52"/>
    <w:rsid w:val="00341E42"/>
    <w:rsid w:val="003426FA"/>
    <w:rsid w:val="00343BF1"/>
    <w:rsid w:val="00343C2C"/>
    <w:rsid w:val="00343EE1"/>
    <w:rsid w:val="00343FFD"/>
    <w:rsid w:val="00344490"/>
    <w:rsid w:val="00344B7A"/>
    <w:rsid w:val="00345499"/>
    <w:rsid w:val="00345968"/>
    <w:rsid w:val="00345C07"/>
    <w:rsid w:val="00345DAB"/>
    <w:rsid w:val="0034605D"/>
    <w:rsid w:val="003465A4"/>
    <w:rsid w:val="0034665D"/>
    <w:rsid w:val="00347356"/>
    <w:rsid w:val="00347C5F"/>
    <w:rsid w:val="0035068B"/>
    <w:rsid w:val="003516D5"/>
    <w:rsid w:val="00352144"/>
    <w:rsid w:val="00352FB1"/>
    <w:rsid w:val="003536C4"/>
    <w:rsid w:val="003537BD"/>
    <w:rsid w:val="0035433F"/>
    <w:rsid w:val="00355E0C"/>
    <w:rsid w:val="00355E87"/>
    <w:rsid w:val="00355FFA"/>
    <w:rsid w:val="00356653"/>
    <w:rsid w:val="003602B7"/>
    <w:rsid w:val="00360453"/>
    <w:rsid w:val="00360B39"/>
    <w:rsid w:val="00360DCB"/>
    <w:rsid w:val="00360E40"/>
    <w:rsid w:val="00362895"/>
    <w:rsid w:val="00362B53"/>
    <w:rsid w:val="00363087"/>
    <w:rsid w:val="0036346B"/>
    <w:rsid w:val="00363839"/>
    <w:rsid w:val="00363C24"/>
    <w:rsid w:val="003640E9"/>
    <w:rsid w:val="00364A58"/>
    <w:rsid w:val="00364F6E"/>
    <w:rsid w:val="00364F97"/>
    <w:rsid w:val="003650D2"/>
    <w:rsid w:val="00365206"/>
    <w:rsid w:val="00365353"/>
    <w:rsid w:val="003654D0"/>
    <w:rsid w:val="00365774"/>
    <w:rsid w:val="00365807"/>
    <w:rsid w:val="00365D66"/>
    <w:rsid w:val="00366436"/>
    <w:rsid w:val="00367CAC"/>
    <w:rsid w:val="00367F81"/>
    <w:rsid w:val="00367FAC"/>
    <w:rsid w:val="00371E28"/>
    <w:rsid w:val="00373251"/>
    <w:rsid w:val="00373A12"/>
    <w:rsid w:val="00373AAD"/>
    <w:rsid w:val="00373E50"/>
    <w:rsid w:val="00373F7F"/>
    <w:rsid w:val="00374F09"/>
    <w:rsid w:val="00375103"/>
    <w:rsid w:val="0037524F"/>
    <w:rsid w:val="00375DC0"/>
    <w:rsid w:val="0037612B"/>
    <w:rsid w:val="00377301"/>
    <w:rsid w:val="00377A7A"/>
    <w:rsid w:val="00377C21"/>
    <w:rsid w:val="00377D7C"/>
    <w:rsid w:val="00381981"/>
    <w:rsid w:val="003819D4"/>
    <w:rsid w:val="003824A7"/>
    <w:rsid w:val="003831C3"/>
    <w:rsid w:val="0038343A"/>
    <w:rsid w:val="0038438D"/>
    <w:rsid w:val="0038476B"/>
    <w:rsid w:val="003848F6"/>
    <w:rsid w:val="00384E95"/>
    <w:rsid w:val="0038509A"/>
    <w:rsid w:val="00385FFC"/>
    <w:rsid w:val="003869A8"/>
    <w:rsid w:val="00386B50"/>
    <w:rsid w:val="00386F05"/>
    <w:rsid w:val="00387755"/>
    <w:rsid w:val="00387D69"/>
    <w:rsid w:val="00390C28"/>
    <w:rsid w:val="00391791"/>
    <w:rsid w:val="00391B22"/>
    <w:rsid w:val="003925E0"/>
    <w:rsid w:val="00392AA3"/>
    <w:rsid w:val="00392E3E"/>
    <w:rsid w:val="00393257"/>
    <w:rsid w:val="0039338A"/>
    <w:rsid w:val="00393496"/>
    <w:rsid w:val="003936F8"/>
    <w:rsid w:val="0039381C"/>
    <w:rsid w:val="003941F1"/>
    <w:rsid w:val="00395C73"/>
    <w:rsid w:val="00395E11"/>
    <w:rsid w:val="003967EF"/>
    <w:rsid w:val="00397535"/>
    <w:rsid w:val="00397FBF"/>
    <w:rsid w:val="003A001A"/>
    <w:rsid w:val="003A0325"/>
    <w:rsid w:val="003A0C66"/>
    <w:rsid w:val="003A0E92"/>
    <w:rsid w:val="003A274F"/>
    <w:rsid w:val="003A2E35"/>
    <w:rsid w:val="003A410B"/>
    <w:rsid w:val="003A52D2"/>
    <w:rsid w:val="003A7A33"/>
    <w:rsid w:val="003A7E6E"/>
    <w:rsid w:val="003B0222"/>
    <w:rsid w:val="003B038A"/>
    <w:rsid w:val="003B08D6"/>
    <w:rsid w:val="003B0955"/>
    <w:rsid w:val="003B1019"/>
    <w:rsid w:val="003B2991"/>
    <w:rsid w:val="003B3026"/>
    <w:rsid w:val="003B329B"/>
    <w:rsid w:val="003B36DC"/>
    <w:rsid w:val="003B3C86"/>
    <w:rsid w:val="003B476F"/>
    <w:rsid w:val="003B665C"/>
    <w:rsid w:val="003B715A"/>
    <w:rsid w:val="003B7372"/>
    <w:rsid w:val="003B7397"/>
    <w:rsid w:val="003B78FE"/>
    <w:rsid w:val="003C03A2"/>
    <w:rsid w:val="003C090E"/>
    <w:rsid w:val="003C0CEF"/>
    <w:rsid w:val="003C1A13"/>
    <w:rsid w:val="003C1DF7"/>
    <w:rsid w:val="003C25DC"/>
    <w:rsid w:val="003C4063"/>
    <w:rsid w:val="003C4E38"/>
    <w:rsid w:val="003C50A2"/>
    <w:rsid w:val="003C5CD2"/>
    <w:rsid w:val="003C6E28"/>
    <w:rsid w:val="003C780E"/>
    <w:rsid w:val="003D081B"/>
    <w:rsid w:val="003D11E4"/>
    <w:rsid w:val="003D13D3"/>
    <w:rsid w:val="003D1F3C"/>
    <w:rsid w:val="003D27F8"/>
    <w:rsid w:val="003D4057"/>
    <w:rsid w:val="003D49D1"/>
    <w:rsid w:val="003D6258"/>
    <w:rsid w:val="003D6274"/>
    <w:rsid w:val="003D6634"/>
    <w:rsid w:val="003D68A0"/>
    <w:rsid w:val="003D73B3"/>
    <w:rsid w:val="003D7A35"/>
    <w:rsid w:val="003E075A"/>
    <w:rsid w:val="003E240D"/>
    <w:rsid w:val="003E2AED"/>
    <w:rsid w:val="003E38FC"/>
    <w:rsid w:val="003E53F2"/>
    <w:rsid w:val="003F018F"/>
    <w:rsid w:val="003F06F3"/>
    <w:rsid w:val="003F07DF"/>
    <w:rsid w:val="003F230E"/>
    <w:rsid w:val="003F3323"/>
    <w:rsid w:val="003F3AF7"/>
    <w:rsid w:val="003F5571"/>
    <w:rsid w:val="003F6C6C"/>
    <w:rsid w:val="003F799C"/>
    <w:rsid w:val="003F7F23"/>
    <w:rsid w:val="00400D2A"/>
    <w:rsid w:val="00401083"/>
    <w:rsid w:val="0040218D"/>
    <w:rsid w:val="004025A2"/>
    <w:rsid w:val="00402F55"/>
    <w:rsid w:val="004034E9"/>
    <w:rsid w:val="00403527"/>
    <w:rsid w:val="00403662"/>
    <w:rsid w:val="00404E02"/>
    <w:rsid w:val="004062D0"/>
    <w:rsid w:val="0040635D"/>
    <w:rsid w:val="00406C39"/>
    <w:rsid w:val="0040764B"/>
    <w:rsid w:val="0041017A"/>
    <w:rsid w:val="004111E0"/>
    <w:rsid w:val="00412251"/>
    <w:rsid w:val="00412882"/>
    <w:rsid w:val="00413766"/>
    <w:rsid w:val="004140DA"/>
    <w:rsid w:val="00414A5B"/>
    <w:rsid w:val="004152F2"/>
    <w:rsid w:val="00415514"/>
    <w:rsid w:val="00415A03"/>
    <w:rsid w:val="00417F3A"/>
    <w:rsid w:val="00421073"/>
    <w:rsid w:val="00421B68"/>
    <w:rsid w:val="004230E3"/>
    <w:rsid w:val="00423290"/>
    <w:rsid w:val="004235EA"/>
    <w:rsid w:val="00424556"/>
    <w:rsid w:val="0042539B"/>
    <w:rsid w:val="004253EB"/>
    <w:rsid w:val="0042557B"/>
    <w:rsid w:val="00425DDB"/>
    <w:rsid w:val="00425E65"/>
    <w:rsid w:val="00426078"/>
    <w:rsid w:val="0042682D"/>
    <w:rsid w:val="00426DCE"/>
    <w:rsid w:val="004270E9"/>
    <w:rsid w:val="0042722F"/>
    <w:rsid w:val="004275E8"/>
    <w:rsid w:val="004276F1"/>
    <w:rsid w:val="00431166"/>
    <w:rsid w:val="0043179D"/>
    <w:rsid w:val="004320A4"/>
    <w:rsid w:val="00432D72"/>
    <w:rsid w:val="00433646"/>
    <w:rsid w:val="00436104"/>
    <w:rsid w:val="00436CE4"/>
    <w:rsid w:val="00437690"/>
    <w:rsid w:val="004377C4"/>
    <w:rsid w:val="00437BB1"/>
    <w:rsid w:val="00437BE1"/>
    <w:rsid w:val="00437C9F"/>
    <w:rsid w:val="00440452"/>
    <w:rsid w:val="00440733"/>
    <w:rsid w:val="004409B3"/>
    <w:rsid w:val="00440A66"/>
    <w:rsid w:val="00443BF5"/>
    <w:rsid w:val="00443F22"/>
    <w:rsid w:val="004448BE"/>
    <w:rsid w:val="00444990"/>
    <w:rsid w:val="00445F86"/>
    <w:rsid w:val="00446AF7"/>
    <w:rsid w:val="00446B4F"/>
    <w:rsid w:val="00446F61"/>
    <w:rsid w:val="00447455"/>
    <w:rsid w:val="00447C75"/>
    <w:rsid w:val="00450441"/>
    <w:rsid w:val="00450509"/>
    <w:rsid w:val="004507CD"/>
    <w:rsid w:val="004517AD"/>
    <w:rsid w:val="00452813"/>
    <w:rsid w:val="00453FDA"/>
    <w:rsid w:val="004544AB"/>
    <w:rsid w:val="004548BD"/>
    <w:rsid w:val="00454FC9"/>
    <w:rsid w:val="00455732"/>
    <w:rsid w:val="00455AE4"/>
    <w:rsid w:val="00455C5F"/>
    <w:rsid w:val="00455EB2"/>
    <w:rsid w:val="00456744"/>
    <w:rsid w:val="00456CF3"/>
    <w:rsid w:val="00456D8C"/>
    <w:rsid w:val="00457563"/>
    <w:rsid w:val="00457BFC"/>
    <w:rsid w:val="004601A3"/>
    <w:rsid w:val="004624C0"/>
    <w:rsid w:val="00462B8F"/>
    <w:rsid w:val="00463DCF"/>
    <w:rsid w:val="00463E1A"/>
    <w:rsid w:val="00464F92"/>
    <w:rsid w:val="00465651"/>
    <w:rsid w:val="00465DCA"/>
    <w:rsid w:val="00466129"/>
    <w:rsid w:val="00466231"/>
    <w:rsid w:val="00466316"/>
    <w:rsid w:val="0046632A"/>
    <w:rsid w:val="0046647B"/>
    <w:rsid w:val="00466724"/>
    <w:rsid w:val="004667E8"/>
    <w:rsid w:val="00467D51"/>
    <w:rsid w:val="00471F00"/>
    <w:rsid w:val="00471F49"/>
    <w:rsid w:val="00472769"/>
    <w:rsid w:val="00472AE9"/>
    <w:rsid w:val="004735D6"/>
    <w:rsid w:val="00473EBB"/>
    <w:rsid w:val="0047469E"/>
    <w:rsid w:val="00474883"/>
    <w:rsid w:val="004761DB"/>
    <w:rsid w:val="004771E3"/>
    <w:rsid w:val="004775FD"/>
    <w:rsid w:val="00477A96"/>
    <w:rsid w:val="00480664"/>
    <w:rsid w:val="00483524"/>
    <w:rsid w:val="00483A4F"/>
    <w:rsid w:val="00483F59"/>
    <w:rsid w:val="004848B7"/>
    <w:rsid w:val="00485462"/>
    <w:rsid w:val="00485D99"/>
    <w:rsid w:val="0048614B"/>
    <w:rsid w:val="0048668C"/>
    <w:rsid w:val="00486734"/>
    <w:rsid w:val="0048754B"/>
    <w:rsid w:val="004904DE"/>
    <w:rsid w:val="00490A8A"/>
    <w:rsid w:val="00491280"/>
    <w:rsid w:val="00491851"/>
    <w:rsid w:val="00491C0F"/>
    <w:rsid w:val="00491E9E"/>
    <w:rsid w:val="0049233C"/>
    <w:rsid w:val="00492A7D"/>
    <w:rsid w:val="00492C99"/>
    <w:rsid w:val="00492FC7"/>
    <w:rsid w:val="0049555D"/>
    <w:rsid w:val="00495FBE"/>
    <w:rsid w:val="00497F56"/>
    <w:rsid w:val="004A111F"/>
    <w:rsid w:val="004A3240"/>
    <w:rsid w:val="004A4743"/>
    <w:rsid w:val="004A4AD5"/>
    <w:rsid w:val="004A5232"/>
    <w:rsid w:val="004A6370"/>
    <w:rsid w:val="004A68AE"/>
    <w:rsid w:val="004A7B83"/>
    <w:rsid w:val="004B0578"/>
    <w:rsid w:val="004B0A6E"/>
    <w:rsid w:val="004B0DA4"/>
    <w:rsid w:val="004B1222"/>
    <w:rsid w:val="004B126B"/>
    <w:rsid w:val="004B12D7"/>
    <w:rsid w:val="004B1CD6"/>
    <w:rsid w:val="004B1DD5"/>
    <w:rsid w:val="004B1FF4"/>
    <w:rsid w:val="004B338C"/>
    <w:rsid w:val="004B33F5"/>
    <w:rsid w:val="004B3C43"/>
    <w:rsid w:val="004B3D51"/>
    <w:rsid w:val="004B6196"/>
    <w:rsid w:val="004B698A"/>
    <w:rsid w:val="004B75CF"/>
    <w:rsid w:val="004B7FD8"/>
    <w:rsid w:val="004C0AD4"/>
    <w:rsid w:val="004C10C8"/>
    <w:rsid w:val="004C12ED"/>
    <w:rsid w:val="004C3BB5"/>
    <w:rsid w:val="004C4040"/>
    <w:rsid w:val="004C51B6"/>
    <w:rsid w:val="004C52BD"/>
    <w:rsid w:val="004C6038"/>
    <w:rsid w:val="004C666A"/>
    <w:rsid w:val="004D0E12"/>
    <w:rsid w:val="004D18DE"/>
    <w:rsid w:val="004D2061"/>
    <w:rsid w:val="004D2758"/>
    <w:rsid w:val="004D30DE"/>
    <w:rsid w:val="004D4D3F"/>
    <w:rsid w:val="004D5476"/>
    <w:rsid w:val="004D5834"/>
    <w:rsid w:val="004D5C6A"/>
    <w:rsid w:val="004D5C91"/>
    <w:rsid w:val="004D6237"/>
    <w:rsid w:val="004E11C7"/>
    <w:rsid w:val="004E15AA"/>
    <w:rsid w:val="004E1B1C"/>
    <w:rsid w:val="004E24FF"/>
    <w:rsid w:val="004E36B1"/>
    <w:rsid w:val="004E38CA"/>
    <w:rsid w:val="004E39E5"/>
    <w:rsid w:val="004E3C1A"/>
    <w:rsid w:val="004E3F0A"/>
    <w:rsid w:val="004E3FD6"/>
    <w:rsid w:val="004E49BC"/>
    <w:rsid w:val="004E4CEF"/>
    <w:rsid w:val="004E543C"/>
    <w:rsid w:val="004E54E4"/>
    <w:rsid w:val="004E5DD6"/>
    <w:rsid w:val="004E65AE"/>
    <w:rsid w:val="004E666B"/>
    <w:rsid w:val="004E69FC"/>
    <w:rsid w:val="004E6AF3"/>
    <w:rsid w:val="004E6E32"/>
    <w:rsid w:val="004E7CDC"/>
    <w:rsid w:val="004F0DB3"/>
    <w:rsid w:val="004F1B2E"/>
    <w:rsid w:val="004F2AA7"/>
    <w:rsid w:val="004F3FF4"/>
    <w:rsid w:val="004F4637"/>
    <w:rsid w:val="004F49A4"/>
    <w:rsid w:val="004F4AB3"/>
    <w:rsid w:val="005004D9"/>
    <w:rsid w:val="005013D9"/>
    <w:rsid w:val="005017CA"/>
    <w:rsid w:val="00501E76"/>
    <w:rsid w:val="00502140"/>
    <w:rsid w:val="00502F09"/>
    <w:rsid w:val="005030D5"/>
    <w:rsid w:val="0050380D"/>
    <w:rsid w:val="00503921"/>
    <w:rsid w:val="00504566"/>
    <w:rsid w:val="005047BC"/>
    <w:rsid w:val="005056F5"/>
    <w:rsid w:val="00505815"/>
    <w:rsid w:val="00505C8C"/>
    <w:rsid w:val="005074C1"/>
    <w:rsid w:val="005077EE"/>
    <w:rsid w:val="00510038"/>
    <w:rsid w:val="00511582"/>
    <w:rsid w:val="005115AE"/>
    <w:rsid w:val="00511B07"/>
    <w:rsid w:val="00511B1A"/>
    <w:rsid w:val="00512A3D"/>
    <w:rsid w:val="00512C3B"/>
    <w:rsid w:val="00513750"/>
    <w:rsid w:val="00514031"/>
    <w:rsid w:val="0051455C"/>
    <w:rsid w:val="00514D5E"/>
    <w:rsid w:val="00514F44"/>
    <w:rsid w:val="00515614"/>
    <w:rsid w:val="00515EDB"/>
    <w:rsid w:val="005162BC"/>
    <w:rsid w:val="005173CB"/>
    <w:rsid w:val="00521363"/>
    <w:rsid w:val="00523067"/>
    <w:rsid w:val="005233B2"/>
    <w:rsid w:val="005234AB"/>
    <w:rsid w:val="0052394A"/>
    <w:rsid w:val="005239AE"/>
    <w:rsid w:val="00523B2B"/>
    <w:rsid w:val="00523BA0"/>
    <w:rsid w:val="005244AC"/>
    <w:rsid w:val="005247AB"/>
    <w:rsid w:val="00524857"/>
    <w:rsid w:val="00524C7C"/>
    <w:rsid w:val="00524CB1"/>
    <w:rsid w:val="00525C59"/>
    <w:rsid w:val="00525EF0"/>
    <w:rsid w:val="005263F8"/>
    <w:rsid w:val="00526C4D"/>
    <w:rsid w:val="00526F6C"/>
    <w:rsid w:val="00527337"/>
    <w:rsid w:val="00527D82"/>
    <w:rsid w:val="00527DD6"/>
    <w:rsid w:val="00530745"/>
    <w:rsid w:val="00531F51"/>
    <w:rsid w:val="00533EEC"/>
    <w:rsid w:val="005349EB"/>
    <w:rsid w:val="00536176"/>
    <w:rsid w:val="005362D0"/>
    <w:rsid w:val="005402F6"/>
    <w:rsid w:val="00541103"/>
    <w:rsid w:val="0054173C"/>
    <w:rsid w:val="00542A4E"/>
    <w:rsid w:val="005441B0"/>
    <w:rsid w:val="0054447B"/>
    <w:rsid w:val="005446ED"/>
    <w:rsid w:val="00544C1A"/>
    <w:rsid w:val="00544CDC"/>
    <w:rsid w:val="005455F9"/>
    <w:rsid w:val="00545EC1"/>
    <w:rsid w:val="00546368"/>
    <w:rsid w:val="005468BA"/>
    <w:rsid w:val="005469DC"/>
    <w:rsid w:val="00546ED2"/>
    <w:rsid w:val="00547024"/>
    <w:rsid w:val="00550C4E"/>
    <w:rsid w:val="005516B7"/>
    <w:rsid w:val="005522A2"/>
    <w:rsid w:val="0055255B"/>
    <w:rsid w:val="005526C7"/>
    <w:rsid w:val="00552A44"/>
    <w:rsid w:val="00553765"/>
    <w:rsid w:val="00553FF2"/>
    <w:rsid w:val="005550EB"/>
    <w:rsid w:val="005554BD"/>
    <w:rsid w:val="00555F21"/>
    <w:rsid w:val="00557C26"/>
    <w:rsid w:val="005603C6"/>
    <w:rsid w:val="00560AF3"/>
    <w:rsid w:val="00561737"/>
    <w:rsid w:val="00561C7E"/>
    <w:rsid w:val="00564352"/>
    <w:rsid w:val="00564BD6"/>
    <w:rsid w:val="0056588C"/>
    <w:rsid w:val="00565DC9"/>
    <w:rsid w:val="005660ED"/>
    <w:rsid w:val="00566529"/>
    <w:rsid w:val="00566858"/>
    <w:rsid w:val="00566A2F"/>
    <w:rsid w:val="00566BF6"/>
    <w:rsid w:val="00566CF2"/>
    <w:rsid w:val="00570A2E"/>
    <w:rsid w:val="00570D71"/>
    <w:rsid w:val="005710A6"/>
    <w:rsid w:val="005712D3"/>
    <w:rsid w:val="005715CF"/>
    <w:rsid w:val="0057404C"/>
    <w:rsid w:val="00574FCF"/>
    <w:rsid w:val="00575454"/>
    <w:rsid w:val="005755EF"/>
    <w:rsid w:val="00575889"/>
    <w:rsid w:val="00575A19"/>
    <w:rsid w:val="00576299"/>
    <w:rsid w:val="00576878"/>
    <w:rsid w:val="0057797B"/>
    <w:rsid w:val="00577BA6"/>
    <w:rsid w:val="00581FB3"/>
    <w:rsid w:val="00582F40"/>
    <w:rsid w:val="00583C9B"/>
    <w:rsid w:val="00584B7A"/>
    <w:rsid w:val="0058501F"/>
    <w:rsid w:val="00585D44"/>
    <w:rsid w:val="00585E2D"/>
    <w:rsid w:val="005879DC"/>
    <w:rsid w:val="005902C6"/>
    <w:rsid w:val="00591C8D"/>
    <w:rsid w:val="00592E1E"/>
    <w:rsid w:val="00592F39"/>
    <w:rsid w:val="00593F6B"/>
    <w:rsid w:val="00595240"/>
    <w:rsid w:val="005959C6"/>
    <w:rsid w:val="00596B35"/>
    <w:rsid w:val="005A01F2"/>
    <w:rsid w:val="005A048E"/>
    <w:rsid w:val="005A0D10"/>
    <w:rsid w:val="005A0E5D"/>
    <w:rsid w:val="005A15F1"/>
    <w:rsid w:val="005A1699"/>
    <w:rsid w:val="005A2D73"/>
    <w:rsid w:val="005A363D"/>
    <w:rsid w:val="005A4664"/>
    <w:rsid w:val="005A513D"/>
    <w:rsid w:val="005A5BA5"/>
    <w:rsid w:val="005A7292"/>
    <w:rsid w:val="005A7478"/>
    <w:rsid w:val="005A790B"/>
    <w:rsid w:val="005B1306"/>
    <w:rsid w:val="005B15E6"/>
    <w:rsid w:val="005B2634"/>
    <w:rsid w:val="005B29C8"/>
    <w:rsid w:val="005B31CB"/>
    <w:rsid w:val="005B39E5"/>
    <w:rsid w:val="005B39EA"/>
    <w:rsid w:val="005B4635"/>
    <w:rsid w:val="005B46BE"/>
    <w:rsid w:val="005B4832"/>
    <w:rsid w:val="005B4A10"/>
    <w:rsid w:val="005B4A84"/>
    <w:rsid w:val="005B5393"/>
    <w:rsid w:val="005B59FB"/>
    <w:rsid w:val="005B6639"/>
    <w:rsid w:val="005B78D6"/>
    <w:rsid w:val="005B7FBA"/>
    <w:rsid w:val="005C182F"/>
    <w:rsid w:val="005C2A11"/>
    <w:rsid w:val="005C30E9"/>
    <w:rsid w:val="005C43BB"/>
    <w:rsid w:val="005C65BA"/>
    <w:rsid w:val="005C69DF"/>
    <w:rsid w:val="005C6A8A"/>
    <w:rsid w:val="005C7C4F"/>
    <w:rsid w:val="005C7CA4"/>
    <w:rsid w:val="005D0A64"/>
    <w:rsid w:val="005D0B0A"/>
    <w:rsid w:val="005D1198"/>
    <w:rsid w:val="005D12FC"/>
    <w:rsid w:val="005D1876"/>
    <w:rsid w:val="005D19C9"/>
    <w:rsid w:val="005D35BE"/>
    <w:rsid w:val="005D46D3"/>
    <w:rsid w:val="005D5154"/>
    <w:rsid w:val="005D5353"/>
    <w:rsid w:val="005D5BAC"/>
    <w:rsid w:val="005D5DBD"/>
    <w:rsid w:val="005D5F0B"/>
    <w:rsid w:val="005D6D1C"/>
    <w:rsid w:val="005D6DDA"/>
    <w:rsid w:val="005D72A7"/>
    <w:rsid w:val="005E05E5"/>
    <w:rsid w:val="005E0A23"/>
    <w:rsid w:val="005E25D0"/>
    <w:rsid w:val="005E2631"/>
    <w:rsid w:val="005E3D13"/>
    <w:rsid w:val="005E5306"/>
    <w:rsid w:val="005E5B16"/>
    <w:rsid w:val="005E5F52"/>
    <w:rsid w:val="005E6311"/>
    <w:rsid w:val="005E65D7"/>
    <w:rsid w:val="005E677E"/>
    <w:rsid w:val="005E6895"/>
    <w:rsid w:val="005E7A15"/>
    <w:rsid w:val="005E7BF0"/>
    <w:rsid w:val="005F0258"/>
    <w:rsid w:val="005F0433"/>
    <w:rsid w:val="005F0451"/>
    <w:rsid w:val="005F0DE1"/>
    <w:rsid w:val="005F21AE"/>
    <w:rsid w:val="005F2254"/>
    <w:rsid w:val="005F2BBD"/>
    <w:rsid w:val="005F3248"/>
    <w:rsid w:val="005F35D9"/>
    <w:rsid w:val="005F4211"/>
    <w:rsid w:val="005F46E7"/>
    <w:rsid w:val="005F60DE"/>
    <w:rsid w:val="005F7A86"/>
    <w:rsid w:val="00601370"/>
    <w:rsid w:val="0060146C"/>
    <w:rsid w:val="00601524"/>
    <w:rsid w:val="00601B9A"/>
    <w:rsid w:val="00603097"/>
    <w:rsid w:val="006042A2"/>
    <w:rsid w:val="00604A88"/>
    <w:rsid w:val="00604ED1"/>
    <w:rsid w:val="00605A14"/>
    <w:rsid w:val="0060614A"/>
    <w:rsid w:val="006065FA"/>
    <w:rsid w:val="00606AF9"/>
    <w:rsid w:val="006077D9"/>
    <w:rsid w:val="006103F2"/>
    <w:rsid w:val="006105D3"/>
    <w:rsid w:val="00610646"/>
    <w:rsid w:val="00610DA4"/>
    <w:rsid w:val="00611099"/>
    <w:rsid w:val="00611BBE"/>
    <w:rsid w:val="00611EA9"/>
    <w:rsid w:val="006124EF"/>
    <w:rsid w:val="0061331C"/>
    <w:rsid w:val="00614115"/>
    <w:rsid w:val="0061414B"/>
    <w:rsid w:val="00614306"/>
    <w:rsid w:val="006148DB"/>
    <w:rsid w:val="0061565F"/>
    <w:rsid w:val="0061606D"/>
    <w:rsid w:val="00617330"/>
    <w:rsid w:val="00617B26"/>
    <w:rsid w:val="00617F64"/>
    <w:rsid w:val="0062146F"/>
    <w:rsid w:val="0062271A"/>
    <w:rsid w:val="00623FD1"/>
    <w:rsid w:val="00623FD3"/>
    <w:rsid w:val="00624E98"/>
    <w:rsid w:val="00625AF4"/>
    <w:rsid w:val="00625C99"/>
    <w:rsid w:val="0062636F"/>
    <w:rsid w:val="0062710A"/>
    <w:rsid w:val="00627773"/>
    <w:rsid w:val="006301C7"/>
    <w:rsid w:val="0063121A"/>
    <w:rsid w:val="00631414"/>
    <w:rsid w:val="006315E7"/>
    <w:rsid w:val="0063241C"/>
    <w:rsid w:val="0063266C"/>
    <w:rsid w:val="00632CA7"/>
    <w:rsid w:val="0063449E"/>
    <w:rsid w:val="00634562"/>
    <w:rsid w:val="006346F8"/>
    <w:rsid w:val="00634CB6"/>
    <w:rsid w:val="00634DBC"/>
    <w:rsid w:val="006357AD"/>
    <w:rsid w:val="00635AD3"/>
    <w:rsid w:val="00635AEC"/>
    <w:rsid w:val="00636A8E"/>
    <w:rsid w:val="006379EF"/>
    <w:rsid w:val="00640262"/>
    <w:rsid w:val="00641036"/>
    <w:rsid w:val="00641359"/>
    <w:rsid w:val="00641365"/>
    <w:rsid w:val="0064157F"/>
    <w:rsid w:val="00642400"/>
    <w:rsid w:val="00642AAF"/>
    <w:rsid w:val="006433C5"/>
    <w:rsid w:val="00643DE1"/>
    <w:rsid w:val="00644A55"/>
    <w:rsid w:val="006453F7"/>
    <w:rsid w:val="006463A6"/>
    <w:rsid w:val="00647D51"/>
    <w:rsid w:val="006500F6"/>
    <w:rsid w:val="006505E8"/>
    <w:rsid w:val="00650871"/>
    <w:rsid w:val="006515DC"/>
    <w:rsid w:val="006524FA"/>
    <w:rsid w:val="006529D3"/>
    <w:rsid w:val="00652B24"/>
    <w:rsid w:val="00652FA5"/>
    <w:rsid w:val="006531FB"/>
    <w:rsid w:val="00653BBB"/>
    <w:rsid w:val="006541A2"/>
    <w:rsid w:val="00654FCF"/>
    <w:rsid w:val="00655236"/>
    <w:rsid w:val="006553C9"/>
    <w:rsid w:val="00655DB3"/>
    <w:rsid w:val="0065621A"/>
    <w:rsid w:val="0065639B"/>
    <w:rsid w:val="0065780D"/>
    <w:rsid w:val="00657EA9"/>
    <w:rsid w:val="0066003A"/>
    <w:rsid w:val="00660235"/>
    <w:rsid w:val="00660984"/>
    <w:rsid w:val="00660F9F"/>
    <w:rsid w:val="006610FD"/>
    <w:rsid w:val="00661382"/>
    <w:rsid w:val="00661E41"/>
    <w:rsid w:val="00662956"/>
    <w:rsid w:val="006640D6"/>
    <w:rsid w:val="00664568"/>
    <w:rsid w:val="00664FA3"/>
    <w:rsid w:val="006669DD"/>
    <w:rsid w:val="00666AA0"/>
    <w:rsid w:val="00667241"/>
    <w:rsid w:val="00667D9D"/>
    <w:rsid w:val="00667F55"/>
    <w:rsid w:val="00670308"/>
    <w:rsid w:val="00670BFE"/>
    <w:rsid w:val="00670EAE"/>
    <w:rsid w:val="00672D19"/>
    <w:rsid w:val="00673061"/>
    <w:rsid w:val="0067328E"/>
    <w:rsid w:val="00674286"/>
    <w:rsid w:val="006742E0"/>
    <w:rsid w:val="00674B02"/>
    <w:rsid w:val="00675E41"/>
    <w:rsid w:val="00676562"/>
    <w:rsid w:val="00677A92"/>
    <w:rsid w:val="00677BBD"/>
    <w:rsid w:val="006806E1"/>
    <w:rsid w:val="00680ECE"/>
    <w:rsid w:val="00681022"/>
    <w:rsid w:val="00681EFF"/>
    <w:rsid w:val="00682379"/>
    <w:rsid w:val="0068459B"/>
    <w:rsid w:val="00685230"/>
    <w:rsid w:val="00686142"/>
    <w:rsid w:val="00686E60"/>
    <w:rsid w:val="0068758F"/>
    <w:rsid w:val="00687C45"/>
    <w:rsid w:val="00687F0E"/>
    <w:rsid w:val="00690572"/>
    <w:rsid w:val="00690B4E"/>
    <w:rsid w:val="00691C7A"/>
    <w:rsid w:val="00691EA4"/>
    <w:rsid w:val="006938EE"/>
    <w:rsid w:val="006946EC"/>
    <w:rsid w:val="00696B8E"/>
    <w:rsid w:val="00696EE3"/>
    <w:rsid w:val="006A0136"/>
    <w:rsid w:val="006A01B6"/>
    <w:rsid w:val="006A0759"/>
    <w:rsid w:val="006A1094"/>
    <w:rsid w:val="006A1467"/>
    <w:rsid w:val="006A14DF"/>
    <w:rsid w:val="006A1DE2"/>
    <w:rsid w:val="006A3080"/>
    <w:rsid w:val="006A35F0"/>
    <w:rsid w:val="006A3C41"/>
    <w:rsid w:val="006A4414"/>
    <w:rsid w:val="006A5251"/>
    <w:rsid w:val="006A52E1"/>
    <w:rsid w:val="006A53EA"/>
    <w:rsid w:val="006A5521"/>
    <w:rsid w:val="006A60E5"/>
    <w:rsid w:val="006A6724"/>
    <w:rsid w:val="006B0046"/>
    <w:rsid w:val="006B019D"/>
    <w:rsid w:val="006B1B23"/>
    <w:rsid w:val="006B300C"/>
    <w:rsid w:val="006B360F"/>
    <w:rsid w:val="006B3EC2"/>
    <w:rsid w:val="006B426F"/>
    <w:rsid w:val="006B504C"/>
    <w:rsid w:val="006B56D5"/>
    <w:rsid w:val="006B6CBA"/>
    <w:rsid w:val="006B7387"/>
    <w:rsid w:val="006C008E"/>
    <w:rsid w:val="006C00A1"/>
    <w:rsid w:val="006C0FE6"/>
    <w:rsid w:val="006C171E"/>
    <w:rsid w:val="006C1D84"/>
    <w:rsid w:val="006C235F"/>
    <w:rsid w:val="006C2790"/>
    <w:rsid w:val="006C2867"/>
    <w:rsid w:val="006C28EC"/>
    <w:rsid w:val="006C4489"/>
    <w:rsid w:val="006C48A6"/>
    <w:rsid w:val="006C49E0"/>
    <w:rsid w:val="006C4E54"/>
    <w:rsid w:val="006C525C"/>
    <w:rsid w:val="006C52E2"/>
    <w:rsid w:val="006C530A"/>
    <w:rsid w:val="006C598A"/>
    <w:rsid w:val="006C5B5D"/>
    <w:rsid w:val="006C5F2B"/>
    <w:rsid w:val="006C623D"/>
    <w:rsid w:val="006C67B3"/>
    <w:rsid w:val="006C7C00"/>
    <w:rsid w:val="006C7CCD"/>
    <w:rsid w:val="006D0306"/>
    <w:rsid w:val="006D088B"/>
    <w:rsid w:val="006D178C"/>
    <w:rsid w:val="006D1B10"/>
    <w:rsid w:val="006D2C7B"/>
    <w:rsid w:val="006D30F1"/>
    <w:rsid w:val="006D3A9C"/>
    <w:rsid w:val="006D45A3"/>
    <w:rsid w:val="006D5275"/>
    <w:rsid w:val="006D53E0"/>
    <w:rsid w:val="006D56FD"/>
    <w:rsid w:val="006D5D1C"/>
    <w:rsid w:val="006D5DD6"/>
    <w:rsid w:val="006D66C4"/>
    <w:rsid w:val="006E01D7"/>
    <w:rsid w:val="006E0582"/>
    <w:rsid w:val="006E0803"/>
    <w:rsid w:val="006E1061"/>
    <w:rsid w:val="006E26BF"/>
    <w:rsid w:val="006E366C"/>
    <w:rsid w:val="006E3DFB"/>
    <w:rsid w:val="006E3F65"/>
    <w:rsid w:val="006E44C5"/>
    <w:rsid w:val="006E4AF8"/>
    <w:rsid w:val="006E4EA4"/>
    <w:rsid w:val="006E589B"/>
    <w:rsid w:val="006E645E"/>
    <w:rsid w:val="006E647C"/>
    <w:rsid w:val="006E6F61"/>
    <w:rsid w:val="006E6F8E"/>
    <w:rsid w:val="006E771F"/>
    <w:rsid w:val="006E79B7"/>
    <w:rsid w:val="006F0492"/>
    <w:rsid w:val="006F07FC"/>
    <w:rsid w:val="006F1884"/>
    <w:rsid w:val="006F1984"/>
    <w:rsid w:val="006F2468"/>
    <w:rsid w:val="006F2DFA"/>
    <w:rsid w:val="006F4989"/>
    <w:rsid w:val="006F4B84"/>
    <w:rsid w:val="006F580D"/>
    <w:rsid w:val="006F6939"/>
    <w:rsid w:val="006F7036"/>
    <w:rsid w:val="006F7393"/>
    <w:rsid w:val="006F76DF"/>
    <w:rsid w:val="006F76EA"/>
    <w:rsid w:val="0070259B"/>
    <w:rsid w:val="0070385C"/>
    <w:rsid w:val="00703AA2"/>
    <w:rsid w:val="00705429"/>
    <w:rsid w:val="0070643D"/>
    <w:rsid w:val="007067BB"/>
    <w:rsid w:val="00707D37"/>
    <w:rsid w:val="0071227E"/>
    <w:rsid w:val="0071233A"/>
    <w:rsid w:val="007134B2"/>
    <w:rsid w:val="00714093"/>
    <w:rsid w:val="007141C4"/>
    <w:rsid w:val="007145FB"/>
    <w:rsid w:val="00714B52"/>
    <w:rsid w:val="00714CDD"/>
    <w:rsid w:val="00717414"/>
    <w:rsid w:val="00722048"/>
    <w:rsid w:val="0072244E"/>
    <w:rsid w:val="00722855"/>
    <w:rsid w:val="0072314F"/>
    <w:rsid w:val="0072349A"/>
    <w:rsid w:val="00723C1D"/>
    <w:rsid w:val="0072512D"/>
    <w:rsid w:val="00726A40"/>
    <w:rsid w:val="00727902"/>
    <w:rsid w:val="00727A4D"/>
    <w:rsid w:val="00727FA5"/>
    <w:rsid w:val="0073006E"/>
    <w:rsid w:val="0073012E"/>
    <w:rsid w:val="007308C6"/>
    <w:rsid w:val="007315EB"/>
    <w:rsid w:val="007319D8"/>
    <w:rsid w:val="007327C6"/>
    <w:rsid w:val="00732A62"/>
    <w:rsid w:val="00732DC1"/>
    <w:rsid w:val="00732E82"/>
    <w:rsid w:val="007336EB"/>
    <w:rsid w:val="007340EC"/>
    <w:rsid w:val="00736687"/>
    <w:rsid w:val="007368AE"/>
    <w:rsid w:val="00737893"/>
    <w:rsid w:val="00737A98"/>
    <w:rsid w:val="007400EF"/>
    <w:rsid w:val="00740FA3"/>
    <w:rsid w:val="00741AC4"/>
    <w:rsid w:val="00741B22"/>
    <w:rsid w:val="00743556"/>
    <w:rsid w:val="00743627"/>
    <w:rsid w:val="00743D03"/>
    <w:rsid w:val="00743E93"/>
    <w:rsid w:val="00744E3C"/>
    <w:rsid w:val="00745EE5"/>
    <w:rsid w:val="007509AB"/>
    <w:rsid w:val="007510A7"/>
    <w:rsid w:val="00751A20"/>
    <w:rsid w:val="00752128"/>
    <w:rsid w:val="0075224B"/>
    <w:rsid w:val="00753104"/>
    <w:rsid w:val="0075472C"/>
    <w:rsid w:val="00754DCC"/>
    <w:rsid w:val="0075515A"/>
    <w:rsid w:val="007553FB"/>
    <w:rsid w:val="007558E9"/>
    <w:rsid w:val="00755E27"/>
    <w:rsid w:val="0075772C"/>
    <w:rsid w:val="00760100"/>
    <w:rsid w:val="007604BE"/>
    <w:rsid w:val="007606C6"/>
    <w:rsid w:val="00760E1B"/>
    <w:rsid w:val="00760F8E"/>
    <w:rsid w:val="0076137F"/>
    <w:rsid w:val="00761C44"/>
    <w:rsid w:val="00762773"/>
    <w:rsid w:val="007629F7"/>
    <w:rsid w:val="00762A44"/>
    <w:rsid w:val="0076318C"/>
    <w:rsid w:val="00764510"/>
    <w:rsid w:val="0076499A"/>
    <w:rsid w:val="00764D5C"/>
    <w:rsid w:val="00766324"/>
    <w:rsid w:val="00766995"/>
    <w:rsid w:val="00767670"/>
    <w:rsid w:val="00767B5C"/>
    <w:rsid w:val="00767B5D"/>
    <w:rsid w:val="00767C90"/>
    <w:rsid w:val="00767ECF"/>
    <w:rsid w:val="00770552"/>
    <w:rsid w:val="00772124"/>
    <w:rsid w:val="007725D7"/>
    <w:rsid w:val="0077289F"/>
    <w:rsid w:val="007728B6"/>
    <w:rsid w:val="00773617"/>
    <w:rsid w:val="0077391D"/>
    <w:rsid w:val="0077456D"/>
    <w:rsid w:val="0077598C"/>
    <w:rsid w:val="00776070"/>
    <w:rsid w:val="007763C8"/>
    <w:rsid w:val="00776476"/>
    <w:rsid w:val="0077652A"/>
    <w:rsid w:val="007768E7"/>
    <w:rsid w:val="00777192"/>
    <w:rsid w:val="00777A04"/>
    <w:rsid w:val="00777DF8"/>
    <w:rsid w:val="007805AC"/>
    <w:rsid w:val="007805CF"/>
    <w:rsid w:val="00781860"/>
    <w:rsid w:val="007818CF"/>
    <w:rsid w:val="00782B8E"/>
    <w:rsid w:val="00782D1C"/>
    <w:rsid w:val="007831D7"/>
    <w:rsid w:val="0078359E"/>
    <w:rsid w:val="00783715"/>
    <w:rsid w:val="00783871"/>
    <w:rsid w:val="0078414A"/>
    <w:rsid w:val="00784655"/>
    <w:rsid w:val="00784ABF"/>
    <w:rsid w:val="00786A41"/>
    <w:rsid w:val="00786D61"/>
    <w:rsid w:val="00787241"/>
    <w:rsid w:val="007925A9"/>
    <w:rsid w:val="007925EE"/>
    <w:rsid w:val="00792AC0"/>
    <w:rsid w:val="00792BB5"/>
    <w:rsid w:val="00793410"/>
    <w:rsid w:val="007936F1"/>
    <w:rsid w:val="0079382D"/>
    <w:rsid w:val="007942B9"/>
    <w:rsid w:val="00795315"/>
    <w:rsid w:val="00796918"/>
    <w:rsid w:val="007969C5"/>
    <w:rsid w:val="00796B79"/>
    <w:rsid w:val="00796DBB"/>
    <w:rsid w:val="007A0208"/>
    <w:rsid w:val="007A029E"/>
    <w:rsid w:val="007A043A"/>
    <w:rsid w:val="007A1D5A"/>
    <w:rsid w:val="007A1F8C"/>
    <w:rsid w:val="007A3000"/>
    <w:rsid w:val="007A3F47"/>
    <w:rsid w:val="007A4296"/>
    <w:rsid w:val="007A4A38"/>
    <w:rsid w:val="007A4B86"/>
    <w:rsid w:val="007A6960"/>
    <w:rsid w:val="007A72AC"/>
    <w:rsid w:val="007A778F"/>
    <w:rsid w:val="007A7BF5"/>
    <w:rsid w:val="007A7F93"/>
    <w:rsid w:val="007B0871"/>
    <w:rsid w:val="007B120F"/>
    <w:rsid w:val="007B134D"/>
    <w:rsid w:val="007B1442"/>
    <w:rsid w:val="007B1EA3"/>
    <w:rsid w:val="007B2B23"/>
    <w:rsid w:val="007B2E82"/>
    <w:rsid w:val="007B3CEC"/>
    <w:rsid w:val="007B3E31"/>
    <w:rsid w:val="007B470B"/>
    <w:rsid w:val="007B5B45"/>
    <w:rsid w:val="007B5CBF"/>
    <w:rsid w:val="007B6780"/>
    <w:rsid w:val="007B7085"/>
    <w:rsid w:val="007B745D"/>
    <w:rsid w:val="007B74DD"/>
    <w:rsid w:val="007B7CE9"/>
    <w:rsid w:val="007C0221"/>
    <w:rsid w:val="007C0DCD"/>
    <w:rsid w:val="007C0E9E"/>
    <w:rsid w:val="007C23B8"/>
    <w:rsid w:val="007C2C50"/>
    <w:rsid w:val="007C37CE"/>
    <w:rsid w:val="007C397E"/>
    <w:rsid w:val="007C3A40"/>
    <w:rsid w:val="007C3C6C"/>
    <w:rsid w:val="007C46CC"/>
    <w:rsid w:val="007C4A78"/>
    <w:rsid w:val="007C5ACB"/>
    <w:rsid w:val="007C5CAC"/>
    <w:rsid w:val="007C6085"/>
    <w:rsid w:val="007C62C0"/>
    <w:rsid w:val="007C680D"/>
    <w:rsid w:val="007C7CB9"/>
    <w:rsid w:val="007D04C9"/>
    <w:rsid w:val="007D0B47"/>
    <w:rsid w:val="007D2467"/>
    <w:rsid w:val="007D29AA"/>
    <w:rsid w:val="007D32C2"/>
    <w:rsid w:val="007D379D"/>
    <w:rsid w:val="007D5153"/>
    <w:rsid w:val="007D629D"/>
    <w:rsid w:val="007D6651"/>
    <w:rsid w:val="007D69F9"/>
    <w:rsid w:val="007D77BD"/>
    <w:rsid w:val="007E0642"/>
    <w:rsid w:val="007E0D73"/>
    <w:rsid w:val="007E1D78"/>
    <w:rsid w:val="007E1D90"/>
    <w:rsid w:val="007E202B"/>
    <w:rsid w:val="007E2709"/>
    <w:rsid w:val="007E2F19"/>
    <w:rsid w:val="007E460F"/>
    <w:rsid w:val="007E4A40"/>
    <w:rsid w:val="007E4CAD"/>
    <w:rsid w:val="007E5311"/>
    <w:rsid w:val="007E55B2"/>
    <w:rsid w:val="007E707F"/>
    <w:rsid w:val="007E7342"/>
    <w:rsid w:val="007E74B3"/>
    <w:rsid w:val="007E791F"/>
    <w:rsid w:val="007E7B40"/>
    <w:rsid w:val="007E7DE6"/>
    <w:rsid w:val="007F0752"/>
    <w:rsid w:val="007F0949"/>
    <w:rsid w:val="007F099A"/>
    <w:rsid w:val="007F30FF"/>
    <w:rsid w:val="007F32F4"/>
    <w:rsid w:val="007F33BD"/>
    <w:rsid w:val="007F3A67"/>
    <w:rsid w:val="007F3C40"/>
    <w:rsid w:val="007F50A0"/>
    <w:rsid w:val="007F53E8"/>
    <w:rsid w:val="007F55D3"/>
    <w:rsid w:val="007F62F9"/>
    <w:rsid w:val="007F6FAF"/>
    <w:rsid w:val="007F779D"/>
    <w:rsid w:val="008000AC"/>
    <w:rsid w:val="0080061C"/>
    <w:rsid w:val="008007C5"/>
    <w:rsid w:val="00802998"/>
    <w:rsid w:val="00803A09"/>
    <w:rsid w:val="00804781"/>
    <w:rsid w:val="00804823"/>
    <w:rsid w:val="008054CA"/>
    <w:rsid w:val="00805521"/>
    <w:rsid w:val="00805685"/>
    <w:rsid w:val="008061B2"/>
    <w:rsid w:val="00806770"/>
    <w:rsid w:val="00807F57"/>
    <w:rsid w:val="00810931"/>
    <w:rsid w:val="00810A7D"/>
    <w:rsid w:val="0081130A"/>
    <w:rsid w:val="008118A8"/>
    <w:rsid w:val="0081275A"/>
    <w:rsid w:val="00812AB2"/>
    <w:rsid w:val="00812E92"/>
    <w:rsid w:val="00812EB8"/>
    <w:rsid w:val="0081323D"/>
    <w:rsid w:val="008132BC"/>
    <w:rsid w:val="00813496"/>
    <w:rsid w:val="00814516"/>
    <w:rsid w:val="00814B10"/>
    <w:rsid w:val="00814F00"/>
    <w:rsid w:val="008165E4"/>
    <w:rsid w:val="00816B7D"/>
    <w:rsid w:val="00816D02"/>
    <w:rsid w:val="00817588"/>
    <w:rsid w:val="00817D5B"/>
    <w:rsid w:val="00820E02"/>
    <w:rsid w:val="008214E8"/>
    <w:rsid w:val="0082309E"/>
    <w:rsid w:val="008241BC"/>
    <w:rsid w:val="00824AA5"/>
    <w:rsid w:val="0082563D"/>
    <w:rsid w:val="00826BD5"/>
    <w:rsid w:val="008271E2"/>
    <w:rsid w:val="00827A32"/>
    <w:rsid w:val="008304DB"/>
    <w:rsid w:val="00830991"/>
    <w:rsid w:val="00830F7C"/>
    <w:rsid w:val="00830FE0"/>
    <w:rsid w:val="00831186"/>
    <w:rsid w:val="008317A3"/>
    <w:rsid w:val="00831A89"/>
    <w:rsid w:val="00831B8E"/>
    <w:rsid w:val="00831B99"/>
    <w:rsid w:val="00831BD3"/>
    <w:rsid w:val="00832068"/>
    <w:rsid w:val="008328B3"/>
    <w:rsid w:val="00832DB8"/>
    <w:rsid w:val="008345A4"/>
    <w:rsid w:val="0083476E"/>
    <w:rsid w:val="00834DC3"/>
    <w:rsid w:val="00834F7C"/>
    <w:rsid w:val="008355BB"/>
    <w:rsid w:val="0083596C"/>
    <w:rsid w:val="00835D00"/>
    <w:rsid w:val="00836431"/>
    <w:rsid w:val="008367F4"/>
    <w:rsid w:val="008371C5"/>
    <w:rsid w:val="00840555"/>
    <w:rsid w:val="008427D0"/>
    <w:rsid w:val="00843354"/>
    <w:rsid w:val="008435BA"/>
    <w:rsid w:val="00843B45"/>
    <w:rsid w:val="00843CC0"/>
    <w:rsid w:val="00844093"/>
    <w:rsid w:val="0084448A"/>
    <w:rsid w:val="00844965"/>
    <w:rsid w:val="008450D1"/>
    <w:rsid w:val="00845871"/>
    <w:rsid w:val="00847343"/>
    <w:rsid w:val="0084753E"/>
    <w:rsid w:val="00847560"/>
    <w:rsid w:val="00850658"/>
    <w:rsid w:val="00850745"/>
    <w:rsid w:val="00851895"/>
    <w:rsid w:val="00851A48"/>
    <w:rsid w:val="00851B13"/>
    <w:rsid w:val="00854898"/>
    <w:rsid w:val="00854E3F"/>
    <w:rsid w:val="00855CBB"/>
    <w:rsid w:val="0085747B"/>
    <w:rsid w:val="008576C0"/>
    <w:rsid w:val="0085780E"/>
    <w:rsid w:val="00860100"/>
    <w:rsid w:val="00862859"/>
    <w:rsid w:val="008629AD"/>
    <w:rsid w:val="008647DB"/>
    <w:rsid w:val="008649D9"/>
    <w:rsid w:val="00864ACB"/>
    <w:rsid w:val="00865E8E"/>
    <w:rsid w:val="0086611B"/>
    <w:rsid w:val="008661F3"/>
    <w:rsid w:val="00866B2D"/>
    <w:rsid w:val="00866CE2"/>
    <w:rsid w:val="00867110"/>
    <w:rsid w:val="0086765C"/>
    <w:rsid w:val="00867DFD"/>
    <w:rsid w:val="008702D5"/>
    <w:rsid w:val="0087043A"/>
    <w:rsid w:val="00871592"/>
    <w:rsid w:val="00872291"/>
    <w:rsid w:val="0087251A"/>
    <w:rsid w:val="00872C4D"/>
    <w:rsid w:val="00873493"/>
    <w:rsid w:val="00874AFD"/>
    <w:rsid w:val="00874EA8"/>
    <w:rsid w:val="00874ED0"/>
    <w:rsid w:val="00875C47"/>
    <w:rsid w:val="00875D54"/>
    <w:rsid w:val="008805EC"/>
    <w:rsid w:val="0088099A"/>
    <w:rsid w:val="00880CFF"/>
    <w:rsid w:val="0088191E"/>
    <w:rsid w:val="00885193"/>
    <w:rsid w:val="00885900"/>
    <w:rsid w:val="008867D9"/>
    <w:rsid w:val="00886EA3"/>
    <w:rsid w:val="00887817"/>
    <w:rsid w:val="00887D55"/>
    <w:rsid w:val="00887DE9"/>
    <w:rsid w:val="00887F5E"/>
    <w:rsid w:val="00890356"/>
    <w:rsid w:val="00891259"/>
    <w:rsid w:val="008915C6"/>
    <w:rsid w:val="00891DA2"/>
    <w:rsid w:val="00892165"/>
    <w:rsid w:val="0089362B"/>
    <w:rsid w:val="00893700"/>
    <w:rsid w:val="00893E03"/>
    <w:rsid w:val="00894247"/>
    <w:rsid w:val="008944D8"/>
    <w:rsid w:val="00894A46"/>
    <w:rsid w:val="00894D98"/>
    <w:rsid w:val="00896882"/>
    <w:rsid w:val="00897C5E"/>
    <w:rsid w:val="008A01E9"/>
    <w:rsid w:val="008A08D6"/>
    <w:rsid w:val="008A0E6B"/>
    <w:rsid w:val="008A1726"/>
    <w:rsid w:val="008A342A"/>
    <w:rsid w:val="008A36A3"/>
    <w:rsid w:val="008A373D"/>
    <w:rsid w:val="008A3741"/>
    <w:rsid w:val="008A3A6F"/>
    <w:rsid w:val="008A3C33"/>
    <w:rsid w:val="008A3EF1"/>
    <w:rsid w:val="008A418B"/>
    <w:rsid w:val="008A422A"/>
    <w:rsid w:val="008A651D"/>
    <w:rsid w:val="008A656A"/>
    <w:rsid w:val="008A67D0"/>
    <w:rsid w:val="008A6940"/>
    <w:rsid w:val="008A79BC"/>
    <w:rsid w:val="008B041F"/>
    <w:rsid w:val="008B14C7"/>
    <w:rsid w:val="008B155A"/>
    <w:rsid w:val="008B1765"/>
    <w:rsid w:val="008B27A9"/>
    <w:rsid w:val="008B44E0"/>
    <w:rsid w:val="008B4753"/>
    <w:rsid w:val="008B4994"/>
    <w:rsid w:val="008B4B3A"/>
    <w:rsid w:val="008B5A6D"/>
    <w:rsid w:val="008B5ECF"/>
    <w:rsid w:val="008B6169"/>
    <w:rsid w:val="008B66FA"/>
    <w:rsid w:val="008B6BBE"/>
    <w:rsid w:val="008B7050"/>
    <w:rsid w:val="008B738A"/>
    <w:rsid w:val="008B73B5"/>
    <w:rsid w:val="008B7CB3"/>
    <w:rsid w:val="008C36D7"/>
    <w:rsid w:val="008C3E5C"/>
    <w:rsid w:val="008C4799"/>
    <w:rsid w:val="008C549B"/>
    <w:rsid w:val="008C60D8"/>
    <w:rsid w:val="008C6A84"/>
    <w:rsid w:val="008C6BA6"/>
    <w:rsid w:val="008C7930"/>
    <w:rsid w:val="008D02EB"/>
    <w:rsid w:val="008D0E58"/>
    <w:rsid w:val="008D0EA0"/>
    <w:rsid w:val="008D0F79"/>
    <w:rsid w:val="008D125D"/>
    <w:rsid w:val="008D2428"/>
    <w:rsid w:val="008D2AEC"/>
    <w:rsid w:val="008D315C"/>
    <w:rsid w:val="008D4BDB"/>
    <w:rsid w:val="008D54C2"/>
    <w:rsid w:val="008D5B4C"/>
    <w:rsid w:val="008D6239"/>
    <w:rsid w:val="008D64A2"/>
    <w:rsid w:val="008D6F6B"/>
    <w:rsid w:val="008D71D1"/>
    <w:rsid w:val="008D7317"/>
    <w:rsid w:val="008D77F0"/>
    <w:rsid w:val="008E0600"/>
    <w:rsid w:val="008E2A4B"/>
    <w:rsid w:val="008E2E27"/>
    <w:rsid w:val="008E3EB6"/>
    <w:rsid w:val="008E4566"/>
    <w:rsid w:val="008E47F8"/>
    <w:rsid w:val="008E49E5"/>
    <w:rsid w:val="008E4B82"/>
    <w:rsid w:val="008E5F4F"/>
    <w:rsid w:val="008E6B65"/>
    <w:rsid w:val="008F040E"/>
    <w:rsid w:val="008F050B"/>
    <w:rsid w:val="008F0E13"/>
    <w:rsid w:val="008F1186"/>
    <w:rsid w:val="008F140A"/>
    <w:rsid w:val="008F2738"/>
    <w:rsid w:val="008F28B7"/>
    <w:rsid w:val="008F2BB7"/>
    <w:rsid w:val="008F3099"/>
    <w:rsid w:val="008F347C"/>
    <w:rsid w:val="008F3B19"/>
    <w:rsid w:val="008F4686"/>
    <w:rsid w:val="008F55A4"/>
    <w:rsid w:val="008F58FC"/>
    <w:rsid w:val="008F6749"/>
    <w:rsid w:val="008F690B"/>
    <w:rsid w:val="008F743A"/>
    <w:rsid w:val="008F7B7C"/>
    <w:rsid w:val="008F7BFC"/>
    <w:rsid w:val="00900789"/>
    <w:rsid w:val="0090082B"/>
    <w:rsid w:val="00900EC5"/>
    <w:rsid w:val="00901CBF"/>
    <w:rsid w:val="009023DA"/>
    <w:rsid w:val="009036B7"/>
    <w:rsid w:val="00903C24"/>
    <w:rsid w:val="00903D85"/>
    <w:rsid w:val="00903FF5"/>
    <w:rsid w:val="00904326"/>
    <w:rsid w:val="009047DA"/>
    <w:rsid w:val="0090523A"/>
    <w:rsid w:val="009059A1"/>
    <w:rsid w:val="00905AA5"/>
    <w:rsid w:val="00906402"/>
    <w:rsid w:val="009064A3"/>
    <w:rsid w:val="00906A3D"/>
    <w:rsid w:val="0090716A"/>
    <w:rsid w:val="00907AB5"/>
    <w:rsid w:val="00907BE0"/>
    <w:rsid w:val="00907C06"/>
    <w:rsid w:val="00911941"/>
    <w:rsid w:val="0091278B"/>
    <w:rsid w:val="00913444"/>
    <w:rsid w:val="0091400E"/>
    <w:rsid w:val="00914D99"/>
    <w:rsid w:val="009154F6"/>
    <w:rsid w:val="009157A6"/>
    <w:rsid w:val="00915AB4"/>
    <w:rsid w:val="0091635F"/>
    <w:rsid w:val="00916379"/>
    <w:rsid w:val="0091752B"/>
    <w:rsid w:val="00917DA9"/>
    <w:rsid w:val="00920779"/>
    <w:rsid w:val="00920D4D"/>
    <w:rsid w:val="00921220"/>
    <w:rsid w:val="00921D25"/>
    <w:rsid w:val="009225CF"/>
    <w:rsid w:val="00922650"/>
    <w:rsid w:val="009227DF"/>
    <w:rsid w:val="00922FB2"/>
    <w:rsid w:val="0092332F"/>
    <w:rsid w:val="0092369E"/>
    <w:rsid w:val="00924619"/>
    <w:rsid w:val="009247A6"/>
    <w:rsid w:val="00924C1B"/>
    <w:rsid w:val="00924D68"/>
    <w:rsid w:val="00924DE7"/>
    <w:rsid w:val="00925ACB"/>
    <w:rsid w:val="0092712A"/>
    <w:rsid w:val="009272AD"/>
    <w:rsid w:val="00930328"/>
    <w:rsid w:val="0093059B"/>
    <w:rsid w:val="00930C55"/>
    <w:rsid w:val="00931120"/>
    <w:rsid w:val="0093139B"/>
    <w:rsid w:val="0093187B"/>
    <w:rsid w:val="0093191F"/>
    <w:rsid w:val="00932068"/>
    <w:rsid w:val="009321B0"/>
    <w:rsid w:val="009325F5"/>
    <w:rsid w:val="00932622"/>
    <w:rsid w:val="009355A7"/>
    <w:rsid w:val="009376A2"/>
    <w:rsid w:val="00937737"/>
    <w:rsid w:val="009406E4"/>
    <w:rsid w:val="0094075B"/>
    <w:rsid w:val="0094092E"/>
    <w:rsid w:val="00940966"/>
    <w:rsid w:val="00940CA3"/>
    <w:rsid w:val="00942D69"/>
    <w:rsid w:val="00943240"/>
    <w:rsid w:val="00943F52"/>
    <w:rsid w:val="0094437C"/>
    <w:rsid w:val="00944464"/>
    <w:rsid w:val="00944BD7"/>
    <w:rsid w:val="009457A8"/>
    <w:rsid w:val="00945987"/>
    <w:rsid w:val="00946073"/>
    <w:rsid w:val="00946CC9"/>
    <w:rsid w:val="009471B3"/>
    <w:rsid w:val="00947588"/>
    <w:rsid w:val="00947C1C"/>
    <w:rsid w:val="00947F56"/>
    <w:rsid w:val="00950149"/>
    <w:rsid w:val="009503E1"/>
    <w:rsid w:val="009504D7"/>
    <w:rsid w:val="00950728"/>
    <w:rsid w:val="009511E0"/>
    <w:rsid w:val="0095226F"/>
    <w:rsid w:val="009522B0"/>
    <w:rsid w:val="009547CA"/>
    <w:rsid w:val="0095571D"/>
    <w:rsid w:val="00955CF3"/>
    <w:rsid w:val="00957001"/>
    <w:rsid w:val="00957279"/>
    <w:rsid w:val="009579C9"/>
    <w:rsid w:val="0096022D"/>
    <w:rsid w:val="00961451"/>
    <w:rsid w:val="00961809"/>
    <w:rsid w:val="00961B6E"/>
    <w:rsid w:val="009624AA"/>
    <w:rsid w:val="009624D8"/>
    <w:rsid w:val="009625F5"/>
    <w:rsid w:val="009629A3"/>
    <w:rsid w:val="00962CD5"/>
    <w:rsid w:val="00963589"/>
    <w:rsid w:val="009644BF"/>
    <w:rsid w:val="009656B8"/>
    <w:rsid w:val="00966699"/>
    <w:rsid w:val="00966DE5"/>
    <w:rsid w:val="009677EE"/>
    <w:rsid w:val="00970A2B"/>
    <w:rsid w:val="009712A5"/>
    <w:rsid w:val="00971CC4"/>
    <w:rsid w:val="00971D96"/>
    <w:rsid w:val="00971F0A"/>
    <w:rsid w:val="00971FEE"/>
    <w:rsid w:val="00972076"/>
    <w:rsid w:val="009737F2"/>
    <w:rsid w:val="00973A76"/>
    <w:rsid w:val="00973F5F"/>
    <w:rsid w:val="0097401A"/>
    <w:rsid w:val="009740D9"/>
    <w:rsid w:val="00974346"/>
    <w:rsid w:val="009746CC"/>
    <w:rsid w:val="0097510D"/>
    <w:rsid w:val="009761DB"/>
    <w:rsid w:val="00977FB7"/>
    <w:rsid w:val="009807DE"/>
    <w:rsid w:val="0098113F"/>
    <w:rsid w:val="00981E96"/>
    <w:rsid w:val="00983671"/>
    <w:rsid w:val="009847B1"/>
    <w:rsid w:val="009847F9"/>
    <w:rsid w:val="00987035"/>
    <w:rsid w:val="00987881"/>
    <w:rsid w:val="00987A50"/>
    <w:rsid w:val="00987EF1"/>
    <w:rsid w:val="00990099"/>
    <w:rsid w:val="00991509"/>
    <w:rsid w:val="00992B56"/>
    <w:rsid w:val="00992CE5"/>
    <w:rsid w:val="0099329F"/>
    <w:rsid w:val="009940F9"/>
    <w:rsid w:val="00995369"/>
    <w:rsid w:val="0099545D"/>
    <w:rsid w:val="0099667A"/>
    <w:rsid w:val="00996C43"/>
    <w:rsid w:val="009A0C84"/>
    <w:rsid w:val="009A0E9C"/>
    <w:rsid w:val="009A1113"/>
    <w:rsid w:val="009A17B4"/>
    <w:rsid w:val="009A1849"/>
    <w:rsid w:val="009A20A6"/>
    <w:rsid w:val="009A2174"/>
    <w:rsid w:val="009A221E"/>
    <w:rsid w:val="009A2881"/>
    <w:rsid w:val="009A367A"/>
    <w:rsid w:val="009A5287"/>
    <w:rsid w:val="009A563A"/>
    <w:rsid w:val="009A64A5"/>
    <w:rsid w:val="009A6776"/>
    <w:rsid w:val="009A732A"/>
    <w:rsid w:val="009B1A54"/>
    <w:rsid w:val="009B1EDA"/>
    <w:rsid w:val="009B2BDD"/>
    <w:rsid w:val="009B2E3C"/>
    <w:rsid w:val="009B383C"/>
    <w:rsid w:val="009B4442"/>
    <w:rsid w:val="009B55DC"/>
    <w:rsid w:val="009B5B2E"/>
    <w:rsid w:val="009B6D0B"/>
    <w:rsid w:val="009C1357"/>
    <w:rsid w:val="009C1B8D"/>
    <w:rsid w:val="009C25E2"/>
    <w:rsid w:val="009C27C8"/>
    <w:rsid w:val="009C2838"/>
    <w:rsid w:val="009C41C6"/>
    <w:rsid w:val="009C5595"/>
    <w:rsid w:val="009C569A"/>
    <w:rsid w:val="009C6BB2"/>
    <w:rsid w:val="009C7A52"/>
    <w:rsid w:val="009C7ED5"/>
    <w:rsid w:val="009D0150"/>
    <w:rsid w:val="009D02C0"/>
    <w:rsid w:val="009D03E9"/>
    <w:rsid w:val="009D1097"/>
    <w:rsid w:val="009D1EE0"/>
    <w:rsid w:val="009D2AF0"/>
    <w:rsid w:val="009D2C27"/>
    <w:rsid w:val="009D48BA"/>
    <w:rsid w:val="009D5831"/>
    <w:rsid w:val="009D6909"/>
    <w:rsid w:val="009D79E8"/>
    <w:rsid w:val="009E01E4"/>
    <w:rsid w:val="009E08EC"/>
    <w:rsid w:val="009E0A77"/>
    <w:rsid w:val="009E1087"/>
    <w:rsid w:val="009E2350"/>
    <w:rsid w:val="009E2919"/>
    <w:rsid w:val="009E42F5"/>
    <w:rsid w:val="009E4400"/>
    <w:rsid w:val="009E48B9"/>
    <w:rsid w:val="009E4ECB"/>
    <w:rsid w:val="009E4FA5"/>
    <w:rsid w:val="009E51FD"/>
    <w:rsid w:val="009E7041"/>
    <w:rsid w:val="009E774B"/>
    <w:rsid w:val="009F0F38"/>
    <w:rsid w:val="009F15CB"/>
    <w:rsid w:val="009F17E6"/>
    <w:rsid w:val="009F1992"/>
    <w:rsid w:val="009F2DF6"/>
    <w:rsid w:val="009F467D"/>
    <w:rsid w:val="009F506A"/>
    <w:rsid w:val="009F5969"/>
    <w:rsid w:val="009F6203"/>
    <w:rsid w:val="009F69C9"/>
    <w:rsid w:val="009F7E6E"/>
    <w:rsid w:val="00A00B25"/>
    <w:rsid w:val="00A02315"/>
    <w:rsid w:val="00A02502"/>
    <w:rsid w:val="00A03EF4"/>
    <w:rsid w:val="00A04409"/>
    <w:rsid w:val="00A0528A"/>
    <w:rsid w:val="00A05743"/>
    <w:rsid w:val="00A05F4D"/>
    <w:rsid w:val="00A06DAC"/>
    <w:rsid w:val="00A07EA2"/>
    <w:rsid w:val="00A1039D"/>
    <w:rsid w:val="00A1238C"/>
    <w:rsid w:val="00A123F7"/>
    <w:rsid w:val="00A125D4"/>
    <w:rsid w:val="00A1436A"/>
    <w:rsid w:val="00A15225"/>
    <w:rsid w:val="00A15314"/>
    <w:rsid w:val="00A16277"/>
    <w:rsid w:val="00A1628C"/>
    <w:rsid w:val="00A1628F"/>
    <w:rsid w:val="00A16BD0"/>
    <w:rsid w:val="00A16D04"/>
    <w:rsid w:val="00A20705"/>
    <w:rsid w:val="00A20A52"/>
    <w:rsid w:val="00A22463"/>
    <w:rsid w:val="00A2420E"/>
    <w:rsid w:val="00A2473A"/>
    <w:rsid w:val="00A251AD"/>
    <w:rsid w:val="00A25274"/>
    <w:rsid w:val="00A25752"/>
    <w:rsid w:val="00A25A7A"/>
    <w:rsid w:val="00A2642A"/>
    <w:rsid w:val="00A26638"/>
    <w:rsid w:val="00A26793"/>
    <w:rsid w:val="00A30044"/>
    <w:rsid w:val="00A30143"/>
    <w:rsid w:val="00A30B5E"/>
    <w:rsid w:val="00A31EDC"/>
    <w:rsid w:val="00A32004"/>
    <w:rsid w:val="00A320F9"/>
    <w:rsid w:val="00A321CC"/>
    <w:rsid w:val="00A32897"/>
    <w:rsid w:val="00A32F8B"/>
    <w:rsid w:val="00A33981"/>
    <w:rsid w:val="00A33D72"/>
    <w:rsid w:val="00A341E5"/>
    <w:rsid w:val="00A34D9B"/>
    <w:rsid w:val="00A36383"/>
    <w:rsid w:val="00A36D63"/>
    <w:rsid w:val="00A3759B"/>
    <w:rsid w:val="00A3776B"/>
    <w:rsid w:val="00A37C6A"/>
    <w:rsid w:val="00A4045B"/>
    <w:rsid w:val="00A4158B"/>
    <w:rsid w:val="00A416D9"/>
    <w:rsid w:val="00A41D73"/>
    <w:rsid w:val="00A43218"/>
    <w:rsid w:val="00A43D06"/>
    <w:rsid w:val="00A43E50"/>
    <w:rsid w:val="00A43F0C"/>
    <w:rsid w:val="00A444DE"/>
    <w:rsid w:val="00A44827"/>
    <w:rsid w:val="00A44950"/>
    <w:rsid w:val="00A453C1"/>
    <w:rsid w:val="00A4630B"/>
    <w:rsid w:val="00A47A01"/>
    <w:rsid w:val="00A51099"/>
    <w:rsid w:val="00A51197"/>
    <w:rsid w:val="00A51520"/>
    <w:rsid w:val="00A52352"/>
    <w:rsid w:val="00A52952"/>
    <w:rsid w:val="00A529B6"/>
    <w:rsid w:val="00A52CF5"/>
    <w:rsid w:val="00A52D2F"/>
    <w:rsid w:val="00A53117"/>
    <w:rsid w:val="00A53283"/>
    <w:rsid w:val="00A532CD"/>
    <w:rsid w:val="00A532EE"/>
    <w:rsid w:val="00A5364A"/>
    <w:rsid w:val="00A542BF"/>
    <w:rsid w:val="00A552CB"/>
    <w:rsid w:val="00A557B7"/>
    <w:rsid w:val="00A55985"/>
    <w:rsid w:val="00A55A34"/>
    <w:rsid w:val="00A563BC"/>
    <w:rsid w:val="00A56CB4"/>
    <w:rsid w:val="00A572B9"/>
    <w:rsid w:val="00A601B2"/>
    <w:rsid w:val="00A6050F"/>
    <w:rsid w:val="00A6176F"/>
    <w:rsid w:val="00A61CEB"/>
    <w:rsid w:val="00A62822"/>
    <w:rsid w:val="00A63264"/>
    <w:rsid w:val="00A644F3"/>
    <w:rsid w:val="00A64C98"/>
    <w:rsid w:val="00A64D6B"/>
    <w:rsid w:val="00A65007"/>
    <w:rsid w:val="00A659B6"/>
    <w:rsid w:val="00A65F29"/>
    <w:rsid w:val="00A66326"/>
    <w:rsid w:val="00A66498"/>
    <w:rsid w:val="00A66657"/>
    <w:rsid w:val="00A6673D"/>
    <w:rsid w:val="00A66E13"/>
    <w:rsid w:val="00A674B1"/>
    <w:rsid w:val="00A67A2E"/>
    <w:rsid w:val="00A67F98"/>
    <w:rsid w:val="00A700A5"/>
    <w:rsid w:val="00A705EF"/>
    <w:rsid w:val="00A71284"/>
    <w:rsid w:val="00A71446"/>
    <w:rsid w:val="00A715CE"/>
    <w:rsid w:val="00A71A9C"/>
    <w:rsid w:val="00A761E2"/>
    <w:rsid w:val="00A762A2"/>
    <w:rsid w:val="00A7634B"/>
    <w:rsid w:val="00A76687"/>
    <w:rsid w:val="00A76C49"/>
    <w:rsid w:val="00A773BC"/>
    <w:rsid w:val="00A776DF"/>
    <w:rsid w:val="00A77F76"/>
    <w:rsid w:val="00A80227"/>
    <w:rsid w:val="00A82372"/>
    <w:rsid w:val="00A82E68"/>
    <w:rsid w:val="00A835CE"/>
    <w:rsid w:val="00A8398C"/>
    <w:rsid w:val="00A83D83"/>
    <w:rsid w:val="00A83FAC"/>
    <w:rsid w:val="00A84BB7"/>
    <w:rsid w:val="00A85F0F"/>
    <w:rsid w:val="00A8602A"/>
    <w:rsid w:val="00A867A4"/>
    <w:rsid w:val="00A9082F"/>
    <w:rsid w:val="00A91341"/>
    <w:rsid w:val="00A91422"/>
    <w:rsid w:val="00A919D2"/>
    <w:rsid w:val="00A92D2C"/>
    <w:rsid w:val="00A93D55"/>
    <w:rsid w:val="00A956BA"/>
    <w:rsid w:val="00A97081"/>
    <w:rsid w:val="00AA2109"/>
    <w:rsid w:val="00AA25E2"/>
    <w:rsid w:val="00AA285F"/>
    <w:rsid w:val="00AA30AA"/>
    <w:rsid w:val="00AA3601"/>
    <w:rsid w:val="00AA3898"/>
    <w:rsid w:val="00AA441C"/>
    <w:rsid w:val="00AA4A3A"/>
    <w:rsid w:val="00AA4A91"/>
    <w:rsid w:val="00AA5382"/>
    <w:rsid w:val="00AA5C5C"/>
    <w:rsid w:val="00AA5D12"/>
    <w:rsid w:val="00AA7BBD"/>
    <w:rsid w:val="00AB0789"/>
    <w:rsid w:val="00AB0D59"/>
    <w:rsid w:val="00AB0EDC"/>
    <w:rsid w:val="00AB11B3"/>
    <w:rsid w:val="00AB1F24"/>
    <w:rsid w:val="00AB230C"/>
    <w:rsid w:val="00AB2596"/>
    <w:rsid w:val="00AB27DE"/>
    <w:rsid w:val="00AB2FFE"/>
    <w:rsid w:val="00AB30A9"/>
    <w:rsid w:val="00AB3A4B"/>
    <w:rsid w:val="00AB4CEE"/>
    <w:rsid w:val="00AB546E"/>
    <w:rsid w:val="00AB5CDA"/>
    <w:rsid w:val="00AB6864"/>
    <w:rsid w:val="00AB7B2F"/>
    <w:rsid w:val="00AC20A0"/>
    <w:rsid w:val="00AC2728"/>
    <w:rsid w:val="00AC402F"/>
    <w:rsid w:val="00AC45DD"/>
    <w:rsid w:val="00AC48E2"/>
    <w:rsid w:val="00AC496D"/>
    <w:rsid w:val="00AC4CF3"/>
    <w:rsid w:val="00AC50A1"/>
    <w:rsid w:val="00AC5100"/>
    <w:rsid w:val="00AC5209"/>
    <w:rsid w:val="00AC5C3E"/>
    <w:rsid w:val="00AC61DC"/>
    <w:rsid w:val="00AC6737"/>
    <w:rsid w:val="00AC6D0B"/>
    <w:rsid w:val="00AC6E55"/>
    <w:rsid w:val="00AC74EE"/>
    <w:rsid w:val="00AD0448"/>
    <w:rsid w:val="00AD0BD5"/>
    <w:rsid w:val="00AD11D9"/>
    <w:rsid w:val="00AD239D"/>
    <w:rsid w:val="00AD2850"/>
    <w:rsid w:val="00AD37CF"/>
    <w:rsid w:val="00AD4591"/>
    <w:rsid w:val="00AD48D2"/>
    <w:rsid w:val="00AD5581"/>
    <w:rsid w:val="00AD5EDC"/>
    <w:rsid w:val="00AD66BF"/>
    <w:rsid w:val="00AD699A"/>
    <w:rsid w:val="00AD69C3"/>
    <w:rsid w:val="00AD72B4"/>
    <w:rsid w:val="00AD7528"/>
    <w:rsid w:val="00AE064E"/>
    <w:rsid w:val="00AE1451"/>
    <w:rsid w:val="00AE1C04"/>
    <w:rsid w:val="00AE2079"/>
    <w:rsid w:val="00AE29C5"/>
    <w:rsid w:val="00AE29E8"/>
    <w:rsid w:val="00AE2EB9"/>
    <w:rsid w:val="00AE2F8A"/>
    <w:rsid w:val="00AE3764"/>
    <w:rsid w:val="00AE3928"/>
    <w:rsid w:val="00AE3C5C"/>
    <w:rsid w:val="00AE6BEB"/>
    <w:rsid w:val="00AE7064"/>
    <w:rsid w:val="00AE7593"/>
    <w:rsid w:val="00AE7758"/>
    <w:rsid w:val="00AF009F"/>
    <w:rsid w:val="00AF0265"/>
    <w:rsid w:val="00AF0846"/>
    <w:rsid w:val="00AF0D3E"/>
    <w:rsid w:val="00AF2014"/>
    <w:rsid w:val="00AF21BA"/>
    <w:rsid w:val="00AF2AAE"/>
    <w:rsid w:val="00AF2AEE"/>
    <w:rsid w:val="00AF2B4E"/>
    <w:rsid w:val="00AF38A5"/>
    <w:rsid w:val="00AF3CA2"/>
    <w:rsid w:val="00AF596A"/>
    <w:rsid w:val="00AF5A09"/>
    <w:rsid w:val="00AF5C0D"/>
    <w:rsid w:val="00AF5DB8"/>
    <w:rsid w:val="00AF67D7"/>
    <w:rsid w:val="00AF68D2"/>
    <w:rsid w:val="00AF6A2D"/>
    <w:rsid w:val="00AF7A20"/>
    <w:rsid w:val="00AF7BB6"/>
    <w:rsid w:val="00B0017D"/>
    <w:rsid w:val="00B00986"/>
    <w:rsid w:val="00B00CEB"/>
    <w:rsid w:val="00B0164B"/>
    <w:rsid w:val="00B02B5D"/>
    <w:rsid w:val="00B030F9"/>
    <w:rsid w:val="00B03875"/>
    <w:rsid w:val="00B04963"/>
    <w:rsid w:val="00B0528A"/>
    <w:rsid w:val="00B0567C"/>
    <w:rsid w:val="00B06792"/>
    <w:rsid w:val="00B0707C"/>
    <w:rsid w:val="00B07DBE"/>
    <w:rsid w:val="00B107AC"/>
    <w:rsid w:val="00B1082D"/>
    <w:rsid w:val="00B109B4"/>
    <w:rsid w:val="00B12C72"/>
    <w:rsid w:val="00B13107"/>
    <w:rsid w:val="00B1330F"/>
    <w:rsid w:val="00B13938"/>
    <w:rsid w:val="00B14065"/>
    <w:rsid w:val="00B144D1"/>
    <w:rsid w:val="00B14E01"/>
    <w:rsid w:val="00B1767B"/>
    <w:rsid w:val="00B20097"/>
    <w:rsid w:val="00B20786"/>
    <w:rsid w:val="00B209EA"/>
    <w:rsid w:val="00B20FA4"/>
    <w:rsid w:val="00B24CAB"/>
    <w:rsid w:val="00B26993"/>
    <w:rsid w:val="00B27BF9"/>
    <w:rsid w:val="00B27EE6"/>
    <w:rsid w:val="00B3069A"/>
    <w:rsid w:val="00B3069C"/>
    <w:rsid w:val="00B30B4D"/>
    <w:rsid w:val="00B3108D"/>
    <w:rsid w:val="00B3170F"/>
    <w:rsid w:val="00B317B7"/>
    <w:rsid w:val="00B318C6"/>
    <w:rsid w:val="00B31AF8"/>
    <w:rsid w:val="00B31EF0"/>
    <w:rsid w:val="00B3257C"/>
    <w:rsid w:val="00B3340A"/>
    <w:rsid w:val="00B34ABB"/>
    <w:rsid w:val="00B356C1"/>
    <w:rsid w:val="00B35C7E"/>
    <w:rsid w:val="00B36145"/>
    <w:rsid w:val="00B36529"/>
    <w:rsid w:val="00B36DEA"/>
    <w:rsid w:val="00B370AB"/>
    <w:rsid w:val="00B37A4C"/>
    <w:rsid w:val="00B37E07"/>
    <w:rsid w:val="00B402EF"/>
    <w:rsid w:val="00B403C5"/>
    <w:rsid w:val="00B40ED1"/>
    <w:rsid w:val="00B41D84"/>
    <w:rsid w:val="00B41E18"/>
    <w:rsid w:val="00B422DC"/>
    <w:rsid w:val="00B4250A"/>
    <w:rsid w:val="00B4298F"/>
    <w:rsid w:val="00B42A8F"/>
    <w:rsid w:val="00B43325"/>
    <w:rsid w:val="00B45B4F"/>
    <w:rsid w:val="00B45EC0"/>
    <w:rsid w:val="00B46E27"/>
    <w:rsid w:val="00B471B6"/>
    <w:rsid w:val="00B47B5A"/>
    <w:rsid w:val="00B501AF"/>
    <w:rsid w:val="00B50426"/>
    <w:rsid w:val="00B50595"/>
    <w:rsid w:val="00B5113A"/>
    <w:rsid w:val="00B51974"/>
    <w:rsid w:val="00B54709"/>
    <w:rsid w:val="00B55654"/>
    <w:rsid w:val="00B56219"/>
    <w:rsid w:val="00B562BD"/>
    <w:rsid w:val="00B5640A"/>
    <w:rsid w:val="00B5675B"/>
    <w:rsid w:val="00B56A31"/>
    <w:rsid w:val="00B56F56"/>
    <w:rsid w:val="00B575F4"/>
    <w:rsid w:val="00B61459"/>
    <w:rsid w:val="00B61C06"/>
    <w:rsid w:val="00B62556"/>
    <w:rsid w:val="00B63B44"/>
    <w:rsid w:val="00B63D84"/>
    <w:rsid w:val="00B63FE7"/>
    <w:rsid w:val="00B64058"/>
    <w:rsid w:val="00B64425"/>
    <w:rsid w:val="00B6501F"/>
    <w:rsid w:val="00B664B6"/>
    <w:rsid w:val="00B66828"/>
    <w:rsid w:val="00B66D4B"/>
    <w:rsid w:val="00B66E22"/>
    <w:rsid w:val="00B67CAE"/>
    <w:rsid w:val="00B67DD1"/>
    <w:rsid w:val="00B703B3"/>
    <w:rsid w:val="00B710E1"/>
    <w:rsid w:val="00B7147F"/>
    <w:rsid w:val="00B71CFF"/>
    <w:rsid w:val="00B72C0A"/>
    <w:rsid w:val="00B72F2B"/>
    <w:rsid w:val="00B731CE"/>
    <w:rsid w:val="00B73A4C"/>
    <w:rsid w:val="00B73E7F"/>
    <w:rsid w:val="00B75886"/>
    <w:rsid w:val="00B75906"/>
    <w:rsid w:val="00B766D0"/>
    <w:rsid w:val="00B76B3C"/>
    <w:rsid w:val="00B772B3"/>
    <w:rsid w:val="00B8057B"/>
    <w:rsid w:val="00B811B5"/>
    <w:rsid w:val="00B81C28"/>
    <w:rsid w:val="00B82456"/>
    <w:rsid w:val="00B82460"/>
    <w:rsid w:val="00B832E1"/>
    <w:rsid w:val="00B83E2C"/>
    <w:rsid w:val="00B84011"/>
    <w:rsid w:val="00B854A8"/>
    <w:rsid w:val="00B85D0D"/>
    <w:rsid w:val="00B869DA"/>
    <w:rsid w:val="00B86B70"/>
    <w:rsid w:val="00B87BA1"/>
    <w:rsid w:val="00B87CEB"/>
    <w:rsid w:val="00B90529"/>
    <w:rsid w:val="00B90BDB"/>
    <w:rsid w:val="00B918AD"/>
    <w:rsid w:val="00B92678"/>
    <w:rsid w:val="00B92C44"/>
    <w:rsid w:val="00B935CD"/>
    <w:rsid w:val="00B93ADB"/>
    <w:rsid w:val="00B93B11"/>
    <w:rsid w:val="00B94999"/>
    <w:rsid w:val="00B95FA2"/>
    <w:rsid w:val="00B969B7"/>
    <w:rsid w:val="00B97466"/>
    <w:rsid w:val="00B9797D"/>
    <w:rsid w:val="00BA0259"/>
    <w:rsid w:val="00BA0949"/>
    <w:rsid w:val="00BA0E0C"/>
    <w:rsid w:val="00BA13EB"/>
    <w:rsid w:val="00BA1750"/>
    <w:rsid w:val="00BA18DD"/>
    <w:rsid w:val="00BA1A5C"/>
    <w:rsid w:val="00BA23A3"/>
    <w:rsid w:val="00BA264F"/>
    <w:rsid w:val="00BA2BFD"/>
    <w:rsid w:val="00BA3044"/>
    <w:rsid w:val="00BA3F29"/>
    <w:rsid w:val="00BA41D6"/>
    <w:rsid w:val="00BA4EF6"/>
    <w:rsid w:val="00BA56A2"/>
    <w:rsid w:val="00BA6050"/>
    <w:rsid w:val="00BA615C"/>
    <w:rsid w:val="00BA65BD"/>
    <w:rsid w:val="00BA6C66"/>
    <w:rsid w:val="00BA792E"/>
    <w:rsid w:val="00BA7AD3"/>
    <w:rsid w:val="00BB1811"/>
    <w:rsid w:val="00BB3AE2"/>
    <w:rsid w:val="00BB5250"/>
    <w:rsid w:val="00BB732D"/>
    <w:rsid w:val="00BB7802"/>
    <w:rsid w:val="00BC0E25"/>
    <w:rsid w:val="00BC1676"/>
    <w:rsid w:val="00BC1A14"/>
    <w:rsid w:val="00BC2192"/>
    <w:rsid w:val="00BC2C17"/>
    <w:rsid w:val="00BC560A"/>
    <w:rsid w:val="00BC59A7"/>
    <w:rsid w:val="00BC6607"/>
    <w:rsid w:val="00BC6BBA"/>
    <w:rsid w:val="00BC73A3"/>
    <w:rsid w:val="00BD03F1"/>
    <w:rsid w:val="00BD0959"/>
    <w:rsid w:val="00BD0BAE"/>
    <w:rsid w:val="00BD1408"/>
    <w:rsid w:val="00BD1C72"/>
    <w:rsid w:val="00BD259C"/>
    <w:rsid w:val="00BD27EF"/>
    <w:rsid w:val="00BD34FD"/>
    <w:rsid w:val="00BD3F94"/>
    <w:rsid w:val="00BD409C"/>
    <w:rsid w:val="00BD51BD"/>
    <w:rsid w:val="00BD51DF"/>
    <w:rsid w:val="00BD5C64"/>
    <w:rsid w:val="00BD6038"/>
    <w:rsid w:val="00BD6CEF"/>
    <w:rsid w:val="00BD73F6"/>
    <w:rsid w:val="00BD7D8E"/>
    <w:rsid w:val="00BE003B"/>
    <w:rsid w:val="00BE0AA1"/>
    <w:rsid w:val="00BE0D81"/>
    <w:rsid w:val="00BE129B"/>
    <w:rsid w:val="00BE1979"/>
    <w:rsid w:val="00BE380C"/>
    <w:rsid w:val="00BE40E2"/>
    <w:rsid w:val="00BE4D20"/>
    <w:rsid w:val="00BE582D"/>
    <w:rsid w:val="00BE625F"/>
    <w:rsid w:val="00BE6639"/>
    <w:rsid w:val="00BE70CA"/>
    <w:rsid w:val="00BF041A"/>
    <w:rsid w:val="00BF080C"/>
    <w:rsid w:val="00BF22F1"/>
    <w:rsid w:val="00BF2606"/>
    <w:rsid w:val="00BF30AC"/>
    <w:rsid w:val="00BF33BB"/>
    <w:rsid w:val="00BF38F0"/>
    <w:rsid w:val="00BF4916"/>
    <w:rsid w:val="00BF5804"/>
    <w:rsid w:val="00BF5CBF"/>
    <w:rsid w:val="00BF63D9"/>
    <w:rsid w:val="00BF7CF6"/>
    <w:rsid w:val="00C00B2E"/>
    <w:rsid w:val="00C02BC3"/>
    <w:rsid w:val="00C0359F"/>
    <w:rsid w:val="00C035B0"/>
    <w:rsid w:val="00C036C7"/>
    <w:rsid w:val="00C04508"/>
    <w:rsid w:val="00C04856"/>
    <w:rsid w:val="00C05B9F"/>
    <w:rsid w:val="00C05E28"/>
    <w:rsid w:val="00C05FEE"/>
    <w:rsid w:val="00C06D7A"/>
    <w:rsid w:val="00C07585"/>
    <w:rsid w:val="00C07DB2"/>
    <w:rsid w:val="00C10739"/>
    <w:rsid w:val="00C11047"/>
    <w:rsid w:val="00C11DBF"/>
    <w:rsid w:val="00C12DD5"/>
    <w:rsid w:val="00C14099"/>
    <w:rsid w:val="00C146EB"/>
    <w:rsid w:val="00C157FA"/>
    <w:rsid w:val="00C15A7F"/>
    <w:rsid w:val="00C15C02"/>
    <w:rsid w:val="00C16E7B"/>
    <w:rsid w:val="00C17B21"/>
    <w:rsid w:val="00C20768"/>
    <w:rsid w:val="00C208DA"/>
    <w:rsid w:val="00C209D3"/>
    <w:rsid w:val="00C210A4"/>
    <w:rsid w:val="00C210B8"/>
    <w:rsid w:val="00C212BB"/>
    <w:rsid w:val="00C215F3"/>
    <w:rsid w:val="00C21731"/>
    <w:rsid w:val="00C2206D"/>
    <w:rsid w:val="00C2334E"/>
    <w:rsid w:val="00C23450"/>
    <w:rsid w:val="00C24353"/>
    <w:rsid w:val="00C249DF"/>
    <w:rsid w:val="00C24CED"/>
    <w:rsid w:val="00C24FE3"/>
    <w:rsid w:val="00C252B3"/>
    <w:rsid w:val="00C25867"/>
    <w:rsid w:val="00C265E7"/>
    <w:rsid w:val="00C27442"/>
    <w:rsid w:val="00C27E76"/>
    <w:rsid w:val="00C31972"/>
    <w:rsid w:val="00C31D58"/>
    <w:rsid w:val="00C32FAF"/>
    <w:rsid w:val="00C331E9"/>
    <w:rsid w:val="00C333DE"/>
    <w:rsid w:val="00C3363A"/>
    <w:rsid w:val="00C33994"/>
    <w:rsid w:val="00C33A92"/>
    <w:rsid w:val="00C3467F"/>
    <w:rsid w:val="00C34FF9"/>
    <w:rsid w:val="00C36102"/>
    <w:rsid w:val="00C365C2"/>
    <w:rsid w:val="00C36E60"/>
    <w:rsid w:val="00C3768E"/>
    <w:rsid w:val="00C40589"/>
    <w:rsid w:val="00C40AC9"/>
    <w:rsid w:val="00C40DB7"/>
    <w:rsid w:val="00C42E50"/>
    <w:rsid w:val="00C4372C"/>
    <w:rsid w:val="00C438F3"/>
    <w:rsid w:val="00C43AF7"/>
    <w:rsid w:val="00C44D0E"/>
    <w:rsid w:val="00C45475"/>
    <w:rsid w:val="00C464D8"/>
    <w:rsid w:val="00C46F64"/>
    <w:rsid w:val="00C502A2"/>
    <w:rsid w:val="00C5030C"/>
    <w:rsid w:val="00C50382"/>
    <w:rsid w:val="00C50C99"/>
    <w:rsid w:val="00C514D8"/>
    <w:rsid w:val="00C53A7B"/>
    <w:rsid w:val="00C53AFB"/>
    <w:rsid w:val="00C53C2D"/>
    <w:rsid w:val="00C55267"/>
    <w:rsid w:val="00C55284"/>
    <w:rsid w:val="00C552C8"/>
    <w:rsid w:val="00C553D5"/>
    <w:rsid w:val="00C555EE"/>
    <w:rsid w:val="00C55B0B"/>
    <w:rsid w:val="00C55D4B"/>
    <w:rsid w:val="00C57379"/>
    <w:rsid w:val="00C57912"/>
    <w:rsid w:val="00C606F8"/>
    <w:rsid w:val="00C60867"/>
    <w:rsid w:val="00C60F1B"/>
    <w:rsid w:val="00C62275"/>
    <w:rsid w:val="00C62AB5"/>
    <w:rsid w:val="00C62C79"/>
    <w:rsid w:val="00C62E3B"/>
    <w:rsid w:val="00C632FD"/>
    <w:rsid w:val="00C66753"/>
    <w:rsid w:val="00C6699E"/>
    <w:rsid w:val="00C66A2D"/>
    <w:rsid w:val="00C66FCA"/>
    <w:rsid w:val="00C6712F"/>
    <w:rsid w:val="00C6727A"/>
    <w:rsid w:val="00C67AC0"/>
    <w:rsid w:val="00C70050"/>
    <w:rsid w:val="00C70799"/>
    <w:rsid w:val="00C7098A"/>
    <w:rsid w:val="00C7098C"/>
    <w:rsid w:val="00C70A60"/>
    <w:rsid w:val="00C71DAF"/>
    <w:rsid w:val="00C71FA7"/>
    <w:rsid w:val="00C72909"/>
    <w:rsid w:val="00C72E60"/>
    <w:rsid w:val="00C73340"/>
    <w:rsid w:val="00C736C0"/>
    <w:rsid w:val="00C73AD9"/>
    <w:rsid w:val="00C73B7F"/>
    <w:rsid w:val="00C73D4D"/>
    <w:rsid w:val="00C7402D"/>
    <w:rsid w:val="00C744F4"/>
    <w:rsid w:val="00C749EA"/>
    <w:rsid w:val="00C74EA7"/>
    <w:rsid w:val="00C75003"/>
    <w:rsid w:val="00C755F4"/>
    <w:rsid w:val="00C763EA"/>
    <w:rsid w:val="00C764E7"/>
    <w:rsid w:val="00C7689C"/>
    <w:rsid w:val="00C77614"/>
    <w:rsid w:val="00C77CD8"/>
    <w:rsid w:val="00C8008C"/>
    <w:rsid w:val="00C828A4"/>
    <w:rsid w:val="00C82FBA"/>
    <w:rsid w:val="00C83679"/>
    <w:rsid w:val="00C84E9D"/>
    <w:rsid w:val="00C850E7"/>
    <w:rsid w:val="00C8666B"/>
    <w:rsid w:val="00C906E1"/>
    <w:rsid w:val="00C90CBA"/>
    <w:rsid w:val="00C90F3C"/>
    <w:rsid w:val="00C9120D"/>
    <w:rsid w:val="00C92088"/>
    <w:rsid w:val="00C926DA"/>
    <w:rsid w:val="00C93318"/>
    <w:rsid w:val="00C93645"/>
    <w:rsid w:val="00C937A8"/>
    <w:rsid w:val="00C93A8A"/>
    <w:rsid w:val="00C94FF0"/>
    <w:rsid w:val="00C9536E"/>
    <w:rsid w:val="00C9587F"/>
    <w:rsid w:val="00C963FC"/>
    <w:rsid w:val="00C96849"/>
    <w:rsid w:val="00C977F0"/>
    <w:rsid w:val="00C97C45"/>
    <w:rsid w:val="00C97D88"/>
    <w:rsid w:val="00CA038A"/>
    <w:rsid w:val="00CA06E1"/>
    <w:rsid w:val="00CA0FA2"/>
    <w:rsid w:val="00CA1DBE"/>
    <w:rsid w:val="00CA25C0"/>
    <w:rsid w:val="00CA33A0"/>
    <w:rsid w:val="00CA35BE"/>
    <w:rsid w:val="00CA51BF"/>
    <w:rsid w:val="00CA5361"/>
    <w:rsid w:val="00CA57C1"/>
    <w:rsid w:val="00CA5E1F"/>
    <w:rsid w:val="00CA653A"/>
    <w:rsid w:val="00CA69F9"/>
    <w:rsid w:val="00CA6B4B"/>
    <w:rsid w:val="00CA733A"/>
    <w:rsid w:val="00CA785D"/>
    <w:rsid w:val="00CA78B1"/>
    <w:rsid w:val="00CB1EEF"/>
    <w:rsid w:val="00CB24A3"/>
    <w:rsid w:val="00CB2583"/>
    <w:rsid w:val="00CB3638"/>
    <w:rsid w:val="00CB402C"/>
    <w:rsid w:val="00CB4E0C"/>
    <w:rsid w:val="00CB4EE9"/>
    <w:rsid w:val="00CB5519"/>
    <w:rsid w:val="00CB5EEE"/>
    <w:rsid w:val="00CB7004"/>
    <w:rsid w:val="00CB72E8"/>
    <w:rsid w:val="00CB7A44"/>
    <w:rsid w:val="00CC0059"/>
    <w:rsid w:val="00CC00A3"/>
    <w:rsid w:val="00CC0AD1"/>
    <w:rsid w:val="00CC0B00"/>
    <w:rsid w:val="00CC0B67"/>
    <w:rsid w:val="00CC0D6F"/>
    <w:rsid w:val="00CC116A"/>
    <w:rsid w:val="00CC24A6"/>
    <w:rsid w:val="00CC2AD7"/>
    <w:rsid w:val="00CC321F"/>
    <w:rsid w:val="00CC460C"/>
    <w:rsid w:val="00CC47E3"/>
    <w:rsid w:val="00CC57EF"/>
    <w:rsid w:val="00CD02C7"/>
    <w:rsid w:val="00CD1180"/>
    <w:rsid w:val="00CD19E4"/>
    <w:rsid w:val="00CD2142"/>
    <w:rsid w:val="00CD2860"/>
    <w:rsid w:val="00CD2E50"/>
    <w:rsid w:val="00CD3C4B"/>
    <w:rsid w:val="00CD3C71"/>
    <w:rsid w:val="00CD3DFF"/>
    <w:rsid w:val="00CD43E4"/>
    <w:rsid w:val="00CD4C90"/>
    <w:rsid w:val="00CD6ED6"/>
    <w:rsid w:val="00CD732E"/>
    <w:rsid w:val="00CE08CF"/>
    <w:rsid w:val="00CE2AEF"/>
    <w:rsid w:val="00CE2C7A"/>
    <w:rsid w:val="00CE3153"/>
    <w:rsid w:val="00CE4599"/>
    <w:rsid w:val="00CE473E"/>
    <w:rsid w:val="00CE5533"/>
    <w:rsid w:val="00CE553C"/>
    <w:rsid w:val="00CE66F1"/>
    <w:rsid w:val="00CE7119"/>
    <w:rsid w:val="00CE77CE"/>
    <w:rsid w:val="00CF0715"/>
    <w:rsid w:val="00CF0768"/>
    <w:rsid w:val="00CF0EC0"/>
    <w:rsid w:val="00CF1324"/>
    <w:rsid w:val="00CF1D4C"/>
    <w:rsid w:val="00CF1E98"/>
    <w:rsid w:val="00CF20BE"/>
    <w:rsid w:val="00CF21D0"/>
    <w:rsid w:val="00CF2388"/>
    <w:rsid w:val="00CF2418"/>
    <w:rsid w:val="00CF2597"/>
    <w:rsid w:val="00CF396E"/>
    <w:rsid w:val="00CF3CD9"/>
    <w:rsid w:val="00CF4788"/>
    <w:rsid w:val="00CF49DC"/>
    <w:rsid w:val="00CF6051"/>
    <w:rsid w:val="00CF736E"/>
    <w:rsid w:val="00CF7389"/>
    <w:rsid w:val="00CF760E"/>
    <w:rsid w:val="00CF77B7"/>
    <w:rsid w:val="00D01399"/>
    <w:rsid w:val="00D01DAF"/>
    <w:rsid w:val="00D020C8"/>
    <w:rsid w:val="00D02CF3"/>
    <w:rsid w:val="00D04E3B"/>
    <w:rsid w:val="00D06651"/>
    <w:rsid w:val="00D06B1C"/>
    <w:rsid w:val="00D103EE"/>
    <w:rsid w:val="00D107EB"/>
    <w:rsid w:val="00D11727"/>
    <w:rsid w:val="00D11E08"/>
    <w:rsid w:val="00D11E58"/>
    <w:rsid w:val="00D12CD5"/>
    <w:rsid w:val="00D131E0"/>
    <w:rsid w:val="00D13ABA"/>
    <w:rsid w:val="00D13C9A"/>
    <w:rsid w:val="00D13EEC"/>
    <w:rsid w:val="00D1420A"/>
    <w:rsid w:val="00D14737"/>
    <w:rsid w:val="00D1488F"/>
    <w:rsid w:val="00D1493B"/>
    <w:rsid w:val="00D14B46"/>
    <w:rsid w:val="00D15547"/>
    <w:rsid w:val="00D17B7C"/>
    <w:rsid w:val="00D17E16"/>
    <w:rsid w:val="00D20553"/>
    <w:rsid w:val="00D20B4A"/>
    <w:rsid w:val="00D221C3"/>
    <w:rsid w:val="00D22BF9"/>
    <w:rsid w:val="00D23E7A"/>
    <w:rsid w:val="00D24E08"/>
    <w:rsid w:val="00D26115"/>
    <w:rsid w:val="00D26E5C"/>
    <w:rsid w:val="00D2737D"/>
    <w:rsid w:val="00D27488"/>
    <w:rsid w:val="00D27A56"/>
    <w:rsid w:val="00D308FA"/>
    <w:rsid w:val="00D30ACC"/>
    <w:rsid w:val="00D31500"/>
    <w:rsid w:val="00D31820"/>
    <w:rsid w:val="00D32FA1"/>
    <w:rsid w:val="00D33BA7"/>
    <w:rsid w:val="00D344E9"/>
    <w:rsid w:val="00D34634"/>
    <w:rsid w:val="00D3540A"/>
    <w:rsid w:val="00D35B27"/>
    <w:rsid w:val="00D35CD8"/>
    <w:rsid w:val="00D364FC"/>
    <w:rsid w:val="00D37C79"/>
    <w:rsid w:val="00D37D92"/>
    <w:rsid w:val="00D37F43"/>
    <w:rsid w:val="00D40628"/>
    <w:rsid w:val="00D40BF9"/>
    <w:rsid w:val="00D40C80"/>
    <w:rsid w:val="00D41C9B"/>
    <w:rsid w:val="00D420A7"/>
    <w:rsid w:val="00D45016"/>
    <w:rsid w:val="00D459D0"/>
    <w:rsid w:val="00D47B88"/>
    <w:rsid w:val="00D501A1"/>
    <w:rsid w:val="00D533BE"/>
    <w:rsid w:val="00D53731"/>
    <w:rsid w:val="00D542F4"/>
    <w:rsid w:val="00D546EF"/>
    <w:rsid w:val="00D55E5C"/>
    <w:rsid w:val="00D571EB"/>
    <w:rsid w:val="00D57718"/>
    <w:rsid w:val="00D601BD"/>
    <w:rsid w:val="00D604E7"/>
    <w:rsid w:val="00D6055A"/>
    <w:rsid w:val="00D62418"/>
    <w:rsid w:val="00D6367A"/>
    <w:rsid w:val="00D63C25"/>
    <w:rsid w:val="00D63E38"/>
    <w:rsid w:val="00D6417C"/>
    <w:rsid w:val="00D6417F"/>
    <w:rsid w:val="00D64213"/>
    <w:rsid w:val="00D6449B"/>
    <w:rsid w:val="00D6454D"/>
    <w:rsid w:val="00D64E55"/>
    <w:rsid w:val="00D656CC"/>
    <w:rsid w:val="00D65994"/>
    <w:rsid w:val="00D65EF7"/>
    <w:rsid w:val="00D6637B"/>
    <w:rsid w:val="00D6694A"/>
    <w:rsid w:val="00D66DC6"/>
    <w:rsid w:val="00D672CA"/>
    <w:rsid w:val="00D70FEA"/>
    <w:rsid w:val="00D721A2"/>
    <w:rsid w:val="00D7234C"/>
    <w:rsid w:val="00D7299D"/>
    <w:rsid w:val="00D72AA4"/>
    <w:rsid w:val="00D733F5"/>
    <w:rsid w:val="00D745E6"/>
    <w:rsid w:val="00D7468C"/>
    <w:rsid w:val="00D755D3"/>
    <w:rsid w:val="00D758C6"/>
    <w:rsid w:val="00D764E0"/>
    <w:rsid w:val="00D77263"/>
    <w:rsid w:val="00D77C9F"/>
    <w:rsid w:val="00D77E61"/>
    <w:rsid w:val="00D807FF"/>
    <w:rsid w:val="00D8114F"/>
    <w:rsid w:val="00D811CB"/>
    <w:rsid w:val="00D81B9E"/>
    <w:rsid w:val="00D83BE9"/>
    <w:rsid w:val="00D83BEC"/>
    <w:rsid w:val="00D84627"/>
    <w:rsid w:val="00D84944"/>
    <w:rsid w:val="00D85E72"/>
    <w:rsid w:val="00D865AA"/>
    <w:rsid w:val="00D874A5"/>
    <w:rsid w:val="00D87B4D"/>
    <w:rsid w:val="00D925A9"/>
    <w:rsid w:val="00D9395A"/>
    <w:rsid w:val="00D93A6E"/>
    <w:rsid w:val="00D93AE0"/>
    <w:rsid w:val="00D9400C"/>
    <w:rsid w:val="00D95278"/>
    <w:rsid w:val="00D95C58"/>
    <w:rsid w:val="00D95DE0"/>
    <w:rsid w:val="00D960E8"/>
    <w:rsid w:val="00D97435"/>
    <w:rsid w:val="00D9745C"/>
    <w:rsid w:val="00DA28FC"/>
    <w:rsid w:val="00DA3122"/>
    <w:rsid w:val="00DA3D51"/>
    <w:rsid w:val="00DA4389"/>
    <w:rsid w:val="00DA55DF"/>
    <w:rsid w:val="00DA57E1"/>
    <w:rsid w:val="00DA5B48"/>
    <w:rsid w:val="00DA5D95"/>
    <w:rsid w:val="00DA60A4"/>
    <w:rsid w:val="00DA686B"/>
    <w:rsid w:val="00DA78BA"/>
    <w:rsid w:val="00DA7FA0"/>
    <w:rsid w:val="00DB13C7"/>
    <w:rsid w:val="00DB17DE"/>
    <w:rsid w:val="00DB1941"/>
    <w:rsid w:val="00DB1EAF"/>
    <w:rsid w:val="00DB2B71"/>
    <w:rsid w:val="00DB32D9"/>
    <w:rsid w:val="00DB355F"/>
    <w:rsid w:val="00DB3B7E"/>
    <w:rsid w:val="00DB41BD"/>
    <w:rsid w:val="00DB5393"/>
    <w:rsid w:val="00DB5D1A"/>
    <w:rsid w:val="00DB5D71"/>
    <w:rsid w:val="00DB617E"/>
    <w:rsid w:val="00DB6794"/>
    <w:rsid w:val="00DB679B"/>
    <w:rsid w:val="00DB7167"/>
    <w:rsid w:val="00DB7BA7"/>
    <w:rsid w:val="00DB7D65"/>
    <w:rsid w:val="00DC0707"/>
    <w:rsid w:val="00DC0A33"/>
    <w:rsid w:val="00DC0DCE"/>
    <w:rsid w:val="00DC0FCD"/>
    <w:rsid w:val="00DC0FF6"/>
    <w:rsid w:val="00DC1A15"/>
    <w:rsid w:val="00DC20C5"/>
    <w:rsid w:val="00DC24E9"/>
    <w:rsid w:val="00DC269F"/>
    <w:rsid w:val="00DC2C96"/>
    <w:rsid w:val="00DC31FE"/>
    <w:rsid w:val="00DC32B5"/>
    <w:rsid w:val="00DC35F6"/>
    <w:rsid w:val="00DC40D8"/>
    <w:rsid w:val="00DC45E5"/>
    <w:rsid w:val="00DC4CF3"/>
    <w:rsid w:val="00DC4F2F"/>
    <w:rsid w:val="00DC5747"/>
    <w:rsid w:val="00DC610E"/>
    <w:rsid w:val="00DC612D"/>
    <w:rsid w:val="00DC6F9C"/>
    <w:rsid w:val="00DC7DDC"/>
    <w:rsid w:val="00DD04C8"/>
    <w:rsid w:val="00DD0AD9"/>
    <w:rsid w:val="00DD15C2"/>
    <w:rsid w:val="00DD1E81"/>
    <w:rsid w:val="00DD2207"/>
    <w:rsid w:val="00DD228D"/>
    <w:rsid w:val="00DD373B"/>
    <w:rsid w:val="00DD42B3"/>
    <w:rsid w:val="00DD4E79"/>
    <w:rsid w:val="00DD60CB"/>
    <w:rsid w:val="00DD7A34"/>
    <w:rsid w:val="00DE00E4"/>
    <w:rsid w:val="00DE072B"/>
    <w:rsid w:val="00DE2E10"/>
    <w:rsid w:val="00DE37A1"/>
    <w:rsid w:val="00DE3B95"/>
    <w:rsid w:val="00DE4E42"/>
    <w:rsid w:val="00DE525E"/>
    <w:rsid w:val="00DE6135"/>
    <w:rsid w:val="00DE6A95"/>
    <w:rsid w:val="00DE75D9"/>
    <w:rsid w:val="00DE7765"/>
    <w:rsid w:val="00DF0D68"/>
    <w:rsid w:val="00DF1445"/>
    <w:rsid w:val="00DF15ED"/>
    <w:rsid w:val="00DF162F"/>
    <w:rsid w:val="00DF2054"/>
    <w:rsid w:val="00DF34E1"/>
    <w:rsid w:val="00DF579D"/>
    <w:rsid w:val="00DF6638"/>
    <w:rsid w:val="00DF69B6"/>
    <w:rsid w:val="00DF6DA4"/>
    <w:rsid w:val="00DF7296"/>
    <w:rsid w:val="00DF7A5D"/>
    <w:rsid w:val="00E00434"/>
    <w:rsid w:val="00E0151B"/>
    <w:rsid w:val="00E019B8"/>
    <w:rsid w:val="00E03EA4"/>
    <w:rsid w:val="00E0420F"/>
    <w:rsid w:val="00E04644"/>
    <w:rsid w:val="00E04B97"/>
    <w:rsid w:val="00E04DC9"/>
    <w:rsid w:val="00E04E20"/>
    <w:rsid w:val="00E04E2E"/>
    <w:rsid w:val="00E04F5D"/>
    <w:rsid w:val="00E05130"/>
    <w:rsid w:val="00E0561A"/>
    <w:rsid w:val="00E05DC3"/>
    <w:rsid w:val="00E06859"/>
    <w:rsid w:val="00E07954"/>
    <w:rsid w:val="00E106AB"/>
    <w:rsid w:val="00E115C9"/>
    <w:rsid w:val="00E12392"/>
    <w:rsid w:val="00E12D23"/>
    <w:rsid w:val="00E133D9"/>
    <w:rsid w:val="00E137E6"/>
    <w:rsid w:val="00E14032"/>
    <w:rsid w:val="00E14880"/>
    <w:rsid w:val="00E14FB0"/>
    <w:rsid w:val="00E153AA"/>
    <w:rsid w:val="00E1559B"/>
    <w:rsid w:val="00E15EE6"/>
    <w:rsid w:val="00E1602A"/>
    <w:rsid w:val="00E165E6"/>
    <w:rsid w:val="00E16B76"/>
    <w:rsid w:val="00E16E96"/>
    <w:rsid w:val="00E172BA"/>
    <w:rsid w:val="00E20D02"/>
    <w:rsid w:val="00E215BE"/>
    <w:rsid w:val="00E21C8E"/>
    <w:rsid w:val="00E22206"/>
    <w:rsid w:val="00E25305"/>
    <w:rsid w:val="00E25879"/>
    <w:rsid w:val="00E26057"/>
    <w:rsid w:val="00E26DD3"/>
    <w:rsid w:val="00E30D26"/>
    <w:rsid w:val="00E331BD"/>
    <w:rsid w:val="00E34323"/>
    <w:rsid w:val="00E347B2"/>
    <w:rsid w:val="00E354BF"/>
    <w:rsid w:val="00E354E3"/>
    <w:rsid w:val="00E360EB"/>
    <w:rsid w:val="00E363BF"/>
    <w:rsid w:val="00E3673A"/>
    <w:rsid w:val="00E40E46"/>
    <w:rsid w:val="00E41A9C"/>
    <w:rsid w:val="00E41C19"/>
    <w:rsid w:val="00E429F0"/>
    <w:rsid w:val="00E42A6C"/>
    <w:rsid w:val="00E42B58"/>
    <w:rsid w:val="00E432E4"/>
    <w:rsid w:val="00E45738"/>
    <w:rsid w:val="00E45CC8"/>
    <w:rsid w:val="00E4630F"/>
    <w:rsid w:val="00E46B43"/>
    <w:rsid w:val="00E50AE1"/>
    <w:rsid w:val="00E513D1"/>
    <w:rsid w:val="00E51425"/>
    <w:rsid w:val="00E51FBE"/>
    <w:rsid w:val="00E5283B"/>
    <w:rsid w:val="00E531E4"/>
    <w:rsid w:val="00E54260"/>
    <w:rsid w:val="00E55A08"/>
    <w:rsid w:val="00E55ACB"/>
    <w:rsid w:val="00E578CF"/>
    <w:rsid w:val="00E57CEC"/>
    <w:rsid w:val="00E6182D"/>
    <w:rsid w:val="00E61B02"/>
    <w:rsid w:val="00E61D89"/>
    <w:rsid w:val="00E61F6B"/>
    <w:rsid w:val="00E62D23"/>
    <w:rsid w:val="00E62DA1"/>
    <w:rsid w:val="00E62E0A"/>
    <w:rsid w:val="00E63147"/>
    <w:rsid w:val="00E64F73"/>
    <w:rsid w:val="00E65CAF"/>
    <w:rsid w:val="00E6656C"/>
    <w:rsid w:val="00E67711"/>
    <w:rsid w:val="00E70136"/>
    <w:rsid w:val="00E715F5"/>
    <w:rsid w:val="00E71B90"/>
    <w:rsid w:val="00E720A6"/>
    <w:rsid w:val="00E7249E"/>
    <w:rsid w:val="00E7276B"/>
    <w:rsid w:val="00E747DE"/>
    <w:rsid w:val="00E74D2C"/>
    <w:rsid w:val="00E759CD"/>
    <w:rsid w:val="00E75C95"/>
    <w:rsid w:val="00E76225"/>
    <w:rsid w:val="00E7764D"/>
    <w:rsid w:val="00E7773E"/>
    <w:rsid w:val="00E778F9"/>
    <w:rsid w:val="00E7792C"/>
    <w:rsid w:val="00E77BAD"/>
    <w:rsid w:val="00E77FCB"/>
    <w:rsid w:val="00E80523"/>
    <w:rsid w:val="00E809DE"/>
    <w:rsid w:val="00E80A95"/>
    <w:rsid w:val="00E81358"/>
    <w:rsid w:val="00E83797"/>
    <w:rsid w:val="00E83DF5"/>
    <w:rsid w:val="00E83EDE"/>
    <w:rsid w:val="00E84574"/>
    <w:rsid w:val="00E855F8"/>
    <w:rsid w:val="00E90621"/>
    <w:rsid w:val="00E91099"/>
    <w:rsid w:val="00E917BC"/>
    <w:rsid w:val="00E917EB"/>
    <w:rsid w:val="00E944B7"/>
    <w:rsid w:val="00E94649"/>
    <w:rsid w:val="00E948AE"/>
    <w:rsid w:val="00E95197"/>
    <w:rsid w:val="00E967D2"/>
    <w:rsid w:val="00E97662"/>
    <w:rsid w:val="00E979CE"/>
    <w:rsid w:val="00EA0137"/>
    <w:rsid w:val="00EA04C2"/>
    <w:rsid w:val="00EA2220"/>
    <w:rsid w:val="00EA373F"/>
    <w:rsid w:val="00EA3FF0"/>
    <w:rsid w:val="00EA40C3"/>
    <w:rsid w:val="00EA5C4A"/>
    <w:rsid w:val="00EA5F03"/>
    <w:rsid w:val="00EA6634"/>
    <w:rsid w:val="00EA67BA"/>
    <w:rsid w:val="00EA744B"/>
    <w:rsid w:val="00EB040F"/>
    <w:rsid w:val="00EB1FEB"/>
    <w:rsid w:val="00EB20AD"/>
    <w:rsid w:val="00EB2204"/>
    <w:rsid w:val="00EB3094"/>
    <w:rsid w:val="00EB39E2"/>
    <w:rsid w:val="00EB41EB"/>
    <w:rsid w:val="00EB4876"/>
    <w:rsid w:val="00EB4DC3"/>
    <w:rsid w:val="00EB5065"/>
    <w:rsid w:val="00EB595A"/>
    <w:rsid w:val="00EB5FFD"/>
    <w:rsid w:val="00EB6B12"/>
    <w:rsid w:val="00EB7C59"/>
    <w:rsid w:val="00EC00B9"/>
    <w:rsid w:val="00EC0947"/>
    <w:rsid w:val="00EC1767"/>
    <w:rsid w:val="00EC1B59"/>
    <w:rsid w:val="00EC1E4F"/>
    <w:rsid w:val="00EC2372"/>
    <w:rsid w:val="00EC2E2A"/>
    <w:rsid w:val="00EC497D"/>
    <w:rsid w:val="00EC4B33"/>
    <w:rsid w:val="00EC658B"/>
    <w:rsid w:val="00EC6D2A"/>
    <w:rsid w:val="00EC773A"/>
    <w:rsid w:val="00ED03D6"/>
    <w:rsid w:val="00ED106B"/>
    <w:rsid w:val="00ED1D25"/>
    <w:rsid w:val="00ED27F7"/>
    <w:rsid w:val="00ED2DA0"/>
    <w:rsid w:val="00ED3A33"/>
    <w:rsid w:val="00ED3D27"/>
    <w:rsid w:val="00ED4FC7"/>
    <w:rsid w:val="00ED55F2"/>
    <w:rsid w:val="00ED563B"/>
    <w:rsid w:val="00ED5868"/>
    <w:rsid w:val="00ED5FD9"/>
    <w:rsid w:val="00ED6111"/>
    <w:rsid w:val="00ED6E86"/>
    <w:rsid w:val="00ED7C43"/>
    <w:rsid w:val="00EE0A27"/>
    <w:rsid w:val="00EE1CA5"/>
    <w:rsid w:val="00EE1F09"/>
    <w:rsid w:val="00EE2A1E"/>
    <w:rsid w:val="00EE3648"/>
    <w:rsid w:val="00EE3EA1"/>
    <w:rsid w:val="00EE4ACC"/>
    <w:rsid w:val="00EE4EF4"/>
    <w:rsid w:val="00EE6787"/>
    <w:rsid w:val="00EE68AC"/>
    <w:rsid w:val="00EE6C4B"/>
    <w:rsid w:val="00EE7B2B"/>
    <w:rsid w:val="00EE7B6D"/>
    <w:rsid w:val="00EF0092"/>
    <w:rsid w:val="00EF0439"/>
    <w:rsid w:val="00EF0B07"/>
    <w:rsid w:val="00EF0ED4"/>
    <w:rsid w:val="00EF160B"/>
    <w:rsid w:val="00EF1C85"/>
    <w:rsid w:val="00EF285A"/>
    <w:rsid w:val="00EF3645"/>
    <w:rsid w:val="00EF3866"/>
    <w:rsid w:val="00EF3957"/>
    <w:rsid w:val="00EF59CD"/>
    <w:rsid w:val="00EF5BD3"/>
    <w:rsid w:val="00EF5F85"/>
    <w:rsid w:val="00EF6081"/>
    <w:rsid w:val="00EF636C"/>
    <w:rsid w:val="00EF66FC"/>
    <w:rsid w:val="00EF706B"/>
    <w:rsid w:val="00EF712A"/>
    <w:rsid w:val="00EF7D3F"/>
    <w:rsid w:val="00F0015E"/>
    <w:rsid w:val="00F00382"/>
    <w:rsid w:val="00F00579"/>
    <w:rsid w:val="00F016E7"/>
    <w:rsid w:val="00F02C23"/>
    <w:rsid w:val="00F0303F"/>
    <w:rsid w:val="00F031AE"/>
    <w:rsid w:val="00F03340"/>
    <w:rsid w:val="00F052FD"/>
    <w:rsid w:val="00F057CC"/>
    <w:rsid w:val="00F064BD"/>
    <w:rsid w:val="00F06981"/>
    <w:rsid w:val="00F10B0F"/>
    <w:rsid w:val="00F11371"/>
    <w:rsid w:val="00F136DC"/>
    <w:rsid w:val="00F13FA2"/>
    <w:rsid w:val="00F14950"/>
    <w:rsid w:val="00F1497A"/>
    <w:rsid w:val="00F14A25"/>
    <w:rsid w:val="00F15F5B"/>
    <w:rsid w:val="00F160B7"/>
    <w:rsid w:val="00F1723B"/>
    <w:rsid w:val="00F17A0C"/>
    <w:rsid w:val="00F17D39"/>
    <w:rsid w:val="00F2062B"/>
    <w:rsid w:val="00F21B8D"/>
    <w:rsid w:val="00F21CC2"/>
    <w:rsid w:val="00F21F02"/>
    <w:rsid w:val="00F220D6"/>
    <w:rsid w:val="00F2294C"/>
    <w:rsid w:val="00F22C8D"/>
    <w:rsid w:val="00F23034"/>
    <w:rsid w:val="00F230E2"/>
    <w:rsid w:val="00F23462"/>
    <w:rsid w:val="00F23ED7"/>
    <w:rsid w:val="00F24969"/>
    <w:rsid w:val="00F24B9C"/>
    <w:rsid w:val="00F24F92"/>
    <w:rsid w:val="00F2520D"/>
    <w:rsid w:val="00F258A7"/>
    <w:rsid w:val="00F26076"/>
    <w:rsid w:val="00F27617"/>
    <w:rsid w:val="00F27831"/>
    <w:rsid w:val="00F27BAB"/>
    <w:rsid w:val="00F27BDD"/>
    <w:rsid w:val="00F30084"/>
    <w:rsid w:val="00F30E17"/>
    <w:rsid w:val="00F31096"/>
    <w:rsid w:val="00F318A5"/>
    <w:rsid w:val="00F31A5C"/>
    <w:rsid w:val="00F3214F"/>
    <w:rsid w:val="00F32478"/>
    <w:rsid w:val="00F32CD8"/>
    <w:rsid w:val="00F337D8"/>
    <w:rsid w:val="00F36544"/>
    <w:rsid w:val="00F37252"/>
    <w:rsid w:val="00F373B2"/>
    <w:rsid w:val="00F374BF"/>
    <w:rsid w:val="00F375FC"/>
    <w:rsid w:val="00F37B2B"/>
    <w:rsid w:val="00F433CD"/>
    <w:rsid w:val="00F441EA"/>
    <w:rsid w:val="00F4516D"/>
    <w:rsid w:val="00F50730"/>
    <w:rsid w:val="00F50DC8"/>
    <w:rsid w:val="00F51FD1"/>
    <w:rsid w:val="00F52140"/>
    <w:rsid w:val="00F52640"/>
    <w:rsid w:val="00F52F81"/>
    <w:rsid w:val="00F53506"/>
    <w:rsid w:val="00F5380C"/>
    <w:rsid w:val="00F53A57"/>
    <w:rsid w:val="00F54363"/>
    <w:rsid w:val="00F54744"/>
    <w:rsid w:val="00F54C8D"/>
    <w:rsid w:val="00F54D17"/>
    <w:rsid w:val="00F554E0"/>
    <w:rsid w:val="00F5566D"/>
    <w:rsid w:val="00F569CE"/>
    <w:rsid w:val="00F57614"/>
    <w:rsid w:val="00F57B06"/>
    <w:rsid w:val="00F6014C"/>
    <w:rsid w:val="00F6176C"/>
    <w:rsid w:val="00F622B2"/>
    <w:rsid w:val="00F62300"/>
    <w:rsid w:val="00F626C7"/>
    <w:rsid w:val="00F64AC4"/>
    <w:rsid w:val="00F650B6"/>
    <w:rsid w:val="00F655A6"/>
    <w:rsid w:val="00F67292"/>
    <w:rsid w:val="00F67414"/>
    <w:rsid w:val="00F67B35"/>
    <w:rsid w:val="00F704D7"/>
    <w:rsid w:val="00F7052A"/>
    <w:rsid w:val="00F7080B"/>
    <w:rsid w:val="00F70966"/>
    <w:rsid w:val="00F70C28"/>
    <w:rsid w:val="00F70E0B"/>
    <w:rsid w:val="00F72B30"/>
    <w:rsid w:val="00F73734"/>
    <w:rsid w:val="00F73790"/>
    <w:rsid w:val="00F73AE6"/>
    <w:rsid w:val="00F748B7"/>
    <w:rsid w:val="00F75285"/>
    <w:rsid w:val="00F7666E"/>
    <w:rsid w:val="00F77947"/>
    <w:rsid w:val="00F77C3F"/>
    <w:rsid w:val="00F77F0C"/>
    <w:rsid w:val="00F801B5"/>
    <w:rsid w:val="00F8035B"/>
    <w:rsid w:val="00F80755"/>
    <w:rsid w:val="00F807E1"/>
    <w:rsid w:val="00F815F3"/>
    <w:rsid w:val="00F81638"/>
    <w:rsid w:val="00F82279"/>
    <w:rsid w:val="00F82756"/>
    <w:rsid w:val="00F82816"/>
    <w:rsid w:val="00F83005"/>
    <w:rsid w:val="00F83FF0"/>
    <w:rsid w:val="00F84704"/>
    <w:rsid w:val="00F84BE0"/>
    <w:rsid w:val="00F86253"/>
    <w:rsid w:val="00F868BF"/>
    <w:rsid w:val="00F86B59"/>
    <w:rsid w:val="00F87060"/>
    <w:rsid w:val="00F8790C"/>
    <w:rsid w:val="00F9013A"/>
    <w:rsid w:val="00F901BE"/>
    <w:rsid w:val="00F90703"/>
    <w:rsid w:val="00F90D39"/>
    <w:rsid w:val="00F9100B"/>
    <w:rsid w:val="00F91844"/>
    <w:rsid w:val="00F92C1F"/>
    <w:rsid w:val="00F93F1F"/>
    <w:rsid w:val="00F94588"/>
    <w:rsid w:val="00F96CF6"/>
    <w:rsid w:val="00F97738"/>
    <w:rsid w:val="00FA0C0B"/>
    <w:rsid w:val="00FA10F6"/>
    <w:rsid w:val="00FA1967"/>
    <w:rsid w:val="00FA2306"/>
    <w:rsid w:val="00FA234E"/>
    <w:rsid w:val="00FA34F6"/>
    <w:rsid w:val="00FA3F99"/>
    <w:rsid w:val="00FA41FD"/>
    <w:rsid w:val="00FA47C7"/>
    <w:rsid w:val="00FA4BF5"/>
    <w:rsid w:val="00FA603E"/>
    <w:rsid w:val="00FA612A"/>
    <w:rsid w:val="00FA707D"/>
    <w:rsid w:val="00FB09F6"/>
    <w:rsid w:val="00FB0B64"/>
    <w:rsid w:val="00FB1945"/>
    <w:rsid w:val="00FB1DB3"/>
    <w:rsid w:val="00FB200A"/>
    <w:rsid w:val="00FB2073"/>
    <w:rsid w:val="00FB213A"/>
    <w:rsid w:val="00FB2803"/>
    <w:rsid w:val="00FB3058"/>
    <w:rsid w:val="00FB364E"/>
    <w:rsid w:val="00FB3A33"/>
    <w:rsid w:val="00FB3D86"/>
    <w:rsid w:val="00FB49BE"/>
    <w:rsid w:val="00FB4E76"/>
    <w:rsid w:val="00FB5576"/>
    <w:rsid w:val="00FB58C9"/>
    <w:rsid w:val="00FB6C54"/>
    <w:rsid w:val="00FB708E"/>
    <w:rsid w:val="00FB71E8"/>
    <w:rsid w:val="00FB71F3"/>
    <w:rsid w:val="00FB7811"/>
    <w:rsid w:val="00FC16B8"/>
    <w:rsid w:val="00FC1FF6"/>
    <w:rsid w:val="00FC229A"/>
    <w:rsid w:val="00FC25B9"/>
    <w:rsid w:val="00FC2E67"/>
    <w:rsid w:val="00FC31BF"/>
    <w:rsid w:val="00FC33BC"/>
    <w:rsid w:val="00FC3838"/>
    <w:rsid w:val="00FC4EDF"/>
    <w:rsid w:val="00FC5683"/>
    <w:rsid w:val="00FC5820"/>
    <w:rsid w:val="00FC624B"/>
    <w:rsid w:val="00FC714E"/>
    <w:rsid w:val="00FD1E52"/>
    <w:rsid w:val="00FD210C"/>
    <w:rsid w:val="00FD34C0"/>
    <w:rsid w:val="00FD4032"/>
    <w:rsid w:val="00FD4202"/>
    <w:rsid w:val="00FD423F"/>
    <w:rsid w:val="00FD4F6E"/>
    <w:rsid w:val="00FD515D"/>
    <w:rsid w:val="00FD51D9"/>
    <w:rsid w:val="00FD5A05"/>
    <w:rsid w:val="00FD6406"/>
    <w:rsid w:val="00FD7084"/>
    <w:rsid w:val="00FD784B"/>
    <w:rsid w:val="00FE0348"/>
    <w:rsid w:val="00FE036A"/>
    <w:rsid w:val="00FE2826"/>
    <w:rsid w:val="00FE2A44"/>
    <w:rsid w:val="00FE35E5"/>
    <w:rsid w:val="00FE38A2"/>
    <w:rsid w:val="00FE3AE5"/>
    <w:rsid w:val="00FE45E1"/>
    <w:rsid w:val="00FE4686"/>
    <w:rsid w:val="00FE57A9"/>
    <w:rsid w:val="00FE6023"/>
    <w:rsid w:val="00FE6137"/>
    <w:rsid w:val="00FE6DD3"/>
    <w:rsid w:val="00FE6EC3"/>
    <w:rsid w:val="00FE7768"/>
    <w:rsid w:val="00FF0CAA"/>
    <w:rsid w:val="00FF0E3A"/>
    <w:rsid w:val="00FF1554"/>
    <w:rsid w:val="00FF16DE"/>
    <w:rsid w:val="00FF2475"/>
    <w:rsid w:val="00FF42DF"/>
    <w:rsid w:val="00FF44A8"/>
    <w:rsid w:val="00FF494B"/>
    <w:rsid w:val="00FF4BCA"/>
    <w:rsid w:val="00FF59D5"/>
    <w:rsid w:val="00FF6221"/>
    <w:rsid w:val="00FF6863"/>
    <w:rsid w:val="00FF69D7"/>
    <w:rsid w:val="00FF72D4"/>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D52F47-BAA8-460A-9B8F-B23F4AF9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528"/>
    <w:rPr>
      <w:rFonts w:ascii="Arial Armenian" w:hAnsi="Arial Armenian"/>
      <w:sz w:val="24"/>
      <w:szCs w:val="24"/>
    </w:rPr>
  </w:style>
  <w:style w:type="paragraph" w:styleId="1">
    <w:name w:val="heading 1"/>
    <w:basedOn w:val="a"/>
    <w:next w:val="a"/>
    <w:link w:val="10"/>
    <w:qFormat/>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2">
    <w:name w:val="heading 2"/>
    <w:basedOn w:val="a"/>
    <w:next w:val="a"/>
    <w:link w:val="20"/>
    <w:qFormat/>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3">
    <w:name w:val="heading 3"/>
    <w:basedOn w:val="a"/>
    <w:next w:val="a"/>
    <w:link w:val="30"/>
    <w:qFormat/>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4">
    <w:name w:val="heading 4"/>
    <w:basedOn w:val="a"/>
    <w:next w:val="a"/>
    <w:link w:val="40"/>
    <w:qFormat/>
    <w:pPr>
      <w:keepNext/>
      <w:jc w:val="center"/>
      <w:outlineLvl w:val="3"/>
    </w:pPr>
    <w:rPr>
      <w:rFonts w:ascii="Times Armenian" w:hAnsi="Times Armenian"/>
      <w:b/>
      <w:bCs/>
      <w:sz w:val="22"/>
    </w:rPr>
  </w:style>
  <w:style w:type="paragraph" w:styleId="5">
    <w:name w:val="heading 5"/>
    <w:basedOn w:val="a"/>
    <w:next w:val="a"/>
    <w:link w:val="50"/>
    <w:qFormat/>
    <w:pPr>
      <w:keepNext/>
      <w:spacing w:line="360" w:lineRule="auto"/>
      <w:ind w:firstLine="720"/>
      <w:jc w:val="both"/>
      <w:outlineLvl w:val="4"/>
    </w:pPr>
    <w:rPr>
      <w:rFonts w:ascii="Times Armenian" w:hAnsi="Times Armenian"/>
      <w:b/>
      <w:bCs/>
    </w:rPr>
  </w:style>
  <w:style w:type="paragraph" w:styleId="7">
    <w:name w:val="heading 7"/>
    <w:basedOn w:val="a"/>
    <w:next w:val="a"/>
    <w:link w:val="70"/>
    <w:qFormat/>
    <w:rsid w:val="00184E74"/>
    <w:pPr>
      <w:spacing w:before="240" w:after="60"/>
      <w:outlineLvl w:val="6"/>
    </w:pPr>
    <w:rPr>
      <w:rFonts w:ascii="Times New Roman" w:hAnsi="Times New Roman"/>
    </w:rPr>
  </w:style>
  <w:style w:type="paragraph" w:styleId="8">
    <w:name w:val="heading 8"/>
    <w:basedOn w:val="a"/>
    <w:next w:val="a"/>
    <w:link w:val="80"/>
    <w:qFormat/>
    <w:rsid w:val="00360E40"/>
    <w:pPr>
      <w:spacing w:before="240" w:after="60"/>
      <w:outlineLvl w:val="7"/>
    </w:pPr>
    <w:rPr>
      <w:rFonts w:ascii="Times New Roman" w:hAnsi="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712A5"/>
    <w:pPr>
      <w:spacing w:after="160" w:line="240" w:lineRule="exact"/>
    </w:pPr>
    <w:rPr>
      <w:rFonts w:ascii="Arial" w:hAnsi="Arial" w:cs="Arial"/>
      <w:sz w:val="20"/>
      <w:szCs w:val="20"/>
    </w:rPr>
  </w:style>
  <w:style w:type="paragraph" w:styleId="a3">
    <w:name w:val="Body Text"/>
    <w:basedOn w:val="a"/>
    <w:link w:val="a4"/>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a5">
    <w:name w:val="footer"/>
    <w:basedOn w:val="a"/>
    <w:link w:val="a6"/>
    <w:pPr>
      <w:tabs>
        <w:tab w:val="center" w:pos="4320"/>
        <w:tab w:val="right" w:pos="8640"/>
      </w:tabs>
      <w:overflowPunct w:val="0"/>
      <w:autoSpaceDE w:val="0"/>
      <w:autoSpaceDN w:val="0"/>
      <w:adjustRightInd w:val="0"/>
      <w:textAlignment w:val="baseline"/>
    </w:pPr>
    <w:rPr>
      <w:szCs w:val="20"/>
    </w:rPr>
  </w:style>
  <w:style w:type="character" w:styleId="a7">
    <w:name w:val="page number"/>
    <w:basedOn w:val="a0"/>
  </w:style>
  <w:style w:type="paragraph" w:styleId="21">
    <w:name w:val="Body Text 2"/>
    <w:basedOn w:val="a"/>
    <w:link w:val="22"/>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22">
    <w:name w:val="Основной текст 2 Знак"/>
    <w:link w:val="21"/>
    <w:rsid w:val="00184E74"/>
    <w:rPr>
      <w:rFonts w:ascii="Times Armenian" w:hAnsi="Times Armenian"/>
      <w:sz w:val="22"/>
      <w:lang w:val="en-US" w:eastAsia="en-US" w:bidi="ar-SA"/>
    </w:rPr>
  </w:style>
  <w:style w:type="paragraph" w:styleId="a8">
    <w:name w:val="Body Text Indent"/>
    <w:aliases w:val=" (Table Source),(Table Source)"/>
    <w:basedOn w:val="a"/>
    <w:link w:val="a9"/>
    <w:pPr>
      <w:spacing w:line="360" w:lineRule="auto"/>
      <w:ind w:firstLine="720"/>
      <w:jc w:val="both"/>
    </w:pPr>
    <w:rPr>
      <w:rFonts w:ascii="Times Armenian" w:hAnsi="Times Armenian"/>
    </w:rPr>
  </w:style>
  <w:style w:type="paragraph" w:styleId="31">
    <w:name w:val="Body Text Indent 3"/>
    <w:basedOn w:val="a"/>
    <w:link w:val="32"/>
    <w:pPr>
      <w:spacing w:line="360" w:lineRule="auto"/>
      <w:ind w:firstLine="720"/>
      <w:jc w:val="both"/>
    </w:pPr>
    <w:rPr>
      <w:rFonts w:ascii="Times Armenian" w:hAnsi="Times Armenian"/>
    </w:rPr>
  </w:style>
  <w:style w:type="paragraph" w:styleId="aa">
    <w:name w:val="header"/>
    <w:basedOn w:val="a"/>
    <w:link w:val="ab"/>
    <w:pPr>
      <w:tabs>
        <w:tab w:val="center" w:pos="4320"/>
        <w:tab w:val="right" w:pos="8640"/>
      </w:tabs>
    </w:pPr>
    <w:rPr>
      <w:rFonts w:ascii="Times New Roman" w:hAnsi="Times New Roman"/>
    </w:rPr>
  </w:style>
  <w:style w:type="paragraph" w:styleId="ac">
    <w:name w:val="footnote text"/>
    <w:aliases w:val="fn,ADB,single space,footnote text Char,fn Char,ADB Char,single space Char Char,footnote text,FOOTNOTES Char,FOOTNOTES Char Char Char,FOOTNOTES,Footnote Text Char2 Char,Footnote Text Char1 Char Char,Footnote Text Char2 Char Char Char"/>
    <w:basedOn w:val="a"/>
    <w:link w:val="ad"/>
    <w:semiHidden/>
    <w:rPr>
      <w:sz w:val="20"/>
      <w:szCs w:val="20"/>
    </w:rPr>
  </w:style>
  <w:style w:type="character" w:customStyle="1" w:styleId="ad">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
    <w:link w:val="ac"/>
    <w:rsid w:val="00360E40"/>
    <w:rPr>
      <w:rFonts w:ascii="Arial Armenian" w:hAnsi="Arial Armenian"/>
      <w:lang w:val="en-US" w:eastAsia="en-US" w:bidi="ar-SA"/>
    </w:rPr>
  </w:style>
  <w:style w:type="character" w:styleId="ae">
    <w:name w:val="footnote reference"/>
    <w:aliases w:val="ftref,Footnote Reference Number,Footnote Reference_LVL6,Footnote Reference_LVL61,Footnote Reference_LVL62,Footnote Reference_LVL63,Footnote Reference_LVL64,16 Point,Superscript 6 Point,Знак сноски-FN"/>
    <w:uiPriority w:val="99"/>
    <w:semiHidden/>
    <w:rPr>
      <w:vertAlign w:val="superscript"/>
    </w:rPr>
  </w:style>
  <w:style w:type="paragraph" w:styleId="23">
    <w:name w:val="Body Text Indent 2"/>
    <w:basedOn w:val="a"/>
    <w:link w:val="24"/>
    <w:pPr>
      <w:spacing w:line="360" w:lineRule="auto"/>
      <w:ind w:firstLine="720"/>
      <w:jc w:val="both"/>
    </w:pPr>
    <w:rPr>
      <w:rFonts w:ascii="Times Armenian" w:hAnsi="Times Armenian"/>
    </w:rPr>
  </w:style>
  <w:style w:type="paragraph" w:styleId="33">
    <w:name w:val="Body Text 3"/>
    <w:basedOn w:val="a"/>
    <w:link w:val="34"/>
    <w:pPr>
      <w:overflowPunct w:val="0"/>
      <w:autoSpaceDE w:val="0"/>
      <w:autoSpaceDN w:val="0"/>
      <w:adjustRightInd w:val="0"/>
      <w:spacing w:line="360" w:lineRule="auto"/>
      <w:jc w:val="both"/>
      <w:textAlignment w:val="baseline"/>
    </w:pPr>
    <w:rPr>
      <w:rFonts w:ascii="Times Armenian" w:hAnsi="Times Armenian"/>
      <w:i/>
      <w:szCs w:val="20"/>
    </w:rPr>
  </w:style>
  <w:style w:type="paragraph" w:styleId="af">
    <w:name w:val="Balloon Text"/>
    <w:basedOn w:val="a"/>
    <w:link w:val="af0"/>
    <w:semiHidden/>
    <w:rsid w:val="005D6DDA"/>
    <w:rPr>
      <w:rFonts w:ascii="Tahoma" w:hAnsi="Tahoma" w:cs="Tahoma"/>
      <w:sz w:val="16"/>
      <w:szCs w:val="16"/>
    </w:rPr>
  </w:style>
  <w:style w:type="table" w:styleId="af1">
    <w:name w:val="Table Grid"/>
    <w:basedOn w:val="a1"/>
    <w:rsid w:val="0036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a"/>
    <w:rsid w:val="00360E40"/>
    <w:pPr>
      <w:spacing w:after="160" w:line="240" w:lineRule="exact"/>
    </w:pPr>
    <w:rPr>
      <w:rFonts w:ascii="Arial" w:hAnsi="Arial" w:cs="Arial"/>
      <w:sz w:val="20"/>
      <w:szCs w:val="20"/>
    </w:rPr>
  </w:style>
  <w:style w:type="character" w:customStyle="1" w:styleId="FootnoteTextChar">
    <w:name w:val="Footnote Text Char"/>
    <w:rsid w:val="00184E74"/>
    <w:rPr>
      <w:noProof/>
      <w:lang w:val="hy-AM" w:eastAsia="en-US" w:bidi="ar-SA"/>
    </w:rPr>
  </w:style>
  <w:style w:type="paragraph" w:customStyle="1" w:styleId="CharCharCharCharCharCharCharCharCharChar0">
    <w:name w:val="Char Char Char Char Char Char Char Char Char Char"/>
    <w:basedOn w:val="a"/>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5">
    <w:name w:val="Знак Знак2"/>
    <w:basedOn w:val="a"/>
    <w:rsid w:val="00184E74"/>
    <w:pPr>
      <w:spacing w:after="160" w:line="240" w:lineRule="exact"/>
    </w:pPr>
    <w:rPr>
      <w:rFonts w:ascii="Arial" w:hAnsi="Arial" w:cs="Arial"/>
      <w:sz w:val="20"/>
      <w:szCs w:val="20"/>
    </w:rPr>
  </w:style>
  <w:style w:type="paragraph" w:customStyle="1" w:styleId="Char3CharCharChar">
    <w:name w:val="Char3 Char Char Char"/>
    <w:basedOn w:val="a"/>
    <w:next w:val="a"/>
    <w:semiHidden/>
    <w:rsid w:val="003B665C"/>
    <w:pPr>
      <w:spacing w:after="160" w:line="240" w:lineRule="exact"/>
    </w:pPr>
    <w:rPr>
      <w:rFonts w:ascii="Arial" w:hAnsi="Arial" w:cs="Arial"/>
      <w:sz w:val="20"/>
      <w:szCs w:val="20"/>
      <w:lang w:val="en-GB"/>
    </w:rPr>
  </w:style>
  <w:style w:type="paragraph" w:styleId="af2">
    <w:name w:val="Normal (Web)"/>
    <w:basedOn w:val="a"/>
    <w:uiPriority w:val="99"/>
    <w:rsid w:val="00F72B30"/>
    <w:pPr>
      <w:spacing w:before="100" w:beforeAutospacing="1" w:after="100" w:afterAutospacing="1"/>
    </w:pPr>
    <w:rPr>
      <w:rFonts w:ascii="Times New Roman" w:hAnsi="Times New Roman"/>
    </w:rPr>
  </w:style>
  <w:style w:type="character" w:styleId="af3">
    <w:name w:val="Strong"/>
    <w:qFormat/>
    <w:rsid w:val="00CC57EF"/>
    <w:rPr>
      <w:b/>
      <w:bCs/>
    </w:rPr>
  </w:style>
  <w:style w:type="paragraph" w:styleId="af4">
    <w:name w:val="annotation text"/>
    <w:basedOn w:val="a"/>
    <w:link w:val="af5"/>
    <w:semiHidden/>
    <w:rsid w:val="009D1097"/>
    <w:rPr>
      <w:rFonts w:ascii="Times New Roman" w:hAnsi="Times New Roman"/>
      <w:noProof/>
      <w:sz w:val="20"/>
      <w:szCs w:val="20"/>
      <w:lang w:val="hy-AM"/>
    </w:rPr>
  </w:style>
  <w:style w:type="paragraph" w:styleId="af6">
    <w:name w:val="annotation subject"/>
    <w:basedOn w:val="af4"/>
    <w:next w:val="af4"/>
    <w:link w:val="af7"/>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a0"/>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af8">
    <w:name w:val="endnote text"/>
    <w:basedOn w:val="a"/>
    <w:link w:val="af9"/>
    <w:semiHidden/>
    <w:rsid w:val="001C4F78"/>
    <w:rPr>
      <w:sz w:val="20"/>
      <w:szCs w:val="20"/>
    </w:rPr>
  </w:style>
  <w:style w:type="character" w:styleId="afa">
    <w:name w:val="endnote reference"/>
    <w:semiHidden/>
    <w:rsid w:val="001C4F78"/>
    <w:rPr>
      <w:vertAlign w:val="superscript"/>
    </w:rPr>
  </w:style>
  <w:style w:type="character" w:customStyle="1" w:styleId="10">
    <w:name w:val="Заголовок 1 Знак"/>
    <w:link w:val="1"/>
    <w:locked/>
    <w:rsid w:val="009D02C0"/>
    <w:rPr>
      <w:rFonts w:ascii="Times Armenian" w:hAnsi="Times Armenian"/>
      <w:b/>
      <w:i/>
      <w:sz w:val="26"/>
      <w:lang w:val="en-US" w:eastAsia="en-US" w:bidi="ar-SA"/>
    </w:rPr>
  </w:style>
  <w:style w:type="character" w:customStyle="1" w:styleId="20">
    <w:name w:val="Заголовок 2 Знак"/>
    <w:basedOn w:val="a0"/>
    <w:link w:val="2"/>
    <w:rsid w:val="00F64AC4"/>
    <w:rPr>
      <w:rFonts w:ascii="Arial" w:hAnsi="Arial"/>
      <w:b/>
      <w:i/>
      <w:sz w:val="28"/>
    </w:rPr>
  </w:style>
  <w:style w:type="character" w:customStyle="1" w:styleId="30">
    <w:name w:val="Заголовок 3 Знак"/>
    <w:basedOn w:val="a0"/>
    <w:link w:val="3"/>
    <w:rsid w:val="00F64AC4"/>
    <w:rPr>
      <w:rFonts w:ascii="Times Armenian" w:hAnsi="Times Armenian"/>
      <w:b/>
      <w:i/>
      <w:sz w:val="28"/>
      <w:u w:val="single"/>
    </w:rPr>
  </w:style>
  <w:style w:type="character" w:customStyle="1" w:styleId="40">
    <w:name w:val="Заголовок 4 Знак"/>
    <w:basedOn w:val="a0"/>
    <w:link w:val="4"/>
    <w:rsid w:val="00F64AC4"/>
    <w:rPr>
      <w:rFonts w:ascii="Times Armenian" w:hAnsi="Times Armenian"/>
      <w:b/>
      <w:bCs/>
      <w:sz w:val="22"/>
      <w:szCs w:val="24"/>
    </w:rPr>
  </w:style>
  <w:style w:type="character" w:customStyle="1" w:styleId="50">
    <w:name w:val="Заголовок 5 Знак"/>
    <w:basedOn w:val="a0"/>
    <w:link w:val="5"/>
    <w:rsid w:val="00F64AC4"/>
    <w:rPr>
      <w:rFonts w:ascii="Times Armenian" w:hAnsi="Times Armenian"/>
      <w:b/>
      <w:bCs/>
      <w:sz w:val="24"/>
      <w:szCs w:val="24"/>
    </w:rPr>
  </w:style>
  <w:style w:type="character" w:customStyle="1" w:styleId="70">
    <w:name w:val="Заголовок 7 Знак"/>
    <w:basedOn w:val="a0"/>
    <w:link w:val="7"/>
    <w:rsid w:val="00F64AC4"/>
    <w:rPr>
      <w:sz w:val="24"/>
      <w:szCs w:val="24"/>
    </w:rPr>
  </w:style>
  <w:style w:type="character" w:customStyle="1" w:styleId="80">
    <w:name w:val="Заголовок 8 Знак"/>
    <w:basedOn w:val="a0"/>
    <w:link w:val="8"/>
    <w:rsid w:val="00F64AC4"/>
    <w:rPr>
      <w:i/>
      <w:iCs/>
      <w:sz w:val="24"/>
      <w:szCs w:val="24"/>
    </w:rPr>
  </w:style>
  <w:style w:type="character" w:customStyle="1" w:styleId="a4">
    <w:name w:val="Основной текст Знак"/>
    <w:basedOn w:val="a0"/>
    <w:link w:val="a3"/>
    <w:rsid w:val="00F64AC4"/>
    <w:rPr>
      <w:rFonts w:ascii="Times Armenian" w:hAnsi="Times Armenian"/>
      <w:b/>
      <w:i/>
      <w:sz w:val="24"/>
    </w:rPr>
  </w:style>
  <w:style w:type="character" w:customStyle="1" w:styleId="a6">
    <w:name w:val="Нижний колонтитул Знак"/>
    <w:basedOn w:val="a0"/>
    <w:link w:val="a5"/>
    <w:rsid w:val="00F64AC4"/>
    <w:rPr>
      <w:rFonts w:ascii="Arial Armenian" w:hAnsi="Arial Armenian"/>
      <w:sz w:val="24"/>
    </w:rPr>
  </w:style>
  <w:style w:type="character" w:customStyle="1" w:styleId="a9">
    <w:name w:val="Основной текст с отступом Знак"/>
    <w:aliases w:val=" (Table Source) Знак,(Table Source) Знак"/>
    <w:basedOn w:val="a0"/>
    <w:link w:val="a8"/>
    <w:rsid w:val="00F64AC4"/>
    <w:rPr>
      <w:rFonts w:ascii="Times Armenian" w:hAnsi="Times Armenian"/>
      <w:sz w:val="24"/>
      <w:szCs w:val="24"/>
    </w:rPr>
  </w:style>
  <w:style w:type="character" w:customStyle="1" w:styleId="32">
    <w:name w:val="Основной текст с отступом 3 Знак"/>
    <w:basedOn w:val="a0"/>
    <w:link w:val="31"/>
    <w:rsid w:val="00F64AC4"/>
    <w:rPr>
      <w:rFonts w:ascii="Times Armenian" w:hAnsi="Times Armenian"/>
      <w:sz w:val="24"/>
      <w:szCs w:val="24"/>
    </w:rPr>
  </w:style>
  <w:style w:type="character" w:customStyle="1" w:styleId="ab">
    <w:name w:val="Верхний колонтитул Знак"/>
    <w:basedOn w:val="a0"/>
    <w:link w:val="aa"/>
    <w:rsid w:val="00F64AC4"/>
    <w:rPr>
      <w:sz w:val="24"/>
      <w:szCs w:val="24"/>
    </w:rPr>
  </w:style>
  <w:style w:type="character" w:customStyle="1" w:styleId="24">
    <w:name w:val="Основной текст с отступом 2 Знак"/>
    <w:basedOn w:val="a0"/>
    <w:link w:val="23"/>
    <w:rsid w:val="00F64AC4"/>
    <w:rPr>
      <w:rFonts w:ascii="Times Armenian" w:hAnsi="Times Armenian"/>
      <w:sz w:val="24"/>
      <w:szCs w:val="24"/>
    </w:rPr>
  </w:style>
  <w:style w:type="character" w:customStyle="1" w:styleId="34">
    <w:name w:val="Основной текст 3 Знак"/>
    <w:basedOn w:val="a0"/>
    <w:link w:val="33"/>
    <w:rsid w:val="00F64AC4"/>
    <w:rPr>
      <w:rFonts w:ascii="Times Armenian" w:hAnsi="Times Armenian"/>
      <w:i/>
      <w:sz w:val="24"/>
    </w:rPr>
  </w:style>
  <w:style w:type="character" w:customStyle="1" w:styleId="af0">
    <w:name w:val="Текст выноски Знак"/>
    <w:basedOn w:val="a0"/>
    <w:link w:val="af"/>
    <w:semiHidden/>
    <w:rsid w:val="00F64AC4"/>
    <w:rPr>
      <w:rFonts w:ascii="Tahoma" w:hAnsi="Tahoma" w:cs="Tahoma"/>
      <w:sz w:val="16"/>
      <w:szCs w:val="16"/>
    </w:rPr>
  </w:style>
  <w:style w:type="character" w:customStyle="1" w:styleId="af5">
    <w:name w:val="Текст примечания Знак"/>
    <w:basedOn w:val="a0"/>
    <w:link w:val="af4"/>
    <w:semiHidden/>
    <w:rsid w:val="00F64AC4"/>
    <w:rPr>
      <w:noProof/>
      <w:lang w:val="hy-AM"/>
    </w:rPr>
  </w:style>
  <w:style w:type="character" w:customStyle="1" w:styleId="af7">
    <w:name w:val="Тема примечания Знак"/>
    <w:basedOn w:val="af5"/>
    <w:link w:val="af6"/>
    <w:semiHidden/>
    <w:rsid w:val="00F64AC4"/>
    <w:rPr>
      <w:b/>
      <w:bCs/>
      <w:noProof/>
      <w:lang w:val="hy-AM"/>
    </w:rPr>
  </w:style>
  <w:style w:type="character" w:customStyle="1" w:styleId="af9">
    <w:name w:val="Текст концевой сноски Знак"/>
    <w:basedOn w:val="a0"/>
    <w:link w:val="af8"/>
    <w:semiHidden/>
    <w:rsid w:val="00F64AC4"/>
    <w:rPr>
      <w:rFonts w:ascii="Arial Armenian" w:hAnsi="Arial Armenian"/>
    </w:rPr>
  </w:style>
  <w:style w:type="paragraph" w:styleId="afb">
    <w:name w:val="List Paragraph"/>
    <w:basedOn w:val="a"/>
    <w:uiPriority w:val="34"/>
    <w:qFormat/>
    <w:rsid w:val="003306F4"/>
    <w:pPr>
      <w:ind w:left="720"/>
      <w:contextualSpacing/>
    </w:pPr>
  </w:style>
  <w:style w:type="character" w:customStyle="1" w:styleId="news-content">
    <w:name w:val="news-content"/>
    <w:basedOn w:val="a0"/>
    <w:rsid w:val="0030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image" Target="../media/image1.jpeg"/></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openxmlformats.org/officeDocument/2006/relationships/image" Target="../media/image3.jpeg"/><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image" Target="../media/image1.jpeg"/></Relationships>
</file>

<file path=word/charts/_rels/chart8.xml.rels><?xml version="1.0" encoding="UTF-8" standalone="yes"?>
<Relationships xmlns="http://schemas.openxmlformats.org/package/2006/relationships"><Relationship Id="rId1" Type="http://schemas.openxmlformats.org/officeDocument/2006/relationships/oleObject" Target="file:///D:\2016\IMPULS\quarterly_impuls_forQ1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GHEA Grapalat" pitchFamily="50" charset="0"/>
              </a:defRPr>
            </a:pPr>
            <a:r>
              <a:rPr lang="hy-AM"/>
              <a:t>201</a:t>
            </a:r>
            <a:r>
              <a:rPr lang="ru-RU"/>
              <a:t>5</a:t>
            </a:r>
            <a:r>
              <a:rPr lang="hy-AM"/>
              <a:t>թ հունվար-մ</a:t>
            </a:r>
            <a:r>
              <a:rPr lang="ru-RU"/>
              <a:t>արտին</a:t>
            </a:r>
            <a:r>
              <a:rPr lang="hy-AM"/>
              <a:t> </a:t>
            </a:r>
            <a:r>
              <a:rPr lang="ru-RU"/>
              <a:t>տ</a:t>
            </a:r>
            <a:r>
              <a:rPr lang="hy-AM"/>
              <a:t>նտեսական ակտիվության ցուցանիշի </a:t>
            </a:r>
            <a:r>
              <a:rPr lang="ru-RU"/>
              <a:t>3.0</a:t>
            </a:r>
            <a:r>
              <a:rPr lang="hy-AM"/>
              <a:t>% աճին ճյուղերի նպաստումները</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2646268315559669E-3"/>
          <c:y val="0.3274138927579901"/>
          <c:w val="0.95959377447359129"/>
          <c:h val="0.46617885927323932"/>
        </c:manualLayout>
      </c:layout>
      <c:pie3DChart>
        <c:varyColors val="1"/>
        <c:ser>
          <c:idx val="0"/>
          <c:order val="0"/>
          <c:tx>
            <c:strRef>
              <c:f>Sheet1!$B$1</c:f>
              <c:strCache>
                <c:ptCount val="1"/>
                <c:pt idx="0">
                  <c:v>2015թ հունվար-մարտին տնտեսական ակտիվության ցուցանիշի 4.8% աճին ճյուղերի նպաստումները</c:v>
                </c:pt>
              </c:strCache>
            </c:strRef>
          </c:tx>
          <c:explosion val="25"/>
          <c:dPt>
            <c:idx val="0"/>
            <c:bubble3D val="0"/>
            <c:spPr>
              <a:pattFill prst="pct5">
                <a:fgClr>
                  <a:schemeClr val="tx2">
                    <a:lumMod val="75000"/>
                  </a:schemeClr>
                </a:fgClr>
                <a:bgClr>
                  <a:schemeClr val="bg1"/>
                </a:bgClr>
              </a:pattFill>
            </c:spPr>
          </c:dPt>
          <c:dPt>
            <c:idx val="1"/>
            <c:bubble3D val="0"/>
            <c:spPr>
              <a:pattFill prst="wdDnDiag">
                <a:fgClr>
                  <a:schemeClr val="tx2">
                    <a:lumMod val="75000"/>
                  </a:schemeClr>
                </a:fgClr>
                <a:bgClr>
                  <a:schemeClr val="bg1"/>
                </a:bgClr>
              </a:pattFill>
            </c:spPr>
          </c:dPt>
          <c:dLbls>
            <c:dLbl>
              <c:idx val="0"/>
              <c:layout>
                <c:manualLayout>
                  <c:x val="-2.2055465958321401E-2"/>
                  <c:y val="8.04560968340495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320952359503964E-2"/>
                  <c:y val="3.28476053014875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0.0</c:formatCode>
                <c:ptCount val="4"/>
                <c:pt idx="0">
                  <c:v>0.46641025566554556</c:v>
                </c:pt>
                <c:pt idx="1">
                  <c:v>1.160488591767926</c:v>
                </c:pt>
                <c:pt idx="2">
                  <c:v>0.39436571916243968</c:v>
                </c:pt>
                <c:pt idx="3">
                  <c:v>0.94298413806729453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1.1532063023844076E-2"/>
          <c:y val="0.83003312085989267"/>
          <c:w val="0.94372195922639612"/>
          <c:h val="0.14615735533058366"/>
        </c:manualLayout>
      </c:layout>
      <c:overlay val="0"/>
      <c:txPr>
        <a:bodyPr/>
        <a:lstStyle/>
        <a:p>
          <a:pPr>
            <a:defRPr sz="800">
              <a:latin typeface="GHEA Grapalat" pitchFamily="50" charset="0"/>
            </a:defRPr>
          </a:pPr>
          <a:endParaRPr lang="ru-RU"/>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GHEA Grapalat" pitchFamily="50" charset="0"/>
              </a:defRPr>
            </a:pPr>
            <a:r>
              <a:rPr lang="hy-AM"/>
              <a:t>201</a:t>
            </a:r>
            <a:r>
              <a:rPr lang="en-US"/>
              <a:t>6</a:t>
            </a:r>
            <a:r>
              <a:rPr lang="hy-AM"/>
              <a:t>թ հունվար-</a:t>
            </a:r>
            <a:r>
              <a:rPr lang="ru-RU"/>
              <a:t>մարտ</a:t>
            </a:r>
            <a:r>
              <a:rPr lang="hy-AM"/>
              <a:t>ին տնտեսական ակտիվության ցուցանիշի </a:t>
            </a:r>
            <a:r>
              <a:rPr lang="ru-RU"/>
              <a:t>5.5</a:t>
            </a:r>
            <a:r>
              <a:rPr lang="hy-AM"/>
              <a:t>% աճին ճյուղերի նպաստումները</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681203311124569"/>
          <c:y val="0.33871086766328123"/>
          <c:w val="0.89318811981701285"/>
          <c:h val="0.4619121516250323"/>
        </c:manualLayout>
      </c:layout>
      <c:pie3DChart>
        <c:varyColors val="1"/>
        <c:ser>
          <c:idx val="0"/>
          <c:order val="0"/>
          <c:tx>
            <c:strRef>
              <c:f>Sheet1!$B$1</c:f>
              <c:strCache>
                <c:ptCount val="1"/>
                <c:pt idx="0">
                  <c:v>2015թ հունվար-սեպտեմբերին Տնտեսական ակտիվության ցուցանիշի 3.7% աճին ճյուղերի նպաստումները</c:v>
                </c:pt>
              </c:strCache>
            </c:strRef>
          </c:tx>
          <c:explosion val="25"/>
          <c:dPt>
            <c:idx val="0"/>
            <c:bubble3D val="0"/>
            <c:spPr>
              <a:pattFill prst="pct5">
                <a:fgClr>
                  <a:schemeClr val="tx2">
                    <a:lumMod val="75000"/>
                  </a:schemeClr>
                </a:fgClr>
                <a:bgClr>
                  <a:schemeClr val="bg1"/>
                </a:bgClr>
              </a:pattFill>
            </c:spPr>
          </c:dPt>
          <c:dPt>
            <c:idx val="1"/>
            <c:bubble3D val="0"/>
            <c:spPr>
              <a:pattFill prst="wdDnDiag">
                <a:fgClr>
                  <a:schemeClr val="tx2">
                    <a:lumMod val="75000"/>
                  </a:schemeClr>
                </a:fgClr>
                <a:bgClr>
                  <a:schemeClr val="bg1"/>
                </a:bgClr>
              </a:pattFill>
            </c:spPr>
          </c:dPt>
          <c:dLbls>
            <c:dLbl>
              <c:idx val="2"/>
              <c:layout>
                <c:manualLayout>
                  <c:x val="5.3495952866031607E-2"/>
                  <c:y val="3.709954733919129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592353131523394E-2"/>
                  <c:y val="6.32921613838367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0.0</c:formatCode>
                <c:ptCount val="4"/>
                <c:pt idx="0">
                  <c:v>1.5690193464729378</c:v>
                </c:pt>
                <c:pt idx="1">
                  <c:v>0.61356250960068437</c:v>
                </c:pt>
                <c:pt idx="2">
                  <c:v>-0.22128589168999113</c:v>
                </c:pt>
                <c:pt idx="3">
                  <c:v>3.5387040356163699</c:v>
                </c:pt>
              </c:numCache>
            </c:numRef>
          </c:val>
        </c:ser>
        <c:ser>
          <c:idx val="1"/>
          <c:order val="1"/>
          <c:tx>
            <c:strRef>
              <c:f>Sheet1!$C$1</c:f>
              <c:strCache>
                <c:ptCount val="1"/>
                <c:pt idx="0">
                  <c:v>2016թ հունվար-մարտին տնտեսական ակտիվության ցուցանիշի 3.7% աճին ճյուղերի նպաստումները2</c:v>
                </c:pt>
              </c:strCache>
            </c:strRef>
          </c:tx>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Sheet1!$C$2:$C$5</c:f>
              <c:numCache>
                <c:formatCode>0.0</c:formatCode>
                <c:ptCount val="4"/>
                <c:pt idx="0">
                  <c:v>1.5690193464729378</c:v>
                </c:pt>
                <c:pt idx="1">
                  <c:v>0.61356250960068437</c:v>
                </c:pt>
                <c:pt idx="2">
                  <c:v>-0.22128589168999113</c:v>
                </c:pt>
                <c:pt idx="3">
                  <c:v>3.5387040356163699</c:v>
                </c:pt>
              </c:numCache>
            </c:numRef>
          </c:val>
        </c:ser>
        <c:dLbls>
          <c:showLegendKey val="0"/>
          <c:showVal val="0"/>
          <c:showCatName val="0"/>
          <c:showSerName val="0"/>
          <c:showPercent val="0"/>
          <c:showBubbleSize val="0"/>
          <c:showLeaderLines val="1"/>
        </c:dLbls>
      </c:pie3DChart>
    </c:plotArea>
    <c:legend>
      <c:legendPos val="b"/>
      <c:overlay val="0"/>
      <c:txPr>
        <a:bodyPr/>
        <a:lstStyle/>
        <a:p>
          <a:pPr>
            <a:defRPr sz="800">
              <a:latin typeface="GHEA Grapalat" pitchFamily="50" charset="0"/>
            </a:defRPr>
          </a:pPr>
          <a:endParaRPr lang="ru-RU"/>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298577873844201E-2"/>
          <c:y val="6.385951756030496E-2"/>
          <c:w val="0.89368770764119598"/>
          <c:h val="0.68309859154929575"/>
        </c:manualLayout>
      </c:layout>
      <c:barChart>
        <c:barDir val="col"/>
        <c:grouping val="clustered"/>
        <c:varyColors val="0"/>
        <c:ser>
          <c:idx val="1"/>
          <c:order val="0"/>
          <c:tx>
            <c:strRef>
              <c:f>Sheet1!$A$2</c:f>
              <c:strCache>
                <c:ptCount val="1"/>
                <c:pt idx="0">
                  <c:v>Արտահանում</c:v>
                </c:pt>
              </c:strCache>
            </c:strRef>
          </c:tx>
          <c:spPr>
            <a:solidFill>
              <a:srgbClr val="993366"/>
            </a:solidFill>
            <a:ln w="12700">
              <a:solidFill>
                <a:srgbClr val="000000"/>
              </a:solidFill>
              <a:prstDash val="solid"/>
            </a:ln>
          </c:spPr>
          <c:invertIfNegative val="0"/>
          <c:cat>
            <c:numRef>
              <c:f>Sheet1!$B$1:$R$1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Sheet1!$B$2:$R$2</c:f>
              <c:numCache>
                <c:formatCode>General</c:formatCode>
                <c:ptCount val="17"/>
                <c:pt idx="0">
                  <c:v>58.7</c:v>
                </c:pt>
                <c:pt idx="1">
                  <c:v>76.7</c:v>
                </c:pt>
                <c:pt idx="2">
                  <c:v>120.1</c:v>
                </c:pt>
                <c:pt idx="3">
                  <c:v>136.1</c:v>
                </c:pt>
                <c:pt idx="4">
                  <c:v>147.4</c:v>
                </c:pt>
                <c:pt idx="5">
                  <c:v>202.4</c:v>
                </c:pt>
                <c:pt idx="6">
                  <c:v>184.8</c:v>
                </c:pt>
                <c:pt idx="7">
                  <c:v>231.2</c:v>
                </c:pt>
                <c:pt idx="8">
                  <c:v>234</c:v>
                </c:pt>
                <c:pt idx="9">
                  <c:v>123.9</c:v>
                </c:pt>
                <c:pt idx="10">
                  <c:v>198.5</c:v>
                </c:pt>
                <c:pt idx="11">
                  <c:v>262.5</c:v>
                </c:pt>
                <c:pt idx="12">
                  <c:v>298.89999999999998</c:v>
                </c:pt>
                <c:pt idx="13">
                  <c:v>341.7</c:v>
                </c:pt>
                <c:pt idx="14">
                  <c:v>348</c:v>
                </c:pt>
                <c:pt idx="15">
                  <c:v>267.60000000000002</c:v>
                </c:pt>
                <c:pt idx="16">
                  <c:v>375.9</c:v>
                </c:pt>
              </c:numCache>
            </c:numRef>
          </c:val>
        </c:ser>
        <c:ser>
          <c:idx val="0"/>
          <c:order val="1"/>
          <c:tx>
            <c:strRef>
              <c:f>Sheet1!$A$3</c:f>
              <c:strCache>
                <c:ptCount val="1"/>
                <c:pt idx="0">
                  <c:v>Ներմուծում (CIF)</c:v>
                </c:pt>
              </c:strCache>
            </c:strRef>
          </c:tx>
          <c:spPr>
            <a:solidFill>
              <a:srgbClr val="9999FF"/>
            </a:solidFill>
            <a:ln w="12700">
              <a:solidFill>
                <a:srgbClr val="000000"/>
              </a:solidFill>
              <a:prstDash val="solid"/>
            </a:ln>
          </c:spPr>
          <c:invertIfNegative val="0"/>
          <c:cat>
            <c:numRef>
              <c:f>Sheet1!$B$1:$R$1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Sheet1!$B$3:$R$3</c:f>
              <c:numCache>
                <c:formatCode>General</c:formatCode>
                <c:ptCount val="17"/>
                <c:pt idx="0">
                  <c:v>-201.3</c:v>
                </c:pt>
                <c:pt idx="1">
                  <c:v>-178.7</c:v>
                </c:pt>
                <c:pt idx="2">
                  <c:v>-204.4</c:v>
                </c:pt>
                <c:pt idx="3">
                  <c:v>-251.7</c:v>
                </c:pt>
                <c:pt idx="4">
                  <c:v>-283.8</c:v>
                </c:pt>
                <c:pt idx="5">
                  <c:v>-371</c:v>
                </c:pt>
                <c:pt idx="6">
                  <c:v>-422</c:v>
                </c:pt>
                <c:pt idx="7">
                  <c:v>-645.20000000000005</c:v>
                </c:pt>
                <c:pt idx="8">
                  <c:v>-846.7</c:v>
                </c:pt>
                <c:pt idx="9">
                  <c:v>-665.3</c:v>
                </c:pt>
                <c:pt idx="10">
                  <c:v>-817.3</c:v>
                </c:pt>
                <c:pt idx="11">
                  <c:v>-871.1</c:v>
                </c:pt>
                <c:pt idx="12">
                  <c:v>-953.4</c:v>
                </c:pt>
                <c:pt idx="13">
                  <c:v>-972.5</c:v>
                </c:pt>
                <c:pt idx="14">
                  <c:v>-974.5</c:v>
                </c:pt>
                <c:pt idx="15">
                  <c:v>-677.5</c:v>
                </c:pt>
                <c:pt idx="16">
                  <c:v>-621.20000000000005</c:v>
                </c:pt>
              </c:numCache>
            </c:numRef>
          </c:val>
        </c:ser>
        <c:ser>
          <c:idx val="2"/>
          <c:order val="2"/>
          <c:tx>
            <c:strRef>
              <c:f>Sheet1!$A$4</c:f>
              <c:strCache>
                <c:ptCount val="1"/>
                <c:pt idx="0">
                  <c:v>Հաշվեկշիռ ապրանքների գծով</c:v>
                </c:pt>
              </c:strCache>
            </c:strRef>
          </c:tx>
          <c:spPr>
            <a:solidFill>
              <a:srgbClr val="FFFFCC"/>
            </a:solidFill>
            <a:ln w="12700">
              <a:solidFill>
                <a:srgbClr val="000000"/>
              </a:solidFill>
              <a:prstDash val="solid"/>
            </a:ln>
          </c:spPr>
          <c:invertIfNegative val="0"/>
          <c:cat>
            <c:numRef>
              <c:f>Sheet1!$B$1:$R$1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Sheet1!$B$4:$R$4</c:f>
              <c:numCache>
                <c:formatCode>General</c:formatCode>
                <c:ptCount val="17"/>
                <c:pt idx="0">
                  <c:v>-142.5</c:v>
                </c:pt>
                <c:pt idx="1">
                  <c:v>-102</c:v>
                </c:pt>
                <c:pt idx="2">
                  <c:v>-84.3</c:v>
                </c:pt>
                <c:pt idx="3">
                  <c:v>-115.6</c:v>
                </c:pt>
                <c:pt idx="4">
                  <c:v>-136.4</c:v>
                </c:pt>
                <c:pt idx="5">
                  <c:v>-168.6</c:v>
                </c:pt>
                <c:pt idx="6">
                  <c:v>-237.2</c:v>
                </c:pt>
                <c:pt idx="7">
                  <c:v>-413.9</c:v>
                </c:pt>
                <c:pt idx="8">
                  <c:v>-612.79999999999995</c:v>
                </c:pt>
                <c:pt idx="9">
                  <c:v>-541.4</c:v>
                </c:pt>
                <c:pt idx="10">
                  <c:v>-618.79999999999995</c:v>
                </c:pt>
                <c:pt idx="11">
                  <c:v>-608.6</c:v>
                </c:pt>
                <c:pt idx="12">
                  <c:v>-654.5</c:v>
                </c:pt>
                <c:pt idx="13">
                  <c:v>-630.79999999999995</c:v>
                </c:pt>
                <c:pt idx="14">
                  <c:v>-626.5</c:v>
                </c:pt>
                <c:pt idx="15">
                  <c:v>-409.9</c:v>
                </c:pt>
                <c:pt idx="16">
                  <c:v>-245.3</c:v>
                </c:pt>
              </c:numCache>
            </c:numRef>
          </c:val>
        </c:ser>
        <c:dLbls>
          <c:showLegendKey val="0"/>
          <c:showVal val="0"/>
          <c:showCatName val="0"/>
          <c:showSerName val="0"/>
          <c:showPercent val="0"/>
          <c:showBubbleSize val="0"/>
        </c:dLbls>
        <c:gapWidth val="150"/>
        <c:axId val="377111088"/>
        <c:axId val="377117360"/>
      </c:barChart>
      <c:catAx>
        <c:axId val="3771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77117360"/>
        <c:crosses val="autoZero"/>
        <c:auto val="0"/>
        <c:lblAlgn val="ctr"/>
        <c:lblOffset val="100"/>
        <c:tickLblSkip val="1"/>
        <c:tickMarkSkip val="1"/>
        <c:noMultiLvlLbl val="0"/>
      </c:catAx>
      <c:valAx>
        <c:axId val="3771173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377111088"/>
        <c:crosses val="autoZero"/>
        <c:crossBetween val="between"/>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legend>
      <c:legendPos val="b"/>
      <c:layout>
        <c:manualLayout>
          <c:xMode val="edge"/>
          <c:yMode val="edge"/>
          <c:x val="0.18438538205980065"/>
          <c:y val="0.90492957746478875"/>
          <c:w val="0.70265780730897009"/>
          <c:h val="8.4507042253521125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no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GHEA Grapalat"/>
                <a:ea typeface="GHEA Grapalat"/>
                <a:cs typeface="GHEA Grapalat"/>
              </a:defRPr>
            </a:pPr>
            <a:r>
              <a:rPr lang="hy-AM"/>
              <a:t>Ներմուծման ծածկման գործակից (%)) </a:t>
            </a:r>
          </a:p>
        </c:rich>
      </c:tx>
      <c:layout>
        <c:manualLayout>
          <c:xMode val="edge"/>
          <c:yMode val="edge"/>
          <c:x val="0.27288135593220336"/>
          <c:y val="1.7241379310344827E-2"/>
        </c:manualLayout>
      </c:layout>
      <c:overlay val="0"/>
      <c:spPr>
        <a:noFill/>
        <a:ln w="25399">
          <a:noFill/>
        </a:ln>
      </c:spPr>
    </c:title>
    <c:autoTitleDeleted val="0"/>
    <c:plotArea>
      <c:layout>
        <c:manualLayout>
          <c:layoutTarget val="inner"/>
          <c:xMode val="edge"/>
          <c:yMode val="edge"/>
          <c:x val="8.3050847457627114E-2"/>
          <c:y val="0.12413793103448276"/>
          <c:w val="0.90169491525423728"/>
          <c:h val="0.84482758620689657"/>
        </c:manualLayout>
      </c:layout>
      <c:barChart>
        <c:barDir val="bar"/>
        <c:grouping val="clustered"/>
        <c:varyColors val="0"/>
        <c:ser>
          <c:idx val="0"/>
          <c:order val="0"/>
          <c:tx>
            <c:strRef>
              <c:f>Sheet1!$A$2</c:f>
              <c:strCache>
                <c:ptCount val="1"/>
                <c:pt idx="0">
                  <c:v>Ներմուծուման ծածկման գործակից (%)</c:v>
                </c:pt>
              </c:strCache>
            </c:strRef>
          </c:tx>
          <c:spPr>
            <a:blipFill dpi="0" rotWithShape="0">
              <a:blip xmlns:r="http://schemas.openxmlformats.org/officeDocument/2006/relationships" r:embed="rId1"/>
              <a:srcRect/>
              <a:tile tx="0" ty="0" sx="100000" sy="100000" flip="none" algn="tl"/>
            </a:blipFill>
            <a:ln w="12700">
              <a:solidFill>
                <a:srgbClr val="000000"/>
              </a:solidFill>
              <a:prstDash val="solid"/>
            </a:ln>
            <a:effectLst>
              <a:outerShdw dist="35921" dir="2700000" algn="br">
                <a:srgbClr val="000000"/>
              </a:outerShdw>
            </a:effectLst>
          </c:spPr>
          <c:invertIfNegative val="0"/>
          <c:dLbls>
            <c:spPr>
              <a:noFill/>
              <a:ln w="25399">
                <a:noFill/>
              </a:ln>
            </c:spPr>
            <c:txPr>
              <a:bodyPr/>
              <a:lstStyle/>
              <a:p>
                <a:pPr>
                  <a:defRPr sz="1075" b="1" i="0" u="none" strike="noStrike" baseline="0">
                    <a:solidFill>
                      <a:srgbClr val="000000"/>
                    </a:solidFill>
                    <a:latin typeface="GHEA Grapalat"/>
                    <a:ea typeface="GHEA Grapalat"/>
                    <a:cs typeface="GHEA Grapala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Sheet1!$B$1:$V$1</c:f>
              <c:strCach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strCache>
            </c:strRef>
          </c:cat>
          <c:val>
            <c:numRef>
              <c:f>Sheet1!$B$2:$V$2</c:f>
              <c:numCache>
                <c:formatCode>0.0</c:formatCode>
                <c:ptCount val="21"/>
                <c:pt idx="0">
                  <c:v>30.561846220209212</c:v>
                </c:pt>
                <c:pt idx="1">
                  <c:v>21.23529446314145</c:v>
                </c:pt>
                <c:pt idx="2">
                  <c:v>31.576804982508229</c:v>
                </c:pt>
                <c:pt idx="3">
                  <c:v>39.387016000067156</c:v>
                </c:pt>
                <c:pt idx="4">
                  <c:v>34.34813409275489</c:v>
                </c:pt>
                <c:pt idx="5">
                  <c:v>49.910984215111128</c:v>
                </c:pt>
                <c:pt idx="6">
                  <c:v>66.693993653806373</c:v>
                </c:pt>
                <c:pt idx="7">
                  <c:v>61.121347181054134</c:v>
                </c:pt>
                <c:pt idx="8">
                  <c:v>59.276738360693351</c:v>
                </c:pt>
                <c:pt idx="9">
                  <c:v>61.914197064709384</c:v>
                </c:pt>
                <c:pt idx="10">
                  <c:v>52.234180822165207</c:v>
                </c:pt>
                <c:pt idx="11">
                  <c:v>42.93235262897587</c:v>
                </c:pt>
                <c:pt idx="12">
                  <c:v>34.143208293620489</c:v>
                </c:pt>
                <c:pt idx="13">
                  <c:v>22.891566265060238</c:v>
                </c:pt>
                <c:pt idx="14">
                  <c:v>32.093462329831915</c:v>
                </c:pt>
                <c:pt idx="15">
                  <c:v>37.123343283015842</c:v>
                </c:pt>
                <c:pt idx="16">
                  <c:v>38.888329662954042</c:v>
                </c:pt>
                <c:pt idx="17">
                  <c:v>42.99837550653168</c:v>
                </c:pt>
                <c:pt idx="18">
                  <c:v>43.27399494344192</c:v>
                </c:pt>
                <c:pt idx="19">
                  <c:v>48.813358415336403</c:v>
                </c:pt>
                <c:pt idx="20">
                  <c:v>71.518264840182653</c:v>
                </c:pt>
              </c:numCache>
            </c:numRef>
          </c:val>
        </c:ser>
        <c:dLbls>
          <c:showLegendKey val="0"/>
          <c:showVal val="1"/>
          <c:showCatName val="0"/>
          <c:showSerName val="0"/>
          <c:showPercent val="0"/>
          <c:showBubbleSize val="0"/>
        </c:dLbls>
        <c:gapWidth val="150"/>
        <c:axId val="377118144"/>
        <c:axId val="377119320"/>
      </c:barChart>
      <c:catAx>
        <c:axId val="377118144"/>
        <c:scaling>
          <c:orientation val="minMax"/>
        </c:scaling>
        <c:delete val="0"/>
        <c:axPos val="l"/>
        <c:numFmt formatCode="General" sourceLinked="1"/>
        <c:majorTickMark val="none"/>
        <c:minorTickMark val="none"/>
        <c:tickLblPos val="low"/>
        <c:spPr>
          <a:ln w="12700">
            <a:solidFill>
              <a:srgbClr val="C0C0C0"/>
            </a:solidFill>
            <a:prstDash val="solid"/>
          </a:ln>
        </c:spPr>
        <c:txPr>
          <a:bodyPr rot="0" vert="horz"/>
          <a:lstStyle/>
          <a:p>
            <a:pPr>
              <a:defRPr sz="850" b="1" i="0" u="none" strike="noStrike" baseline="0">
                <a:solidFill>
                  <a:srgbClr val="000000"/>
                </a:solidFill>
                <a:latin typeface="Times Armenian"/>
                <a:ea typeface="Times Armenian"/>
                <a:cs typeface="Times Armenian"/>
              </a:defRPr>
            </a:pPr>
            <a:endParaRPr lang="ru-RU"/>
          </a:p>
        </c:txPr>
        <c:crossAx val="377119320"/>
        <c:crosses val="autoZero"/>
        <c:auto val="1"/>
        <c:lblAlgn val="ctr"/>
        <c:lblOffset val="100"/>
        <c:tickLblSkip val="1"/>
        <c:tickMarkSkip val="1"/>
        <c:noMultiLvlLbl val="0"/>
      </c:catAx>
      <c:valAx>
        <c:axId val="377119320"/>
        <c:scaling>
          <c:orientation val="minMax"/>
        </c:scaling>
        <c:delete val="1"/>
        <c:axPos val="b"/>
        <c:numFmt formatCode="0.0" sourceLinked="1"/>
        <c:majorTickMark val="out"/>
        <c:minorTickMark val="none"/>
        <c:tickLblPos val="nextTo"/>
        <c:crossAx val="377118144"/>
        <c:crosses val="autoZero"/>
        <c:crossBetween val="between"/>
      </c:valAx>
      <c:spPr>
        <a:solidFill>
          <a:srgbClr val="FFFFFF"/>
        </a:solidFill>
        <a:ln w="25399">
          <a:noFill/>
        </a:ln>
      </c:spPr>
    </c:plotArea>
    <c:plotVisOnly val="1"/>
    <c:dispBlanksAs val="gap"/>
    <c:showDLblsOverMax val="0"/>
  </c:chart>
  <c:spPr>
    <a:blipFill dpi="0" rotWithShape="0">
      <a:blip xmlns:r="http://schemas.openxmlformats.org/officeDocument/2006/relationships" r:embed="rId2"/>
      <a:srcRect/>
      <a:tile tx="0" ty="0" sx="100000" sy="100000" flip="none" algn="tl"/>
    </a:blipFill>
    <a:ln>
      <a:noFill/>
    </a:ln>
  </c:spPr>
  <c:txPr>
    <a:bodyPr/>
    <a:lstStyle/>
    <a:p>
      <a:pPr>
        <a:defRPr sz="1200" b="0" i="0" u="none" strike="noStrike" baseline="0">
          <a:solidFill>
            <a:srgbClr val="000000"/>
          </a:solidFill>
          <a:latin typeface="Arial"/>
          <a:ea typeface="Arial"/>
          <a:cs typeface="Arial"/>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5" b="1" i="0" u="none" strike="noStrike" baseline="0">
                <a:solidFill>
                  <a:srgbClr val="000000"/>
                </a:solidFill>
                <a:latin typeface="GHEA Grapalat"/>
                <a:ea typeface="GHEA Grapalat"/>
                <a:cs typeface="GHEA Grapalat"/>
              </a:defRPr>
            </a:pPr>
            <a:r>
              <a:rPr lang="hy-AM"/>
              <a:t>Լրիվ միակողմանի
աևտուր</a:t>
            </a:r>
          </a:p>
        </c:rich>
      </c:tx>
      <c:layout>
        <c:manualLayout>
          <c:xMode val="edge"/>
          <c:yMode val="edge"/>
          <c:x val="0.82835820895522383"/>
          <c:y val="3.2911392405063293E-2"/>
        </c:manualLayout>
      </c:layout>
      <c:overlay val="0"/>
      <c:spPr>
        <a:noFill/>
        <a:ln w="25399">
          <a:noFill/>
        </a:ln>
      </c:spPr>
    </c:title>
    <c:autoTitleDeleted val="0"/>
    <c:plotArea>
      <c:layout>
        <c:manualLayout>
          <c:layoutTarget val="inner"/>
          <c:xMode val="edge"/>
          <c:yMode val="edge"/>
          <c:x val="6.9065925582831554E-3"/>
          <c:y val="1.9242668740481517E-2"/>
          <c:w val="0.9925373134328358"/>
          <c:h val="0.52658227848101269"/>
        </c:manualLayout>
      </c:layout>
      <c:barChart>
        <c:barDir val="col"/>
        <c:grouping val="clustered"/>
        <c:varyColors val="0"/>
        <c:ser>
          <c:idx val="0"/>
          <c:order val="0"/>
          <c:tx>
            <c:strRef>
              <c:f>Sheet1!$A$2</c:f>
              <c:strCache>
                <c:ptCount val="1"/>
                <c:pt idx="0">
                  <c:v>2016</c:v>
                </c:pt>
              </c:strCache>
            </c:strRef>
          </c:tx>
          <c:spPr>
            <a:solidFill>
              <a:srgbClr val="666699"/>
            </a:solidFill>
            <a:ln w="12700">
              <a:solidFill>
                <a:srgbClr val="000000"/>
              </a:solidFill>
              <a:prstDash val="solid"/>
            </a:ln>
          </c:spPr>
          <c:invertIfNegative val="0"/>
          <c:dPt>
            <c:idx val="8"/>
            <c:invertIfNegative val="0"/>
            <c:bubble3D val="0"/>
            <c:spPr>
              <a:solidFill>
                <a:srgbClr val="C00000"/>
              </a:solidFill>
              <a:ln w="12700">
                <a:solidFill>
                  <a:srgbClr val="000000"/>
                </a:solidFill>
                <a:prstDash val="solid"/>
              </a:ln>
            </c:spPr>
          </c:dPt>
          <c:dPt>
            <c:idx val="11"/>
            <c:invertIfNegative val="0"/>
            <c:bubble3D val="0"/>
            <c:spPr>
              <a:solidFill>
                <a:srgbClr val="C00000"/>
              </a:solidFill>
              <a:ln w="12700">
                <a:solidFill>
                  <a:srgbClr val="000000"/>
                </a:solidFill>
                <a:prstDash val="solid"/>
              </a:ln>
            </c:spPr>
          </c:dPt>
          <c:dPt>
            <c:idx val="12"/>
            <c:invertIfNegative val="0"/>
            <c:bubble3D val="0"/>
            <c:spPr>
              <a:solidFill>
                <a:schemeClr val="accent4">
                  <a:lumMod val="75000"/>
                </a:schemeClr>
              </a:solidFill>
              <a:ln w="12700">
                <a:solidFill>
                  <a:schemeClr val="tx1"/>
                </a:solidFill>
                <a:prstDash val="solid"/>
              </a:ln>
            </c:spPr>
          </c:dPt>
          <c:dPt>
            <c:idx val="17"/>
            <c:invertIfNegative val="0"/>
            <c:bubble3D val="0"/>
            <c:spPr>
              <a:solidFill>
                <a:srgbClr val="C00000"/>
              </a:solidFill>
              <a:ln w="12700">
                <a:solidFill>
                  <a:srgbClr val="000000"/>
                </a:solidFill>
                <a:prstDash val="solid"/>
              </a:ln>
            </c:spPr>
          </c:dPt>
          <c:dPt>
            <c:idx val="18"/>
            <c:invertIfNegative val="0"/>
            <c:bubble3D val="0"/>
            <c:spPr>
              <a:solidFill>
                <a:srgbClr val="C00000"/>
              </a:solidFill>
              <a:ln w="12700">
                <a:solidFill>
                  <a:srgbClr val="000000"/>
                </a:solidFill>
                <a:prstDash val="solid"/>
              </a:ln>
            </c:spPr>
          </c:dPt>
          <c:dPt>
            <c:idx val="19"/>
            <c:invertIfNegative val="0"/>
            <c:bubble3D val="0"/>
            <c:spPr>
              <a:solidFill>
                <a:srgbClr val="C00000"/>
              </a:solidFill>
              <a:ln w="12700">
                <a:solidFill>
                  <a:srgbClr val="000000"/>
                </a:solidFill>
                <a:prstDash val="solid"/>
              </a:ln>
            </c:spPr>
          </c:dPt>
          <c:dLbls>
            <c:dLbl>
              <c:idx val="0"/>
              <c:layout>
                <c:manualLayout>
                  <c:x val="1.1175779278688113E-3"/>
                  <c:y val="4.104636756317320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2355280107106901E-2"/>
                  <c:y val="0.1112436416615292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0891743229198797E-3"/>
                  <c:y val="7.590192529262486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5300016821865274E-3"/>
                  <c:y val="2.28386899363786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5398182777635198E-3"/>
                  <c:y val="5.117170949036940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7"/>
              <c:layout>
                <c:manualLayout>
                  <c:x val="-6.2621699284955328E-3"/>
                  <c:y val="7.444480129154045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8"/>
              <c:layout>
                <c:manualLayout>
                  <c:x val="1.6194732682119771E-3"/>
                  <c:y val="2.000327643057745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9"/>
              <c:layout>
                <c:manualLayout>
                  <c:x val="1.8081800354411339E-3"/>
                  <c:y val="1.797781887671919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925" b="0" i="0" u="none" strike="noStrike" baseline="0">
                    <a:solidFill>
                      <a:srgbClr val="000000"/>
                    </a:solidFill>
                    <a:latin typeface="GHEA Grapalat"/>
                    <a:ea typeface="GHEA Grapalat"/>
                    <a:cs typeface="GHEA Grapalat"/>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Sheet1!$B$1:$U$1</c:f>
              <c:strCache>
                <c:ptCount val="20"/>
                <c:pt idx="0">
                  <c:v>Կենդ. և բուս. յուղեր </c:v>
                </c:pt>
                <c:pt idx="1">
                  <c:v>Փայտ, փայտ. իրեր</c:v>
                </c:pt>
                <c:pt idx="2">
                  <c:v>Մեքենա, սարք., մեխ.</c:v>
                </c:pt>
                <c:pt idx="3">
                  <c:v>Թուղթ և թղթ. իրեր</c:v>
                </c:pt>
                <c:pt idx="4">
                  <c:v>Տրանսպորտի միջոց.</c:v>
                </c:pt>
                <c:pt idx="5">
                  <c:v>Քիմիայի արդ. արտ.</c:v>
                </c:pt>
                <c:pt idx="6">
                  <c:v>Պլաստմաս. կաուչուկ</c:v>
                </c:pt>
                <c:pt idx="7">
                  <c:v>Կոշիկ, հովանոց, գլխարկ</c:v>
                </c:pt>
                <c:pt idx="8">
                  <c:v>Արվեստի ստեղծագործ.</c:v>
                </c:pt>
                <c:pt idx="9">
                  <c:v>Իրեր քարից, գիպսից</c:v>
                </c:pt>
                <c:pt idx="10">
                  <c:v>Տարբեր արդ. ապր.</c:v>
                </c:pt>
                <c:pt idx="11">
                  <c:v>Թանկ. քարեր, մետաղ.</c:v>
                </c:pt>
                <c:pt idx="12">
                  <c:v>Կենդ. ծագման արտ. </c:v>
                </c:pt>
                <c:pt idx="13">
                  <c:v>Մանածագործ. իրեր </c:v>
                </c:pt>
                <c:pt idx="14">
                  <c:v>Սարքեր, ապարատ.</c:v>
                </c:pt>
                <c:pt idx="15">
                  <c:v>Բուսական արտ.</c:v>
                </c:pt>
                <c:pt idx="16">
                  <c:v>Հանքահումք. արտ.</c:v>
                </c:pt>
                <c:pt idx="17">
                  <c:v>Ոչթանկ. մետ. և իրեր</c:v>
                </c:pt>
                <c:pt idx="18">
                  <c:v>Պատրաստի սննդի արտ.</c:v>
                </c:pt>
                <c:pt idx="19">
                  <c:v>Կաշի, մորթի, իրեր</c:v>
                </c:pt>
              </c:strCache>
            </c:strRef>
          </c:cat>
          <c:val>
            <c:numRef>
              <c:f>Sheet1!$B$2:$U$2</c:f>
              <c:numCache>
                <c:formatCode>0.00</c:formatCode>
                <c:ptCount val="20"/>
                <c:pt idx="0" formatCode="0.0">
                  <c:v>-2.3010626725797009E-4</c:v>
                </c:pt>
                <c:pt idx="1">
                  <c:v>-2.3840951682555206E-2</c:v>
                </c:pt>
                <c:pt idx="2">
                  <c:v>-2.619014118618539E-2</c:v>
                </c:pt>
                <c:pt idx="3">
                  <c:v>-2.8495396449244394E-2</c:v>
                </c:pt>
                <c:pt idx="4">
                  <c:v>-2.8996483199523033E-2</c:v>
                </c:pt>
                <c:pt idx="5" formatCode="0.0">
                  <c:v>-5.0894247115373145E-2</c:v>
                </c:pt>
                <c:pt idx="6" formatCode="0.0">
                  <c:v>-7.0512625262709031E-2</c:v>
                </c:pt>
                <c:pt idx="7" formatCode="0.0">
                  <c:v>-9.4337976053338921E-2</c:v>
                </c:pt>
                <c:pt idx="8" formatCode="0.0">
                  <c:v>0.1415929203539823</c:v>
                </c:pt>
                <c:pt idx="9" formatCode="0.0">
                  <c:v>-0.22406261208648712</c:v>
                </c:pt>
                <c:pt idx="10" formatCode="0.0">
                  <c:v>-0.23890002614834829</c:v>
                </c:pt>
                <c:pt idx="11" formatCode="0.0">
                  <c:v>0.36371305409620475</c:v>
                </c:pt>
                <c:pt idx="12" formatCode="0.0">
                  <c:v>-0.42360534405641276</c:v>
                </c:pt>
                <c:pt idx="13" formatCode="0.0">
                  <c:v>-0.56823128092373798</c:v>
                </c:pt>
                <c:pt idx="14" formatCode="0.0">
                  <c:v>-0.56930994410934643</c:v>
                </c:pt>
                <c:pt idx="15" formatCode="0.0">
                  <c:v>-0.65170336338418866</c:v>
                </c:pt>
                <c:pt idx="16" formatCode="0.0">
                  <c:v>-0.66562035651988094</c:v>
                </c:pt>
                <c:pt idx="17" formatCode="0.0">
                  <c:v>0.71522038072020699</c:v>
                </c:pt>
                <c:pt idx="18" formatCode="0.0">
                  <c:v>0.82521141288321198</c:v>
                </c:pt>
                <c:pt idx="19" formatCode="0.0">
                  <c:v>0.99799606005026842</c:v>
                </c:pt>
              </c:numCache>
            </c:numRef>
          </c:val>
        </c:ser>
        <c:dLbls>
          <c:showLegendKey val="0"/>
          <c:showVal val="0"/>
          <c:showCatName val="0"/>
          <c:showSerName val="0"/>
          <c:showPercent val="0"/>
          <c:showBubbleSize val="0"/>
        </c:dLbls>
        <c:gapWidth val="150"/>
        <c:axId val="377120104"/>
        <c:axId val="377108736"/>
      </c:barChart>
      <c:catAx>
        <c:axId val="377120104"/>
        <c:scaling>
          <c:orientation val="maxMin"/>
        </c:scaling>
        <c:delete val="0"/>
        <c:axPos val="b"/>
        <c:numFmt formatCode="0" sourceLinked="0"/>
        <c:majorTickMark val="none"/>
        <c:minorTickMark val="none"/>
        <c:tickLblPos val="low"/>
        <c:spPr>
          <a:ln w="3175">
            <a:solidFill>
              <a:srgbClr val="000000"/>
            </a:solidFill>
            <a:prstDash val="solid"/>
          </a:ln>
        </c:spPr>
        <c:txPr>
          <a:bodyPr rot="-5400000" vert="horz"/>
          <a:lstStyle/>
          <a:p>
            <a:pPr rtl="1">
              <a:defRPr sz="1000" b="0" i="0" u="none" strike="noStrike" baseline="30000">
                <a:solidFill>
                  <a:srgbClr val="000000"/>
                </a:solidFill>
                <a:latin typeface="GHEA Grapalat"/>
                <a:ea typeface="GHEA Grapalat"/>
                <a:cs typeface="GHEA Grapalat"/>
              </a:defRPr>
            </a:pPr>
            <a:endParaRPr lang="ru-RU"/>
          </a:p>
        </c:txPr>
        <c:crossAx val="377108736"/>
        <c:crosses val="autoZero"/>
        <c:auto val="1"/>
        <c:lblAlgn val="ctr"/>
        <c:lblOffset val="100"/>
        <c:tickLblSkip val="1"/>
        <c:tickMarkSkip val="1"/>
        <c:noMultiLvlLbl val="0"/>
      </c:catAx>
      <c:valAx>
        <c:axId val="377108736"/>
        <c:scaling>
          <c:orientation val="minMax"/>
        </c:scaling>
        <c:delete val="1"/>
        <c:axPos val="l"/>
        <c:majorGridlines>
          <c:spPr>
            <a:ln w="3175">
              <a:solidFill>
                <a:srgbClr val="000000"/>
              </a:solidFill>
              <a:prstDash val="solid"/>
            </a:ln>
          </c:spPr>
        </c:majorGridlines>
        <c:title>
          <c:tx>
            <c:rich>
              <a:bodyPr rot="0" vert="horz"/>
              <a:lstStyle/>
              <a:p>
                <a:pPr algn="ctr">
                  <a:defRPr sz="925" b="1" i="0" u="none" strike="noStrike" baseline="0">
                    <a:solidFill>
                      <a:srgbClr val="000000"/>
                    </a:solidFill>
                    <a:latin typeface="GHEA Grapalat"/>
                    <a:ea typeface="GHEA Grapalat"/>
                    <a:cs typeface="GHEA Grapalat"/>
                  </a:defRPr>
                </a:pPr>
                <a:r>
                  <a:rPr lang="hy-AM"/>
                  <a:t> Լրիվ երկկողմանի առևտուր</a:t>
                </a:r>
              </a:p>
            </c:rich>
          </c:tx>
          <c:layout>
            <c:manualLayout>
              <c:xMode val="edge"/>
              <c:yMode val="edge"/>
              <c:x val="0.11194029850746269"/>
              <c:y val="0"/>
            </c:manualLayout>
          </c:layout>
          <c:overlay val="0"/>
          <c:spPr>
            <a:noFill/>
            <a:ln w="25399">
              <a:noFill/>
            </a:ln>
          </c:spPr>
        </c:title>
        <c:numFmt formatCode="0.0" sourceLinked="1"/>
        <c:majorTickMark val="out"/>
        <c:minorTickMark val="none"/>
        <c:tickLblPos val="nextTo"/>
        <c:crossAx val="377120104"/>
        <c:crosses val="max"/>
        <c:crossBetween val="between"/>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3175">
      <a:solidFill>
        <a:srgbClr val="000000"/>
      </a:solidFill>
      <a:prstDash val="solid"/>
    </a:ln>
  </c:spPr>
  <c:txPr>
    <a:bodyPr/>
    <a:lstStyle/>
    <a:p>
      <a:pPr>
        <a:defRPr sz="1725" b="1"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2015թ.</c:v>
                </c:pt>
              </c:strCache>
            </c:strRef>
          </c:tx>
          <c:spPr>
            <a:ln w="25400">
              <a:solidFill>
                <a:srgbClr val="F2A4E9"/>
              </a:solidFill>
            </a:ln>
          </c:spPr>
          <c:dPt>
            <c:idx val="0"/>
            <c:marker>
              <c:spPr>
                <a:ln>
                  <a:solidFill>
                    <a:srgbClr val="F2A4E9"/>
                  </a:solidFill>
                </a:ln>
              </c:spPr>
            </c:marker>
            <c:bubble3D val="0"/>
          </c:dPt>
          <c:dLbls>
            <c:dLbl>
              <c:idx val="0"/>
              <c:layout>
                <c:manualLayout>
                  <c:x val="-3.576751117734724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741679085941381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728763040238454E-2"/>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72876304023845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728763040238454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728763040238454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371584699453545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9806259314456036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576751117734724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3780427223050177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3715846994535519E-2"/>
                  <c:y val="-4.365079365079364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7819175360158967E-2"/>
                  <c:y val="-4.36507936507936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0.0</c:formatCode>
                <c:ptCount val="12"/>
                <c:pt idx="0">
                  <c:v>-14.373699367288168</c:v>
                </c:pt>
                <c:pt idx="1">
                  <c:v>-14.173269609692696</c:v>
                </c:pt>
                <c:pt idx="2">
                  <c:v>-13.875133575923499</c:v>
                </c:pt>
                <c:pt idx="3">
                  <c:v>-13.559375393527247</c:v>
                </c:pt>
                <c:pt idx="4">
                  <c:v>-13.635277797568406</c:v>
                </c:pt>
                <c:pt idx="5">
                  <c:v>-13.615568238612326</c:v>
                </c:pt>
                <c:pt idx="6">
                  <c:v>-13.771588778328237</c:v>
                </c:pt>
                <c:pt idx="7">
                  <c:v>-13.882021412558387</c:v>
                </c:pt>
                <c:pt idx="8">
                  <c:v>-14.009661835748773</c:v>
                </c:pt>
                <c:pt idx="9">
                  <c:v>-13.933536465253098</c:v>
                </c:pt>
                <c:pt idx="10">
                  <c:v>-13.796412475795321</c:v>
                </c:pt>
                <c:pt idx="11">
                  <c:v>-12.97292773172542</c:v>
                </c:pt>
              </c:numCache>
            </c:numRef>
          </c:val>
          <c:smooth val="0"/>
        </c:ser>
        <c:ser>
          <c:idx val="1"/>
          <c:order val="1"/>
          <c:tx>
            <c:strRef>
              <c:f>Sheet1!$C$1</c:f>
              <c:strCache>
                <c:ptCount val="1"/>
                <c:pt idx="0">
                  <c:v>2016թ.</c:v>
                </c:pt>
              </c:strCache>
            </c:strRef>
          </c:tx>
          <c:spPr>
            <a:ln w="25400"/>
          </c:spPr>
          <c:dLbls>
            <c:dLbl>
              <c:idx val="0"/>
              <c:layout>
                <c:manualLayout>
                  <c:x val="-3.1793343268753105E-2"/>
                  <c:y val="3.96825396825396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806259314456036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767511177347243E-2"/>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0.0</c:formatCode>
                <c:ptCount val="12"/>
                <c:pt idx="0">
                  <c:v>-2.1212245905686871</c:v>
                </c:pt>
                <c:pt idx="1">
                  <c:v>-2.6090151886330233</c:v>
                </c:pt>
                <c:pt idx="2">
                  <c:v>-2.3355911624068142</c:v>
                </c:pt>
              </c:numCache>
            </c:numRef>
          </c:val>
          <c:smooth val="0"/>
        </c:ser>
        <c:dLbls>
          <c:showLegendKey val="0"/>
          <c:showVal val="0"/>
          <c:showCatName val="0"/>
          <c:showSerName val="0"/>
          <c:showPercent val="0"/>
          <c:showBubbleSize val="0"/>
        </c:dLbls>
        <c:marker val="1"/>
        <c:smooth val="0"/>
        <c:axId val="377120888"/>
        <c:axId val="377124024"/>
      </c:lineChart>
      <c:catAx>
        <c:axId val="377120888"/>
        <c:scaling>
          <c:orientation val="minMax"/>
        </c:scaling>
        <c:delete val="0"/>
        <c:axPos val="b"/>
        <c:numFmt formatCode="General" sourceLinked="1"/>
        <c:majorTickMark val="none"/>
        <c:minorTickMark val="none"/>
        <c:tickLblPos val="nextTo"/>
        <c:crossAx val="377124024"/>
        <c:crosses val="autoZero"/>
        <c:auto val="1"/>
        <c:lblAlgn val="ctr"/>
        <c:lblOffset val="100"/>
        <c:noMultiLvlLbl val="0"/>
      </c:catAx>
      <c:valAx>
        <c:axId val="377124024"/>
        <c:scaling>
          <c:orientation val="minMax"/>
        </c:scaling>
        <c:delete val="0"/>
        <c:axPos val="l"/>
        <c:numFmt formatCode="0.0" sourceLinked="1"/>
        <c:majorTickMark val="none"/>
        <c:minorTickMark val="none"/>
        <c:tickLblPos val="nextTo"/>
        <c:crossAx val="377120888"/>
        <c:crosses val="autoZero"/>
        <c:crossBetween val="between"/>
      </c:valAx>
    </c:plotArea>
    <c:legend>
      <c:legendPos val="b"/>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2015թ.</c:v>
                </c:pt>
              </c:strCache>
            </c:strRef>
          </c:tx>
          <c:spPr>
            <a:ln w="25400">
              <a:solidFill>
                <a:srgbClr val="F2A4E9"/>
              </a:solidFill>
            </a:ln>
          </c:spPr>
          <c:marker>
            <c:spPr>
              <a:ln>
                <a:solidFill>
                  <a:srgbClr val="F2A4E9"/>
                </a:solidFill>
              </a:ln>
            </c:spPr>
          </c:marker>
          <c:dLbls>
            <c:dLbl>
              <c:idx val="0"/>
              <c:layout>
                <c:manualLayout>
                  <c:x val="-4.5267489711934158E-2"/>
                  <c:y val="-4.76190476190475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267489711934138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979423868312758E-2"/>
                  <c:y val="-3.96825396825396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7037037037037E-2"/>
                  <c:y val="-3.968253968253967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92181069958848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0864197530864196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864197530864196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4979423868312758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292181069958848E-2"/>
                  <c:y val="-3.968253968253972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7037037037037035E-2"/>
                  <c:y val="-3.571428571428567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292181069958848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4979423868312758E-2"/>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0.0</c:formatCode>
                <c:ptCount val="12"/>
                <c:pt idx="0">
                  <c:v>7.5840208368387749</c:v>
                </c:pt>
                <c:pt idx="1">
                  <c:v>10.371998779687658</c:v>
                </c:pt>
                <c:pt idx="2">
                  <c:v>11.119051700704929</c:v>
                </c:pt>
                <c:pt idx="3">
                  <c:v>10.325025473482413</c:v>
                </c:pt>
                <c:pt idx="4">
                  <c:v>9.1498274185477442</c:v>
                </c:pt>
                <c:pt idx="5">
                  <c:v>8.8140167960425941</c:v>
                </c:pt>
                <c:pt idx="6">
                  <c:v>8.4214501589610506</c:v>
                </c:pt>
                <c:pt idx="7">
                  <c:v>8.1852203628833848</c:v>
                </c:pt>
                <c:pt idx="8">
                  <c:v>7.7439836692683599</c:v>
                </c:pt>
                <c:pt idx="9">
                  <c:v>7.0837506988091263</c:v>
                </c:pt>
                <c:pt idx="10">
                  <c:v>6.4093195690628306</c:v>
                </c:pt>
                <c:pt idx="11">
                  <c:v>6.2661857664235043</c:v>
                </c:pt>
              </c:numCache>
            </c:numRef>
          </c:val>
          <c:smooth val="0"/>
        </c:ser>
        <c:ser>
          <c:idx val="1"/>
          <c:order val="1"/>
          <c:tx>
            <c:strRef>
              <c:f>Sheet1!$C$1</c:f>
              <c:strCache>
                <c:ptCount val="1"/>
                <c:pt idx="0">
                  <c:v>2016թ.</c:v>
                </c:pt>
              </c:strCache>
            </c:strRef>
          </c:tx>
          <c:spPr>
            <a:ln w="25400"/>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0.0</c:formatCode>
                <c:ptCount val="12"/>
                <c:pt idx="0">
                  <c:v>5.6190229453832785</c:v>
                </c:pt>
                <c:pt idx="1">
                  <c:v>2.4412778038061163</c:v>
                </c:pt>
              </c:numCache>
            </c:numRef>
          </c:val>
          <c:smooth val="0"/>
        </c:ser>
        <c:dLbls>
          <c:showLegendKey val="0"/>
          <c:showVal val="0"/>
          <c:showCatName val="0"/>
          <c:showSerName val="0"/>
          <c:showPercent val="0"/>
          <c:showBubbleSize val="0"/>
        </c:dLbls>
        <c:marker val="1"/>
        <c:smooth val="0"/>
        <c:axId val="377103640"/>
        <c:axId val="377100112"/>
      </c:lineChart>
      <c:catAx>
        <c:axId val="377103640"/>
        <c:scaling>
          <c:orientation val="minMax"/>
        </c:scaling>
        <c:delete val="0"/>
        <c:axPos val="b"/>
        <c:numFmt formatCode="General" sourceLinked="1"/>
        <c:majorTickMark val="none"/>
        <c:minorTickMark val="none"/>
        <c:tickLblPos val="nextTo"/>
        <c:crossAx val="377100112"/>
        <c:crosses val="autoZero"/>
        <c:auto val="1"/>
        <c:lblAlgn val="ctr"/>
        <c:lblOffset val="100"/>
        <c:noMultiLvlLbl val="0"/>
      </c:catAx>
      <c:valAx>
        <c:axId val="377100112"/>
        <c:scaling>
          <c:orientation val="minMax"/>
        </c:scaling>
        <c:delete val="0"/>
        <c:axPos val="l"/>
        <c:numFmt formatCode="0.0" sourceLinked="1"/>
        <c:majorTickMark val="none"/>
        <c:minorTickMark val="none"/>
        <c:tickLblPos val="nextTo"/>
        <c:crossAx val="377103640"/>
        <c:crosses val="autoZero"/>
        <c:crossBetween val="between"/>
      </c:valAx>
    </c:plotArea>
    <c:legend>
      <c:legendPos val="b"/>
      <c:overlay val="0"/>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rmenian"/>
                <a:ea typeface="Arial Armenian"/>
                <a:cs typeface="Arial Armenian"/>
              </a:defRPr>
            </a:pPr>
            <a:r>
              <a:rPr lang="hy-AM" sz="1100">
                <a:latin typeface="GHEA Grapalat" pitchFamily="50" charset="0"/>
              </a:rPr>
              <a:t>Հարկաբյուջետային ազդակը 2013 թվականից եռամսյակներով</a:t>
            </a:r>
            <a:endParaRPr lang="en-US" sz="1100">
              <a:latin typeface="GHEA Grapalat" pitchFamily="50" charset="0"/>
            </a:endParaRPr>
          </a:p>
        </c:rich>
      </c:tx>
      <c:layout>
        <c:manualLayout>
          <c:xMode val="edge"/>
          <c:yMode val="edge"/>
          <c:x val="0.13745726495726496"/>
          <c:y val="3.3779998352223915E-2"/>
        </c:manualLayout>
      </c:layout>
      <c:overlay val="0"/>
      <c:spPr>
        <a:noFill/>
        <a:ln w="25400">
          <a:noFill/>
        </a:ln>
      </c:spPr>
    </c:title>
    <c:autoTitleDeleted val="0"/>
    <c:plotArea>
      <c:layout>
        <c:manualLayout>
          <c:layoutTarget val="inner"/>
          <c:xMode val="edge"/>
          <c:yMode val="edge"/>
          <c:x val="6.741573033707865E-2"/>
          <c:y val="0.20245398773006135"/>
          <c:w val="0.9101123595505618"/>
          <c:h val="0.62576687116564422"/>
        </c:manualLayout>
      </c:layout>
      <c:barChart>
        <c:barDir val="col"/>
        <c:grouping val="clustered"/>
        <c:varyColors val="0"/>
        <c:ser>
          <c:idx val="0"/>
          <c:order val="0"/>
          <c:tx>
            <c:strRef>
              <c:f>'Fiscal Yearly'!$C$3</c:f>
              <c:strCache>
                <c:ptCount val="1"/>
                <c:pt idx="0">
                  <c:v>»Ï³ÙáõïÝ»ñÇ ³½¹³Ï</c:v>
                </c:pt>
              </c:strCache>
            </c:strRef>
          </c:tx>
          <c:spPr>
            <a:solidFill>
              <a:srgbClr val="9999FF"/>
            </a:solidFill>
            <a:ln w="12700">
              <a:solidFill>
                <a:srgbClr val="000000"/>
              </a:solidFill>
              <a:prstDash val="solid"/>
            </a:ln>
          </c:spPr>
          <c:invertIfNegative val="0"/>
          <c:cat>
            <c:strRef>
              <c:f>'Fiscal Yearly'!$B$21:$B$33</c:f>
              <c:strCache>
                <c:ptCount val="13"/>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strCache>
            </c:strRef>
          </c:cat>
          <c:val>
            <c:numRef>
              <c:f>'Fiscal Yearly'!$C$21:$C$33</c:f>
              <c:numCache>
                <c:formatCode>0.0</c:formatCode>
                <c:ptCount val="13"/>
                <c:pt idx="0">
                  <c:v>-3.6505966267341963</c:v>
                </c:pt>
                <c:pt idx="1">
                  <c:v>-3.708725141646664</c:v>
                </c:pt>
                <c:pt idx="2">
                  <c:v>-2.6025912912356506</c:v>
                </c:pt>
                <c:pt idx="3">
                  <c:v>-1.4670576213607076</c:v>
                </c:pt>
                <c:pt idx="4">
                  <c:v>-4.2943004921172361E-2</c:v>
                </c:pt>
                <c:pt idx="5" formatCode="0.00">
                  <c:v>-0.22901685366028085</c:v>
                </c:pt>
                <c:pt idx="6" formatCode="0.000">
                  <c:v>-0.15562217897137612</c:v>
                </c:pt>
                <c:pt idx="7" formatCode="0.000">
                  <c:v>-0.14108533054176639</c:v>
                </c:pt>
                <c:pt idx="8" formatCode="0.000">
                  <c:v>1.2734611731298795</c:v>
                </c:pt>
                <c:pt idx="9" formatCode="0.000">
                  <c:v>1.7889055487653875</c:v>
                </c:pt>
                <c:pt idx="10" formatCode="0.000">
                  <c:v>1.1530113423146433</c:v>
                </c:pt>
                <c:pt idx="11" formatCode="0.000">
                  <c:v>0.7327278498939559</c:v>
                </c:pt>
                <c:pt idx="12" formatCode="0.000">
                  <c:v>0.81925673469512661</c:v>
                </c:pt>
              </c:numCache>
            </c:numRef>
          </c:val>
        </c:ser>
        <c:ser>
          <c:idx val="1"/>
          <c:order val="1"/>
          <c:tx>
            <c:strRef>
              <c:f>'Fiscal Yearly'!$D$3</c:f>
              <c:strCache>
                <c:ptCount val="1"/>
                <c:pt idx="0">
                  <c:v>Í³Ëë»ñÇ ³½¹³Ï</c:v>
                </c:pt>
              </c:strCache>
            </c:strRef>
          </c:tx>
          <c:spPr>
            <a:solidFill>
              <a:srgbClr val="993366"/>
            </a:solidFill>
            <a:ln w="12700">
              <a:solidFill>
                <a:srgbClr val="000000"/>
              </a:solidFill>
              <a:prstDash val="solid"/>
            </a:ln>
          </c:spPr>
          <c:invertIfNegative val="0"/>
          <c:cat>
            <c:strRef>
              <c:f>'Fiscal Yearly'!$B$21:$B$33</c:f>
              <c:strCache>
                <c:ptCount val="13"/>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strCache>
            </c:strRef>
          </c:cat>
          <c:val>
            <c:numRef>
              <c:f>'Fiscal Yearly'!$D$21:$D$33</c:f>
              <c:numCache>
                <c:formatCode>0.0</c:formatCode>
                <c:ptCount val="13"/>
                <c:pt idx="0">
                  <c:v>0.77072628520964204</c:v>
                </c:pt>
                <c:pt idx="1">
                  <c:v>0.28504986241670982</c:v>
                </c:pt>
                <c:pt idx="2">
                  <c:v>-0.38496690320217236</c:v>
                </c:pt>
                <c:pt idx="3">
                  <c:v>0.1106030734395972</c:v>
                </c:pt>
                <c:pt idx="4">
                  <c:v>0.84669908054180798</c:v>
                </c:pt>
                <c:pt idx="5" formatCode="0.00">
                  <c:v>0.65032077833697077</c:v>
                </c:pt>
                <c:pt idx="6" formatCode="0.000">
                  <c:v>1.3557323205217291</c:v>
                </c:pt>
                <c:pt idx="7" formatCode="0.000">
                  <c:v>1.3896718221103337</c:v>
                </c:pt>
                <c:pt idx="8" formatCode="0.000">
                  <c:v>1.2846717018619829</c:v>
                </c:pt>
                <c:pt idx="9" formatCode="0.000">
                  <c:v>2.4908937651477459</c:v>
                </c:pt>
                <c:pt idx="10" formatCode="0.000">
                  <c:v>2.0678036740564441</c:v>
                </c:pt>
                <c:pt idx="11" formatCode="0.000">
                  <c:v>1.7087719687732255</c:v>
                </c:pt>
                <c:pt idx="12" formatCode="0.000">
                  <c:v>0.54621064685692944</c:v>
                </c:pt>
              </c:numCache>
            </c:numRef>
          </c:val>
        </c:ser>
        <c:dLbls>
          <c:showLegendKey val="0"/>
          <c:showVal val="0"/>
          <c:showCatName val="0"/>
          <c:showSerName val="0"/>
          <c:showPercent val="0"/>
          <c:showBubbleSize val="0"/>
        </c:dLbls>
        <c:gapWidth val="150"/>
        <c:axId val="377099328"/>
        <c:axId val="377107952"/>
      </c:barChart>
      <c:lineChart>
        <c:grouping val="standard"/>
        <c:varyColors val="0"/>
        <c:ser>
          <c:idx val="2"/>
          <c:order val="2"/>
          <c:tx>
            <c:strRef>
              <c:f>'Fiscal Yearly'!$E$3</c:f>
              <c:strCache>
                <c:ptCount val="1"/>
                <c:pt idx="0">
                  <c:v>Ñ³ñÏ³µÛáõç»ï³ÛÇÝ ³½¹³Ï</c:v>
                </c:pt>
              </c:strCache>
            </c:strRef>
          </c:tx>
          <c:spPr>
            <a:ln w="25400">
              <a:solidFill>
                <a:srgbClr val="008000"/>
              </a:solidFill>
              <a:prstDash val="solid"/>
            </a:ln>
          </c:spPr>
          <c:marker>
            <c:symbol val="triangle"/>
            <c:size val="7"/>
            <c:spPr>
              <a:solidFill>
                <a:srgbClr val="FFFF00"/>
              </a:solidFill>
              <a:ln>
                <a:solidFill>
                  <a:srgbClr val="FFFF00"/>
                </a:solidFill>
                <a:prstDash val="solid"/>
              </a:ln>
            </c:spPr>
          </c:marker>
          <c:cat>
            <c:strRef>
              <c:f>'Fiscal Yearly'!$B$21:$B$33</c:f>
              <c:strCache>
                <c:ptCount val="13"/>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strCache>
            </c:strRef>
          </c:cat>
          <c:val>
            <c:numRef>
              <c:f>'Fiscal Yearly'!$E$21:$E$33</c:f>
              <c:numCache>
                <c:formatCode>0.0</c:formatCode>
                <c:ptCount val="13"/>
                <c:pt idx="0">
                  <c:v>-2.8798703415245543</c:v>
                </c:pt>
                <c:pt idx="1">
                  <c:v>-3.4236752792299541</c:v>
                </c:pt>
                <c:pt idx="2">
                  <c:v>-2.9875581944378231</c:v>
                </c:pt>
                <c:pt idx="3">
                  <c:v>-1.3564545479211103</c:v>
                </c:pt>
                <c:pt idx="4">
                  <c:v>0.80375607562063567</c:v>
                </c:pt>
                <c:pt idx="5" formatCode="0.00">
                  <c:v>0.42130392467668992</c:v>
                </c:pt>
                <c:pt idx="6" formatCode="0.000">
                  <c:v>1.200110141550353</c:v>
                </c:pt>
                <c:pt idx="7" formatCode="0.000">
                  <c:v>1.2485864915685674</c:v>
                </c:pt>
                <c:pt idx="8" formatCode="0.000">
                  <c:v>2.5581328749918626</c:v>
                </c:pt>
                <c:pt idx="9" formatCode="0.000">
                  <c:v>4.2797993139131334</c:v>
                </c:pt>
                <c:pt idx="10" formatCode="0.000">
                  <c:v>3.2208150163710876</c:v>
                </c:pt>
                <c:pt idx="11" formatCode="0.000">
                  <c:v>2.4414998186671815</c:v>
                </c:pt>
                <c:pt idx="12" formatCode="0.000">
                  <c:v>1.3654673815520559</c:v>
                </c:pt>
              </c:numCache>
            </c:numRef>
          </c:val>
          <c:smooth val="0"/>
        </c:ser>
        <c:dLbls>
          <c:showLegendKey val="0"/>
          <c:showVal val="0"/>
          <c:showCatName val="0"/>
          <c:showSerName val="0"/>
          <c:showPercent val="0"/>
          <c:showBubbleSize val="0"/>
        </c:dLbls>
        <c:marker val="1"/>
        <c:smooth val="0"/>
        <c:axId val="377099328"/>
        <c:axId val="377107952"/>
      </c:lineChart>
      <c:catAx>
        <c:axId val="377099328"/>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ru-RU"/>
          </a:p>
        </c:txPr>
        <c:crossAx val="377107952"/>
        <c:crossesAt val="0"/>
        <c:auto val="0"/>
        <c:lblAlgn val="ctr"/>
        <c:lblOffset val="700"/>
        <c:tickLblSkip val="1"/>
        <c:tickMarkSkip val="1"/>
        <c:noMultiLvlLbl val="0"/>
      </c:catAx>
      <c:valAx>
        <c:axId val="377107952"/>
        <c:scaling>
          <c:orientation val="minMax"/>
        </c:scaling>
        <c:delete val="0"/>
        <c:axPos val="l"/>
        <c:majorGridlines>
          <c:spPr>
            <a:ln w="3175">
              <a:solidFill>
                <a:srgbClr val="000000"/>
              </a:solidFill>
              <a:prstDash val="solid"/>
            </a:ln>
          </c:spPr>
        </c:majorGridlines>
        <c:numFmt formatCode="#,##0" sourceLinked="0"/>
        <c:majorTickMark val="out"/>
        <c:minorTickMark val="out"/>
        <c:tickLblPos val="low"/>
        <c:spPr>
          <a:ln w="3175">
            <a:solidFill>
              <a:srgbClr val="000000"/>
            </a:solidFill>
            <a:prstDash val="solid"/>
          </a:ln>
        </c:spPr>
        <c:txPr>
          <a:bodyPr rot="0" vert="horz"/>
          <a:lstStyle/>
          <a:p>
            <a:pPr>
              <a:defRPr sz="1125" b="0" i="0" u="none" strike="noStrike" baseline="0">
                <a:solidFill>
                  <a:srgbClr val="000000"/>
                </a:solidFill>
                <a:latin typeface="Arial"/>
                <a:ea typeface="Arial"/>
                <a:cs typeface="Arial"/>
              </a:defRPr>
            </a:pPr>
            <a:endParaRPr lang="ru-RU"/>
          </a:p>
        </c:txPr>
        <c:crossAx val="377099328"/>
        <c:crosses val="autoZero"/>
        <c:crossBetween val="between"/>
      </c:val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12700">
          <a:solidFill>
            <a:srgbClr val="808080"/>
          </a:solidFill>
          <a:prstDash val="solid"/>
        </a:ln>
        <a:scene3d>
          <a:camera prst="orthographicFront"/>
          <a:lightRig rig="flat" dir="t"/>
        </a:scene3d>
        <a:sp3d prstMaterial="matte">
          <a:bevelT/>
        </a:sp3d>
      </c:spPr>
    </c:plotArea>
    <c:legend>
      <c:legendPos val="r"/>
      <c:layout>
        <c:manualLayout>
          <c:xMode val="edge"/>
          <c:yMode val="edge"/>
          <c:x val="4.9759240346002771E-2"/>
          <c:y val="0.90797541770693302"/>
          <c:w val="0.92455865610940891"/>
          <c:h val="7.9754689200435269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rmenian"/>
              <a:ea typeface="Arial Armenian"/>
              <a:cs typeface="Arial Armenian"/>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EEC1-04E4-4CDA-9326-BDA841DE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3339</Words>
  <Characters>19038</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î º Ô º Î ² î ì àô Â Ú àô Ü</vt:lpstr>
      <vt:lpstr>î º Ô º Î ² î ì àô Â Ú àô Ü</vt:lpstr>
    </vt:vector>
  </TitlesOfParts>
  <Company>MoF</Company>
  <LinksUpToDate>false</LinksUpToDate>
  <CharactersWithSpaces>22333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î ì àô Â Ú àô Ü</dc:title>
  <dc:creator>EMMA</dc:creator>
  <cp:lastModifiedBy>user</cp:lastModifiedBy>
  <cp:revision>2</cp:revision>
  <cp:lastPrinted>2016-05-06T08:00:00Z</cp:lastPrinted>
  <dcterms:created xsi:type="dcterms:W3CDTF">2017-12-26T08:01:00Z</dcterms:created>
  <dcterms:modified xsi:type="dcterms:W3CDTF">2017-12-26T08:01:00Z</dcterms:modified>
</cp:coreProperties>
</file>