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74" w:rsidRPr="00D57B79" w:rsidRDefault="006953EF" w:rsidP="00BC0E21">
      <w:pPr>
        <w:spacing w:line="360" w:lineRule="auto"/>
        <w:jc w:val="center"/>
        <w:rPr>
          <w:rFonts w:ascii="GHEA Grapalat" w:hAnsi="GHEA Grapalat" w:cs="GHEA Grapalat"/>
          <w:b/>
          <w:lang w:val="hy-AM"/>
        </w:rPr>
      </w:pPr>
      <w:bookmarkStart w:id="0" w:name="OLE_LINK1"/>
      <w:bookmarkStart w:id="1" w:name="_GoBack"/>
      <w:bookmarkEnd w:id="1"/>
      <w:r w:rsidRPr="00D57B79">
        <w:rPr>
          <w:rFonts w:ascii="GHEA Grapalat" w:hAnsi="GHEA Grapalat" w:cs="GHEA Grapalat"/>
          <w:b/>
        </w:rPr>
        <w:t>ՀՀ պետական բյուջեի կատարման ամփոփ</w:t>
      </w:r>
      <w:r w:rsidR="00F91C74" w:rsidRPr="00D57B79">
        <w:rPr>
          <w:rFonts w:ascii="GHEA Grapalat" w:hAnsi="GHEA Grapalat" w:cs="GHEA Grapalat"/>
          <w:b/>
          <w:lang w:val="hy-AM"/>
        </w:rPr>
        <w:t xml:space="preserve"> </w:t>
      </w:r>
      <w:r w:rsidR="00F91C74" w:rsidRPr="00D57B79">
        <w:rPr>
          <w:rFonts w:ascii="GHEA Grapalat" w:hAnsi="GHEA Grapalat" w:cs="GHEA Grapalat"/>
          <w:b/>
        </w:rPr>
        <w:t>բնութագիր</w:t>
      </w:r>
      <w:r w:rsidR="00F91C74" w:rsidRPr="00D57B79">
        <w:rPr>
          <w:rFonts w:ascii="GHEA Grapalat" w:hAnsi="GHEA Grapalat" w:cs="GHEA Grapalat"/>
          <w:b/>
          <w:lang w:val="hy-AM"/>
        </w:rPr>
        <w:t>ը</w:t>
      </w:r>
    </w:p>
    <w:p w:rsidR="006953EF" w:rsidRPr="00D57B79" w:rsidRDefault="00F91C74" w:rsidP="00BC0E21">
      <w:pPr>
        <w:spacing w:line="360" w:lineRule="auto"/>
        <w:jc w:val="center"/>
        <w:rPr>
          <w:rFonts w:ascii="GHEA Grapalat" w:hAnsi="GHEA Grapalat" w:cs="GHEA Grapalat"/>
          <w:b/>
          <w:lang w:val="hy-AM"/>
        </w:rPr>
      </w:pPr>
      <w:r w:rsidRPr="00D57B79">
        <w:rPr>
          <w:rFonts w:ascii="GHEA Grapalat" w:hAnsi="GHEA Grapalat" w:cs="GHEA Grapalat"/>
          <w:b/>
          <w:lang w:val="hy-AM"/>
        </w:rPr>
        <w:t xml:space="preserve">2025 թվականի </w:t>
      </w:r>
      <w:r w:rsidRPr="00D57B79">
        <w:rPr>
          <w:rFonts w:ascii="GHEA Grapalat" w:hAnsi="GHEA Grapalat" w:cs="Sylfaen"/>
          <w:b/>
          <w:lang w:val="hy-AM"/>
        </w:rPr>
        <w:t>հունվար-ապրիլ ամիսների</w:t>
      </w:r>
      <w:r w:rsidRPr="00D57B79">
        <w:rPr>
          <w:rFonts w:ascii="GHEA Grapalat" w:hAnsi="GHEA Grapalat" w:cs="GHEA Grapalat"/>
          <w:b/>
          <w:lang w:val="hy-AM"/>
        </w:rPr>
        <w:t>ն</w:t>
      </w:r>
      <w:r w:rsidR="0022046E" w:rsidRPr="00D57B79">
        <w:rPr>
          <w:rStyle w:val="FootnoteReference"/>
          <w:rFonts w:ascii="GHEA Grapalat" w:hAnsi="GHEA Grapalat" w:cs="GHEA Grapalat"/>
          <w:b/>
        </w:rPr>
        <w:footnoteReference w:id="1"/>
      </w:r>
    </w:p>
    <w:p w:rsidR="003862E9" w:rsidRPr="00D57B79" w:rsidRDefault="003862E9" w:rsidP="00BC0E21">
      <w:pPr>
        <w:spacing w:line="360" w:lineRule="auto"/>
        <w:jc w:val="center"/>
        <w:rPr>
          <w:rFonts w:ascii="GHEA Grapalat" w:hAnsi="GHEA Grapalat" w:cs="GHEA Grapalat"/>
          <w:b/>
          <w:lang w:val="hy-AM"/>
        </w:rPr>
      </w:pPr>
    </w:p>
    <w:bookmarkEnd w:id="0"/>
    <w:p w:rsidR="00901957" w:rsidRPr="00D57B79" w:rsidRDefault="00FD61B0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>202</w:t>
      </w:r>
      <w:r w:rsidR="00901258" w:rsidRPr="00D57B79">
        <w:rPr>
          <w:rFonts w:ascii="GHEA Grapalat" w:hAnsi="GHEA Grapalat" w:cs="GHEA Grapalat"/>
          <w:color w:val="000000"/>
          <w:lang w:val="hy-AM"/>
        </w:rPr>
        <w:t>5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թվականի </w:t>
      </w:r>
      <w:r w:rsidR="00F91C74" w:rsidRPr="00D57B79">
        <w:rPr>
          <w:rFonts w:ascii="GHEA Grapalat" w:hAnsi="GHEA Grapalat" w:cs="GHEA Grapalat"/>
          <w:color w:val="000000"/>
          <w:lang w:val="hy-AM"/>
        </w:rPr>
        <w:t xml:space="preserve">հունվար-ապրիլ ամիսներին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ՀՀ պետական բյուջեի եկամուտները կազմել են </w:t>
      </w:r>
      <w:r w:rsidR="009E00AB" w:rsidRPr="00D57B79">
        <w:rPr>
          <w:rFonts w:ascii="GHEA Grapalat" w:hAnsi="GHEA Grapalat" w:cs="GHEA Grapalat"/>
          <w:color w:val="000000"/>
          <w:lang w:val="hy-AM"/>
        </w:rPr>
        <w:t>9</w:t>
      </w:r>
      <w:r w:rsidR="007136D9" w:rsidRPr="00D57B79">
        <w:rPr>
          <w:rFonts w:ascii="GHEA Grapalat" w:hAnsi="GHEA Grapalat" w:cs="GHEA Grapalat"/>
          <w:color w:val="000000"/>
          <w:lang w:val="hy-AM"/>
        </w:rPr>
        <w:t>92</w:t>
      </w:r>
      <w:r w:rsidR="009E00AB" w:rsidRPr="00D57B79">
        <w:rPr>
          <w:rFonts w:ascii="GHEA Grapalat" w:hAnsi="GHEA Grapalat" w:cs="GHEA Grapalat"/>
          <w:color w:val="000000"/>
          <w:lang w:val="hy-AM"/>
        </w:rPr>
        <w:t>.</w:t>
      </w:r>
      <w:r w:rsidR="007136D9" w:rsidRPr="00D57B79">
        <w:rPr>
          <w:rFonts w:ascii="GHEA Grapalat" w:hAnsi="GHEA Grapalat" w:cs="GHEA Grapalat"/>
          <w:color w:val="000000"/>
          <w:lang w:val="hy-AM"/>
        </w:rPr>
        <w:t>2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մլրդ դրամ, ծախսերը` </w:t>
      </w:r>
      <w:r w:rsidR="007136D9" w:rsidRPr="00D57B79">
        <w:rPr>
          <w:rFonts w:ascii="GHEA Grapalat" w:hAnsi="GHEA Grapalat" w:cs="GHEA Grapalat"/>
          <w:color w:val="000000"/>
          <w:lang w:val="hy-AM"/>
        </w:rPr>
        <w:t xml:space="preserve">շուրջ 931.3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մլրդ դրամ, </w:t>
      </w:r>
      <w:r w:rsidR="00B34557" w:rsidRPr="00D57B79">
        <w:rPr>
          <w:rFonts w:ascii="GHEA Grapalat" w:hAnsi="GHEA Grapalat" w:cs="GHEA Grapalat"/>
          <w:color w:val="000000"/>
          <w:lang w:val="hy-AM"/>
        </w:rPr>
        <w:t>հավել</w:t>
      </w:r>
      <w:r w:rsidRPr="00D57B79">
        <w:rPr>
          <w:rFonts w:ascii="GHEA Grapalat" w:hAnsi="GHEA Grapalat" w:cs="GHEA Grapalat"/>
          <w:color w:val="000000"/>
          <w:lang w:val="hy-AM"/>
        </w:rPr>
        <w:t>ուրդը՝</w:t>
      </w:r>
      <w:r w:rsidR="008269CE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7136D9" w:rsidRPr="00D57B79">
        <w:rPr>
          <w:rFonts w:ascii="GHEA Grapalat" w:hAnsi="GHEA Grapalat" w:cs="GHEA Grapalat"/>
          <w:color w:val="000000"/>
          <w:lang w:val="hy-AM"/>
        </w:rPr>
        <w:t>60.9</w:t>
      </w:r>
      <w:r w:rsidR="00313431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0C77FF" w:rsidRPr="00D57B79">
        <w:rPr>
          <w:rFonts w:ascii="GHEA Grapalat" w:hAnsi="GHEA Grapalat" w:cs="GHEA Grapalat"/>
          <w:color w:val="000000"/>
          <w:lang w:val="hy-AM"/>
        </w:rPr>
        <w:t xml:space="preserve">մլրդ դրամ: </w:t>
      </w:r>
      <w:r w:rsidR="004576B0" w:rsidRPr="00D57B79">
        <w:rPr>
          <w:rFonts w:ascii="GHEA Grapalat" w:hAnsi="GHEA Grapalat" w:cs="GHEA Grapalat"/>
          <w:color w:val="000000"/>
          <w:lang w:val="hy-AM"/>
        </w:rPr>
        <w:t>Պետական բյուջեի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ծրագրային և փաստացի</w:t>
      </w:r>
      <w:r w:rsidR="004576B0" w:rsidRPr="00D57B79">
        <w:rPr>
          <w:rFonts w:ascii="GHEA Grapalat" w:hAnsi="GHEA Grapalat" w:cs="GHEA Grapalat"/>
          <w:color w:val="000000"/>
          <w:lang w:val="hy-AM"/>
        </w:rPr>
        <w:t xml:space="preserve"> ցուցանիշներում, պետության դրամական միջոցների համախմբված հաշվառման նպատակով, ներառվել են առանց սահմանափակման կատարվող վճարումները և վերջիններիս արդյունքում ձևավորված եկամուտները՝ ելնելով</w:t>
      </w:r>
      <w:r w:rsidR="004576B0" w:rsidRPr="00D57B79" w:rsidDel="004576B0">
        <w:rPr>
          <w:rFonts w:ascii="GHEA Grapalat" w:hAnsi="GHEA Grapalat" w:cs="GHEA Grapalat"/>
          <w:color w:val="000000"/>
          <w:lang w:val="hy-AM"/>
        </w:rPr>
        <w:t xml:space="preserve"> </w:t>
      </w:r>
      <w:r w:rsidR="00901957" w:rsidRPr="00D57B79">
        <w:rPr>
          <w:rFonts w:ascii="GHEA Grapalat" w:hAnsi="GHEA Grapalat" w:cs="GHEA Grapalat"/>
          <w:color w:val="000000"/>
          <w:lang w:val="hy-AM"/>
        </w:rPr>
        <w:t>«Հայաստանի Հանրապետության 202</w:t>
      </w:r>
      <w:r w:rsidR="00D908F5" w:rsidRPr="00D57B79">
        <w:rPr>
          <w:rFonts w:ascii="GHEA Grapalat" w:hAnsi="GHEA Grapalat" w:cs="GHEA Grapalat"/>
          <w:color w:val="000000"/>
          <w:lang w:val="hy-AM"/>
        </w:rPr>
        <w:t>5</w:t>
      </w:r>
      <w:r w:rsidR="00901957" w:rsidRPr="00D57B79">
        <w:rPr>
          <w:rFonts w:ascii="GHEA Grapalat" w:hAnsi="GHEA Grapalat" w:cs="GHEA Grapalat"/>
          <w:color w:val="000000"/>
          <w:lang w:val="hy-AM"/>
        </w:rPr>
        <w:t xml:space="preserve"> թվականի պետ</w:t>
      </w:r>
      <w:r w:rsidR="005C0DFC" w:rsidRPr="00D57B79">
        <w:rPr>
          <w:rFonts w:ascii="GHEA Grapalat" w:hAnsi="GHEA Grapalat" w:cs="GHEA Grapalat"/>
          <w:color w:val="000000"/>
          <w:lang w:val="hy-AM"/>
        </w:rPr>
        <w:t>ական բյուջեի մասին» ՀՀ օրենքի 9</w:t>
      </w:r>
      <w:r w:rsidR="005C0DFC" w:rsidRPr="00D57B79">
        <w:rPr>
          <w:rFonts w:ascii="GHEA Grapalat" w:hAnsi="GHEA Grapalat" w:cs="GHEA Grapalat"/>
          <w:color w:val="000000"/>
          <w:lang w:val="hy-AM"/>
        </w:rPr>
        <w:noBreakHyphen/>
      </w:r>
      <w:r w:rsidR="00901957" w:rsidRPr="00D57B79">
        <w:rPr>
          <w:rFonts w:ascii="GHEA Grapalat" w:hAnsi="GHEA Grapalat" w:cs="GHEA Grapalat"/>
          <w:color w:val="000000"/>
          <w:lang w:val="hy-AM"/>
        </w:rPr>
        <w:t>րդ հոդվածի 2</w:t>
      </w:r>
      <w:r w:rsidR="00901957" w:rsidRPr="00D57B79">
        <w:rPr>
          <w:rFonts w:ascii="GHEA Grapalat" w:hAnsi="GHEA Grapalat" w:cs="GHEA Grapalat"/>
          <w:color w:val="000000"/>
          <w:lang w:val="hy-AM"/>
        </w:rPr>
        <w:noBreakHyphen/>
        <w:t>րդ կետի պահանջներից:</w:t>
      </w:r>
      <w:r w:rsidR="004576B0" w:rsidRPr="00D57B79">
        <w:rPr>
          <w:rFonts w:ascii="GHEA Grapalat" w:hAnsi="GHEA Grapalat" w:cs="GHEA Grapalat"/>
          <w:color w:val="000000"/>
          <w:lang w:val="hy-AM"/>
        </w:rPr>
        <w:t xml:space="preserve"> Նշենք, որ հաշվետու ժամանակահատվածում ապահովվել է պետական բյուջեի ծախսային ծրագրերի շրջանակներում պետական մարմինների կողմից սահմանված կարգով ստանձնված պարտավորությունների ամբողջական կատարումը:</w:t>
      </w:r>
    </w:p>
    <w:p w:rsidR="004576B0" w:rsidRPr="00D57B79" w:rsidRDefault="004576B0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154F03" w:rsidRPr="00D57B79" w:rsidRDefault="00B727E5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3402" w:hanging="3402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</w:t>
      </w:r>
      <w:r w:rsidR="00154F03"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պետական բյուջեի ցուցանիշները</w:t>
      </w:r>
      <w:r w:rsidR="00E0092A"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(մլրդ դրամ</w:t>
      </w:r>
      <w:r w:rsidR="005B064D"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701"/>
        <w:gridCol w:w="1843"/>
        <w:gridCol w:w="2268"/>
        <w:gridCol w:w="1837"/>
      </w:tblGrid>
      <w:tr w:rsidR="00F163D0" w:rsidRPr="00D57B79" w:rsidTr="00E97BEA">
        <w:trPr>
          <w:trHeight w:val="105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F163D0" w:rsidRPr="00D57B79" w:rsidRDefault="00F163D0" w:rsidP="00BC0E21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D57B79">
              <w:rPr>
                <w:rFonts w:ascii="Courier New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163D0" w:rsidRPr="00D57B79" w:rsidRDefault="000B507C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F163D0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F91C74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կիս</w:t>
            </w:r>
            <w:r w:rsidR="000C77FF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ամյակի</w:t>
            </w:r>
            <w:r w:rsidR="00F163D0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ճշտված պլան</w:t>
            </w:r>
          </w:p>
          <w:p w:rsidR="00F163D0" w:rsidRPr="00D57B79" w:rsidRDefault="00F163D0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91C74" w:rsidRPr="00D57B79" w:rsidRDefault="006953EF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</w:p>
          <w:p w:rsidR="00F163D0" w:rsidRPr="00D57B79" w:rsidRDefault="00F91C74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ունվար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-ապրիլ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ս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ների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6953EF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փաստ</w:t>
            </w:r>
          </w:p>
        </w:tc>
        <w:tc>
          <w:tcPr>
            <w:tcW w:w="2268" w:type="dxa"/>
            <w:shd w:val="clear" w:color="auto" w:fill="auto"/>
            <w:hideMark/>
          </w:tcPr>
          <w:p w:rsidR="00F163D0" w:rsidRPr="00D57B79" w:rsidRDefault="00F163D0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Կատարողական</w:t>
            </w:r>
            <w:r w:rsidR="005A5102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0B507C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0C77FF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F91C74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կիս</w:t>
            </w:r>
            <w:r w:rsidR="000C77FF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ամյակի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ճշտված պլանի նկատմամբ</w:t>
            </w:r>
            <w:r w:rsidR="00244958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837" w:type="dxa"/>
            <w:shd w:val="clear" w:color="auto" w:fill="auto"/>
            <w:hideMark/>
          </w:tcPr>
          <w:p w:rsidR="00F163D0" w:rsidRPr="00D57B79" w:rsidRDefault="00F163D0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</w:t>
            </w:r>
            <w:r w:rsidR="00244958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-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կանը տարեկան ճշտված պլանի նկատմամբ</w:t>
            </w:r>
          </w:p>
        </w:tc>
      </w:tr>
      <w:tr w:rsidR="00E806A9" w:rsidRPr="00D57B79" w:rsidTr="00E97BEA">
        <w:trPr>
          <w:trHeight w:val="36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Եկամուտներ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1,399.7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992.2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70.9 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34.9 </w:t>
            </w:r>
          </w:p>
        </w:tc>
      </w:tr>
      <w:tr w:rsidR="00E806A9" w:rsidRPr="00D57B79" w:rsidTr="00E97BEA">
        <w:trPr>
          <w:trHeight w:val="36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1,724.0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931.3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54.0 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27.0 </w:t>
            </w:r>
          </w:p>
        </w:tc>
      </w:tr>
      <w:tr w:rsidR="00E806A9" w:rsidRPr="00D57B79" w:rsidTr="00E97BEA">
        <w:trPr>
          <w:trHeight w:val="36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Պակասուրդ</w:t>
            </w: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(</w:t>
            </w: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հ</w:t>
            </w: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ավելուրդ)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324.3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(60.9)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(18.8)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E806A9" w:rsidRPr="00D57B79" w:rsidRDefault="00E806A9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(10.0)</w:t>
            </w:r>
          </w:p>
        </w:tc>
      </w:tr>
    </w:tbl>
    <w:p w:rsidR="00154F03" w:rsidRPr="00D57B79" w:rsidRDefault="00154F03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901957" w:rsidRPr="00D57B79" w:rsidRDefault="00901957" w:rsidP="00BC0E21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</w:rPr>
      </w:pPr>
      <w:r w:rsidRPr="00D57B79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901957" w:rsidRPr="00D57B79" w:rsidRDefault="00901957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57B79">
        <w:rPr>
          <w:rFonts w:ascii="GHEA Grapalat" w:hAnsi="GHEA Grapalat" w:cs="GHEA Grapalat"/>
          <w:color w:val="000000"/>
        </w:rPr>
        <w:t>202</w:t>
      </w:r>
      <w:r w:rsidR="009345BD" w:rsidRPr="00D57B79">
        <w:rPr>
          <w:rFonts w:ascii="GHEA Grapalat" w:hAnsi="GHEA Grapalat" w:cs="GHEA Grapalat"/>
          <w:color w:val="000000"/>
        </w:rPr>
        <w:t>4</w:t>
      </w:r>
      <w:r w:rsidRPr="00D57B79">
        <w:rPr>
          <w:rFonts w:ascii="GHEA Grapalat" w:hAnsi="GHEA Grapalat" w:cs="GHEA Grapalat"/>
          <w:color w:val="000000"/>
        </w:rPr>
        <w:t xml:space="preserve"> թվականի</w:t>
      </w:r>
      <w:r w:rsidR="00BD6ECF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6611E3" w:rsidRPr="00D57B79">
        <w:rPr>
          <w:rFonts w:ascii="GHEA Grapalat" w:hAnsi="GHEA Grapalat" w:cs="GHEA Grapalat"/>
          <w:color w:val="000000"/>
        </w:rPr>
        <w:t>հունվար-ա</w:t>
      </w:r>
      <w:r w:rsidR="006611E3" w:rsidRPr="00D57B79">
        <w:rPr>
          <w:rFonts w:ascii="GHEA Grapalat" w:hAnsi="GHEA Grapalat" w:cs="GHEA Grapalat"/>
          <w:color w:val="000000"/>
          <w:lang w:val="hy-AM"/>
        </w:rPr>
        <w:t>պ</w:t>
      </w:r>
      <w:r w:rsidR="006611E3" w:rsidRPr="00D57B79">
        <w:rPr>
          <w:rFonts w:ascii="GHEA Grapalat" w:hAnsi="GHEA Grapalat" w:cs="GHEA Grapalat"/>
          <w:color w:val="000000"/>
        </w:rPr>
        <w:t>ր</w:t>
      </w:r>
      <w:r w:rsidR="006611E3" w:rsidRPr="00D57B79">
        <w:rPr>
          <w:rFonts w:ascii="GHEA Grapalat" w:hAnsi="GHEA Grapalat" w:cs="GHEA Grapalat"/>
          <w:color w:val="000000"/>
          <w:lang w:val="hy-AM"/>
        </w:rPr>
        <w:t>իլ</w:t>
      </w:r>
      <w:r w:rsidR="006611E3" w:rsidRPr="00D57B79">
        <w:rPr>
          <w:rFonts w:ascii="GHEA Grapalat" w:hAnsi="GHEA Grapalat" w:cs="GHEA Grapalat"/>
          <w:color w:val="000000"/>
        </w:rPr>
        <w:t xml:space="preserve"> ամիսների </w:t>
      </w:r>
      <w:r w:rsidRPr="00D57B79">
        <w:rPr>
          <w:rFonts w:ascii="GHEA Grapalat" w:hAnsi="GHEA Grapalat" w:cs="GHEA Grapalat"/>
          <w:color w:val="000000"/>
        </w:rPr>
        <w:t xml:space="preserve">համեմատ պետական բյուջեի եկամուտներն աճել են </w:t>
      </w:r>
      <w:r w:rsidR="009E00AB" w:rsidRPr="00D57B79">
        <w:rPr>
          <w:rFonts w:ascii="GHEA Grapalat" w:hAnsi="GHEA Grapalat" w:cs="GHEA Grapalat"/>
          <w:color w:val="000000"/>
        </w:rPr>
        <w:t>1</w:t>
      </w:r>
      <w:r w:rsidR="007136D9" w:rsidRPr="00D57B79">
        <w:rPr>
          <w:rFonts w:ascii="GHEA Grapalat" w:hAnsi="GHEA Grapalat" w:cs="GHEA Grapalat"/>
          <w:color w:val="000000"/>
          <w:lang w:val="hy-AM"/>
        </w:rPr>
        <w:t>4</w:t>
      </w:r>
      <w:r w:rsidR="009E00AB" w:rsidRPr="00D57B79">
        <w:rPr>
          <w:rFonts w:ascii="GHEA Grapalat" w:hAnsi="GHEA Grapalat" w:cs="GHEA Grapalat"/>
          <w:color w:val="000000"/>
        </w:rPr>
        <w:t>.</w:t>
      </w:r>
      <w:r w:rsidR="007136D9" w:rsidRPr="00D57B79">
        <w:rPr>
          <w:rFonts w:ascii="GHEA Grapalat" w:hAnsi="GHEA Grapalat" w:cs="GHEA Grapalat"/>
          <w:color w:val="000000"/>
          <w:lang w:val="hy-AM"/>
        </w:rPr>
        <w:t>9</w:t>
      </w:r>
      <w:r w:rsidRPr="00D57B79">
        <w:rPr>
          <w:rFonts w:ascii="GHEA Grapalat" w:hAnsi="GHEA Grapalat" w:cs="GHEA Grapalat"/>
          <w:color w:val="000000"/>
        </w:rPr>
        <w:t>%</w:t>
      </w:r>
      <w:r w:rsidRPr="00D57B79">
        <w:rPr>
          <w:rFonts w:ascii="GHEA Grapalat" w:hAnsi="GHEA Grapalat" w:cs="GHEA Grapalat"/>
          <w:color w:val="000000"/>
        </w:rPr>
        <w:noBreakHyphen/>
        <w:t>ով կամ</w:t>
      </w:r>
      <w:r w:rsidR="004D3FB2" w:rsidRPr="00D57B79">
        <w:rPr>
          <w:rFonts w:ascii="GHEA Grapalat" w:hAnsi="GHEA Grapalat" w:cs="GHEA Grapalat"/>
          <w:color w:val="000000"/>
          <w:lang w:val="hy-AM"/>
        </w:rPr>
        <w:t xml:space="preserve"> շուրջ </w:t>
      </w:r>
      <w:r w:rsidR="007136D9" w:rsidRPr="00D57B79">
        <w:rPr>
          <w:rFonts w:ascii="GHEA Grapalat" w:hAnsi="GHEA Grapalat" w:cs="GHEA Grapalat"/>
          <w:color w:val="000000"/>
          <w:lang w:val="hy-AM"/>
        </w:rPr>
        <w:t>1</w:t>
      </w:r>
      <w:r w:rsidR="004D3FB2" w:rsidRPr="00D57B79">
        <w:rPr>
          <w:rFonts w:ascii="GHEA Grapalat" w:hAnsi="GHEA Grapalat" w:cs="GHEA Grapalat"/>
          <w:color w:val="000000"/>
        </w:rPr>
        <w:t>2</w:t>
      </w:r>
      <w:r w:rsidR="007136D9" w:rsidRPr="00D57B79">
        <w:rPr>
          <w:rFonts w:ascii="GHEA Grapalat" w:hAnsi="GHEA Grapalat" w:cs="GHEA Grapalat"/>
          <w:color w:val="000000"/>
          <w:lang w:val="hy-AM"/>
        </w:rPr>
        <w:t>8</w:t>
      </w:r>
      <w:r w:rsidR="004D3FB2" w:rsidRPr="00D57B79">
        <w:rPr>
          <w:rFonts w:ascii="GHEA Grapalat" w:hAnsi="GHEA Grapalat" w:cs="GHEA Grapalat"/>
          <w:color w:val="000000"/>
        </w:rPr>
        <w:t>.</w:t>
      </w:r>
      <w:r w:rsidR="007136D9" w:rsidRPr="00D57B79">
        <w:rPr>
          <w:rFonts w:ascii="GHEA Grapalat" w:hAnsi="GHEA Grapalat" w:cs="GHEA Grapalat"/>
          <w:color w:val="000000"/>
          <w:lang w:val="hy-AM"/>
        </w:rPr>
        <w:t>8</w:t>
      </w:r>
      <w:r w:rsidR="00DD5D1E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</w:rPr>
        <w:t>մլրդ դրամով, որը հիմնականում պայմանավորված է հարկային եկամուտների աճով:</w:t>
      </w:r>
    </w:p>
    <w:p w:rsidR="001A4448" w:rsidRPr="00D57B79" w:rsidRDefault="001A4448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57B79">
        <w:rPr>
          <w:rFonts w:ascii="GHEA Grapalat" w:hAnsi="GHEA Grapalat" w:cs="GHEA Grapalat"/>
          <w:color w:val="000000"/>
        </w:rPr>
        <w:t>202</w:t>
      </w:r>
      <w:r w:rsidR="009345BD" w:rsidRPr="00D57B79">
        <w:rPr>
          <w:rFonts w:ascii="GHEA Grapalat" w:hAnsi="GHEA Grapalat" w:cs="GHEA Grapalat"/>
          <w:color w:val="000000"/>
        </w:rPr>
        <w:t>5</w:t>
      </w:r>
      <w:r w:rsidRPr="00D57B79">
        <w:rPr>
          <w:rFonts w:ascii="GHEA Grapalat" w:hAnsi="GHEA Grapalat" w:cs="GHEA Grapalat"/>
          <w:color w:val="000000"/>
        </w:rPr>
        <w:t xml:space="preserve"> թվականի </w:t>
      </w:r>
      <w:r w:rsidR="0022125B" w:rsidRPr="00D57B79">
        <w:rPr>
          <w:rFonts w:ascii="GHEA Grapalat" w:hAnsi="GHEA Grapalat" w:cs="GHEA Grapalat"/>
          <w:color w:val="000000"/>
        </w:rPr>
        <w:t>հունվար-ա</w:t>
      </w:r>
      <w:r w:rsidR="0022125B" w:rsidRPr="00D57B79">
        <w:rPr>
          <w:rFonts w:ascii="GHEA Grapalat" w:hAnsi="GHEA Grapalat" w:cs="GHEA Grapalat"/>
          <w:color w:val="000000"/>
          <w:lang w:val="hy-AM"/>
        </w:rPr>
        <w:t>պ</w:t>
      </w:r>
      <w:r w:rsidR="0022125B" w:rsidRPr="00D57B79">
        <w:rPr>
          <w:rFonts w:ascii="GHEA Grapalat" w:hAnsi="GHEA Grapalat" w:cs="GHEA Grapalat"/>
          <w:color w:val="000000"/>
        </w:rPr>
        <w:t>ր</w:t>
      </w:r>
      <w:r w:rsidR="0022125B" w:rsidRPr="00D57B79">
        <w:rPr>
          <w:rFonts w:ascii="GHEA Grapalat" w:hAnsi="GHEA Grapalat" w:cs="GHEA Grapalat"/>
          <w:color w:val="000000"/>
          <w:lang w:val="hy-AM"/>
        </w:rPr>
        <w:t>իլ</w:t>
      </w:r>
      <w:r w:rsidR="0022125B" w:rsidRPr="00D57B79">
        <w:rPr>
          <w:rFonts w:ascii="GHEA Grapalat" w:hAnsi="GHEA Grapalat" w:cs="GHEA Grapalat"/>
          <w:color w:val="000000"/>
        </w:rPr>
        <w:t xml:space="preserve"> ամիսների</w:t>
      </w:r>
      <w:r w:rsidR="0022125B" w:rsidRPr="00D57B79">
        <w:rPr>
          <w:rFonts w:ascii="GHEA Grapalat" w:hAnsi="GHEA Grapalat" w:cs="GHEA Grapalat"/>
          <w:color w:val="000000"/>
          <w:lang w:val="hy-AM"/>
        </w:rPr>
        <w:t>ն</w:t>
      </w:r>
      <w:r w:rsidR="0022125B" w:rsidRPr="00D57B79">
        <w:rPr>
          <w:rFonts w:ascii="GHEA Grapalat" w:hAnsi="GHEA Grapalat" w:cs="GHEA Grapalat"/>
          <w:color w:val="000000"/>
        </w:rPr>
        <w:t xml:space="preserve"> </w:t>
      </w:r>
      <w:r w:rsidRPr="00D57B79">
        <w:rPr>
          <w:rFonts w:ascii="GHEA Grapalat" w:hAnsi="GHEA Grapalat" w:cs="GHEA Grapalat"/>
          <w:color w:val="000000"/>
        </w:rPr>
        <w:t xml:space="preserve">ՀՀ պետական բյուջե են մուտքագրվել </w:t>
      </w:r>
      <w:r w:rsidR="007136D9" w:rsidRPr="00D57B79">
        <w:rPr>
          <w:rFonts w:ascii="GHEA Grapalat" w:hAnsi="GHEA Grapalat" w:cs="GHEA Grapalat"/>
          <w:color w:val="000000"/>
          <w:lang w:val="hy-AM"/>
        </w:rPr>
        <w:t>948.7</w:t>
      </w:r>
      <w:r w:rsidR="006E02FD" w:rsidRPr="00D57B79">
        <w:rPr>
          <w:rFonts w:ascii="GHEA Grapalat" w:hAnsi="GHEA Grapalat" w:cs="GHEA Grapalat"/>
          <w:color w:val="000000"/>
        </w:rPr>
        <w:t xml:space="preserve"> </w:t>
      </w:r>
      <w:r w:rsidRPr="00D57B79">
        <w:rPr>
          <w:rFonts w:ascii="GHEA Grapalat" w:hAnsi="GHEA Grapalat" w:cs="GHEA Grapalat"/>
          <w:color w:val="000000"/>
        </w:rPr>
        <w:t xml:space="preserve">մլրդ դրամ </w:t>
      </w:r>
      <w:r w:rsidRPr="00D57B79">
        <w:rPr>
          <w:rFonts w:ascii="GHEA Grapalat" w:hAnsi="GHEA Grapalat" w:cs="GHEA Grapalat"/>
          <w:i/>
          <w:color w:val="000000"/>
        </w:rPr>
        <w:t>հարկային եկամուտներ և պետական տուրքեր</w:t>
      </w:r>
      <w:r w:rsidR="004D3FB2" w:rsidRPr="00D57B79">
        <w:rPr>
          <w:rFonts w:ascii="GHEA Grapalat" w:hAnsi="GHEA Grapalat" w:cs="GHEA Grapalat"/>
          <w:color w:val="000000"/>
        </w:rPr>
        <w:t>, որոնք</w:t>
      </w:r>
      <w:r w:rsidR="00C17955" w:rsidRPr="00D57B79">
        <w:rPr>
          <w:rFonts w:ascii="GHEA Grapalat" w:hAnsi="GHEA Grapalat" w:cs="GHEA Grapalat"/>
          <w:color w:val="000000"/>
        </w:rPr>
        <w:t xml:space="preserve"> </w:t>
      </w:r>
      <w:r w:rsidR="004D3FB2" w:rsidRPr="00D57B79">
        <w:rPr>
          <w:rFonts w:ascii="GHEA Grapalat" w:hAnsi="GHEA Grapalat" w:cs="GHEA Grapalat"/>
          <w:color w:val="000000"/>
          <w:lang w:val="hy-AM"/>
        </w:rPr>
        <w:t xml:space="preserve">ապահովել </w:t>
      </w:r>
      <w:r w:rsidR="0022125B" w:rsidRPr="00D57B79">
        <w:rPr>
          <w:rFonts w:ascii="GHEA Grapalat" w:hAnsi="GHEA Grapalat" w:cs="GHEA Grapalat"/>
          <w:color w:val="000000"/>
        </w:rPr>
        <w:t xml:space="preserve">են առաջին </w:t>
      </w:r>
      <w:r w:rsidR="0022125B" w:rsidRPr="00D57B79">
        <w:rPr>
          <w:rFonts w:ascii="GHEA Grapalat" w:hAnsi="GHEA Grapalat" w:cs="GHEA Grapalat"/>
          <w:color w:val="000000"/>
          <w:lang w:val="hy-AM"/>
        </w:rPr>
        <w:t>կիս</w:t>
      </w:r>
      <w:r w:rsidR="00444621" w:rsidRPr="00D57B79">
        <w:rPr>
          <w:rFonts w:ascii="GHEA Grapalat" w:hAnsi="GHEA Grapalat" w:cs="GHEA Grapalat"/>
          <w:color w:val="000000"/>
        </w:rPr>
        <w:t xml:space="preserve">ամյակի ծրագրային ցուցանիշի </w:t>
      </w:r>
      <w:r w:rsidR="007136D9" w:rsidRPr="00D57B79">
        <w:rPr>
          <w:rFonts w:ascii="GHEA Grapalat" w:hAnsi="GHEA Grapalat" w:cs="GHEA Grapalat"/>
          <w:color w:val="000000"/>
          <w:lang w:val="hy-AM"/>
        </w:rPr>
        <w:t>7</w:t>
      </w:r>
      <w:r w:rsidR="004D3FB2" w:rsidRPr="00D57B79">
        <w:rPr>
          <w:rFonts w:ascii="GHEA Grapalat" w:hAnsi="GHEA Grapalat" w:cs="GHEA Grapalat"/>
          <w:color w:val="000000"/>
          <w:lang w:val="hy-AM"/>
        </w:rPr>
        <w:t>0.</w:t>
      </w:r>
      <w:r w:rsidR="007136D9" w:rsidRPr="00D57B79">
        <w:rPr>
          <w:rFonts w:ascii="GHEA Grapalat" w:hAnsi="GHEA Grapalat" w:cs="GHEA Grapalat"/>
          <w:color w:val="000000"/>
          <w:lang w:val="hy-AM"/>
        </w:rPr>
        <w:t>3</w:t>
      </w:r>
      <w:r w:rsidR="00444621" w:rsidRPr="00D57B79">
        <w:rPr>
          <w:rFonts w:ascii="GHEA Grapalat" w:hAnsi="GHEA Grapalat" w:cs="GHEA Grapalat"/>
          <w:color w:val="000000"/>
        </w:rPr>
        <w:t xml:space="preserve">%-ը: </w:t>
      </w:r>
      <w:r w:rsidRPr="00D57B79">
        <w:rPr>
          <w:rFonts w:ascii="GHEA Grapalat" w:hAnsi="GHEA Grapalat" w:cs="GHEA Grapalat"/>
          <w:color w:val="000000"/>
        </w:rPr>
        <w:t>202</w:t>
      </w:r>
      <w:r w:rsidR="00A4071F" w:rsidRPr="00D57B79">
        <w:rPr>
          <w:rFonts w:ascii="GHEA Grapalat" w:hAnsi="GHEA Grapalat" w:cs="GHEA Grapalat"/>
          <w:color w:val="000000"/>
          <w:lang w:val="hy-AM"/>
        </w:rPr>
        <w:t>4</w:t>
      </w:r>
      <w:r w:rsidRPr="00D57B79">
        <w:rPr>
          <w:rFonts w:ascii="GHEA Grapalat" w:hAnsi="GHEA Grapalat" w:cs="GHEA Grapalat"/>
          <w:color w:val="000000"/>
        </w:rPr>
        <w:t xml:space="preserve"> թվականի նույն </w:t>
      </w:r>
      <w:r w:rsidRPr="00D57B79">
        <w:rPr>
          <w:rFonts w:ascii="GHEA Grapalat" w:hAnsi="GHEA Grapalat" w:cs="GHEA Grapalat"/>
          <w:color w:val="000000"/>
        </w:rPr>
        <w:lastRenderedPageBreak/>
        <w:t xml:space="preserve">ժամանակահատվածի համեմատ հարկային եկամուտներն ու պետական տուրքերն աճել են </w:t>
      </w:r>
      <w:r w:rsidR="004D3FB2" w:rsidRPr="00D57B79">
        <w:rPr>
          <w:rFonts w:ascii="GHEA Grapalat" w:hAnsi="GHEA Grapalat" w:cs="GHEA Grapalat"/>
          <w:color w:val="000000"/>
          <w:lang w:val="hy-AM"/>
        </w:rPr>
        <w:t>1</w:t>
      </w:r>
      <w:r w:rsidR="007136D9" w:rsidRPr="00D57B79">
        <w:rPr>
          <w:rFonts w:ascii="GHEA Grapalat" w:hAnsi="GHEA Grapalat" w:cs="GHEA Grapalat"/>
          <w:color w:val="000000"/>
          <w:lang w:val="hy-AM"/>
        </w:rPr>
        <w:t>4</w:t>
      </w:r>
      <w:r w:rsidR="004D3FB2" w:rsidRPr="00D57B79">
        <w:rPr>
          <w:rFonts w:ascii="GHEA Grapalat" w:hAnsi="GHEA Grapalat" w:cs="GHEA Grapalat"/>
          <w:color w:val="000000"/>
          <w:lang w:val="hy-AM"/>
        </w:rPr>
        <w:t>.</w:t>
      </w:r>
      <w:r w:rsidR="007136D9" w:rsidRPr="00D57B79">
        <w:rPr>
          <w:rFonts w:ascii="GHEA Grapalat" w:hAnsi="GHEA Grapalat" w:cs="GHEA Grapalat"/>
          <w:color w:val="000000"/>
          <w:lang w:val="hy-AM"/>
        </w:rPr>
        <w:t>5</w:t>
      </w:r>
      <w:r w:rsidRPr="00D57B79">
        <w:rPr>
          <w:rFonts w:ascii="GHEA Grapalat" w:hAnsi="GHEA Grapalat" w:cs="GHEA Grapalat"/>
          <w:color w:val="000000"/>
        </w:rPr>
        <w:t>%</w:t>
      </w:r>
      <w:r w:rsidRPr="00D57B79">
        <w:rPr>
          <w:rFonts w:ascii="GHEA Grapalat" w:hAnsi="GHEA Grapalat" w:cs="GHEA Grapalat"/>
          <w:color w:val="000000"/>
        </w:rPr>
        <w:noBreakHyphen/>
        <w:t xml:space="preserve">ով կամ </w:t>
      </w:r>
      <w:r w:rsidR="007136D9" w:rsidRPr="00D57B79">
        <w:rPr>
          <w:rFonts w:ascii="GHEA Grapalat" w:hAnsi="GHEA Grapalat" w:cs="GHEA Grapalat"/>
          <w:color w:val="000000"/>
          <w:lang w:val="hy-AM"/>
        </w:rPr>
        <w:t>120</w:t>
      </w:r>
      <w:r w:rsidR="0049019F" w:rsidRPr="00D57B79">
        <w:rPr>
          <w:rFonts w:ascii="GHEA Grapalat" w:hAnsi="GHEA Grapalat" w:cs="GHEA Grapalat"/>
          <w:color w:val="000000"/>
        </w:rPr>
        <w:t xml:space="preserve"> </w:t>
      </w:r>
      <w:r w:rsidR="00444621" w:rsidRPr="00D57B79">
        <w:rPr>
          <w:rFonts w:ascii="GHEA Grapalat" w:hAnsi="GHEA Grapalat" w:cs="GHEA Grapalat"/>
          <w:color w:val="000000"/>
        </w:rPr>
        <w:t>մլրդ</w:t>
      </w:r>
      <w:r w:rsidR="0049019F" w:rsidRPr="00D57B79">
        <w:rPr>
          <w:rFonts w:ascii="GHEA Grapalat" w:hAnsi="GHEA Grapalat" w:cs="GHEA Grapalat"/>
          <w:color w:val="000000"/>
        </w:rPr>
        <w:t xml:space="preserve"> </w:t>
      </w:r>
      <w:r w:rsidRPr="00D57B79">
        <w:rPr>
          <w:rFonts w:ascii="GHEA Grapalat" w:hAnsi="GHEA Grapalat" w:cs="GHEA Grapalat"/>
          <w:color w:val="000000"/>
        </w:rPr>
        <w:t xml:space="preserve">դրամով, </w:t>
      </w:r>
      <w:r w:rsidR="00444621" w:rsidRPr="00D57B79">
        <w:rPr>
          <w:rFonts w:ascii="GHEA Grapalat" w:hAnsi="GHEA Grapalat" w:cs="GHEA Grapalat"/>
          <w:color w:val="000000"/>
        </w:rPr>
        <w:t xml:space="preserve">որը հիմնականում պայմանավորված է </w:t>
      </w:r>
      <w:r w:rsidR="00A4071F" w:rsidRPr="00D57B79">
        <w:rPr>
          <w:rFonts w:ascii="GHEA Grapalat" w:hAnsi="GHEA Grapalat" w:cs="GHEA Grapalat"/>
          <w:color w:val="000000"/>
        </w:rPr>
        <w:t>ավելացված արժեքի հարկի</w:t>
      </w:r>
      <w:r w:rsidR="007C4BB5" w:rsidRPr="00D57B79">
        <w:rPr>
          <w:rFonts w:ascii="GHEA Grapalat" w:hAnsi="GHEA Grapalat" w:cs="GHEA Grapalat"/>
          <w:color w:val="000000"/>
        </w:rPr>
        <w:t xml:space="preserve">, </w:t>
      </w:r>
      <w:r w:rsidR="00A4071F" w:rsidRPr="00D57B79">
        <w:rPr>
          <w:rFonts w:ascii="GHEA Grapalat" w:hAnsi="GHEA Grapalat" w:cs="GHEA Grapalat"/>
          <w:color w:val="000000"/>
        </w:rPr>
        <w:t xml:space="preserve">շահութահարկի </w:t>
      </w:r>
      <w:r w:rsidR="007136D9" w:rsidRPr="00D57B79">
        <w:rPr>
          <w:rFonts w:ascii="GHEA Grapalat" w:hAnsi="GHEA Grapalat" w:cs="GHEA Grapalat"/>
          <w:color w:val="000000"/>
          <w:lang w:val="hy-AM"/>
        </w:rPr>
        <w:t>և եկամտային</w:t>
      </w:r>
      <w:r w:rsidR="007136D9" w:rsidRPr="00D57B79">
        <w:rPr>
          <w:rFonts w:ascii="GHEA Grapalat" w:hAnsi="GHEA Grapalat" w:cs="GHEA Grapalat"/>
          <w:color w:val="000000"/>
        </w:rPr>
        <w:t xml:space="preserve"> հարկի </w:t>
      </w:r>
      <w:r w:rsidRPr="00D57B79">
        <w:rPr>
          <w:rFonts w:ascii="GHEA Grapalat" w:hAnsi="GHEA Grapalat" w:cs="GHEA Grapalat"/>
          <w:color w:val="000000"/>
        </w:rPr>
        <w:t>գծով մուտքերի աճով:</w:t>
      </w:r>
    </w:p>
    <w:p w:rsidR="00C27BAF" w:rsidRPr="00D57B79" w:rsidRDefault="00C27BAF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154F03" w:rsidRPr="00D57B79" w:rsidRDefault="00154F03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</w:rPr>
        <w:t>ՀՀ</w:t>
      </w:r>
      <w:r w:rsidR="004B2A31" w:rsidRPr="00D57B79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</w:t>
      </w: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</w:rPr>
        <w:t>պետական բյուջեի եկամուտները</w:t>
      </w:r>
      <w:r w:rsidR="005B064D" w:rsidRPr="00D57B79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(մլրդ դրամ) </w:t>
      </w:r>
    </w:p>
    <w:tbl>
      <w:tblPr>
        <w:tblW w:w="10215" w:type="dxa"/>
        <w:tblInd w:w="-5" w:type="dxa"/>
        <w:tblLook w:val="04A0" w:firstRow="1" w:lastRow="0" w:firstColumn="1" w:lastColumn="0" w:noHBand="0" w:noVBand="1"/>
      </w:tblPr>
      <w:tblGrid>
        <w:gridCol w:w="4650"/>
        <w:gridCol w:w="1313"/>
        <w:gridCol w:w="1417"/>
        <w:gridCol w:w="1418"/>
        <w:gridCol w:w="1417"/>
      </w:tblGrid>
      <w:tr w:rsidR="002C0C67" w:rsidRPr="00D57B79" w:rsidTr="00C049FF">
        <w:trPr>
          <w:trHeight w:val="85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1C" w:rsidRPr="00D57B79" w:rsidRDefault="000F131C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31C" w:rsidRPr="00D57B79" w:rsidRDefault="0022125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ունվար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-ապրիլ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ս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ների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D57B79" w:rsidRDefault="00463FF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="009345BD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5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տ</w:t>
            </w:r>
            <w:r w:rsidR="000F131C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արեկան 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D57B79" w:rsidRDefault="000F131C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="009345BD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5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="000B507C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22125B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22125B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կիս</w:t>
            </w:r>
            <w:r w:rsidR="00542725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ամյակի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D57B79" w:rsidRDefault="00204DA1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="0022125B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</w:t>
            </w:r>
            <w:r w:rsidR="0022125B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ունվար</w:t>
            </w:r>
            <w:r w:rsidR="0022125B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-ապրիլ</w:t>
            </w:r>
            <w:r w:rsidR="0022125B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</w:t>
            </w:r>
            <w:r w:rsidR="0022125B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="0022125B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ս</w:t>
            </w:r>
            <w:r w:rsidR="0022125B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ների</w:t>
            </w:r>
            <w:r w:rsidR="0022125B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փաստ</w:t>
            </w:r>
          </w:p>
        </w:tc>
      </w:tr>
      <w:tr w:rsidR="0047442A" w:rsidRPr="00D57B79" w:rsidTr="00C049FF">
        <w:trPr>
          <w:trHeight w:val="293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A" w:rsidRPr="00D57B79" w:rsidRDefault="0047442A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Պետական բյուջեի եկամուտներ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863.4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2,846.1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1,399.7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992.2</w:t>
            </w:r>
          </w:p>
        </w:tc>
      </w:tr>
      <w:tr w:rsidR="0047442A" w:rsidRPr="00D57B79" w:rsidTr="00C049FF">
        <w:trPr>
          <w:trHeight w:val="293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2A" w:rsidRPr="00D57B79" w:rsidRDefault="0047442A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Հարկային եկամուտներ և պետական տուրքեր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828.8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2,728.3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1,349.5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948.7</w:t>
            </w:r>
          </w:p>
        </w:tc>
      </w:tr>
      <w:tr w:rsidR="0047442A" w:rsidRPr="00D57B79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2A" w:rsidRPr="00D57B79" w:rsidRDefault="0047442A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2.1</w:t>
            </w:r>
          </w:p>
        </w:tc>
      </w:tr>
      <w:tr w:rsidR="0047442A" w:rsidRPr="00D57B79" w:rsidTr="00C049FF">
        <w:trPr>
          <w:trHeight w:val="167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2A" w:rsidRPr="00D57B79" w:rsidRDefault="0047442A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33.5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2A" w:rsidRPr="00D57B79" w:rsidRDefault="0047442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41.5</w:t>
            </w:r>
          </w:p>
        </w:tc>
      </w:tr>
      <w:tr w:rsidR="00C15B2E" w:rsidRPr="00D57B79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2E" w:rsidRPr="00D57B79" w:rsidRDefault="00C15B2E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եկամուտների մեջ</w:t>
            </w:r>
            <w:r w:rsidR="00244958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B2E" w:rsidRPr="00D57B79" w:rsidRDefault="00C15B2E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D57B79" w:rsidRDefault="00C15B2E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D57B79" w:rsidRDefault="00C15B2E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D57B79" w:rsidRDefault="00C15B2E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CD2EFA" w:rsidRPr="00D57B79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FA" w:rsidRPr="00D57B79" w:rsidRDefault="00CD2EFA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Հարկեր և տուրքեր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96.0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95.6</w:t>
            </w:r>
          </w:p>
        </w:tc>
      </w:tr>
      <w:tr w:rsidR="00CD2EFA" w:rsidRPr="00D57B79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FA" w:rsidRPr="00D57B79" w:rsidRDefault="00CD2EFA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0.2</w:t>
            </w:r>
          </w:p>
        </w:tc>
      </w:tr>
      <w:tr w:rsidR="00CD2EFA" w:rsidRPr="00D57B79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FA" w:rsidRPr="00D57B79" w:rsidRDefault="00CD2EFA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3.9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FA" w:rsidRPr="00D57B79" w:rsidRDefault="00CD2EFA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4.2</w:t>
            </w:r>
          </w:p>
        </w:tc>
      </w:tr>
    </w:tbl>
    <w:p w:rsidR="002A4689" w:rsidRPr="00D57B79" w:rsidRDefault="002A4689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D84004" w:rsidRPr="00D57B79" w:rsidRDefault="00901957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</w:rPr>
        <w:t xml:space="preserve">Հաշվետու ժամանակահատվածի հարկային եկամուտների և պետական տուրքերի </w:t>
      </w:r>
      <w:r w:rsidR="007136D9" w:rsidRPr="00D57B79">
        <w:rPr>
          <w:rFonts w:ascii="GHEA Grapalat" w:hAnsi="GHEA Grapalat" w:cs="GHEA Grapalat"/>
          <w:color w:val="000000"/>
          <w:lang w:val="hy-AM"/>
        </w:rPr>
        <w:t>29.2</w:t>
      </w:r>
      <w:r w:rsidRPr="00D57B79">
        <w:rPr>
          <w:rFonts w:ascii="GHEA Grapalat" w:hAnsi="GHEA Grapalat" w:cs="GHEA Grapalat"/>
          <w:color w:val="000000"/>
        </w:rPr>
        <w:t>%</w:t>
      </w:r>
      <w:r w:rsidRPr="00D57B79">
        <w:rPr>
          <w:rFonts w:ascii="GHEA Grapalat" w:hAnsi="GHEA Grapalat" w:cs="GHEA Grapalat"/>
          <w:color w:val="000000"/>
        </w:rPr>
        <w:noBreakHyphen/>
        <w:t xml:space="preserve">ն ապահովվել է ավելացված արժեքի հարկի հաշվին: Նախորդ տարվա նույն ժամանակահատվածի համեմատ </w:t>
      </w:r>
      <w:r w:rsidR="00563639" w:rsidRPr="00D57B79">
        <w:rPr>
          <w:rFonts w:ascii="GHEA Grapalat" w:hAnsi="GHEA Grapalat" w:cs="GHEA Grapalat"/>
          <w:color w:val="000000"/>
        </w:rPr>
        <w:t xml:space="preserve">ավելացել են ինչպես </w:t>
      </w:r>
      <w:r w:rsidR="00563639" w:rsidRPr="00D57B79">
        <w:rPr>
          <w:rFonts w:ascii="GHEA Grapalat" w:hAnsi="GHEA Grapalat" w:cs="GHEA Grapalat"/>
          <w:color w:val="000000"/>
          <w:lang w:val="hy-AM"/>
        </w:rPr>
        <w:t>ՀՀ</w:t>
      </w:r>
      <w:r w:rsidR="00563639" w:rsidRPr="00D57B79">
        <w:rPr>
          <w:rFonts w:ascii="GHEA Grapalat" w:hAnsi="GHEA Grapalat" w:cs="GHEA Grapalat"/>
          <w:color w:val="000000"/>
          <w:lang w:val="hy-AM"/>
        </w:rPr>
        <w:noBreakHyphen/>
        <w:t>ում արտադրվող ապրանքների ու ծառայությունների շրջանառությ</w:t>
      </w:r>
      <w:r w:rsidR="00563639" w:rsidRPr="00D57B79">
        <w:rPr>
          <w:rFonts w:ascii="GHEA Grapalat" w:hAnsi="GHEA Grapalat" w:cs="GHEA Grapalat"/>
          <w:color w:val="000000"/>
        </w:rPr>
        <w:t xml:space="preserve">ան, այնպես էլ ներմուծման գծով </w:t>
      </w:r>
      <w:r w:rsidR="00D84004" w:rsidRPr="00D57B79">
        <w:rPr>
          <w:rFonts w:ascii="GHEA Grapalat" w:hAnsi="GHEA Grapalat" w:cs="GHEA Grapalat"/>
          <w:color w:val="000000"/>
          <w:lang w:val="hy-AM"/>
        </w:rPr>
        <w:t>մուտքեր</w:t>
      </w:r>
      <w:r w:rsidR="00563639" w:rsidRPr="00D57B79">
        <w:rPr>
          <w:rFonts w:ascii="GHEA Grapalat" w:hAnsi="GHEA Grapalat" w:cs="GHEA Grapalat"/>
          <w:color w:val="000000"/>
        </w:rPr>
        <w:t>ը</w:t>
      </w:r>
      <w:r w:rsidR="00D84004" w:rsidRPr="00D57B79">
        <w:rPr>
          <w:rFonts w:ascii="GHEA Grapalat" w:hAnsi="GHEA Grapalat" w:cs="GHEA Grapalat"/>
          <w:color w:val="000000"/>
          <w:lang w:val="hy-AM"/>
        </w:rPr>
        <w:t>:</w:t>
      </w:r>
    </w:p>
    <w:p w:rsidR="002849B2" w:rsidRPr="00D57B79" w:rsidRDefault="002849B2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5B064D" w:rsidRPr="00D57B79" w:rsidRDefault="00F1622C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ԱԱՀ-ի</w:t>
      </w:r>
      <w:r w:rsidR="00B727E5"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գծով ՀՀ պետական բյուջեի</w:t>
      </w: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մուտքերը</w:t>
      </w:r>
      <w:r w:rsidR="005B064D"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(մլրդ դրամ)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3515"/>
        <w:gridCol w:w="1560"/>
        <w:gridCol w:w="1559"/>
        <w:gridCol w:w="2282"/>
        <w:gridCol w:w="1290"/>
      </w:tblGrid>
      <w:tr w:rsidR="009345BD" w:rsidRPr="00D57B79" w:rsidTr="004459F5">
        <w:trPr>
          <w:trHeight w:val="85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D" w:rsidRPr="00D57B79" w:rsidRDefault="009345BD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5BD" w:rsidRPr="00D57B79" w:rsidRDefault="002C5F14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հունվար-ապրիլ ամիսների փաստ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5BD" w:rsidRPr="00D57B79" w:rsidRDefault="002C5F14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հունվար-ապրիլ ամիսների փաստ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F14" w:rsidRPr="00D57B79" w:rsidRDefault="006C28F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</w:t>
            </w:r>
            <w:r w:rsidR="002C5F14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հունվար- ապրիլը </w:t>
            </w:r>
          </w:p>
          <w:p w:rsidR="006C28F9" w:rsidRPr="00D57B79" w:rsidRDefault="006C28F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</w:t>
            </w:r>
            <w:r w:rsidR="00E806A9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.</w:t>
            </w:r>
            <w:r w:rsidR="002C5F14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հունվար- ապրիլ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 նկատմամբ</w:t>
            </w:r>
          </w:p>
          <w:p w:rsidR="009345BD" w:rsidRPr="00D57B79" w:rsidRDefault="006C28F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5BD" w:rsidRPr="00D57B79" w:rsidRDefault="009345BD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4E37AB" w:rsidRPr="00D57B79" w:rsidTr="004459F5">
        <w:trPr>
          <w:trHeight w:val="29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B" w:rsidRPr="00D57B79" w:rsidRDefault="004E37AB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Ավելացված արժեքի հարկ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215.1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276.7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128.6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61.6 </w:t>
            </w:r>
          </w:p>
        </w:tc>
      </w:tr>
      <w:tr w:rsidR="004E37AB" w:rsidRPr="00D57B79" w:rsidTr="004459F5">
        <w:trPr>
          <w:trHeight w:val="29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AB" w:rsidRPr="00D57B79" w:rsidRDefault="004E37AB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Ներմուծումից, այդ թվում՝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113.7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139.8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123.0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26.1 </w:t>
            </w:r>
          </w:p>
        </w:tc>
      </w:tr>
      <w:tr w:rsidR="004E37AB" w:rsidRPr="00D57B79" w:rsidTr="004459F5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AB" w:rsidRPr="00D57B79" w:rsidRDefault="004E37AB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ԵԱՏՄ երկրներից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39.4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44.7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113.4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5.3 </w:t>
            </w:r>
          </w:p>
        </w:tc>
      </w:tr>
      <w:tr w:rsidR="004E37AB" w:rsidRPr="00D57B79" w:rsidTr="004459F5">
        <w:trPr>
          <w:trHeight w:val="167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AB" w:rsidRPr="00D57B79" w:rsidRDefault="004E37AB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Ներքին շրջանառությունից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136.9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134.9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B" w:rsidRPr="00D57B79" w:rsidRDefault="004E37A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35.4</w:t>
            </w:r>
          </w:p>
        </w:tc>
      </w:tr>
    </w:tbl>
    <w:p w:rsidR="00EF469C" w:rsidRPr="00D57B79" w:rsidRDefault="00EF469C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CE6275" w:rsidRPr="00D57B79" w:rsidRDefault="00593328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</w:rPr>
        <w:t>202</w:t>
      </w:r>
      <w:r w:rsidR="00A4071F" w:rsidRPr="00D57B79">
        <w:rPr>
          <w:rFonts w:ascii="GHEA Grapalat" w:hAnsi="GHEA Grapalat" w:cs="GHEA Grapalat"/>
          <w:color w:val="000000"/>
        </w:rPr>
        <w:t>5</w:t>
      </w:r>
      <w:r w:rsidR="00BC69AC" w:rsidRPr="00D57B79">
        <w:rPr>
          <w:rFonts w:ascii="GHEA Grapalat" w:hAnsi="GHEA Grapalat" w:cs="GHEA Grapalat"/>
          <w:color w:val="000000"/>
        </w:rPr>
        <w:t xml:space="preserve"> թվականի </w:t>
      </w:r>
      <w:r w:rsidR="00177E6C" w:rsidRPr="00D57B79">
        <w:rPr>
          <w:rFonts w:ascii="GHEA Grapalat" w:hAnsi="GHEA Grapalat" w:cs="GHEA Grapalat"/>
          <w:color w:val="000000"/>
        </w:rPr>
        <w:t>հունվար-ա</w:t>
      </w:r>
      <w:r w:rsidR="00177E6C" w:rsidRPr="00D57B79">
        <w:rPr>
          <w:rFonts w:ascii="GHEA Grapalat" w:hAnsi="GHEA Grapalat" w:cs="GHEA Grapalat"/>
          <w:color w:val="000000"/>
          <w:lang w:val="hy-AM"/>
        </w:rPr>
        <w:t>պ</w:t>
      </w:r>
      <w:r w:rsidR="00177E6C" w:rsidRPr="00D57B79">
        <w:rPr>
          <w:rFonts w:ascii="GHEA Grapalat" w:hAnsi="GHEA Grapalat" w:cs="GHEA Grapalat"/>
          <w:color w:val="000000"/>
        </w:rPr>
        <w:t>ր</w:t>
      </w:r>
      <w:r w:rsidR="00177E6C" w:rsidRPr="00D57B79">
        <w:rPr>
          <w:rFonts w:ascii="GHEA Grapalat" w:hAnsi="GHEA Grapalat" w:cs="GHEA Grapalat"/>
          <w:color w:val="000000"/>
          <w:lang w:val="hy-AM"/>
        </w:rPr>
        <w:t>իլ</w:t>
      </w:r>
      <w:r w:rsidR="00177E6C" w:rsidRPr="00D57B79">
        <w:rPr>
          <w:rFonts w:ascii="GHEA Grapalat" w:hAnsi="GHEA Grapalat" w:cs="GHEA Grapalat"/>
          <w:color w:val="000000"/>
        </w:rPr>
        <w:t xml:space="preserve"> ամիսների</w:t>
      </w:r>
      <w:r w:rsidR="00177E6C" w:rsidRPr="00D57B79">
        <w:rPr>
          <w:rFonts w:ascii="GHEA Grapalat" w:hAnsi="GHEA Grapalat" w:cs="GHEA Grapalat"/>
          <w:color w:val="000000"/>
          <w:lang w:val="hy-AM"/>
        </w:rPr>
        <w:t>ն</w:t>
      </w:r>
      <w:r w:rsidRPr="00D57B79">
        <w:rPr>
          <w:rFonts w:ascii="GHEA Grapalat" w:hAnsi="GHEA Grapalat" w:cs="GHEA Grapalat"/>
          <w:b/>
        </w:rPr>
        <w:t xml:space="preserve"> </w:t>
      </w:r>
      <w:r w:rsidR="000427C5" w:rsidRPr="00D57B79">
        <w:rPr>
          <w:rFonts w:ascii="GHEA Grapalat" w:hAnsi="GHEA Grapalat" w:cs="GHEA Grapalat"/>
          <w:color w:val="000000"/>
        </w:rPr>
        <w:t>պետական բյուջե մուտքագրված</w:t>
      </w:r>
      <w:r w:rsidR="00901957" w:rsidRPr="00D57B79">
        <w:rPr>
          <w:rFonts w:ascii="GHEA Grapalat" w:hAnsi="GHEA Grapalat" w:cs="GHEA Grapalat"/>
          <w:color w:val="000000"/>
        </w:rPr>
        <w:t xml:space="preserve"> հարկային եկամուտների ու պետական տուրքերի </w:t>
      </w:r>
      <w:r w:rsidR="00CE6275" w:rsidRPr="00D57B79">
        <w:rPr>
          <w:rFonts w:ascii="GHEA Grapalat" w:hAnsi="GHEA Grapalat" w:cs="GHEA Grapalat"/>
          <w:color w:val="000000"/>
        </w:rPr>
        <w:t>4</w:t>
      </w:r>
      <w:r w:rsidR="00901957" w:rsidRPr="00D57B79">
        <w:rPr>
          <w:rFonts w:ascii="GHEA Grapalat" w:hAnsi="GHEA Grapalat" w:cs="GHEA Grapalat"/>
          <w:color w:val="000000"/>
        </w:rPr>
        <w:t xml:space="preserve">%-ն ապահովվել է ակցիզային հարկի հաշվին: Նախորդ տարվա նույն ժամանակահատվածի համեմատ ակցիզային հարկի </w:t>
      </w:r>
      <w:r w:rsidR="000F6EC0" w:rsidRPr="00D57B79">
        <w:rPr>
          <w:rFonts w:ascii="GHEA Grapalat" w:hAnsi="GHEA Grapalat" w:cs="GHEA Grapalat"/>
          <w:color w:val="000000"/>
          <w:lang w:val="hy-AM"/>
        </w:rPr>
        <w:t>ա</w:t>
      </w:r>
      <w:r w:rsidR="00CE6275" w:rsidRPr="00D57B79">
        <w:rPr>
          <w:rFonts w:ascii="GHEA Grapalat" w:hAnsi="GHEA Grapalat" w:cs="GHEA Grapalat"/>
          <w:color w:val="000000"/>
          <w:lang w:val="hy-AM"/>
        </w:rPr>
        <w:t>ճ</w:t>
      </w:r>
      <w:r w:rsidR="00F1622C" w:rsidRPr="00D57B79">
        <w:rPr>
          <w:rFonts w:ascii="GHEA Grapalat" w:hAnsi="GHEA Grapalat" w:cs="GHEA Grapalat"/>
          <w:color w:val="000000"/>
        </w:rPr>
        <w:t xml:space="preserve">ը </w:t>
      </w:r>
      <w:r w:rsidR="00901957" w:rsidRPr="00D57B79">
        <w:rPr>
          <w:rFonts w:ascii="GHEA Grapalat" w:hAnsi="GHEA Grapalat" w:cs="GHEA Grapalat"/>
          <w:color w:val="000000"/>
        </w:rPr>
        <w:t>պայմանավորված</w:t>
      </w:r>
      <w:r w:rsidR="00F1622C" w:rsidRPr="00D57B79">
        <w:rPr>
          <w:rFonts w:ascii="GHEA Grapalat" w:hAnsi="GHEA Grapalat" w:cs="GHEA Grapalat"/>
          <w:color w:val="000000"/>
        </w:rPr>
        <w:t xml:space="preserve"> է</w:t>
      </w:r>
      <w:r w:rsidR="00C3262A" w:rsidRPr="00D57B79">
        <w:rPr>
          <w:rFonts w:ascii="GHEA Grapalat" w:hAnsi="GHEA Grapalat" w:cs="GHEA Grapalat"/>
          <w:color w:val="000000"/>
        </w:rPr>
        <w:t xml:space="preserve"> </w:t>
      </w:r>
      <w:r w:rsidR="00CE6275" w:rsidRPr="00D57B79">
        <w:rPr>
          <w:rFonts w:ascii="GHEA Grapalat" w:hAnsi="GHEA Grapalat" w:cs="GHEA Grapalat"/>
          <w:color w:val="000000"/>
          <w:lang w:val="hy-AM"/>
        </w:rPr>
        <w:t>ՀՀ ներմուծվող ենթաակցիզային ապրանքների գծով մուտքեր</w:t>
      </w:r>
      <w:r w:rsidR="00CE6275" w:rsidRPr="00D57B79">
        <w:rPr>
          <w:rFonts w:ascii="GHEA Grapalat" w:hAnsi="GHEA Grapalat" w:cs="GHEA Grapalat"/>
          <w:color w:val="000000"/>
        </w:rPr>
        <w:t>ի</w:t>
      </w:r>
      <w:r w:rsidR="00CE6275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CE6275" w:rsidRPr="00D57B79">
        <w:rPr>
          <w:rFonts w:ascii="GHEA Grapalat" w:hAnsi="GHEA Grapalat" w:cs="GHEA Grapalat"/>
          <w:color w:val="000000"/>
        </w:rPr>
        <w:t>աճով</w:t>
      </w:r>
      <w:r w:rsidR="00CE6275" w:rsidRPr="00D57B79">
        <w:rPr>
          <w:rFonts w:ascii="GHEA Grapalat" w:hAnsi="GHEA Grapalat" w:cs="GHEA Grapalat"/>
          <w:color w:val="000000"/>
          <w:lang w:val="hy-AM"/>
        </w:rPr>
        <w:t>:</w:t>
      </w:r>
    </w:p>
    <w:p w:rsidR="0030520B" w:rsidRPr="00D57B79" w:rsidRDefault="003052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770426" w:rsidRPr="00D57B79" w:rsidRDefault="00B727E5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</w:rPr>
        <w:t>Ա</w:t>
      </w:r>
      <w:r w:rsidR="00770426" w:rsidRPr="00D57B79">
        <w:rPr>
          <w:rFonts w:ascii="GHEA Grapalat" w:hAnsi="GHEA Grapalat"/>
          <w:b/>
          <w:bCs/>
          <w:iCs w:val="0"/>
          <w:color w:val="auto"/>
          <w:sz w:val="20"/>
          <w:szCs w:val="20"/>
        </w:rPr>
        <w:t>կցիզային հարկի</w:t>
      </w: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գծով ՀՀ պետական բյուջեի</w:t>
      </w:r>
      <w:r w:rsidR="00770426" w:rsidRPr="00D57B79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մուտքերը (մլրդ դրամ)</w:t>
      </w:r>
    </w:p>
    <w:tbl>
      <w:tblPr>
        <w:tblW w:w="10210" w:type="dxa"/>
        <w:tblInd w:w="-5" w:type="dxa"/>
        <w:tblLook w:val="04A0" w:firstRow="1" w:lastRow="0" w:firstColumn="1" w:lastColumn="0" w:noHBand="0" w:noVBand="1"/>
      </w:tblPr>
      <w:tblGrid>
        <w:gridCol w:w="4082"/>
        <w:gridCol w:w="1418"/>
        <w:gridCol w:w="1417"/>
        <w:gridCol w:w="1937"/>
        <w:gridCol w:w="1356"/>
      </w:tblGrid>
      <w:tr w:rsidR="00E806A9" w:rsidRPr="00D57B79" w:rsidTr="00D51B30">
        <w:trPr>
          <w:trHeight w:val="8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A9" w:rsidRPr="00D57B79" w:rsidRDefault="00E806A9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հունվար-ապրիլ ամիսների փաստ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հունվար-ապրիլ ամիսների փաստ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 ապրիլը </w:t>
            </w:r>
          </w:p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 ապրիլի նկատմամբ</w:t>
            </w:r>
          </w:p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13603C" w:rsidRPr="00D57B79" w:rsidTr="00FF0CF8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3C" w:rsidRPr="00D57B79" w:rsidRDefault="0013603C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37.1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38.2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103.0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1.1 </w:t>
            </w:r>
          </w:p>
        </w:tc>
      </w:tr>
      <w:tr w:rsidR="0013603C" w:rsidRPr="00D57B79" w:rsidTr="00FF0CF8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03C" w:rsidRPr="00D57B79" w:rsidRDefault="0013603C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Ներմուծվող ենթաակցիզային ապրանքներից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15.1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114.8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1.9</w:t>
            </w:r>
          </w:p>
        </w:tc>
      </w:tr>
      <w:tr w:rsidR="0013603C" w:rsidRPr="00D57B79" w:rsidTr="00FF0CF8">
        <w:trPr>
          <w:trHeight w:val="30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03C" w:rsidRPr="00D57B79" w:rsidRDefault="0013603C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ՀՀ-ում արտադրվող ենթաակցիզային ապրանքներից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23.1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96.6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C" w:rsidRPr="00D57B79" w:rsidRDefault="0013603C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(0.8)</w:t>
            </w:r>
          </w:p>
        </w:tc>
      </w:tr>
    </w:tbl>
    <w:p w:rsidR="00770426" w:rsidRPr="00D57B79" w:rsidRDefault="00770426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ru-RU"/>
        </w:rPr>
      </w:pPr>
    </w:p>
    <w:p w:rsidR="00BC69AC" w:rsidRPr="00D57B79" w:rsidRDefault="00BC69AC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>202</w:t>
      </w:r>
      <w:r w:rsidR="00A4071F" w:rsidRPr="00D57B79">
        <w:rPr>
          <w:rFonts w:ascii="GHEA Grapalat" w:hAnsi="GHEA Grapalat" w:cs="GHEA Grapalat"/>
          <w:color w:val="000000"/>
          <w:lang w:val="hy-AM"/>
        </w:rPr>
        <w:t>5</w:t>
      </w:r>
      <w:r w:rsidR="00E548F1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թվականի </w:t>
      </w:r>
      <w:r w:rsidR="00E806A9" w:rsidRPr="00D57B79">
        <w:rPr>
          <w:rFonts w:ascii="GHEA Grapalat" w:hAnsi="GHEA Grapalat" w:cs="GHEA Grapalat"/>
          <w:color w:val="000000"/>
          <w:lang w:val="hy-AM"/>
        </w:rPr>
        <w:t xml:space="preserve">հունվար-ապրիլ ամիսներին </w:t>
      </w:r>
      <w:r w:rsidRPr="00D57B79">
        <w:rPr>
          <w:rFonts w:ascii="GHEA Grapalat" w:hAnsi="GHEA Grapalat" w:cs="GHEA Grapalat"/>
          <w:color w:val="000000"/>
          <w:lang w:val="hy-AM"/>
        </w:rPr>
        <w:t>պետական բյուջե մուտքագրված առանձին հարկատեսակների վերաբերյալ տեղեկատվությունը ներկայացված է Աղյուսակ 5</w:t>
      </w:r>
      <w:r w:rsidRPr="00D57B79">
        <w:rPr>
          <w:rFonts w:ascii="GHEA Grapalat" w:hAnsi="GHEA Grapalat" w:cs="GHEA Grapalat"/>
          <w:color w:val="000000"/>
          <w:lang w:val="hy-AM"/>
        </w:rPr>
        <w:noBreakHyphen/>
        <w:t>ում:</w:t>
      </w:r>
    </w:p>
    <w:p w:rsidR="004F47DC" w:rsidRPr="00D57B79" w:rsidRDefault="004F47DC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CD01EC" w:rsidRPr="00D57B79" w:rsidRDefault="00CD01EC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276"/>
        </w:tabs>
        <w:spacing w:after="120"/>
        <w:ind w:left="0" w:firstLine="0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հարկային եկամուտների և պետական տուրքերի փաստացի ցուցանիշները (մլրդ դրամ)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219"/>
        <w:gridCol w:w="1418"/>
        <w:gridCol w:w="1313"/>
        <w:gridCol w:w="1903"/>
        <w:gridCol w:w="1348"/>
      </w:tblGrid>
      <w:tr w:rsidR="00E806A9" w:rsidRPr="00D57B79" w:rsidTr="003A02E6">
        <w:trPr>
          <w:trHeight w:val="11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A9" w:rsidRPr="00D57B79" w:rsidRDefault="00E806A9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հունվար-ապրիլ ամիսների փաստ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հունվար-ապրիլ ամիսների փաստ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 ապրիլը </w:t>
            </w:r>
          </w:p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 ապրիլի նկատմամբ</w:t>
            </w:r>
          </w:p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6A9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Հարկային եկամուտներ և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պետական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828.8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948.7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114.5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120.0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808.6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924.3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114.3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115.8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215.1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276.7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128.6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61.6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37.1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38.2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103.0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1.1 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206.6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243.3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117.8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36.7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23.2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24.4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105.0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1.2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212.1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235.1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110.8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23.0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26.2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32.0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122.0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5.8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 գծով)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33.9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39.1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115.4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5.2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28.6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37.9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(17.8)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25.6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24.6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96.3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(0.9)</w:t>
            </w:r>
          </w:p>
        </w:tc>
      </w:tr>
      <w:tr w:rsidR="00CC6A43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43" w:rsidRPr="00D57B79" w:rsidRDefault="00CC6A43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</w:rPr>
              <w:t>24.4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120.7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A43" w:rsidRPr="00D57B79" w:rsidRDefault="00CC6A43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4.2</w:t>
            </w:r>
          </w:p>
        </w:tc>
      </w:tr>
      <w:tr w:rsidR="00CD01EC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EC" w:rsidRPr="00D57B79" w:rsidRDefault="00CD01EC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հարկերի և տուրքերի մեջ</w:t>
            </w:r>
            <w:r w:rsidR="00C45525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EC" w:rsidRPr="00D57B79" w:rsidRDefault="00CD01EC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EC" w:rsidRPr="00D57B79" w:rsidRDefault="00CD01EC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EC" w:rsidRPr="00D57B79" w:rsidRDefault="00CD01EC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EC" w:rsidRPr="00D57B79" w:rsidRDefault="00CD01EC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97.6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97.4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26.0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29.2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4.0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24.9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25.6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lastRenderedPageBreak/>
              <w:t>Մաքսատուրք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25.6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24.8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1.1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6F5E52" w:rsidRPr="00D57B79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52" w:rsidRPr="00D57B79" w:rsidRDefault="006F5E52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E52" w:rsidRPr="00D57B79" w:rsidRDefault="006F5E52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</w:tr>
    </w:tbl>
    <w:p w:rsidR="00CD01EC" w:rsidRPr="00D57B79" w:rsidRDefault="00CD01EC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237BEC" w:rsidRPr="00D57B79" w:rsidRDefault="00EE1F7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>2</w:t>
      </w:r>
      <w:r w:rsidR="002412FA" w:rsidRPr="00D57B79">
        <w:rPr>
          <w:rFonts w:ascii="GHEA Grapalat" w:hAnsi="GHEA Grapalat" w:cs="GHEA Grapalat"/>
          <w:color w:val="000000"/>
          <w:lang w:val="hy-AM"/>
        </w:rPr>
        <w:t>02</w:t>
      </w:r>
      <w:r w:rsidR="00A4071F" w:rsidRPr="00D57B79">
        <w:rPr>
          <w:rFonts w:ascii="GHEA Grapalat" w:hAnsi="GHEA Grapalat" w:cs="GHEA Grapalat"/>
          <w:color w:val="000000"/>
          <w:lang w:val="hy-AM"/>
        </w:rPr>
        <w:t>5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թվականի</w:t>
      </w:r>
      <w:r w:rsidRPr="00D57B79">
        <w:rPr>
          <w:rFonts w:ascii="GHEA Grapalat" w:hAnsi="GHEA Grapalat" w:cs="GHEA Grapalat"/>
          <w:color w:val="000000"/>
        </w:rPr>
        <w:t xml:space="preserve"> </w:t>
      </w:r>
      <w:r w:rsidR="00E806A9" w:rsidRPr="00D57B79">
        <w:rPr>
          <w:rFonts w:ascii="GHEA Grapalat" w:hAnsi="GHEA Grapalat" w:cs="GHEA Grapalat"/>
          <w:color w:val="000000"/>
          <w:lang w:val="hy-AM"/>
        </w:rPr>
        <w:t xml:space="preserve">հունվար-ապրիլ ամիսներին </w:t>
      </w:r>
      <w:r w:rsidR="00901957" w:rsidRPr="00D57B79">
        <w:rPr>
          <w:rFonts w:ascii="GHEA Grapalat" w:hAnsi="GHEA Grapalat" w:cs="GHEA Grapalat"/>
          <w:color w:val="000000"/>
        </w:rPr>
        <w:t xml:space="preserve">բնապահպանական հարկի և </w:t>
      </w:r>
      <w:r w:rsidR="00D05892" w:rsidRPr="00D57B79">
        <w:rPr>
          <w:rFonts w:ascii="GHEA Grapalat" w:hAnsi="GHEA Grapalat" w:cs="GHEA Grapalat"/>
          <w:color w:val="000000"/>
        </w:rPr>
        <w:t>բնօգտագործման վճարների գծով</w:t>
      </w:r>
      <w:r w:rsidR="00D30793" w:rsidRPr="00D57B79">
        <w:rPr>
          <w:rFonts w:ascii="GHEA Grapalat" w:hAnsi="GHEA Grapalat" w:cs="GHEA Grapalat"/>
          <w:color w:val="000000"/>
        </w:rPr>
        <w:t xml:space="preserve"> մուտքերը կազմել են </w:t>
      </w:r>
      <w:r w:rsidR="00CE6275" w:rsidRPr="00D57B79">
        <w:rPr>
          <w:rFonts w:ascii="GHEA Grapalat" w:hAnsi="GHEA Grapalat" w:cs="GHEA Grapalat"/>
          <w:color w:val="000000"/>
          <w:lang w:val="hy-AM"/>
        </w:rPr>
        <w:t xml:space="preserve">շուրջ 10.9 մլրդ դրամ՝ ապահովելով պետական բյուջեի հարկային եկամուտների և պետական տուրքերի </w:t>
      </w:r>
      <w:r w:rsidR="00237BEC" w:rsidRPr="00D57B79">
        <w:rPr>
          <w:rFonts w:ascii="GHEA Grapalat" w:hAnsi="GHEA Grapalat" w:cs="GHEA Grapalat"/>
          <w:color w:val="000000"/>
          <w:lang w:val="hy-AM"/>
        </w:rPr>
        <w:t>1</w:t>
      </w:r>
      <w:r w:rsidR="00CE6275" w:rsidRPr="00D57B79">
        <w:rPr>
          <w:rFonts w:ascii="GHEA Grapalat" w:hAnsi="GHEA Grapalat" w:cs="GHEA Grapalat"/>
          <w:color w:val="000000"/>
          <w:lang w:val="hy-AM"/>
        </w:rPr>
        <w:t>.1%</w:t>
      </w:r>
      <w:r w:rsidR="00CE6275" w:rsidRPr="00D57B79">
        <w:rPr>
          <w:rFonts w:ascii="GHEA Grapalat" w:hAnsi="GHEA Grapalat" w:cs="GHEA Grapalat"/>
          <w:color w:val="000000"/>
          <w:lang w:val="hy-AM"/>
        </w:rPr>
        <w:noBreakHyphen/>
        <w:t xml:space="preserve">ը: Նախորդ տարվա նույն ժամանակահատվածի համեմատ բնապահպանական հարկի և բնօգտագործման վճարների գծով մուտքերի </w:t>
      </w:r>
      <w:r w:rsidR="00237BEC" w:rsidRPr="00D57B79">
        <w:rPr>
          <w:rFonts w:ascii="GHEA Grapalat" w:hAnsi="GHEA Grapalat" w:cs="GHEA Grapalat"/>
          <w:color w:val="000000"/>
          <w:lang w:val="hy-AM"/>
        </w:rPr>
        <w:t>նվազում</w:t>
      </w:r>
      <w:r w:rsidR="00CE6275" w:rsidRPr="00D57B79">
        <w:rPr>
          <w:rFonts w:ascii="GHEA Grapalat" w:hAnsi="GHEA Grapalat" w:cs="GHEA Grapalat"/>
          <w:color w:val="000000"/>
          <w:lang w:val="hy-AM"/>
        </w:rPr>
        <w:t xml:space="preserve">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</w:t>
      </w:r>
      <w:r w:rsidR="00237BEC" w:rsidRPr="00D57B79">
        <w:rPr>
          <w:rFonts w:ascii="GHEA Grapalat" w:hAnsi="GHEA Grapalat" w:cs="GHEA Grapalat"/>
          <w:color w:val="000000"/>
        </w:rPr>
        <w:t>95.3</w:t>
      </w:r>
      <w:r w:rsidR="004B0B7F" w:rsidRPr="00D57B79">
        <w:rPr>
          <w:rFonts w:ascii="GHEA Grapalat" w:hAnsi="GHEA Grapalat" w:cs="GHEA Grapalat"/>
          <w:color w:val="000000"/>
          <w:lang w:val="hy-AM"/>
        </w:rPr>
        <w:t>%</w:t>
      </w:r>
      <w:r w:rsidR="00237BEC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CE6275" w:rsidRPr="00D57B79">
        <w:rPr>
          <w:rFonts w:ascii="GHEA Grapalat" w:hAnsi="GHEA Grapalat" w:cs="GHEA Grapalat"/>
          <w:color w:val="000000"/>
          <w:lang w:val="hy-AM"/>
        </w:rPr>
        <w:t>(</w:t>
      </w:r>
      <w:r w:rsidR="00237BEC" w:rsidRPr="00D57B79">
        <w:rPr>
          <w:rFonts w:ascii="GHEA Grapalat" w:hAnsi="GHEA Grapalat" w:cs="GHEA Grapalat"/>
          <w:color w:val="000000"/>
          <w:lang w:val="hy-AM"/>
        </w:rPr>
        <w:t>21.7</w:t>
      </w:r>
      <w:r w:rsidR="00CE6275" w:rsidRPr="00D57B79">
        <w:rPr>
          <w:rFonts w:ascii="Calibri" w:hAnsi="Calibri" w:cs="Calibri"/>
          <w:color w:val="000000"/>
          <w:lang w:val="hy-AM"/>
        </w:rPr>
        <w:t> </w:t>
      </w:r>
      <w:r w:rsidR="00CE6275" w:rsidRPr="00D57B79">
        <w:rPr>
          <w:rFonts w:ascii="GHEA Grapalat" w:hAnsi="GHEA Grapalat" w:cs="GHEA Grapalat"/>
          <w:color w:val="000000"/>
          <w:lang w:val="hy-AM"/>
        </w:rPr>
        <w:t>մլրդ</w:t>
      </w:r>
      <w:r w:rsidR="00CE6275" w:rsidRPr="00D57B79">
        <w:rPr>
          <w:rFonts w:ascii="Calibri" w:hAnsi="Calibri" w:cs="Calibri"/>
          <w:color w:val="000000"/>
          <w:lang w:val="hy-AM"/>
        </w:rPr>
        <w:t> </w:t>
      </w:r>
      <w:r w:rsidR="00CE6275" w:rsidRPr="00D57B79">
        <w:rPr>
          <w:rFonts w:ascii="GHEA Grapalat" w:hAnsi="GHEA Grapalat" w:cs="GHEA Grapalat"/>
          <w:color w:val="000000"/>
          <w:lang w:val="hy-AM"/>
        </w:rPr>
        <w:t xml:space="preserve">դրամ) </w:t>
      </w:r>
      <w:r w:rsidR="00237BEC" w:rsidRPr="00D57B79">
        <w:rPr>
          <w:rFonts w:ascii="GHEA Grapalat" w:hAnsi="GHEA Grapalat" w:cs="GHEA Grapalat"/>
          <w:color w:val="000000"/>
          <w:lang w:val="hy-AM"/>
        </w:rPr>
        <w:t>նվազմամբ</w:t>
      </w:r>
      <w:r w:rsidR="00CE6275" w:rsidRPr="00D57B79">
        <w:rPr>
          <w:rFonts w:ascii="GHEA Grapalat" w:hAnsi="GHEA Grapalat" w:cs="GHEA Grapalat"/>
          <w:color w:val="000000"/>
          <w:lang w:val="hy-AM"/>
        </w:rPr>
        <w:t xml:space="preserve">: </w:t>
      </w:r>
      <w:r w:rsidR="00237BEC" w:rsidRPr="00D57B79">
        <w:rPr>
          <w:rFonts w:ascii="GHEA Grapalat" w:hAnsi="GHEA Grapalat" w:cs="GHEA Grapalat"/>
          <w:color w:val="000000"/>
          <w:lang w:val="hy-AM"/>
        </w:rPr>
        <w:t>Միաժամանակ</w:t>
      </w:r>
      <w:r w:rsidR="00CE6275" w:rsidRPr="00D57B79">
        <w:rPr>
          <w:rFonts w:ascii="GHEA Grapalat" w:hAnsi="GHEA Grapalat" w:cs="GHEA Grapalat"/>
          <w:color w:val="000000"/>
          <w:lang w:val="hy-AM"/>
        </w:rPr>
        <w:t xml:space="preserve">, </w:t>
      </w:r>
      <w:r w:rsidR="00237BEC" w:rsidRPr="00D57B79">
        <w:rPr>
          <w:rFonts w:ascii="GHEA Grapalat" w:hAnsi="GHEA Grapalat" w:cs="GHEA Grapalat"/>
          <w:color w:val="000000"/>
          <w:lang w:val="hy-AM"/>
        </w:rPr>
        <w:t>2.7 անգամ (3.4 մլրդ</w:t>
      </w:r>
      <w:r w:rsidR="00237BEC" w:rsidRPr="00D57B79">
        <w:rPr>
          <w:rFonts w:ascii="Calibri" w:hAnsi="Calibri" w:cs="Calibri"/>
          <w:color w:val="000000"/>
          <w:lang w:val="hy-AM"/>
        </w:rPr>
        <w:t> </w:t>
      </w:r>
      <w:r w:rsidR="00237BEC" w:rsidRPr="00D57B79">
        <w:rPr>
          <w:rFonts w:ascii="GHEA Grapalat" w:hAnsi="GHEA Grapalat" w:cs="GHEA Grapalat"/>
          <w:color w:val="000000"/>
          <w:lang w:val="hy-AM"/>
        </w:rPr>
        <w:t>դրամ) աճ է արձանագրվել ՀՀ ներմուծվող շրջակա միջավայրին վնաս պատճառող ապրանքների համար գանձված բնապահպանական հարկի գծով ստացված մուտքերում:</w:t>
      </w:r>
    </w:p>
    <w:p w:rsidR="00901957" w:rsidRPr="00D57B79" w:rsidRDefault="00901957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 xml:space="preserve">Հաշվետու ժամանակահատվածում պետական բյուջեի հարկերի և տուրքերի </w:t>
      </w:r>
      <w:r w:rsidR="00237BEC" w:rsidRPr="00D57B79">
        <w:rPr>
          <w:rFonts w:ascii="GHEA Grapalat" w:hAnsi="GHEA Grapalat" w:cs="GHEA Grapalat"/>
          <w:color w:val="000000"/>
          <w:lang w:val="hy-AM"/>
        </w:rPr>
        <w:t>2.6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%-ը ձևավորվել է այլ հարկերի հաշվին՝ կազմելով </w:t>
      </w:r>
      <w:r w:rsidR="00237BEC" w:rsidRPr="00D57B79">
        <w:rPr>
          <w:rFonts w:ascii="GHEA Grapalat" w:hAnsi="GHEA Grapalat" w:cs="GHEA Grapalat"/>
          <w:color w:val="000000"/>
          <w:lang w:val="hy-AM"/>
        </w:rPr>
        <w:t>ավելի քան 24</w:t>
      </w:r>
      <w:r w:rsidR="00421341" w:rsidRPr="00D57B79">
        <w:rPr>
          <w:rFonts w:ascii="GHEA Grapalat" w:hAnsi="GHEA Grapalat" w:cs="GHEA Grapalat"/>
          <w:color w:val="000000"/>
          <w:lang w:val="hy-AM"/>
        </w:rPr>
        <w:t>.6</w:t>
      </w:r>
      <w:r w:rsidR="004B5D29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մլրդ դրամ: Մասնավորապես` </w:t>
      </w:r>
      <w:r w:rsidR="00421341" w:rsidRPr="00D57B79">
        <w:rPr>
          <w:rFonts w:ascii="GHEA Grapalat" w:hAnsi="GHEA Grapalat" w:cs="GHEA Grapalat"/>
          <w:color w:val="000000"/>
          <w:lang w:val="hy-AM"/>
        </w:rPr>
        <w:t>1</w:t>
      </w:r>
      <w:r w:rsidR="00237BEC" w:rsidRPr="00D57B79">
        <w:rPr>
          <w:rFonts w:ascii="GHEA Grapalat" w:hAnsi="GHEA Grapalat" w:cs="GHEA Grapalat"/>
          <w:color w:val="000000"/>
          <w:lang w:val="hy-AM"/>
        </w:rPr>
        <w:t>6.8</w:t>
      </w:r>
      <w:r w:rsidR="006C4AE0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մլրդ դրամ են կազմել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 վճարները, </w:t>
      </w:r>
      <w:r w:rsidR="00421341" w:rsidRPr="00D57B79">
        <w:rPr>
          <w:rFonts w:ascii="GHEA Grapalat" w:hAnsi="GHEA Grapalat" w:cs="GHEA Grapalat"/>
          <w:color w:val="000000"/>
          <w:lang w:val="hy-AM"/>
        </w:rPr>
        <w:t>2.</w:t>
      </w:r>
      <w:r w:rsidR="004C4FF8" w:rsidRPr="00D57B79">
        <w:rPr>
          <w:rFonts w:ascii="GHEA Grapalat" w:hAnsi="GHEA Grapalat" w:cs="GHEA Grapalat"/>
          <w:color w:val="000000"/>
          <w:lang w:val="hy-AM"/>
        </w:rPr>
        <w:t>9</w:t>
      </w:r>
      <w:r w:rsidR="00BA31D5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6C4AE0" w:rsidRPr="00D57B79">
        <w:rPr>
          <w:rFonts w:ascii="GHEA Grapalat" w:hAnsi="GHEA Grapalat" w:cs="GHEA Grapalat"/>
          <w:color w:val="000000"/>
          <w:lang w:val="hy-AM"/>
        </w:rPr>
        <w:t>մլրդ</w:t>
      </w:r>
      <w:r w:rsidR="00BA31D5" w:rsidRPr="00D57B79">
        <w:rPr>
          <w:rFonts w:ascii="GHEA Grapalat" w:hAnsi="GHEA Grapalat" w:cs="GHEA Grapalat"/>
          <w:color w:val="000000"/>
          <w:lang w:val="hy-AM"/>
        </w:rPr>
        <w:t xml:space="preserve"> դրամ՝ 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գանձվող միասնական մաքսային վճարը,</w:t>
      </w:r>
      <w:r w:rsidR="00DB4A04" w:rsidRPr="00D57B79">
        <w:rPr>
          <w:rFonts w:ascii="GHEA Grapalat" w:hAnsi="GHEA Grapalat" w:cs="GHEA Grapalat"/>
          <w:color w:val="000000"/>
          <w:lang w:val="hy-AM"/>
        </w:rPr>
        <w:t xml:space="preserve"> շուրջ 2 մլրդ դրամ՝ ռադիոհաճախականության օգտագործման պարտադիր վճարները, </w:t>
      </w:r>
      <w:r w:rsidR="00421341" w:rsidRPr="00D57B79">
        <w:rPr>
          <w:rFonts w:ascii="GHEA Grapalat" w:hAnsi="GHEA Grapalat" w:cs="GHEA Grapalat"/>
          <w:color w:val="000000"/>
          <w:lang w:val="hy-AM"/>
        </w:rPr>
        <w:t>1.</w:t>
      </w:r>
      <w:r w:rsidR="004C4FF8" w:rsidRPr="00D57B79">
        <w:rPr>
          <w:rFonts w:ascii="GHEA Grapalat" w:hAnsi="GHEA Grapalat" w:cs="GHEA Grapalat"/>
          <w:color w:val="000000"/>
          <w:lang w:val="hy-AM"/>
        </w:rPr>
        <w:t>6</w:t>
      </w:r>
      <w:r w:rsidR="00421341" w:rsidRPr="00D57B79">
        <w:rPr>
          <w:rFonts w:ascii="GHEA Grapalat" w:hAnsi="GHEA Grapalat" w:cs="GHEA Grapalat"/>
          <w:color w:val="000000"/>
          <w:lang w:val="hy-AM"/>
        </w:rPr>
        <w:t xml:space="preserve"> մլրդ </w:t>
      </w:r>
      <w:r w:rsidR="00666517" w:rsidRPr="00D57B79">
        <w:rPr>
          <w:rFonts w:ascii="GHEA Grapalat" w:hAnsi="GHEA Grapalat" w:cs="GHEA Grapalat"/>
          <w:color w:val="000000"/>
          <w:lang w:val="hy-AM"/>
        </w:rPr>
        <w:t>դրամ՝ ճանապարհային հարկը</w:t>
      </w:r>
      <w:r w:rsidR="001D1118" w:rsidRPr="00D57B79">
        <w:rPr>
          <w:rFonts w:ascii="GHEA Grapalat" w:hAnsi="GHEA Grapalat" w:cs="GHEA Grapalat"/>
          <w:lang w:val="hy-AM"/>
        </w:rPr>
        <w:t>:</w:t>
      </w:r>
      <w:r w:rsidR="00B65BC3" w:rsidRPr="00D57B79">
        <w:rPr>
          <w:rFonts w:ascii="GHEA Grapalat" w:hAnsi="GHEA Grapalat" w:cs="GHEA Grapalat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Նախորդ տարվա </w:t>
      </w:r>
      <w:r w:rsidR="00E806A9" w:rsidRPr="00D57B79">
        <w:rPr>
          <w:rFonts w:ascii="GHEA Grapalat" w:hAnsi="GHEA Grapalat" w:cs="GHEA Grapalat"/>
          <w:color w:val="000000"/>
          <w:lang w:val="hy-AM"/>
        </w:rPr>
        <w:t>հունվար-ապրիլ ամիսների</w:t>
      </w:r>
      <w:r w:rsidR="00BE2DE0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lang w:val="hy-AM"/>
        </w:rPr>
        <w:t xml:space="preserve">համեմատ այլ հարկերի </w:t>
      </w:r>
      <w:r w:rsidRPr="00D57B79">
        <w:rPr>
          <w:rFonts w:ascii="GHEA Grapalat" w:hAnsi="GHEA Grapalat" w:cs="GHEA Grapalat"/>
          <w:color w:val="000000"/>
          <w:lang w:val="hy-AM"/>
        </w:rPr>
        <w:t>փաստացի ցուցանիշ</w:t>
      </w:r>
      <w:r w:rsidR="006C4AE0" w:rsidRPr="00D57B79">
        <w:rPr>
          <w:rFonts w:ascii="GHEA Grapalat" w:hAnsi="GHEA Grapalat" w:cs="GHEA Grapalat"/>
          <w:color w:val="000000"/>
          <w:lang w:val="hy-AM"/>
        </w:rPr>
        <w:t xml:space="preserve">ը </w:t>
      </w:r>
      <w:r w:rsidRPr="00D57B79">
        <w:rPr>
          <w:rFonts w:ascii="GHEA Grapalat" w:hAnsi="GHEA Grapalat" w:cs="GHEA Grapalat"/>
          <w:color w:val="000000"/>
          <w:lang w:val="hy-AM"/>
        </w:rPr>
        <w:t>ն</w:t>
      </w:r>
      <w:r w:rsidR="006C4AE0" w:rsidRPr="00D57B79">
        <w:rPr>
          <w:rFonts w:ascii="GHEA Grapalat" w:hAnsi="GHEA Grapalat" w:cs="GHEA Grapalat"/>
          <w:color w:val="000000"/>
          <w:lang w:val="hy-AM"/>
        </w:rPr>
        <w:t>վ</w:t>
      </w:r>
      <w:r w:rsidRPr="00D57B79">
        <w:rPr>
          <w:rFonts w:ascii="GHEA Grapalat" w:hAnsi="GHEA Grapalat" w:cs="GHEA Grapalat"/>
          <w:color w:val="000000"/>
          <w:lang w:val="hy-AM"/>
        </w:rPr>
        <w:t>ա</w:t>
      </w:r>
      <w:r w:rsidR="006C4AE0" w:rsidRPr="00D57B79">
        <w:rPr>
          <w:rFonts w:ascii="GHEA Grapalat" w:hAnsi="GHEA Grapalat" w:cs="GHEA Grapalat"/>
          <w:color w:val="000000"/>
          <w:lang w:val="hy-AM"/>
        </w:rPr>
        <w:t>զ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ել է </w:t>
      </w:r>
      <w:r w:rsidR="00AF07FC" w:rsidRPr="00D57B79">
        <w:rPr>
          <w:rFonts w:ascii="GHEA Grapalat" w:hAnsi="GHEA Grapalat" w:cs="GHEA Grapalat"/>
          <w:color w:val="000000"/>
          <w:lang w:val="hy-AM"/>
        </w:rPr>
        <w:t>3</w:t>
      </w:r>
      <w:r w:rsidR="004C4FF8" w:rsidRPr="00D57B79">
        <w:rPr>
          <w:rFonts w:ascii="GHEA Grapalat" w:hAnsi="GHEA Grapalat" w:cs="GHEA Grapalat"/>
          <w:color w:val="000000"/>
          <w:lang w:val="hy-AM"/>
        </w:rPr>
        <w:t>.7</w:t>
      </w:r>
      <w:r w:rsidRPr="00D57B79">
        <w:rPr>
          <w:rFonts w:ascii="GHEA Grapalat" w:hAnsi="GHEA Grapalat" w:cs="GHEA Grapalat"/>
          <w:color w:val="000000"/>
          <w:lang w:val="hy-AM"/>
        </w:rPr>
        <w:t>%-ով</w:t>
      </w:r>
      <w:r w:rsidR="006C4AE0" w:rsidRPr="00D57B79">
        <w:rPr>
          <w:rFonts w:ascii="GHEA Grapalat" w:hAnsi="GHEA Grapalat" w:cs="GHEA Grapalat"/>
          <w:color w:val="000000"/>
          <w:lang w:val="hy-AM"/>
        </w:rPr>
        <w:t xml:space="preserve"> կամ </w:t>
      </w:r>
      <w:r w:rsidR="004C4FF8" w:rsidRPr="00D57B79">
        <w:rPr>
          <w:rFonts w:ascii="GHEA Grapalat" w:hAnsi="GHEA Grapalat" w:cs="GHEA Grapalat"/>
          <w:color w:val="000000"/>
          <w:lang w:val="hy-AM"/>
        </w:rPr>
        <w:t>շուրջ 945</w:t>
      </w:r>
      <w:r w:rsidR="006C4AE0" w:rsidRPr="00D57B79">
        <w:rPr>
          <w:rFonts w:ascii="GHEA Grapalat" w:hAnsi="GHEA Grapalat" w:cs="GHEA Grapalat"/>
          <w:color w:val="000000"/>
          <w:lang w:val="hy-AM"/>
        </w:rPr>
        <w:t xml:space="preserve"> մլ</w:t>
      </w:r>
      <w:r w:rsidR="00B65BC3" w:rsidRPr="00D57B79">
        <w:rPr>
          <w:rFonts w:ascii="GHEA Grapalat" w:hAnsi="GHEA Grapalat" w:cs="GHEA Grapalat"/>
          <w:color w:val="000000"/>
          <w:lang w:val="hy-AM"/>
        </w:rPr>
        <w:t>ն</w:t>
      </w:r>
      <w:r w:rsidR="006C4AE0" w:rsidRPr="00D57B79">
        <w:rPr>
          <w:rFonts w:ascii="GHEA Grapalat" w:hAnsi="GHEA Grapalat" w:cs="GHEA Grapalat"/>
          <w:color w:val="000000"/>
          <w:lang w:val="hy-AM"/>
        </w:rPr>
        <w:t xml:space="preserve"> դրամով, ինչը հիմնականում ձևավորվել է միասնական մաքսային վճարի և ռադիոհաճախականության </w:t>
      </w:r>
      <w:r w:rsidR="006C4AE0" w:rsidRPr="00D57B79">
        <w:rPr>
          <w:rFonts w:ascii="GHEA Grapalat" w:hAnsi="GHEA Grapalat" w:cs="GHEA Grapalat"/>
          <w:color w:val="000000"/>
          <w:lang w:val="hy-AM"/>
        </w:rPr>
        <w:lastRenderedPageBreak/>
        <w:t>օգտագործման պարտադիր վճարների նվ</w:t>
      </w:r>
      <w:r w:rsidR="00B65BC3" w:rsidRPr="00D57B79">
        <w:rPr>
          <w:rFonts w:ascii="GHEA Grapalat" w:hAnsi="GHEA Grapalat" w:cs="GHEA Grapalat"/>
          <w:color w:val="000000"/>
          <w:lang w:val="hy-AM"/>
        </w:rPr>
        <w:t>ազման ու դրոշմանիշային վճարների և հարկային օրենսդրության խախտման համար սահմանված տուգանքների</w:t>
      </w:r>
      <w:r w:rsidR="00AF07FC" w:rsidRPr="00D57B79">
        <w:rPr>
          <w:rFonts w:ascii="GHEA Grapalat" w:hAnsi="GHEA Grapalat" w:cs="GHEA Grapalat"/>
          <w:color w:val="000000"/>
          <w:lang w:val="hy-AM"/>
        </w:rPr>
        <w:t>ց մուտքերի</w:t>
      </w:r>
      <w:r w:rsidR="00B65BC3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6C4AE0" w:rsidRPr="00D57B79">
        <w:rPr>
          <w:rFonts w:ascii="GHEA Grapalat" w:hAnsi="GHEA Grapalat" w:cs="GHEA Grapalat"/>
          <w:color w:val="000000"/>
          <w:lang w:val="hy-AM"/>
        </w:rPr>
        <w:t>աճի արդյունքում</w:t>
      </w:r>
      <w:r w:rsidR="0057441A" w:rsidRPr="00D57B79">
        <w:rPr>
          <w:rFonts w:ascii="GHEA Grapalat" w:hAnsi="GHEA Grapalat" w:cs="GHEA Grapalat"/>
          <w:color w:val="000000"/>
          <w:lang w:val="hy-AM"/>
        </w:rPr>
        <w:t>:</w:t>
      </w:r>
    </w:p>
    <w:p w:rsidR="0095513B" w:rsidRPr="00D57B79" w:rsidRDefault="009968EF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>202</w:t>
      </w:r>
      <w:r w:rsidR="00A4071F" w:rsidRPr="00D57B79">
        <w:rPr>
          <w:rFonts w:ascii="GHEA Grapalat" w:hAnsi="GHEA Grapalat" w:cs="GHEA Grapalat"/>
          <w:color w:val="000000"/>
          <w:lang w:val="hy-AM"/>
        </w:rPr>
        <w:t>5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թվականի </w:t>
      </w:r>
      <w:r w:rsidR="00E806A9" w:rsidRPr="00D57B79">
        <w:rPr>
          <w:rFonts w:ascii="GHEA Grapalat" w:hAnsi="GHEA Grapalat" w:cs="GHEA Grapalat"/>
          <w:color w:val="000000"/>
          <w:lang w:val="hy-AM"/>
        </w:rPr>
        <w:t xml:space="preserve">հունվար-ապրիլ ամիսներին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պետական բյուջե են մուտքագրվել </w:t>
      </w:r>
      <w:r w:rsidR="004C4FF8" w:rsidRPr="00D57B79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A1403E" w:rsidRPr="00D57B79">
        <w:rPr>
          <w:rFonts w:ascii="GHEA Grapalat" w:hAnsi="GHEA Grapalat" w:cs="GHEA Grapalat"/>
          <w:color w:val="000000"/>
          <w:lang w:val="hy-AM"/>
        </w:rPr>
        <w:t>2</w:t>
      </w:r>
      <w:r w:rsidR="004C4FF8" w:rsidRPr="00D57B79">
        <w:rPr>
          <w:rFonts w:ascii="GHEA Grapalat" w:hAnsi="GHEA Grapalat" w:cs="GHEA Grapalat"/>
          <w:color w:val="000000"/>
          <w:lang w:val="hy-AM"/>
        </w:rPr>
        <w:t>4.4</w:t>
      </w:r>
      <w:r w:rsidR="003E1C6F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մլրդ դրամ </w:t>
      </w:r>
      <w:r w:rsidRPr="00D57B79">
        <w:rPr>
          <w:rFonts w:ascii="GHEA Grapalat" w:hAnsi="GHEA Grapalat" w:cs="GHEA Grapalat"/>
          <w:i/>
          <w:color w:val="000000"/>
          <w:lang w:val="hy-AM"/>
        </w:rPr>
        <w:t>պետական տուրքեր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` կազմելով </w:t>
      </w:r>
      <w:r w:rsidR="00E806A9" w:rsidRPr="00D57B79">
        <w:rPr>
          <w:rFonts w:ascii="GHEA Grapalat" w:hAnsi="GHEA Grapalat" w:cs="GHEA Grapalat"/>
          <w:color w:val="000000"/>
          <w:lang w:val="hy-AM"/>
        </w:rPr>
        <w:t>կիս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ամյակային ծրագրի </w:t>
      </w:r>
      <w:r w:rsidR="00A13300" w:rsidRPr="00D57B79">
        <w:rPr>
          <w:rFonts w:ascii="GHEA Grapalat" w:hAnsi="GHEA Grapalat" w:cs="GHEA Grapalat"/>
          <w:color w:val="000000"/>
          <w:lang w:val="hy-AM"/>
        </w:rPr>
        <w:t>66.6</w:t>
      </w:r>
      <w:r w:rsidRPr="00D57B79">
        <w:rPr>
          <w:rFonts w:ascii="GHEA Grapalat" w:hAnsi="GHEA Grapalat" w:cs="GHEA Grapalat"/>
          <w:color w:val="000000"/>
          <w:lang w:val="hy-AM"/>
        </w:rPr>
        <w:t>%</w:t>
      </w:r>
      <w:r w:rsidRPr="00D57B79">
        <w:rPr>
          <w:rFonts w:ascii="GHEA Grapalat" w:hAnsi="GHEA Grapalat" w:cs="GHEA Grapalat"/>
          <w:color w:val="000000"/>
          <w:lang w:val="hy-AM"/>
        </w:rPr>
        <w:noBreakHyphen/>
        <w:t>ը: Պետական տուրքերում 4</w:t>
      </w:r>
      <w:r w:rsidR="0095513B" w:rsidRPr="00D57B79">
        <w:rPr>
          <w:rFonts w:ascii="GHEA Grapalat" w:hAnsi="GHEA Grapalat" w:cs="GHEA Grapalat"/>
          <w:color w:val="000000"/>
          <w:lang w:val="hy-AM"/>
        </w:rPr>
        <w:t>9.</w:t>
      </w:r>
      <w:r w:rsidR="00A1403E" w:rsidRPr="00D57B79">
        <w:rPr>
          <w:rFonts w:ascii="GHEA Grapalat" w:hAnsi="GHEA Grapalat" w:cs="GHEA Grapalat"/>
          <w:color w:val="000000"/>
          <w:lang w:val="hy-AM"/>
        </w:rPr>
        <w:t>7</w:t>
      </w:r>
      <w:r w:rsidR="006B3F3C" w:rsidRPr="00D57B79">
        <w:rPr>
          <w:rFonts w:ascii="GHEA Grapalat" w:hAnsi="GHEA Grapalat" w:cs="GHEA Grapalat"/>
          <w:color w:val="000000"/>
          <w:lang w:val="hy-AM"/>
        </w:rPr>
        <w:t xml:space="preserve">% տեսակարար կշիռ ունեն </w:t>
      </w:r>
      <w:r w:rsidR="003E1C6F" w:rsidRPr="00D57B79">
        <w:rPr>
          <w:rFonts w:ascii="GHEA Grapalat" w:hAnsi="GHEA Grapalat" w:cs="GHEA Grapalat"/>
          <w:color w:val="000000"/>
          <w:lang w:val="hy-AM"/>
        </w:rPr>
        <w:t>լիցենզավորման ենթակա կամ թույլտվություններով</w:t>
      </w:r>
      <w:r w:rsidR="003E1C6F" w:rsidRPr="00D57B79">
        <w:rPr>
          <w:rFonts w:ascii="Courier New" w:hAnsi="Courier New" w:cs="Courier New"/>
          <w:color w:val="000000"/>
          <w:lang w:val="hy-AM"/>
        </w:rPr>
        <w:t> </w:t>
      </w:r>
      <w:r w:rsidR="003E1C6F" w:rsidRPr="00D57B79">
        <w:rPr>
          <w:rFonts w:ascii="GHEA Grapalat" w:hAnsi="GHEA Grapalat" w:cs="GHEA Grapalat"/>
          <w:color w:val="000000"/>
          <w:lang w:val="hy-AM"/>
        </w:rPr>
        <w:t xml:space="preserve">գործունեություն իրականացնելու նպատակով լիցենզիաներ, արտոնագրեր (թույլտվություններ) տալու համար գանձվող տուրքերը, </w:t>
      </w:r>
      <w:r w:rsidR="0095513B" w:rsidRPr="00D57B79">
        <w:rPr>
          <w:rFonts w:ascii="GHEA Grapalat" w:hAnsi="GHEA Grapalat" w:cs="GHEA Grapalat"/>
          <w:color w:val="000000"/>
          <w:lang w:val="hy-AM"/>
        </w:rPr>
        <w:t xml:space="preserve">որոնք </w:t>
      </w:r>
      <w:r w:rsidR="00A13300" w:rsidRPr="00D57B79">
        <w:rPr>
          <w:rFonts w:ascii="GHEA Grapalat" w:hAnsi="GHEA Grapalat" w:cs="GHEA Grapalat"/>
          <w:color w:val="000000"/>
          <w:lang w:val="hy-AM"/>
        </w:rPr>
        <w:t>69.3</w:t>
      </w:r>
      <w:r w:rsidR="0095513B" w:rsidRPr="00D57B79">
        <w:rPr>
          <w:rFonts w:ascii="GHEA Grapalat" w:hAnsi="GHEA Grapalat" w:cs="GHEA Grapalat"/>
          <w:color w:val="000000"/>
          <w:lang w:val="hy-AM"/>
        </w:rPr>
        <w:t>%</w:t>
      </w:r>
      <w:r w:rsidR="0095513B" w:rsidRPr="00D57B79">
        <w:rPr>
          <w:rFonts w:ascii="GHEA Grapalat" w:hAnsi="GHEA Grapalat" w:cs="GHEA Grapalat"/>
          <w:color w:val="000000"/>
          <w:lang w:val="hy-AM"/>
        </w:rPr>
        <w:noBreakHyphen/>
        <w:t xml:space="preserve">ով ապահովել են կիսամյակային ծրագրային ցուցանիշը՝ կազմելով 12.1 մլրդ դրամ: Նշված գումարից 6.7 մլրդ դրամ են կազմել վիճակախաղերի, շահումներով խաղերի և մետաղադրամով և (կամ) թղթադրամով շահագործվող ավտոմատների միջոցով սննդի առևտրի և խաղերի բնագավառից գանձվող տուրքերը՝ </w:t>
      </w:r>
      <w:r w:rsidR="00A13300" w:rsidRPr="00D57B79">
        <w:rPr>
          <w:rFonts w:ascii="GHEA Grapalat" w:hAnsi="GHEA Grapalat" w:cs="GHEA Grapalat"/>
          <w:color w:val="000000"/>
          <w:lang w:val="hy-AM"/>
        </w:rPr>
        <w:t>53.3</w:t>
      </w:r>
      <w:r w:rsidR="0095513B" w:rsidRPr="00D57B79">
        <w:rPr>
          <w:rFonts w:ascii="GHEA Grapalat" w:hAnsi="GHEA Grapalat" w:cs="GHEA Grapalat"/>
          <w:color w:val="000000"/>
          <w:lang w:val="hy-AM"/>
        </w:rPr>
        <w:t>%</w:t>
      </w:r>
      <w:r w:rsidR="0095513B" w:rsidRPr="00D57B79">
        <w:rPr>
          <w:rFonts w:ascii="GHEA Grapalat" w:hAnsi="GHEA Grapalat" w:cs="GHEA Grapalat"/>
          <w:color w:val="000000"/>
          <w:lang w:val="hy-AM"/>
        </w:rPr>
        <w:noBreakHyphen/>
        <w:t>ով ապահովելով կիսամյակային ծրագրային ցուցանիշը: Շուրջ 1.7 մլրդ դրամ են կազմել մաքսային բնագավառում լիցենզավորման գծով գանձվող տուրքերը՝ 69.4%</w:t>
      </w:r>
      <w:r w:rsidR="0095513B" w:rsidRPr="00D57B79">
        <w:rPr>
          <w:rFonts w:ascii="GHEA Grapalat" w:hAnsi="GHEA Grapalat" w:cs="GHEA Grapalat"/>
          <w:color w:val="000000"/>
          <w:lang w:val="hy-AM"/>
        </w:rPr>
        <w:noBreakHyphen/>
        <w:t>ով ապահովելով կիսամյակային ծրագրային ցուցանիշը</w:t>
      </w:r>
      <w:r w:rsidR="00C76AE2" w:rsidRPr="00D57B79">
        <w:rPr>
          <w:rFonts w:ascii="GHEA Grapalat" w:hAnsi="GHEA Grapalat" w:cs="GHEA Grapalat"/>
          <w:color w:val="000000"/>
          <w:lang w:val="hy-AM"/>
        </w:rPr>
        <w:t xml:space="preserve">: </w:t>
      </w:r>
      <w:r w:rsidR="0095513B" w:rsidRPr="00D57B79">
        <w:rPr>
          <w:rFonts w:ascii="GHEA Grapalat" w:hAnsi="GHEA Grapalat" w:cs="GHEA Grapalat"/>
          <w:color w:val="000000"/>
          <w:lang w:val="hy-AM"/>
        </w:rPr>
        <w:t>2024 թվականի մայիսի 13-ից ոսկե, պլատինե և պալադիումե ապրանքների (բացի ՀՀ ծագման պլատին և պալադիում պարունակող համաձուլվածքներից և խտանյութերից) արտահանման լիցենզիաներ կամ թույլտվություններ կամ հավաստագրեր տրամադրելու համար (բացառությամբ ԵԱՏՄ երկրներ արտահանման (տեղափոխման) և «Վերամշակում մաքսային տարածքից դուրս» մաքսային ընթացակարգով արտահանվող և հետագայում ներմուծվող ապրանքների) սահմանվել են պետական տուրքեր, որոնց գծով հաշվետու ժամանակահատվածում պետական բյուջե է մուտքագրվել շուրջ 1.2 մլրդ դրամ:</w:t>
      </w:r>
    </w:p>
    <w:p w:rsidR="00543E32" w:rsidRPr="00D57B79" w:rsidRDefault="007472BD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>Օրենքով սահմանված այլ ծառայությունների և գործողությունների համար գանձվող տուրքերը կազմել են</w:t>
      </w:r>
      <w:r w:rsidR="0033156F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DA6BB2" w:rsidRPr="00D57B79">
        <w:rPr>
          <w:rFonts w:ascii="GHEA Grapalat" w:hAnsi="GHEA Grapalat" w:cs="GHEA Grapalat"/>
          <w:color w:val="000000"/>
          <w:lang w:val="hy-AM"/>
        </w:rPr>
        <w:t>6.6</w:t>
      </w:r>
      <w:r w:rsidR="0033156F" w:rsidRPr="00D57B79">
        <w:rPr>
          <w:rFonts w:ascii="GHEA Grapalat" w:hAnsi="GHEA Grapalat" w:cs="GHEA Grapalat"/>
          <w:color w:val="000000"/>
          <w:lang w:val="hy-AM"/>
        </w:rPr>
        <w:t xml:space="preserve"> մլրդ դրամ՝ </w:t>
      </w:r>
      <w:r w:rsidR="00E712B6" w:rsidRPr="00D57B79">
        <w:rPr>
          <w:rFonts w:ascii="GHEA Grapalat" w:hAnsi="GHEA Grapalat" w:cs="GHEA Grapalat"/>
          <w:color w:val="000000"/>
          <w:lang w:val="hy-AM"/>
        </w:rPr>
        <w:t xml:space="preserve">ապահովելով </w:t>
      </w:r>
      <w:r w:rsidR="004E1E19" w:rsidRPr="00D57B79">
        <w:rPr>
          <w:rFonts w:ascii="GHEA Grapalat" w:hAnsi="GHEA Grapalat" w:cs="GHEA Grapalat"/>
          <w:color w:val="000000"/>
          <w:lang w:val="hy-AM"/>
        </w:rPr>
        <w:t xml:space="preserve">պետական տուրքերի </w:t>
      </w:r>
      <w:r w:rsidR="0033156F" w:rsidRPr="00D57B79">
        <w:rPr>
          <w:rFonts w:ascii="GHEA Grapalat" w:hAnsi="GHEA Grapalat" w:cs="GHEA Grapalat"/>
          <w:color w:val="000000"/>
          <w:lang w:val="hy-AM"/>
        </w:rPr>
        <w:t>2</w:t>
      </w:r>
      <w:r w:rsidR="00DA6BB2" w:rsidRPr="00D57B79">
        <w:rPr>
          <w:rFonts w:ascii="GHEA Grapalat" w:hAnsi="GHEA Grapalat" w:cs="GHEA Grapalat"/>
          <w:color w:val="000000"/>
          <w:lang w:val="hy-AM"/>
        </w:rPr>
        <w:t>7.1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%-ը և </w:t>
      </w:r>
      <w:r w:rsidR="00E806A9" w:rsidRPr="00D57B79">
        <w:rPr>
          <w:rFonts w:ascii="GHEA Grapalat" w:hAnsi="GHEA Grapalat" w:cs="GHEA Grapalat"/>
          <w:color w:val="000000"/>
          <w:lang w:val="hy-AM"/>
        </w:rPr>
        <w:t>կիս</w:t>
      </w:r>
      <w:r w:rsidR="00D739EE" w:rsidRPr="00D57B79">
        <w:rPr>
          <w:rFonts w:ascii="GHEA Grapalat" w:hAnsi="GHEA Grapalat" w:cs="GHEA Grapalat"/>
          <w:color w:val="000000"/>
          <w:lang w:val="hy-AM"/>
        </w:rPr>
        <w:t xml:space="preserve">ամսյակային ծրագրային ցուցանիշի </w:t>
      </w:r>
      <w:r w:rsidR="00DA6BB2" w:rsidRPr="00D57B79">
        <w:rPr>
          <w:rFonts w:ascii="GHEA Grapalat" w:hAnsi="GHEA Grapalat" w:cs="GHEA Grapalat"/>
          <w:color w:val="000000"/>
          <w:lang w:val="hy-AM"/>
        </w:rPr>
        <w:t>5</w:t>
      </w:r>
      <w:r w:rsidR="0033156F" w:rsidRPr="00D57B79">
        <w:rPr>
          <w:rFonts w:ascii="GHEA Grapalat" w:hAnsi="GHEA Grapalat" w:cs="GHEA Grapalat"/>
          <w:color w:val="000000"/>
          <w:lang w:val="hy-AM"/>
        </w:rPr>
        <w:t>8</w:t>
      </w:r>
      <w:r w:rsidR="00DA6BB2" w:rsidRPr="00D57B79">
        <w:rPr>
          <w:rFonts w:ascii="GHEA Grapalat" w:hAnsi="GHEA Grapalat" w:cs="GHEA Grapalat"/>
          <w:color w:val="000000"/>
          <w:lang w:val="hy-AM"/>
        </w:rPr>
        <w:t>.7</w:t>
      </w:r>
      <w:r w:rsidRPr="00D57B79">
        <w:rPr>
          <w:rFonts w:ascii="GHEA Grapalat" w:hAnsi="GHEA Grapalat" w:cs="GHEA Grapalat"/>
          <w:color w:val="000000"/>
          <w:lang w:val="hy-AM"/>
        </w:rPr>
        <w:t>%</w:t>
      </w:r>
      <w:r w:rsidRPr="00D57B79">
        <w:rPr>
          <w:rFonts w:ascii="GHEA Grapalat" w:hAnsi="GHEA Grapalat" w:cs="GHEA Grapalat"/>
          <w:color w:val="000000"/>
          <w:lang w:val="hy-AM"/>
        </w:rPr>
        <w:noBreakHyphen/>
      </w:r>
      <w:r w:rsidR="00D739EE" w:rsidRPr="00D57B79">
        <w:rPr>
          <w:rFonts w:ascii="GHEA Grapalat" w:hAnsi="GHEA Grapalat" w:cs="GHEA Grapalat"/>
          <w:color w:val="000000"/>
          <w:lang w:val="hy-AM"/>
        </w:rPr>
        <w:t>ը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: </w:t>
      </w:r>
      <w:r w:rsidR="00BF131F" w:rsidRPr="00D57B79">
        <w:rPr>
          <w:rFonts w:ascii="GHEA Grapalat" w:hAnsi="GHEA Grapalat" w:cs="GHEA Grapalat"/>
          <w:color w:val="000000"/>
          <w:lang w:val="hy-AM"/>
        </w:rPr>
        <w:t>Նշված մուտքերի հիմնական մասը</w:t>
      </w:r>
      <w:r w:rsidR="0011719B" w:rsidRPr="00D57B79">
        <w:rPr>
          <w:rFonts w:ascii="GHEA Grapalat" w:hAnsi="GHEA Grapalat" w:cs="GHEA Grapalat"/>
          <w:color w:val="000000"/>
          <w:lang w:val="hy-AM"/>
        </w:rPr>
        <w:t>`</w:t>
      </w:r>
      <w:r w:rsidR="00BF131F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DA6BB2" w:rsidRPr="00D57B79">
        <w:rPr>
          <w:rFonts w:ascii="GHEA Grapalat" w:hAnsi="GHEA Grapalat" w:cs="GHEA Grapalat"/>
          <w:color w:val="000000"/>
          <w:lang w:val="hy-AM"/>
        </w:rPr>
        <w:t>70.7%</w:t>
      </w:r>
      <w:r w:rsidR="00DA6BB2" w:rsidRPr="00D57B79">
        <w:rPr>
          <w:rFonts w:ascii="GHEA Grapalat" w:hAnsi="GHEA Grapalat" w:cs="GHEA Grapalat"/>
          <w:color w:val="000000"/>
          <w:lang w:val="hy-AM"/>
        </w:rPr>
        <w:noBreakHyphen/>
      </w:r>
      <w:r w:rsidR="0011719B" w:rsidRPr="00D57B79">
        <w:rPr>
          <w:rFonts w:ascii="GHEA Grapalat" w:hAnsi="GHEA Grapalat" w:cs="GHEA Grapalat"/>
          <w:color w:val="000000"/>
          <w:lang w:val="hy-AM"/>
        </w:rPr>
        <w:t xml:space="preserve">ը </w:t>
      </w:r>
      <w:r w:rsidR="00BF131F" w:rsidRPr="00D57B79">
        <w:rPr>
          <w:rFonts w:ascii="GHEA Grapalat" w:hAnsi="GHEA Grapalat" w:cs="GHEA Grapalat"/>
          <w:color w:val="000000"/>
          <w:lang w:val="hy-AM"/>
        </w:rPr>
        <w:t xml:space="preserve">ստացվել է </w:t>
      </w:r>
      <w:r w:rsidRPr="00D57B79">
        <w:rPr>
          <w:rFonts w:ascii="GHEA Grapalat" w:hAnsi="GHEA Grapalat" w:cs="GHEA Grapalat"/>
          <w:color w:val="000000"/>
          <w:lang w:val="hy-AM"/>
        </w:rPr>
        <w:t>ՀՀ-ից օդային տրանսպորտի միջոցներով ֆիզիկական անձանց (օդային ուղևորների) ելքի համար</w:t>
      </w:r>
      <w:r w:rsidR="00BF131F" w:rsidRPr="00D57B79">
        <w:rPr>
          <w:rFonts w:ascii="GHEA Grapalat" w:hAnsi="GHEA Grapalat" w:cs="GHEA Grapalat"/>
          <w:color w:val="000000"/>
          <w:lang w:val="hy-AM"/>
        </w:rPr>
        <w:t xml:space="preserve">, որոնք կազմել են </w:t>
      </w:r>
      <w:r w:rsidR="00A57830" w:rsidRPr="00D57B79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4E1E19" w:rsidRPr="00D57B79">
        <w:rPr>
          <w:rFonts w:ascii="GHEA Grapalat" w:hAnsi="GHEA Grapalat" w:cs="GHEA Grapalat"/>
          <w:color w:val="000000"/>
          <w:lang w:val="hy-AM"/>
        </w:rPr>
        <w:t>4</w:t>
      </w:r>
      <w:r w:rsidR="00DA6BB2" w:rsidRPr="00D57B79">
        <w:rPr>
          <w:rFonts w:ascii="GHEA Grapalat" w:hAnsi="GHEA Grapalat" w:cs="GHEA Grapalat"/>
          <w:color w:val="000000"/>
          <w:lang w:val="hy-AM"/>
        </w:rPr>
        <w:t>.7</w:t>
      </w:r>
      <w:r w:rsidR="00BF131F" w:rsidRPr="00D57B79">
        <w:rPr>
          <w:rFonts w:ascii="GHEA Grapalat" w:hAnsi="GHEA Grapalat" w:cs="GHEA Grapalat"/>
          <w:color w:val="000000"/>
          <w:lang w:val="hy-AM"/>
        </w:rPr>
        <w:t xml:space="preserve"> մլրդ դրամ կամ </w:t>
      </w:r>
      <w:r w:rsidR="00E806A9" w:rsidRPr="00D57B79">
        <w:rPr>
          <w:rFonts w:ascii="GHEA Grapalat" w:hAnsi="GHEA Grapalat" w:cs="GHEA Grapalat"/>
          <w:color w:val="000000"/>
          <w:lang w:val="hy-AM"/>
        </w:rPr>
        <w:t>կիսամ</w:t>
      </w:r>
      <w:r w:rsidR="00BF131F" w:rsidRPr="00D57B79">
        <w:rPr>
          <w:rFonts w:ascii="GHEA Grapalat" w:hAnsi="GHEA Grapalat" w:cs="GHEA Grapalat"/>
          <w:color w:val="000000"/>
          <w:lang w:val="hy-AM"/>
        </w:rPr>
        <w:t xml:space="preserve">յակային ծրագրային ցուցանիշի </w:t>
      </w:r>
      <w:r w:rsidR="00DA6BB2" w:rsidRPr="00D57B79">
        <w:rPr>
          <w:rFonts w:ascii="GHEA Grapalat" w:hAnsi="GHEA Grapalat" w:cs="GHEA Grapalat"/>
          <w:color w:val="000000"/>
          <w:lang w:val="hy-AM"/>
        </w:rPr>
        <w:t>51.9</w:t>
      </w:r>
      <w:r w:rsidRPr="00D57B79">
        <w:rPr>
          <w:rFonts w:ascii="GHEA Grapalat" w:hAnsi="GHEA Grapalat" w:cs="GHEA Grapalat"/>
          <w:color w:val="000000"/>
          <w:lang w:val="hy-AM"/>
        </w:rPr>
        <w:t>%</w:t>
      </w:r>
      <w:r w:rsidR="00BF131F" w:rsidRPr="00D57B79">
        <w:rPr>
          <w:rFonts w:ascii="GHEA Grapalat" w:hAnsi="GHEA Grapalat" w:cs="GHEA Grapalat"/>
          <w:color w:val="000000"/>
          <w:lang w:val="hy-AM"/>
        </w:rPr>
        <w:t>-ը</w:t>
      </w:r>
      <w:r w:rsidRPr="00D57B79">
        <w:rPr>
          <w:rFonts w:ascii="GHEA Grapalat" w:hAnsi="GHEA Grapalat" w:cs="GHEA Grapalat"/>
          <w:color w:val="000000"/>
          <w:lang w:val="hy-AM"/>
        </w:rPr>
        <w:t>:</w:t>
      </w:r>
    </w:p>
    <w:p w:rsidR="00C15DAF" w:rsidRPr="00D57B79" w:rsidRDefault="00543E32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 xml:space="preserve">Նախորդ տարվա </w:t>
      </w:r>
      <w:r w:rsidR="00E806A9" w:rsidRPr="00D57B79">
        <w:rPr>
          <w:rFonts w:ascii="GHEA Grapalat" w:hAnsi="GHEA Grapalat" w:cs="GHEA Grapalat"/>
          <w:color w:val="000000"/>
          <w:lang w:val="hy-AM"/>
        </w:rPr>
        <w:t xml:space="preserve">հունվար-ապրիլ ամիսների </w:t>
      </w:r>
      <w:r w:rsidRPr="00D57B79">
        <w:rPr>
          <w:rFonts w:ascii="GHEA Grapalat" w:hAnsi="GHEA Grapalat" w:cs="GHEA Grapalat"/>
          <w:color w:val="000000"/>
          <w:lang w:val="hy-AM"/>
        </w:rPr>
        <w:t>համեմատ պետական տուրքերն</w:t>
      </w:r>
      <w:r w:rsidR="006535BD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աճել են </w:t>
      </w:r>
      <w:r w:rsidR="00DA6BB2" w:rsidRPr="00D57B79">
        <w:rPr>
          <w:rFonts w:ascii="GHEA Grapalat" w:hAnsi="GHEA Grapalat" w:cs="GHEA Grapalat"/>
          <w:color w:val="000000"/>
          <w:lang w:val="hy-AM"/>
        </w:rPr>
        <w:t>20.7</w:t>
      </w:r>
      <w:r w:rsidR="00A57830" w:rsidRPr="00D57B79">
        <w:rPr>
          <w:rFonts w:ascii="GHEA Grapalat" w:hAnsi="GHEA Grapalat" w:cs="GHEA Grapalat"/>
          <w:color w:val="000000"/>
          <w:lang w:val="hy-AM"/>
        </w:rPr>
        <w:t>%</w:t>
      </w:r>
      <w:r w:rsidR="00A57830" w:rsidRPr="00D57B79">
        <w:rPr>
          <w:rFonts w:ascii="GHEA Grapalat" w:hAnsi="GHEA Grapalat" w:cs="GHEA Grapalat"/>
          <w:color w:val="000000"/>
          <w:lang w:val="hy-AM"/>
        </w:rPr>
        <w:noBreakHyphen/>
      </w:r>
      <w:r w:rsidRPr="00D57B79">
        <w:rPr>
          <w:rFonts w:ascii="GHEA Grapalat" w:hAnsi="GHEA Grapalat" w:cs="GHEA Grapalat"/>
          <w:color w:val="000000"/>
          <w:lang w:val="hy-AM"/>
        </w:rPr>
        <w:t>ով (</w:t>
      </w:r>
      <w:r w:rsidR="00A57830" w:rsidRPr="00D57B79">
        <w:rPr>
          <w:rFonts w:ascii="GHEA Grapalat" w:hAnsi="GHEA Grapalat" w:cs="GHEA Grapalat"/>
          <w:color w:val="000000"/>
          <w:lang w:val="hy-AM"/>
        </w:rPr>
        <w:t>շուրջ</w:t>
      </w:r>
      <w:r w:rsidR="0033156F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DA6BB2" w:rsidRPr="00D57B79">
        <w:rPr>
          <w:rFonts w:ascii="GHEA Grapalat" w:hAnsi="GHEA Grapalat" w:cs="GHEA Grapalat"/>
          <w:color w:val="000000"/>
          <w:lang w:val="hy-AM"/>
        </w:rPr>
        <w:t>4.</w:t>
      </w:r>
      <w:r w:rsidR="00A57830" w:rsidRPr="00D57B79">
        <w:rPr>
          <w:rFonts w:ascii="GHEA Grapalat" w:hAnsi="GHEA Grapalat" w:cs="GHEA Grapalat"/>
          <w:color w:val="000000"/>
          <w:lang w:val="hy-AM"/>
        </w:rPr>
        <w:t>2</w:t>
      </w:r>
      <w:r w:rsidR="00DA6BB2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>մլ</w:t>
      </w:r>
      <w:r w:rsidR="0033156F" w:rsidRPr="00D57B79">
        <w:rPr>
          <w:rFonts w:ascii="GHEA Grapalat" w:hAnsi="GHEA Grapalat" w:cs="GHEA Grapalat"/>
          <w:color w:val="000000"/>
          <w:lang w:val="hy-AM"/>
        </w:rPr>
        <w:t>րդ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դրամով)՝ հիմնականում պայմանավորված </w:t>
      </w:r>
      <w:r w:rsidR="006535BD" w:rsidRPr="00D57B79">
        <w:rPr>
          <w:rFonts w:ascii="GHEA Grapalat" w:hAnsi="GHEA Grapalat" w:cs="GHEA Grapalat"/>
          <w:color w:val="000000"/>
          <w:lang w:val="hy-AM"/>
        </w:rPr>
        <w:t xml:space="preserve">2024 թվականի մայիսի 13-ից ոսկե, պլատինե և պալադիումե ապրանքների արտահանման լիցենզիաներ կամ </w:t>
      </w:r>
      <w:r w:rsidR="006535BD" w:rsidRPr="00D57B79">
        <w:rPr>
          <w:rFonts w:ascii="GHEA Grapalat" w:hAnsi="GHEA Grapalat" w:cs="GHEA Grapalat"/>
          <w:color w:val="000000"/>
          <w:lang w:val="hy-AM"/>
        </w:rPr>
        <w:lastRenderedPageBreak/>
        <w:t xml:space="preserve">թույլտվություններ կամ հավաստագրեր տրամադրելու համար </w:t>
      </w:r>
      <w:r w:rsidR="001255CE" w:rsidRPr="00D57B79">
        <w:rPr>
          <w:rFonts w:ascii="GHEA Grapalat" w:hAnsi="GHEA Grapalat" w:cs="GHEA Grapalat"/>
          <w:color w:val="000000"/>
          <w:lang w:val="hy-AM"/>
        </w:rPr>
        <w:t xml:space="preserve">պետական տուրքերի սահմանմամբ, </w:t>
      </w:r>
      <w:r w:rsidR="00C76AE2" w:rsidRPr="00D57B79">
        <w:rPr>
          <w:rFonts w:ascii="GHEA Grapalat" w:hAnsi="GHEA Grapalat" w:cs="GHEA Grapalat"/>
          <w:color w:val="000000"/>
          <w:lang w:val="hy-AM"/>
        </w:rPr>
        <w:t xml:space="preserve">ինչպես նաև վիճակախաղերի, շահումներով խաղերի և մետաղադրամով և (կամ) թղթադրամով շահագործվող ավտոմատների միջոցով սննդի առևտրի և խաղերի բնագավառից գանձվող տուրքերի 16% (927 մլն դրամ), տրանսպորտի բնագավառի լիցենզավորման համար գանձվող պետական տուրքի՝ 3.5 անգամ (շուրջ 797.7 մլն դրամ) և </w:t>
      </w:r>
      <w:r w:rsidR="006535BD" w:rsidRPr="00D57B79">
        <w:rPr>
          <w:rFonts w:ascii="GHEA Grapalat" w:hAnsi="GHEA Grapalat" w:cs="GHEA Grapalat"/>
          <w:color w:val="000000"/>
          <w:lang w:val="hy-AM"/>
        </w:rPr>
        <w:t>ֆիզիկական անձանց տրվող իրավաբանական նշանակություն ունեցող փաստաթղթերի, որոշակի ծառայությունների կամ գործողությունների</w:t>
      </w:r>
      <w:r w:rsidR="00205BA7" w:rsidRPr="00D57B79">
        <w:rPr>
          <w:rFonts w:ascii="GHEA Grapalat" w:hAnsi="GHEA Grapalat" w:cs="GHEA Grapalat"/>
          <w:color w:val="000000"/>
          <w:lang w:val="hy-AM"/>
        </w:rPr>
        <w:t xml:space="preserve"> համար գանձվող պետական տուրքի</w:t>
      </w:r>
      <w:r w:rsidR="0033506E" w:rsidRPr="00D57B79">
        <w:rPr>
          <w:rFonts w:ascii="GHEA Grapalat" w:hAnsi="GHEA Grapalat" w:cs="GHEA Grapalat"/>
          <w:color w:val="000000"/>
          <w:lang w:val="hy-AM"/>
        </w:rPr>
        <w:t>՝</w:t>
      </w:r>
      <w:r w:rsidR="00205BA7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="00C76AE2" w:rsidRPr="00D57B79">
        <w:rPr>
          <w:rFonts w:ascii="GHEA Grapalat" w:hAnsi="GHEA Grapalat" w:cs="GHEA Grapalat"/>
          <w:color w:val="000000"/>
          <w:lang w:val="hy-AM"/>
        </w:rPr>
        <w:t xml:space="preserve">98% (շուրջ 712 մլն դրամ) </w:t>
      </w:r>
      <w:r w:rsidR="006535BD" w:rsidRPr="00D57B79">
        <w:rPr>
          <w:rFonts w:ascii="GHEA Grapalat" w:hAnsi="GHEA Grapalat" w:cs="GHEA Grapalat"/>
          <w:color w:val="000000"/>
          <w:lang w:val="hy-AM"/>
        </w:rPr>
        <w:t>աճով:</w:t>
      </w:r>
    </w:p>
    <w:p w:rsidR="004F47DC" w:rsidRPr="00D57B79" w:rsidRDefault="004F47DC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9968EF" w:rsidRPr="00D57B79" w:rsidRDefault="009968EF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Պետական տուրքերի գծով ՀՀ պետական բյուջեի մուտքերը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276"/>
        <w:gridCol w:w="1134"/>
        <w:gridCol w:w="1261"/>
        <w:gridCol w:w="1350"/>
        <w:gridCol w:w="1386"/>
      </w:tblGrid>
      <w:tr w:rsidR="009968EF" w:rsidRPr="00D57B79" w:rsidTr="008269CE">
        <w:trPr>
          <w:trHeight w:val="1425"/>
        </w:trPr>
        <w:tc>
          <w:tcPr>
            <w:tcW w:w="3799" w:type="dxa"/>
            <w:shd w:val="clear" w:color="auto" w:fill="auto"/>
            <w:noWrap/>
            <w:hideMark/>
          </w:tcPr>
          <w:p w:rsidR="009968EF" w:rsidRPr="00D57B79" w:rsidRDefault="009968EF" w:rsidP="00BC0E21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9968EF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հունվար-ապրիլ ամիսների փաստ</w:t>
            </w:r>
          </w:p>
        </w:tc>
        <w:tc>
          <w:tcPr>
            <w:tcW w:w="1134" w:type="dxa"/>
            <w:shd w:val="clear" w:color="000000" w:fill="FFFFFF"/>
          </w:tcPr>
          <w:p w:rsidR="009968EF" w:rsidRPr="00D57B79" w:rsidRDefault="009968EF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="00A4071F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="00F91C74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կիս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ամ-յակի ճշտված պլան</w:t>
            </w:r>
          </w:p>
        </w:tc>
        <w:tc>
          <w:tcPr>
            <w:tcW w:w="1261" w:type="dxa"/>
            <w:shd w:val="clear" w:color="000000" w:fill="FFFFFF"/>
            <w:hideMark/>
          </w:tcPr>
          <w:p w:rsidR="009968EF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հունվար-ապրիլ ամիսների փաստ</w:t>
            </w:r>
          </w:p>
        </w:tc>
        <w:tc>
          <w:tcPr>
            <w:tcW w:w="1350" w:type="dxa"/>
            <w:shd w:val="clear" w:color="000000" w:fill="FFFFFF"/>
          </w:tcPr>
          <w:p w:rsidR="009968EF" w:rsidRPr="00D57B79" w:rsidRDefault="00E806A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Կատարո-ղականն առաջին կիս</w:t>
            </w:r>
            <w:r w:rsidR="009968EF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ամյակի ճշտված պլանի նկատմամբ (%)</w:t>
            </w:r>
          </w:p>
        </w:tc>
        <w:tc>
          <w:tcPr>
            <w:tcW w:w="1386" w:type="dxa"/>
            <w:shd w:val="clear" w:color="000000" w:fill="FFFFFF"/>
            <w:hideMark/>
          </w:tcPr>
          <w:p w:rsidR="006C28F9" w:rsidRPr="00D57B79" w:rsidRDefault="006C28F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</w:t>
            </w:r>
            <w:r w:rsidR="00E806A9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2024թ. </w:t>
            </w:r>
            <w:r w:rsidR="00E806A9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 նկատմամբ</w:t>
            </w:r>
          </w:p>
          <w:p w:rsidR="009968EF" w:rsidRPr="00D57B79" w:rsidRDefault="006C28F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F042C8" w:rsidRPr="00D57B79" w:rsidTr="00EE761E">
        <w:trPr>
          <w:trHeight w:val="407"/>
        </w:trPr>
        <w:tc>
          <w:tcPr>
            <w:tcW w:w="3799" w:type="dxa"/>
            <w:shd w:val="clear" w:color="auto" w:fill="auto"/>
            <w:vAlign w:val="bottom"/>
            <w:hideMark/>
          </w:tcPr>
          <w:p w:rsidR="00F042C8" w:rsidRPr="00D57B79" w:rsidRDefault="00F042C8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ետական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20.2</w:t>
            </w:r>
          </w:p>
        </w:tc>
        <w:tc>
          <w:tcPr>
            <w:tcW w:w="1134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3</w:t>
            </w:r>
            <w:r w:rsidR="006F16AC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6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.</w:t>
            </w:r>
            <w:r w:rsidR="006F16AC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24.4</w:t>
            </w:r>
          </w:p>
        </w:tc>
        <w:tc>
          <w:tcPr>
            <w:tcW w:w="1350" w:type="dxa"/>
            <w:vAlign w:val="center"/>
          </w:tcPr>
          <w:p w:rsidR="00F042C8" w:rsidRPr="00D57B79" w:rsidRDefault="006F16AC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66</w:t>
            </w:r>
            <w:r w:rsidR="00F042C8"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.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120.7</w:t>
            </w:r>
          </w:p>
        </w:tc>
      </w:tr>
      <w:tr w:rsidR="00F042C8" w:rsidRPr="00D57B79" w:rsidTr="008269CE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F042C8" w:rsidRPr="00D57B79" w:rsidRDefault="00F042C8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Դատարան տրվող հայցադիմումների, դիմումների, դատարանի դատական ակտերի դեմ վերաքննիչ և վճռաբեկ բողոքների համար, ինչպես նաև դատարանի կողմից տրվող փաստաթղթերի պատճեններ (կրկնօրինակներ), գործում առկա լուսանկարների (լուսաժապավենների), ձայնագրությունների, տեսագրությունների և դրանց էլեկտրոնային կրիչների բնօրինակից պատճենահանված կրիչ և դատական նիստի համակարգչային ձայնագրման կրկնօրինակ տալու համար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0.6</w:t>
            </w:r>
          </w:p>
        </w:tc>
        <w:tc>
          <w:tcPr>
            <w:tcW w:w="1134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1.0</w:t>
            </w:r>
          </w:p>
        </w:tc>
        <w:tc>
          <w:tcPr>
            <w:tcW w:w="1350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77.1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155.6</w:t>
            </w:r>
          </w:p>
        </w:tc>
      </w:tr>
      <w:tr w:rsidR="00F042C8" w:rsidRPr="00D57B79" w:rsidTr="008269CE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F042C8" w:rsidRPr="00D57B79" w:rsidRDefault="00F042C8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Հյուպատոսական ծառայությունների կամ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1.0</w:t>
            </w:r>
          </w:p>
        </w:tc>
        <w:tc>
          <w:tcPr>
            <w:tcW w:w="1134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0.8</w:t>
            </w:r>
          </w:p>
        </w:tc>
        <w:tc>
          <w:tcPr>
            <w:tcW w:w="1350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66.1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85.9</w:t>
            </w:r>
          </w:p>
        </w:tc>
      </w:tr>
      <w:tr w:rsidR="00F042C8" w:rsidRPr="00D57B79" w:rsidTr="008269CE">
        <w:trPr>
          <w:trHeight w:val="377"/>
        </w:trPr>
        <w:tc>
          <w:tcPr>
            <w:tcW w:w="3799" w:type="dxa"/>
            <w:shd w:val="clear" w:color="auto" w:fill="auto"/>
            <w:hideMark/>
          </w:tcPr>
          <w:p w:rsidR="00F042C8" w:rsidRPr="00D57B79" w:rsidRDefault="00F042C8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Պետական գրանցման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2.2</w:t>
            </w:r>
          </w:p>
        </w:tc>
        <w:tc>
          <w:tcPr>
            <w:tcW w:w="1350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68.4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102.5</w:t>
            </w:r>
          </w:p>
        </w:tc>
      </w:tr>
      <w:tr w:rsidR="00F042C8" w:rsidRPr="00D57B79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F042C8" w:rsidRPr="00D57B79" w:rsidRDefault="00F042C8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Ֆիզիկական անձանց տրվող իրավաբանական նշանակություն ունեցող փաստաթղթերի, որոշակի ծառայությունների կամ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0.7</w:t>
            </w:r>
          </w:p>
        </w:tc>
        <w:tc>
          <w:tcPr>
            <w:tcW w:w="1134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1.4</w:t>
            </w:r>
          </w:p>
        </w:tc>
        <w:tc>
          <w:tcPr>
            <w:tcW w:w="1350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77.0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198.0</w:t>
            </w:r>
          </w:p>
        </w:tc>
      </w:tr>
      <w:tr w:rsidR="00F042C8" w:rsidRPr="00D57B79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F042C8" w:rsidRPr="00D57B79" w:rsidRDefault="00F042C8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Լիցենզավորման ենթակա կամ թույլտվություններով գործունեություն իրականացնելու նպատակով 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lastRenderedPageBreak/>
              <w:t>լիցենզիաներ, արտոնագրեր (թույլտվություններ) տալու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lastRenderedPageBreak/>
              <w:t>9.0</w:t>
            </w:r>
          </w:p>
        </w:tc>
        <w:tc>
          <w:tcPr>
            <w:tcW w:w="1134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</w:t>
            </w:r>
            <w:r w:rsidR="00A13300" w:rsidRPr="00D57B79">
              <w:rPr>
                <w:rFonts w:ascii="GHEA Grapalat" w:hAnsi="GHEA Grapalat" w:cs="Calibri"/>
                <w:sz w:val="20"/>
                <w:szCs w:val="20"/>
              </w:rPr>
              <w:t>7.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12.1</w:t>
            </w:r>
          </w:p>
        </w:tc>
        <w:tc>
          <w:tcPr>
            <w:tcW w:w="1350" w:type="dxa"/>
            <w:vAlign w:val="center"/>
          </w:tcPr>
          <w:p w:rsidR="00F042C8" w:rsidRPr="00D57B79" w:rsidRDefault="00A13300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</w:t>
            </w:r>
            <w:r w:rsidR="00F042C8" w:rsidRPr="00D57B79">
              <w:rPr>
                <w:rFonts w:ascii="GHEA Grapalat" w:hAnsi="GHEA Grapalat" w:cs="Calibri"/>
                <w:sz w:val="20"/>
                <w:szCs w:val="20"/>
              </w:rPr>
              <w:t>9.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134.0</w:t>
            </w:r>
          </w:p>
        </w:tc>
      </w:tr>
      <w:tr w:rsidR="00F042C8" w:rsidRPr="00D57B79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F042C8" w:rsidRPr="00D57B79" w:rsidRDefault="00F042C8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lastRenderedPageBreak/>
              <w:t>Օրենքով սահմանված այլ ծառայությունների և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6.5</w:t>
            </w:r>
          </w:p>
        </w:tc>
        <w:tc>
          <w:tcPr>
            <w:tcW w:w="1134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11.3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6.6</w:t>
            </w:r>
          </w:p>
        </w:tc>
        <w:tc>
          <w:tcPr>
            <w:tcW w:w="1350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58.7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102.3</w:t>
            </w:r>
          </w:p>
        </w:tc>
      </w:tr>
      <w:tr w:rsidR="00F042C8" w:rsidRPr="00D57B79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F042C8" w:rsidRPr="00D57B79" w:rsidRDefault="00F042C8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Այլ պետական տուրքեր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0.2</w:t>
            </w:r>
          </w:p>
        </w:tc>
        <w:tc>
          <w:tcPr>
            <w:tcW w:w="1134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0.2</w:t>
            </w:r>
          </w:p>
        </w:tc>
        <w:tc>
          <w:tcPr>
            <w:tcW w:w="1350" w:type="dxa"/>
            <w:vAlign w:val="center"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76.4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042C8" w:rsidRPr="00D57B79" w:rsidRDefault="00F042C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94.6</w:t>
            </w:r>
          </w:p>
        </w:tc>
      </w:tr>
    </w:tbl>
    <w:p w:rsidR="003360ED" w:rsidRPr="00D57B79" w:rsidRDefault="003360ED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672E65" w:rsidRPr="00D57B79" w:rsidRDefault="00A7619D" w:rsidP="00BC0E21">
      <w:pPr>
        <w:spacing w:line="360" w:lineRule="auto"/>
        <w:ind w:right="9"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lang w:val="hy-AM"/>
        </w:rPr>
        <w:t xml:space="preserve">2025 թվականի </w:t>
      </w:r>
      <w:r w:rsidRPr="00D57B79">
        <w:rPr>
          <w:rFonts w:ascii="GHEA Grapalat" w:hAnsi="GHEA Grapalat" w:cs="Calibri"/>
          <w:bCs/>
          <w:lang w:val="hy-AM"/>
        </w:rPr>
        <w:t>հունվար-ապրիլ ամիսների</w:t>
      </w:r>
      <w:r w:rsidR="00B06F40" w:rsidRPr="00D57B79">
        <w:rPr>
          <w:rFonts w:ascii="GHEA Grapalat" w:hAnsi="GHEA Grapalat" w:cs="Calibri"/>
          <w:bCs/>
          <w:lang w:val="hy-AM"/>
        </w:rPr>
        <w:t xml:space="preserve"> </w:t>
      </w:r>
      <w:r w:rsidRPr="00D57B79">
        <w:rPr>
          <w:rFonts w:ascii="GHEA Grapalat" w:hAnsi="GHEA Grapalat" w:cs="GHEA Grapalat"/>
          <w:lang w:val="hy-AM"/>
        </w:rPr>
        <w:t xml:space="preserve">ընթացքում ստացվել են շուրջ 2.1 մլրդ դրամ </w:t>
      </w:r>
      <w:r w:rsidRPr="00D57B79">
        <w:rPr>
          <w:rFonts w:ascii="GHEA Grapalat" w:hAnsi="GHEA Grapalat" w:cs="GHEA Grapalat"/>
          <w:i/>
          <w:lang w:val="hy-AM"/>
        </w:rPr>
        <w:t>պաշտոնական դրամաշնորհներ՝</w:t>
      </w:r>
      <w:r w:rsidRPr="00D57B79">
        <w:rPr>
          <w:rFonts w:ascii="GHEA Grapalat" w:hAnsi="GHEA Grapalat" w:cs="GHEA Grapalat"/>
          <w:lang w:val="hy-AM"/>
        </w:rPr>
        <w:t xml:space="preserve"> կազմելով առաջին կիսամյ</w:t>
      </w:r>
      <w:r w:rsidR="00F86D89" w:rsidRPr="00D57B79">
        <w:rPr>
          <w:rFonts w:ascii="GHEA Grapalat" w:hAnsi="GHEA Grapalat" w:cs="GHEA Grapalat"/>
          <w:lang w:val="hy-AM"/>
        </w:rPr>
        <w:t>ակում ծրագրված մուտքերի 43.3%-ը</w:t>
      </w:r>
      <w:r w:rsidRPr="00D57B79">
        <w:rPr>
          <w:rFonts w:ascii="GHEA Grapalat" w:hAnsi="GHEA Grapalat" w:cs="GHEA Grapalat"/>
          <w:lang w:val="hy-AM"/>
        </w:rPr>
        <w:t>:</w:t>
      </w:r>
      <w:r w:rsidR="00672E65" w:rsidRPr="00D57B79">
        <w:rPr>
          <w:rFonts w:ascii="GHEA Grapalat" w:hAnsi="GHEA Grapalat" w:cs="GHEA Grapalat"/>
          <w:lang w:val="hy-AM"/>
        </w:rPr>
        <w:t xml:space="preserve"> Նշված գումարից 1.5 մլրդ դրամը ստացվել է արտաքին աջակցությամբ իրականացվող նպատակային ծրագրերի շրջանակներում, </w:t>
      </w:r>
      <w:r w:rsidR="00672E65" w:rsidRPr="00D57B79">
        <w:rPr>
          <w:rFonts w:ascii="GHEA Grapalat" w:hAnsi="GHEA Grapalat" w:cs="GHEA Grapalat"/>
          <w:color w:val="000000"/>
          <w:lang w:val="hy-AM"/>
        </w:rPr>
        <w:t xml:space="preserve">527.3 մլն դրամ </w:t>
      </w:r>
      <w:r w:rsidR="001C3EED" w:rsidRPr="00D57B79">
        <w:rPr>
          <w:rFonts w:ascii="GHEA Grapalat" w:hAnsi="GHEA Grapalat" w:cs="GHEA Grapalat"/>
          <w:color w:val="000000"/>
          <w:lang w:val="hy-AM"/>
        </w:rPr>
        <w:t xml:space="preserve">չնախատեսված </w:t>
      </w:r>
      <w:r w:rsidR="00672E65" w:rsidRPr="00D57B79">
        <w:rPr>
          <w:rFonts w:ascii="GHEA Grapalat" w:hAnsi="GHEA Grapalat" w:cs="GHEA Grapalat"/>
          <w:color w:val="000000"/>
          <w:lang w:val="hy-AM"/>
        </w:rPr>
        <w:t>բ</w:t>
      </w:r>
      <w:r w:rsidR="00672E65" w:rsidRPr="00D57B79">
        <w:rPr>
          <w:rFonts w:ascii="GHEA Grapalat" w:hAnsi="GHEA Grapalat" w:cs="GHEA Grapalat"/>
          <w:lang w:val="hy-AM"/>
        </w:rPr>
        <w:t>յուջետային աջակցության</w:t>
      </w:r>
      <w:r w:rsidR="00672E65" w:rsidRPr="00D57B79">
        <w:rPr>
          <w:rFonts w:ascii="GHEA Grapalat" w:hAnsi="GHEA Grapalat" w:cs="GHEA Grapalat"/>
          <w:color w:val="000000"/>
          <w:lang w:val="hy-AM"/>
        </w:rPr>
        <w:t xml:space="preserve"> դրամաշնորհ է տրամադրվել ԵՄ-ի կողմից՝ «Հորիզոն Եվրոպա» շրջանակային ծրագրի շրջանակներում:</w:t>
      </w:r>
    </w:p>
    <w:p w:rsidR="00F33381" w:rsidRPr="00D57B79" w:rsidRDefault="00F33381" w:rsidP="00BC0E21">
      <w:pPr>
        <w:spacing w:line="360" w:lineRule="auto"/>
        <w:ind w:right="9"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F33381" w:rsidRPr="00D57B79" w:rsidRDefault="00F33381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Պաշտոնական դրամաշնորհներ (մլրդ դրամ) </w:t>
      </w:r>
    </w:p>
    <w:tbl>
      <w:tblPr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1276"/>
        <w:gridCol w:w="1418"/>
        <w:gridCol w:w="1275"/>
        <w:gridCol w:w="1701"/>
        <w:gridCol w:w="1843"/>
      </w:tblGrid>
      <w:tr w:rsidR="002D7651" w:rsidRPr="00D57B79" w:rsidTr="002D7651">
        <w:trPr>
          <w:trHeight w:val="80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CD5FD9" w:rsidP="00BC0E21">
            <w:pPr>
              <w:ind w:left="-15" w:firstLine="15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5FD9" w:rsidRPr="00D57B79" w:rsidRDefault="00CD5FD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հունվար-ապրիլ ամիսների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FD9" w:rsidRPr="00D57B79" w:rsidRDefault="00CD5FD9" w:rsidP="00BC0E21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FD9" w:rsidRPr="00D57B79" w:rsidRDefault="00CD5FD9" w:rsidP="00BC0E21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հունվար-ապրիլ ամիսների փաստ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FD9" w:rsidRPr="00D57B79" w:rsidRDefault="00CD5FD9" w:rsidP="00BC0E21">
            <w:pPr>
              <w:spacing w:line="252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Կատարողա-կանն առաջին կիսամյակի ճշտված պլանի նկատմամբ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FD9" w:rsidRPr="00D57B79" w:rsidRDefault="00CD5FD9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հունվար-ապրիլը 2024թ. հունվար-ապրիլի նկատմամբ (%)</w:t>
            </w:r>
          </w:p>
        </w:tc>
      </w:tr>
      <w:tr w:rsidR="00CD5FD9" w:rsidRPr="00D57B79" w:rsidTr="002D7651">
        <w:trPr>
          <w:trHeight w:val="51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51" w:rsidRPr="00D57B79" w:rsidRDefault="00CD5FD9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Պաշտոնական դրամաշնորհներ</w:t>
            </w:r>
            <w:r w:rsidRPr="00D57B79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hy-AM"/>
              </w:rPr>
              <w:t>,</w:t>
            </w:r>
          </w:p>
          <w:p w:rsidR="00CD5FD9" w:rsidRPr="00D57B79" w:rsidRDefault="00CD5FD9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D9" w:rsidRPr="00D57B79" w:rsidRDefault="002D7651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03069E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CD5FD9" w:rsidP="00BC0E21">
            <w:pPr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D57B79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="00EF5F71" w:rsidRPr="00D57B79">
              <w:rPr>
                <w:rFonts w:ascii="GHEA Grapalat" w:hAnsi="GHEA Grapalat"/>
                <w:b/>
                <w:sz w:val="20"/>
                <w:szCs w:val="20"/>
              </w:rPr>
              <w:t>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906456" w:rsidP="00BC0E21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/>
                <w:b/>
                <w:bCs/>
                <w:sz w:val="20"/>
                <w:szCs w:val="20"/>
              </w:rPr>
              <w:t>43.3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FD9" w:rsidRPr="00D57B79" w:rsidRDefault="00906456" w:rsidP="00BC0E21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/>
                <w:b/>
                <w:bCs/>
                <w:sz w:val="20"/>
                <w:szCs w:val="20"/>
              </w:rPr>
              <w:t>171.1</w:t>
            </w:r>
          </w:p>
        </w:tc>
      </w:tr>
      <w:tr w:rsidR="00CD5FD9" w:rsidRPr="00D57B79" w:rsidTr="002D7651">
        <w:trPr>
          <w:trHeight w:val="342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CD5FD9" w:rsidP="00BC0E21">
            <w:pPr>
              <w:ind w:left="113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Նպատակային դրամաշնորհներ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D9" w:rsidRPr="00D57B79" w:rsidRDefault="002D7651" w:rsidP="00BC0E21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  <w:lang w:val="hy-AM"/>
              </w:rPr>
              <w:t>1.2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03069E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>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EF5F71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906456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>32.2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FD9" w:rsidRPr="00D57B79" w:rsidRDefault="00906456" w:rsidP="00BC0E21">
            <w:pPr>
              <w:jc w:val="right"/>
              <w:rPr>
                <w:rFonts w:ascii="GHEA Grapalat" w:hAnsi="GHEA Grapalat"/>
                <w:bCs/>
                <w:sz w:val="20"/>
                <w:szCs w:val="20"/>
              </w:rPr>
            </w:pPr>
            <w:r w:rsidRPr="00D57B79">
              <w:rPr>
                <w:rFonts w:ascii="GHEA Grapalat" w:hAnsi="GHEA Grapalat"/>
                <w:bCs/>
                <w:sz w:val="20"/>
                <w:szCs w:val="20"/>
              </w:rPr>
              <w:t>127.1</w:t>
            </w:r>
          </w:p>
        </w:tc>
      </w:tr>
      <w:tr w:rsidR="00CD5FD9" w:rsidRPr="00D57B79" w:rsidTr="002D7651">
        <w:trPr>
          <w:trHeight w:val="30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CD5FD9" w:rsidP="00BC0E21">
            <w:pPr>
              <w:ind w:left="113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Բյուջետային աջակցության դրամաշնորհներ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D9" w:rsidRPr="00D57B79" w:rsidRDefault="00CD5FD9" w:rsidP="00BC0E21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  <w:lang w:val="hy-AM"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03069E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EF5F71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FD9" w:rsidRPr="00D57B79" w:rsidRDefault="00906456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FD9" w:rsidRPr="00D57B79" w:rsidRDefault="00CD5FD9" w:rsidP="00BC0E21">
            <w:pPr>
              <w:keepNext/>
              <w:jc w:val="right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</w:p>
        </w:tc>
      </w:tr>
    </w:tbl>
    <w:p w:rsidR="00A7619D" w:rsidRPr="00D57B79" w:rsidRDefault="00A7619D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FF0000"/>
          <w:lang w:val="hy-AM"/>
        </w:rPr>
      </w:pPr>
    </w:p>
    <w:p w:rsidR="00A7619D" w:rsidRPr="00D57B79" w:rsidRDefault="00A7619D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Նպատակային պաշտոնական դրամաշնորհներն ըստ դոնորների (մլն դրամ)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701"/>
        <w:gridCol w:w="1984"/>
      </w:tblGrid>
      <w:tr w:rsidR="00A7619D" w:rsidRPr="00D57B79" w:rsidTr="00F33381">
        <w:trPr>
          <w:trHeight w:val="13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19D" w:rsidRPr="00D57B79" w:rsidRDefault="00A7619D" w:rsidP="00BC0E21">
            <w:pPr>
              <w:spacing w:line="254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19D" w:rsidRPr="00D57B79" w:rsidRDefault="00A7619D" w:rsidP="00BC0E21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19D" w:rsidRPr="00D57B79" w:rsidRDefault="00A7619D" w:rsidP="00BC0E21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հունվար-ապրիլ ամիսների փաստ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19D" w:rsidRPr="00D57B79" w:rsidRDefault="00A7619D" w:rsidP="00BC0E21">
            <w:pPr>
              <w:spacing w:line="252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Կատարողակա</w:t>
            </w:r>
            <w:r w:rsidR="00F33381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 առաջին կիսամյակի ճշտված պլանի նկատմամբ (%)</w:t>
            </w:r>
          </w:p>
        </w:tc>
      </w:tr>
      <w:tr w:rsidR="00A7619D" w:rsidRPr="00D57B79" w:rsidTr="00F3338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9D" w:rsidRPr="00D57B79" w:rsidRDefault="00A7619D" w:rsidP="00BC0E21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4,737.7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1,525.3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32.2</w:t>
            </w:r>
          </w:p>
        </w:tc>
      </w:tr>
      <w:tr w:rsidR="00A7619D" w:rsidRPr="00D57B79" w:rsidTr="00F3338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ԱՄՆ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210.5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</w:tr>
      <w:tr w:rsidR="00A7619D" w:rsidRPr="00D57B79" w:rsidTr="00F3338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9D" w:rsidRPr="00D57B79" w:rsidRDefault="00F86D89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Արևելյան Ե</w:t>
            </w:r>
            <w:r w:rsidR="00A7619D" w:rsidRPr="00D57B79">
              <w:rPr>
                <w:rFonts w:ascii="GHEA Grapalat" w:hAnsi="GHEA Grapalat"/>
                <w:sz w:val="20"/>
                <w:szCs w:val="20"/>
              </w:rPr>
              <w:t>վրոպայի էներգախնայողության և</w:t>
            </w:r>
            <w:r w:rsidR="00B06F40" w:rsidRPr="00D57B7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/>
                <w:sz w:val="20"/>
                <w:szCs w:val="20"/>
              </w:rPr>
              <w:t>բնապահպանական գործընկերության հիմնադրամ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171.8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</w:tr>
      <w:tr w:rsidR="00A7619D" w:rsidRPr="00D57B79" w:rsidTr="00F3338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ԱԶԲ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62.1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</w:tr>
      <w:tr w:rsidR="00A7619D" w:rsidRPr="00D57B79" w:rsidTr="00F3338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Գերմանիա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123.7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73.0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59.0</w:t>
            </w:r>
          </w:p>
        </w:tc>
      </w:tr>
      <w:tr w:rsidR="00A7619D" w:rsidRPr="00D57B79" w:rsidTr="00F3338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Գերմանիայի զարգացման և Ե</w:t>
            </w:r>
            <w:r w:rsidR="00F86D89" w:rsidRPr="00D57B79">
              <w:rPr>
                <w:rFonts w:ascii="GHEA Grapalat" w:hAnsi="GHEA Grapalat"/>
                <w:sz w:val="20"/>
                <w:szCs w:val="20"/>
              </w:rPr>
              <w:t>Մ</w:t>
            </w:r>
            <w:r w:rsidRPr="00D57B79">
              <w:rPr>
                <w:rFonts w:ascii="GHEA Grapalat" w:hAnsi="GHEA Grapalat"/>
                <w:sz w:val="20"/>
                <w:szCs w:val="20"/>
              </w:rPr>
              <w:t xml:space="preserve"> հարևանության ներդրումային բանկ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922.5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449.9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48.8</w:t>
            </w:r>
          </w:p>
        </w:tc>
      </w:tr>
      <w:tr w:rsidR="00A7619D" w:rsidRPr="00D57B79" w:rsidTr="00F3338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lastRenderedPageBreak/>
              <w:t>Գլոբալ էկոլոգիական հիմնադրամ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453.2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4.1</w:t>
            </w:r>
          </w:p>
        </w:tc>
      </w:tr>
      <w:tr w:rsidR="00A7619D" w:rsidRPr="00D57B79" w:rsidTr="00F3338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Գլոբալ հիմնադրամ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952.2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547.7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57.5</w:t>
            </w:r>
          </w:p>
        </w:tc>
      </w:tr>
      <w:tr w:rsidR="00A7619D" w:rsidRPr="00D57B79" w:rsidTr="00F33381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ԵՄ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360.0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</w:tr>
      <w:tr w:rsidR="00A7619D" w:rsidRPr="00D57B79" w:rsidTr="00F3338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ԵԶԲ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101.7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118.7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116.8</w:t>
            </w:r>
          </w:p>
        </w:tc>
      </w:tr>
      <w:tr w:rsidR="00A7619D" w:rsidRPr="00D57B79" w:rsidTr="00F33381">
        <w:trPr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ՀԲ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</w:tr>
      <w:tr w:rsidR="00A7619D" w:rsidRPr="00D57B79" w:rsidTr="00F33381">
        <w:trPr>
          <w:trHeight w:val="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ՄԱԿ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59.6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19.0</w:t>
            </w:r>
          </w:p>
        </w:tc>
      </w:tr>
      <w:tr w:rsidR="00A7619D" w:rsidRPr="00D57B79" w:rsidTr="00F33381">
        <w:trPr>
          <w:trHeight w:val="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ՌԴ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19.9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65.6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329.5</w:t>
            </w:r>
          </w:p>
        </w:tc>
      </w:tr>
      <w:tr w:rsidR="00A7619D" w:rsidRPr="00D57B79" w:rsidTr="00F33381">
        <w:trPr>
          <w:trHeight w:val="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ՎԶԵԲ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667.4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118.2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17.7</w:t>
            </w:r>
          </w:p>
        </w:tc>
      </w:tr>
      <w:tr w:rsidR="00A7619D" w:rsidRPr="00D57B79" w:rsidTr="00F33381">
        <w:trPr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631.1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122.4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19.4</w:t>
            </w:r>
          </w:p>
        </w:tc>
      </w:tr>
    </w:tbl>
    <w:p w:rsidR="00A7619D" w:rsidRPr="00D57B79" w:rsidRDefault="00A7619D" w:rsidP="00BC0E21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</w:p>
    <w:p w:rsidR="00A7619D" w:rsidRPr="00D57B79" w:rsidRDefault="00A7619D" w:rsidP="00BC0E21">
      <w:pPr>
        <w:spacing w:line="360" w:lineRule="auto"/>
        <w:ind w:right="9"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lang w:val="hy-AM"/>
        </w:rPr>
        <w:t>2025 թվականի հունվար-ապրիլ ամիսների ընթացքում պետական բյուջե մուտքագրված պաշտոնական դրամաշնորհները 71.1%-ով կամ 852.6 մլն դրամով գերազանցել են նախորդ տարվա նույն ժամանակահատվածի ցուցանիշը:</w:t>
      </w:r>
    </w:p>
    <w:p w:rsidR="00A7619D" w:rsidRPr="00D57B79" w:rsidRDefault="00A7619D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D57B79">
        <w:rPr>
          <w:rFonts w:ascii="GHEA Grapalat" w:hAnsi="GHEA Grapalat" w:cs="Calibri"/>
          <w:bCs/>
          <w:lang w:val="hy-AM"/>
        </w:rPr>
        <w:t xml:space="preserve">Հաշվետու ժամանակահատվածում ՀՀ պետական բյուջեի </w:t>
      </w:r>
      <w:r w:rsidRPr="00D57B79">
        <w:rPr>
          <w:rFonts w:ascii="GHEA Grapalat" w:hAnsi="GHEA Grapalat" w:cs="Calibri"/>
          <w:bCs/>
          <w:i/>
          <w:lang w:val="hy-AM"/>
        </w:rPr>
        <w:t>այլ եկամուտները</w:t>
      </w:r>
      <w:r w:rsidRPr="00D57B79">
        <w:rPr>
          <w:rFonts w:ascii="GHEA Grapalat" w:hAnsi="GHEA Grapalat" w:cs="Calibri"/>
          <w:bCs/>
          <w:lang w:val="hy-AM"/>
        </w:rPr>
        <w:t xml:space="preserve"> կազմել են շուրջ 41.5 մլրդ դրամ՝ </w:t>
      </w:r>
      <w:r w:rsidRPr="00D57B79">
        <w:rPr>
          <w:rFonts w:ascii="GHEA Grapalat" w:hAnsi="GHEA Grapalat" w:cs="GHEA Grapalat"/>
          <w:lang w:val="hy-AM"/>
        </w:rPr>
        <w:t xml:space="preserve">91.1%-ով </w:t>
      </w:r>
      <w:r w:rsidRPr="00D57B79">
        <w:rPr>
          <w:rFonts w:ascii="GHEA Grapalat" w:hAnsi="GHEA Grapalat" w:cs="GHEA Grapalat"/>
          <w:color w:val="000000"/>
          <w:lang w:val="hy-AM"/>
        </w:rPr>
        <w:t>ապահովելով առաջին կիսամյակի ծրագրային ցուցանիշը</w:t>
      </w:r>
      <w:r w:rsidRPr="00D57B79">
        <w:rPr>
          <w:rFonts w:ascii="GHEA Grapalat" w:hAnsi="GHEA Grapalat" w:cs="GHEA Grapalat"/>
          <w:lang w:val="hy-AM"/>
        </w:rPr>
        <w:t xml:space="preserve">: </w:t>
      </w:r>
      <w:r w:rsidR="008A6756" w:rsidRPr="00D57B79">
        <w:rPr>
          <w:rFonts w:ascii="GHEA Grapalat" w:hAnsi="GHEA Grapalat" w:cs="GHEA Grapalat"/>
          <w:lang w:val="hy-AM"/>
        </w:rPr>
        <w:t>Բ</w:t>
      </w:r>
      <w:r w:rsidRPr="00D57B79">
        <w:rPr>
          <w:rFonts w:ascii="GHEA Grapalat" w:hAnsi="GHEA Grapalat" w:cs="GHEA Grapalat"/>
          <w:lang w:val="hy-AM"/>
        </w:rPr>
        <w:t xml:space="preserve">արձր կատարողականը հիմնականում պայմանավորված է oրենքով և իրավական այլ ակտերով սահմանված պետական բյուջե մուտքագրվող այլ եկամուտների ու իրավաբանական անձանց կապիտալում կատարված ներդրումներից ստացվող շահաբաժինների </w:t>
      </w:r>
      <w:r w:rsidRPr="00D57B79">
        <w:rPr>
          <w:rFonts w:ascii="GHEA Grapalat" w:hAnsi="GHEA Grapalat" w:cs="GHEA Grapalat"/>
          <w:color w:val="000000"/>
          <w:lang w:val="hy-AM"/>
        </w:rPr>
        <w:t>կիսամյակ</w:t>
      </w:r>
      <w:r w:rsidRPr="00D57B79">
        <w:rPr>
          <w:rFonts w:ascii="GHEA Grapalat" w:hAnsi="GHEA Grapalat" w:cs="GHEA Grapalat"/>
          <w:lang w:val="hy-AM"/>
        </w:rPr>
        <w:t>ային ծրագրի գերազանցմամբ:</w:t>
      </w:r>
      <w:r w:rsidRPr="00D57B79">
        <w:rPr>
          <w:rFonts w:ascii="GHEA Grapalat" w:hAnsi="GHEA Grapalat" w:cs="Calibri"/>
          <w:bCs/>
          <w:lang w:val="hy-AM"/>
        </w:rPr>
        <w:t xml:space="preserve"> </w:t>
      </w:r>
      <w:r w:rsidRPr="00D57B79">
        <w:rPr>
          <w:rFonts w:ascii="GHEA Grapalat" w:hAnsi="GHEA Grapalat" w:cs="GHEA Grapalat"/>
          <w:lang w:val="hy-AM"/>
        </w:rPr>
        <w:t>Նախորդ տարվա նույն ժամանակահատվածի համեմատ հիմնականում վերո</w:t>
      </w:r>
      <w:r w:rsidR="00971C25" w:rsidRPr="00D57B79">
        <w:rPr>
          <w:rFonts w:ascii="GHEA Grapalat" w:hAnsi="GHEA Grapalat" w:cs="GHEA Grapalat"/>
          <w:lang w:val="hy-AM"/>
        </w:rPr>
        <w:t>ն</w:t>
      </w:r>
      <w:r w:rsidRPr="00D57B79">
        <w:rPr>
          <w:rFonts w:ascii="GHEA Grapalat" w:hAnsi="GHEA Grapalat" w:cs="GHEA Grapalat"/>
          <w:lang w:val="hy-AM"/>
        </w:rPr>
        <w:t>շյալ եկամուտների</w:t>
      </w:r>
      <w:r w:rsidR="003F5A15" w:rsidRPr="00D57B79">
        <w:rPr>
          <w:rFonts w:ascii="GHEA Grapalat" w:hAnsi="GHEA Grapalat" w:cs="GHEA Grapalat"/>
          <w:lang w:val="hy-AM"/>
        </w:rPr>
        <w:t>, ինչպես նաև</w:t>
      </w:r>
      <w:r w:rsidRPr="00D57B79">
        <w:rPr>
          <w:rFonts w:ascii="GHEA Grapalat" w:hAnsi="GHEA Grapalat" w:cs="GHEA Grapalat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իրավախախտումների համար կիրառվող պատժամիջոցներից մուտքերի աճի արդյունքում </w:t>
      </w:r>
      <w:r w:rsidRPr="00D57B79">
        <w:rPr>
          <w:rFonts w:ascii="GHEA Grapalat" w:hAnsi="GHEA Grapalat" w:cs="GHEA Grapalat"/>
          <w:lang w:val="hy-AM"/>
        </w:rPr>
        <w:t xml:space="preserve">այլ եկամուտներն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աճել </w:t>
      </w:r>
      <w:r w:rsidRPr="00D57B79">
        <w:rPr>
          <w:rFonts w:ascii="GHEA Grapalat" w:hAnsi="GHEA Grapalat" w:cs="GHEA Grapalat"/>
          <w:lang w:val="hy-AM"/>
        </w:rPr>
        <w:t>են 23.8%</w:t>
      </w:r>
      <w:r w:rsidRPr="00D57B79">
        <w:rPr>
          <w:rFonts w:ascii="GHEA Grapalat" w:hAnsi="GHEA Grapalat" w:cs="GHEA Grapalat"/>
          <w:lang w:val="hy-AM"/>
        </w:rPr>
        <w:noBreakHyphen/>
        <w:t xml:space="preserve">ով կամ շուրջ 8 մլրդ </w:t>
      </w:r>
      <w:r w:rsidRPr="00D57B79">
        <w:rPr>
          <w:rFonts w:ascii="GHEA Grapalat" w:hAnsi="GHEA Grapalat" w:cs="GHEA Grapalat"/>
          <w:color w:val="000000"/>
          <w:lang w:val="hy-AM"/>
        </w:rPr>
        <w:t>դրամով:</w:t>
      </w:r>
    </w:p>
    <w:p w:rsidR="00A7619D" w:rsidRPr="00D57B79" w:rsidRDefault="00A7619D" w:rsidP="00BC0E21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D57B79">
        <w:rPr>
          <w:rFonts w:ascii="GHEA Grapalat" w:hAnsi="GHEA Grapalat" w:cs="GHEA Grapalat"/>
          <w:lang w:val="hy-AM"/>
        </w:rPr>
        <w:t xml:space="preserve">Այլ եկամուտների առանձին բաղադրիչների վերաբերյալ տեղեկատվությունը ներկայացված է Աղյուսակ </w:t>
      </w:r>
      <w:r w:rsidR="00F33381" w:rsidRPr="00D57B79">
        <w:rPr>
          <w:rFonts w:ascii="GHEA Grapalat" w:hAnsi="GHEA Grapalat" w:cs="GHEA Grapalat"/>
          <w:lang w:val="hy-AM"/>
        </w:rPr>
        <w:t>9</w:t>
      </w:r>
      <w:r w:rsidRPr="00D57B79">
        <w:rPr>
          <w:rFonts w:ascii="GHEA Grapalat" w:hAnsi="GHEA Grapalat" w:cs="GHEA Grapalat"/>
          <w:lang w:val="hy-AM"/>
        </w:rPr>
        <w:noBreakHyphen/>
        <w:t>ում:</w:t>
      </w:r>
    </w:p>
    <w:p w:rsidR="000B03EE" w:rsidRPr="00D57B79" w:rsidRDefault="000B03EE" w:rsidP="00BC0E21">
      <w:pPr>
        <w:spacing w:line="360" w:lineRule="auto"/>
        <w:ind w:right="9" w:firstLine="567"/>
        <w:jc w:val="both"/>
        <w:rPr>
          <w:rFonts w:ascii="GHEA Grapalat" w:hAnsi="GHEA Grapalat" w:cs="GHEA Grapalat"/>
          <w:color w:val="FF0000"/>
          <w:lang w:val="hy-AM"/>
        </w:rPr>
      </w:pPr>
    </w:p>
    <w:p w:rsidR="00A7619D" w:rsidRPr="00D57B79" w:rsidRDefault="00A7619D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Այլ եկամուտների գծով ՀՀ պետական բյուջեի մուտքերը (մլն դրամ)</w:t>
      </w:r>
    </w:p>
    <w:tbl>
      <w:tblPr>
        <w:tblW w:w="10409" w:type="dxa"/>
        <w:tblInd w:w="-9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1276"/>
        <w:gridCol w:w="1417"/>
        <w:gridCol w:w="1276"/>
        <w:gridCol w:w="1418"/>
        <w:gridCol w:w="1388"/>
      </w:tblGrid>
      <w:tr w:rsidR="00A7619D" w:rsidRPr="00D57B79" w:rsidTr="00991CE3">
        <w:trPr>
          <w:trHeight w:val="823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D" w:rsidRPr="00D57B79" w:rsidRDefault="00A7619D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619D" w:rsidRPr="00D57B79" w:rsidRDefault="00A7619D" w:rsidP="00BC0E2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2024թ. հունվար-ապրիլ ամիսների փաստ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19D" w:rsidRPr="00D57B79" w:rsidRDefault="00A7619D" w:rsidP="00BC0E2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2024թ. առաջին կիսամյակի ճշտված պլան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19D" w:rsidRPr="00D57B79" w:rsidRDefault="00A7619D" w:rsidP="00BC0E2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2025թ. հունվար-ապրիլ ամիսների փաստ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19D" w:rsidRPr="00D57B79" w:rsidRDefault="00A7619D" w:rsidP="00BC0E2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Կատարո-ղականն առաջին կիսամյակի ճշտված պլանի նկատմամբ (</w:t>
            </w:r>
            <w:r w:rsidRPr="00D57B79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%)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619D" w:rsidRPr="00D57B79" w:rsidRDefault="00A7619D" w:rsidP="00BC0E2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2025թ. առաջին կիսամյակի 2024թ. առաջին կիսամյակի նկատմամբ</w:t>
            </w:r>
          </w:p>
          <w:p w:rsidR="00A7619D" w:rsidRPr="00D57B79" w:rsidRDefault="00A7619D" w:rsidP="00BC0E2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D57B79">
              <w:rPr>
                <w:rFonts w:ascii="GHEA Grapalat" w:hAnsi="GHEA Grapalat" w:cs="Arial"/>
                <w:b/>
                <w:sz w:val="18"/>
                <w:szCs w:val="18"/>
              </w:rPr>
              <w:t>(%)</w:t>
            </w:r>
          </w:p>
        </w:tc>
      </w:tr>
      <w:tr w:rsidR="00A7619D" w:rsidRPr="00D57B79" w:rsidTr="00991CE3">
        <w:trPr>
          <w:trHeight w:val="323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A7619D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Այլ եկամուտներ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 xml:space="preserve">, 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>այդ թվում`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b/>
                <w:sz w:val="20"/>
                <w:szCs w:val="20"/>
              </w:rPr>
              <w:t xml:space="preserve"> 33,483.1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D57B79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45,485.6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D57B79">
              <w:rPr>
                <w:rFonts w:ascii="GHEA Grapalat" w:hAnsi="GHEA Grapalat" w:cs="Arial"/>
                <w:b/>
                <w:bCs/>
                <w:sz w:val="18"/>
                <w:szCs w:val="18"/>
              </w:rPr>
              <w:t>41,455.7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D57B79">
              <w:rPr>
                <w:rFonts w:ascii="GHEA Grapalat" w:hAnsi="GHEA Grapalat" w:cs="Arial"/>
                <w:b/>
                <w:bCs/>
                <w:sz w:val="18"/>
                <w:szCs w:val="18"/>
              </w:rPr>
              <w:t>91.1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D57B79">
              <w:rPr>
                <w:rFonts w:ascii="GHEA Grapalat" w:hAnsi="GHEA Grapalat" w:cs="Arial"/>
                <w:b/>
                <w:bCs/>
                <w:sz w:val="18"/>
                <w:szCs w:val="18"/>
              </w:rPr>
              <w:t>123.8</w:t>
            </w:r>
          </w:p>
        </w:tc>
      </w:tr>
      <w:tr w:rsidR="00A7619D" w:rsidRPr="00D57B79" w:rsidTr="00991CE3">
        <w:trPr>
          <w:trHeight w:val="288"/>
        </w:trPr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A7619D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Պետական սեփականություն հանդիսացող գույքի վարձակալությունից եկամուտներ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282.7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2,719.9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341.7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12.6 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120.9 </w:t>
            </w:r>
          </w:p>
        </w:tc>
      </w:tr>
      <w:tr w:rsidR="00A7619D" w:rsidRPr="00D57B79" w:rsidTr="00991CE3">
        <w:trPr>
          <w:trHeight w:val="288"/>
        </w:trPr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A7619D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lastRenderedPageBreak/>
              <w:t>Տոկոսավճարներ և շահաբաժիններ, այդ թվում՝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13,677.2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14,546.4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15,105.7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103.8 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110.4 </w:t>
            </w:r>
          </w:p>
        </w:tc>
      </w:tr>
      <w:tr w:rsidR="00A7619D" w:rsidRPr="00D57B79" w:rsidTr="00991CE3">
        <w:trPr>
          <w:trHeight w:val="123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A7619D" w:rsidP="00BC0E2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բանկերում և այլ ֆինանսավար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կային հաստատություններում բյուջեի ժամանակավոր ազատ միջոցների տեղաբաշխումից և դեպոզիտներից ստացվող տոկոսավճարներ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12,653.5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14,475.4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12,576.4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86.9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99.4 </w:t>
            </w:r>
          </w:p>
        </w:tc>
      </w:tr>
      <w:tr w:rsidR="00A7619D" w:rsidRPr="00D57B79" w:rsidTr="00991CE3">
        <w:trPr>
          <w:trHeight w:val="16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A7619D" w:rsidP="00BC0E2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իրավաբանական անձանց կապիտալում կատարված ներդրում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ներից ստացվող շահաբաժիններ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1,023.7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71.0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2,529.3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3,562.5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247.1 </w:t>
            </w:r>
          </w:p>
        </w:tc>
      </w:tr>
      <w:tr w:rsidR="00A7619D" w:rsidRPr="00D57B79" w:rsidTr="00991CE3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19D" w:rsidRPr="00D57B79" w:rsidRDefault="00A7619D" w:rsidP="00BC0E21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Պետության կողմից տրված վարկերի օգտագործման դիմաց վճարներ (տոկոսներ), 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2,091.6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5,888.3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2,191.9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37.2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104.8 </w:t>
            </w:r>
          </w:p>
        </w:tc>
      </w:tr>
      <w:tr w:rsidR="00A7619D" w:rsidRPr="00D57B79" w:rsidTr="00991CE3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D" w:rsidRPr="00D57B79" w:rsidRDefault="00A7619D" w:rsidP="00BC0E2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ռեզիդենտներին տրամադրված վարկերի օգտագործման տոկոսա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2,079.6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5,882.4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2,186.0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37.2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105.1 </w:t>
            </w:r>
          </w:p>
        </w:tc>
      </w:tr>
      <w:tr w:rsidR="00A7619D" w:rsidRPr="00D57B79" w:rsidTr="00991CE3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D" w:rsidRPr="00D57B79" w:rsidRDefault="00A7619D" w:rsidP="00BC0E2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ոչ ռեզիդենտներին տրամադրված վարկերի օգտագործման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տոկոսավճար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12.0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5.9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6.0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101.1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49.9 </w:t>
            </w:r>
          </w:p>
        </w:tc>
      </w:tr>
      <w:tr w:rsidR="00A7619D" w:rsidRPr="00D57B79" w:rsidTr="00991CE3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D" w:rsidRPr="00D57B79" w:rsidRDefault="00A7619D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Այլ կատեգորիաներում չդասակարգված տրանսֆերտներ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177.7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0.07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0.0 </w:t>
            </w:r>
          </w:p>
        </w:tc>
      </w:tr>
      <w:tr w:rsidR="00A7619D" w:rsidRPr="00D57B79" w:rsidTr="00991CE3">
        <w:trPr>
          <w:trHeight w:val="288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D" w:rsidRPr="00D57B79" w:rsidRDefault="00A7619D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Իրավախախտումների համար գործադիր, դատական մարմինների կողմից կիրառվող պատժամիջոցներից մուտքեր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8,952.3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A7619D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10,645.2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9,557.1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89.8 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106.8 </w:t>
            </w:r>
          </w:p>
        </w:tc>
      </w:tr>
      <w:tr w:rsidR="00A7619D" w:rsidRPr="00D57B79" w:rsidTr="00991CE3">
        <w:trPr>
          <w:trHeight w:val="288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D" w:rsidRPr="00D57B79" w:rsidRDefault="00A7619D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Ապրանքների մատակարարումից և ծառայությունների մատուցումից եկամուտներ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7,492.9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10,221.8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7,145.7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69.9 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95.4 </w:t>
            </w:r>
          </w:p>
        </w:tc>
      </w:tr>
      <w:tr w:rsidR="00A7619D" w:rsidRPr="00D57B79" w:rsidTr="00991CE3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D" w:rsidRPr="00D57B79" w:rsidRDefault="00A7619D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Օրենքով և իրավական այլ ակտերով սահմանված՝ պետական բյուջե մուտքագրվող այլ եկամուտներ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808.7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1,464.1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7,113.5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485.9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9D" w:rsidRPr="00D57B79" w:rsidRDefault="00B06F40" w:rsidP="00BC0E2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D57B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619D" w:rsidRPr="00D57B79">
              <w:rPr>
                <w:rFonts w:ascii="GHEA Grapalat" w:hAnsi="GHEA Grapalat" w:cs="Arial"/>
                <w:sz w:val="20"/>
                <w:szCs w:val="20"/>
              </w:rPr>
              <w:t xml:space="preserve">879.6 </w:t>
            </w:r>
          </w:p>
        </w:tc>
      </w:tr>
    </w:tbl>
    <w:p w:rsidR="00A7619D" w:rsidRPr="00D57B79" w:rsidRDefault="00A7619D" w:rsidP="00BC0E21">
      <w:pPr>
        <w:spacing w:line="360" w:lineRule="auto"/>
        <w:ind w:right="180"/>
        <w:jc w:val="both"/>
        <w:rPr>
          <w:rFonts w:ascii="GHEA Grapalat" w:hAnsi="GHEA Grapalat" w:cs="Sylfaen"/>
          <w:lang w:val="hy-AM"/>
        </w:rPr>
      </w:pPr>
    </w:p>
    <w:p w:rsidR="00A7619D" w:rsidRPr="00D57B79" w:rsidRDefault="00A7619D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D57B79">
        <w:rPr>
          <w:rFonts w:ascii="GHEA Grapalat" w:hAnsi="GHEA Grapalat" w:cs="GHEA Grapalat"/>
          <w:lang w:val="hy-AM"/>
        </w:rPr>
        <w:t xml:space="preserve">Իրավաբանական անձանց կապիտալում կատարված ներդրումներից հունվար-ապրիլ ամիսների ընթացքում ստացվել են 2.5 մլրդ դրամ շահաբաժիններ՝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ծրագրված 71 մլն դրամի փոխարեն, և 2.5 անգամ գերազանցելով </w:t>
      </w:r>
      <w:r w:rsidRPr="00D57B79">
        <w:rPr>
          <w:rFonts w:ascii="GHEA Grapalat" w:hAnsi="GHEA Grapalat" w:cs="GHEA Grapalat"/>
          <w:lang w:val="hy-AM"/>
        </w:rPr>
        <w:t xml:space="preserve">նախորդ տարվա նույն ժամանակահատվածի ցուցանիշը: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Աճը </w:t>
      </w:r>
      <w:r w:rsidRPr="00D57B79">
        <w:rPr>
          <w:rFonts w:ascii="GHEA Grapalat" w:hAnsi="GHEA Grapalat" w:cs="GHEA Grapalat"/>
          <w:lang w:val="hy-AM"/>
        </w:rPr>
        <w:t>հիմնականում պայմանավորված է «Վիվա Արմենիա» ՓԲԸ</w:t>
      </w:r>
      <w:r w:rsidRPr="00D57B79">
        <w:rPr>
          <w:rFonts w:ascii="GHEA Grapalat" w:hAnsi="GHEA Grapalat" w:cs="GHEA Grapalat"/>
          <w:lang w:val="hy-AM"/>
        </w:rPr>
        <w:noBreakHyphen/>
        <w:t>ի կողմից վճարված շահաբաժիններով:</w:t>
      </w:r>
    </w:p>
    <w:p w:rsidR="00A7619D" w:rsidRPr="00D57B79" w:rsidRDefault="00A7619D" w:rsidP="00BC0E21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  <w:r w:rsidRPr="00D57B79">
        <w:rPr>
          <w:rFonts w:ascii="GHEA Grapalat" w:hAnsi="GHEA Grapalat" w:cs="Calibri"/>
          <w:bCs/>
          <w:lang w:val="hy-AM"/>
        </w:rPr>
        <w:t>2025 թվականի</w:t>
      </w:r>
      <w:r w:rsidR="00B06F40" w:rsidRPr="00D57B79">
        <w:rPr>
          <w:rFonts w:ascii="GHEA Grapalat" w:hAnsi="GHEA Grapalat" w:cs="Calibri"/>
          <w:bCs/>
          <w:lang w:val="hy-AM"/>
        </w:rPr>
        <w:t xml:space="preserve"> </w:t>
      </w:r>
      <w:r w:rsidRPr="00D57B79">
        <w:rPr>
          <w:rFonts w:ascii="GHEA Grapalat" w:hAnsi="GHEA Grapalat" w:cs="Calibri"/>
          <w:bCs/>
          <w:lang w:val="hy-AM"/>
        </w:rPr>
        <w:t xml:space="preserve">հունվար-ապրիլ ամիսների ընթացքում իրավախախտումների համար գործադիր, դատական մարմինների կողմից կիրառվող պատժամիջոցներից ստացված մուտքերի՝ </w:t>
      </w:r>
      <w:r w:rsidRPr="00D57B79">
        <w:rPr>
          <w:rFonts w:ascii="GHEA Grapalat" w:hAnsi="GHEA Grapalat" w:cs="GHEA Grapalat"/>
          <w:lang w:val="hy-AM"/>
        </w:rPr>
        <w:t>նախորդ տարվա նույն ժամանակահատվածի ցուցանիշի նկատմամբ 6.8% աճը հիմնականում պայմանավորված է</w:t>
      </w:r>
      <w:r w:rsidRPr="00D57B79">
        <w:rPr>
          <w:rFonts w:ascii="GHEA Grapalat" w:hAnsi="GHEA Grapalat" w:cs="Calibri"/>
          <w:bCs/>
          <w:lang w:val="hy-AM"/>
        </w:rPr>
        <w:t xml:space="preserve"> Մրցակցության պաշտպանության հանձնաժողովի կողմից գանձված տուգանքներ</w:t>
      </w:r>
      <w:r w:rsidR="001E4187" w:rsidRPr="00D57B79">
        <w:rPr>
          <w:rFonts w:ascii="GHEA Grapalat" w:hAnsi="GHEA Grapalat" w:cs="Calibri"/>
          <w:bCs/>
          <w:lang w:val="hy-AM"/>
        </w:rPr>
        <w:t>ի բարձր ցուցանիշ</w:t>
      </w:r>
      <w:r w:rsidRPr="00D57B79">
        <w:rPr>
          <w:rFonts w:ascii="GHEA Grapalat" w:hAnsi="GHEA Grapalat" w:cs="Calibri"/>
          <w:bCs/>
          <w:lang w:val="hy-AM"/>
        </w:rPr>
        <w:t>ով, որ</w:t>
      </w:r>
      <w:r w:rsidR="001E4187" w:rsidRPr="00D57B79">
        <w:rPr>
          <w:rFonts w:ascii="GHEA Grapalat" w:hAnsi="GHEA Grapalat" w:cs="Calibri"/>
          <w:bCs/>
          <w:lang w:val="hy-AM"/>
        </w:rPr>
        <w:t>ը</w:t>
      </w:r>
      <w:r w:rsidRPr="00D57B79">
        <w:rPr>
          <w:rFonts w:ascii="GHEA Grapalat" w:hAnsi="GHEA Grapalat" w:cs="Calibri"/>
          <w:bCs/>
          <w:lang w:val="hy-AM"/>
        </w:rPr>
        <w:t xml:space="preserve"> կազմել </w:t>
      </w:r>
      <w:r w:rsidR="001E4187" w:rsidRPr="00D57B79">
        <w:rPr>
          <w:rFonts w:ascii="GHEA Grapalat" w:hAnsi="GHEA Grapalat" w:cs="Calibri"/>
          <w:bCs/>
          <w:lang w:val="hy-AM"/>
        </w:rPr>
        <w:t>է</w:t>
      </w:r>
      <w:r w:rsidRPr="00D57B79">
        <w:rPr>
          <w:rFonts w:ascii="GHEA Grapalat" w:hAnsi="GHEA Grapalat" w:cs="Calibri"/>
          <w:bCs/>
          <w:lang w:val="hy-AM"/>
        </w:rPr>
        <w:t xml:space="preserve"> 842.3 մլն դրամ՝ 11.9 անգամ (771.3</w:t>
      </w:r>
      <w:r w:rsidR="001E4187" w:rsidRPr="00D57B79">
        <w:rPr>
          <w:rFonts w:ascii="Calibri" w:hAnsi="Calibri" w:cs="Calibri"/>
          <w:bCs/>
          <w:lang w:val="hy-AM"/>
        </w:rPr>
        <w:t> </w:t>
      </w:r>
      <w:r w:rsidRPr="00D57B79">
        <w:rPr>
          <w:rFonts w:ascii="GHEA Grapalat" w:hAnsi="GHEA Grapalat" w:cs="Calibri"/>
          <w:bCs/>
          <w:lang w:val="hy-AM"/>
        </w:rPr>
        <w:t>մլն դրամով) գերազանցել</w:t>
      </w:r>
      <w:r w:rsidR="001E4187" w:rsidRPr="00D57B79">
        <w:rPr>
          <w:rFonts w:ascii="GHEA Grapalat" w:hAnsi="GHEA Grapalat" w:cs="Calibri"/>
          <w:bCs/>
          <w:lang w:val="hy-AM"/>
        </w:rPr>
        <w:t>ով</w:t>
      </w:r>
      <w:r w:rsidRPr="00D57B79">
        <w:rPr>
          <w:rFonts w:ascii="GHEA Grapalat" w:hAnsi="GHEA Grapalat" w:cs="Calibri"/>
          <w:bCs/>
          <w:lang w:val="hy-AM"/>
        </w:rPr>
        <w:t xml:space="preserve"> նախորդ տարվա նույն ցուցանիշը։ Հաշվետու </w:t>
      </w:r>
      <w:r w:rsidRPr="00D57B79">
        <w:rPr>
          <w:rFonts w:ascii="GHEA Grapalat" w:hAnsi="GHEA Grapalat" w:cs="Calibri"/>
          <w:bCs/>
          <w:lang w:val="hy-AM"/>
        </w:rPr>
        <w:lastRenderedPageBreak/>
        <w:t>ժամանակահատվածում մուտքերի բարձր ցուցանիշն ապահովվել է</w:t>
      </w:r>
      <w:r w:rsidR="00B06F40" w:rsidRPr="00D57B79">
        <w:rPr>
          <w:rFonts w:ascii="GHEA Grapalat" w:hAnsi="GHEA Grapalat" w:cs="Calibri"/>
          <w:bCs/>
          <w:lang w:val="hy-AM"/>
        </w:rPr>
        <w:t xml:space="preserve"> </w:t>
      </w:r>
      <w:r w:rsidRPr="00D57B79">
        <w:rPr>
          <w:rFonts w:ascii="GHEA Grapalat" w:hAnsi="GHEA Grapalat" w:cs="Calibri"/>
          <w:bCs/>
          <w:lang w:val="hy-AM"/>
        </w:rPr>
        <w:t xml:space="preserve">նաև «Գնումների մասին» ՀՀ օրենքով նախատեսված դեպքերում մասնակիցներից պայմանների ապահովման վճարների հաշվին, որոնք կազմել են 665.4 մլն դրամ՝ ծրագրված </w:t>
      </w:r>
      <w:r w:rsidR="002669C5" w:rsidRPr="00D57B79">
        <w:rPr>
          <w:rFonts w:ascii="GHEA Grapalat" w:hAnsi="GHEA Grapalat" w:cs="Calibri"/>
          <w:bCs/>
          <w:lang w:val="hy-AM"/>
        </w:rPr>
        <w:t>7.5 մլն դրամի</w:t>
      </w:r>
      <w:r w:rsidRPr="00D57B79">
        <w:rPr>
          <w:rFonts w:ascii="GHEA Grapalat" w:hAnsi="GHEA Grapalat" w:cs="Calibri"/>
          <w:bCs/>
          <w:lang w:val="hy-AM"/>
        </w:rPr>
        <w:t xml:space="preserve"> և նախորդ տարվա հունվար-ապրիլի </w:t>
      </w:r>
      <w:r w:rsidR="002669C5" w:rsidRPr="00D57B79">
        <w:rPr>
          <w:rFonts w:ascii="GHEA Grapalat" w:hAnsi="GHEA Grapalat" w:cs="Calibri"/>
          <w:bCs/>
          <w:lang w:val="hy-AM"/>
        </w:rPr>
        <w:t>5.2 մլն դրամի դիմաց</w:t>
      </w:r>
      <w:r w:rsidRPr="00D57B79">
        <w:rPr>
          <w:rFonts w:ascii="GHEA Grapalat" w:hAnsi="GHEA Grapalat" w:cs="Calibri"/>
          <w:bCs/>
          <w:lang w:val="hy-AM"/>
        </w:rPr>
        <w:t>:</w:t>
      </w:r>
    </w:p>
    <w:p w:rsidR="00A7619D" w:rsidRPr="00D57B79" w:rsidRDefault="00A7619D" w:rsidP="00BC0E21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  <w:r w:rsidRPr="00D57B79">
        <w:rPr>
          <w:rFonts w:ascii="GHEA Grapalat" w:hAnsi="GHEA Grapalat" w:cs="Calibri"/>
          <w:bCs/>
          <w:lang w:val="hy-AM"/>
        </w:rPr>
        <w:t>Հաշվետու ժամանակահատվածում մուտքերի բարձր մակարդակ է գրանցվել</w:t>
      </w:r>
      <w:r w:rsidR="002669C5" w:rsidRPr="00D57B79">
        <w:rPr>
          <w:rFonts w:ascii="GHEA Grapalat" w:hAnsi="GHEA Grapalat" w:cs="Calibri"/>
          <w:bCs/>
          <w:lang w:val="hy-AM"/>
        </w:rPr>
        <w:t xml:space="preserve"> նաև</w:t>
      </w:r>
      <w:r w:rsidR="00B06F40" w:rsidRPr="00D57B79">
        <w:rPr>
          <w:rFonts w:ascii="GHEA Grapalat" w:hAnsi="GHEA Grapalat" w:cs="Calibri"/>
          <w:bCs/>
          <w:lang w:val="hy-AM"/>
        </w:rPr>
        <w:t xml:space="preserve"> </w:t>
      </w:r>
      <w:r w:rsidRPr="00D57B79">
        <w:rPr>
          <w:rFonts w:ascii="GHEA Grapalat" w:hAnsi="GHEA Grapalat" w:cs="Calibri"/>
          <w:bCs/>
          <w:lang w:val="hy-AM"/>
        </w:rPr>
        <w:t>ՀՀ արդարադատության նախարության կողմից կիրառված պատժամիջոցների դիմաց գանձված գումարների գծով, որոնք կազմել են 634.1</w:t>
      </w:r>
      <w:r w:rsidRPr="00D57B79">
        <w:rPr>
          <w:rFonts w:ascii="Calibri" w:hAnsi="Calibri" w:cs="Calibri"/>
          <w:bCs/>
          <w:lang w:val="hy-AM"/>
        </w:rPr>
        <w:t> </w:t>
      </w:r>
      <w:r w:rsidRPr="00D57B79">
        <w:rPr>
          <w:rFonts w:ascii="GHEA Grapalat" w:hAnsi="GHEA Grapalat" w:cs="Calibri"/>
          <w:bCs/>
          <w:lang w:val="hy-AM"/>
        </w:rPr>
        <w:t>մլն դրամ՝ 1.7 անգամ (255.8 մլն դրամով) գերազանցելով ծրագրված և 2 անգամ (324.6 մլն դրամով)՝ նախորդ տարվա հունվար-ապրիլ ամիսների փաստացի ցուցանիշները՝ պայմանավորված պրոբացիայի ծառայության կողմից գանձված տուգանքների աճով:</w:t>
      </w:r>
      <w:r w:rsidR="002669C5" w:rsidRPr="00D57B79">
        <w:rPr>
          <w:rFonts w:ascii="GHEA Grapalat" w:hAnsi="GHEA Grapalat" w:cs="Calibri"/>
          <w:bCs/>
          <w:lang w:val="hy-AM"/>
        </w:rPr>
        <w:t xml:space="preserve"> Իրավախախտումների դիմաց գանձված եկամուտն</w:t>
      </w:r>
      <w:r w:rsidRPr="00D57B79">
        <w:rPr>
          <w:rFonts w:ascii="GHEA Grapalat" w:hAnsi="GHEA Grapalat" w:cs="Calibri"/>
          <w:bCs/>
          <w:lang w:val="hy-AM"/>
        </w:rPr>
        <w:t>երի բարձր ցուցանիշն ապահովվել է նաև ՀՀ</w:t>
      </w:r>
      <w:r w:rsidR="00B06F40" w:rsidRPr="00D57B79">
        <w:rPr>
          <w:rFonts w:ascii="GHEA Grapalat" w:hAnsi="GHEA Grapalat" w:cs="Calibri"/>
          <w:bCs/>
          <w:lang w:val="hy-AM"/>
        </w:rPr>
        <w:t xml:space="preserve"> </w:t>
      </w:r>
      <w:r w:rsidRPr="00D57B79">
        <w:rPr>
          <w:rFonts w:ascii="GHEA Grapalat" w:hAnsi="GHEA Grapalat" w:cs="Calibri"/>
          <w:bCs/>
          <w:lang w:val="hy-AM"/>
        </w:rPr>
        <w:t>վարչապետի աշխատակազմի ենթակայության տեսչական մարմինների կողմից գանձվող մուտքերի հաշվին, որոնք կազմել են 454.7 մլն դրամ՝ 3.5%-ով (15.2 մլն դրամով) գերազանցելով առաջին կիսամյակի ծրագրված ցուցանիշը և 43.4%-ով (137.5 մլն դրամով)՝ նախորդ տարվա հունվար-ապրիլի ցուցանիշը:</w:t>
      </w:r>
    </w:p>
    <w:p w:rsidR="00A7619D" w:rsidRPr="00D57B79" w:rsidRDefault="00D1144B" w:rsidP="00BC0E21">
      <w:pPr>
        <w:spacing w:line="360" w:lineRule="auto"/>
        <w:ind w:right="9"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>Միևնույն ժամանակ</w:t>
      </w:r>
      <w:r w:rsidR="00A7619D"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>հ</w:t>
      </w:r>
      <w:r w:rsidR="00A7619D" w:rsidRPr="00D57B79">
        <w:rPr>
          <w:rFonts w:ascii="GHEA Grapalat" w:hAnsi="GHEA Grapalat" w:cs="GHEA Grapalat"/>
          <w:color w:val="000000"/>
          <w:lang w:val="hy-AM"/>
        </w:rPr>
        <w:t xml:space="preserve">արկ է նշել, որ </w:t>
      </w:r>
      <w:r w:rsidR="00A7619D" w:rsidRPr="00D57B79">
        <w:rPr>
          <w:rFonts w:ascii="GHEA Grapalat" w:hAnsi="GHEA Grapalat" w:cs="GHEA Grapalat"/>
          <w:iCs/>
          <w:lang w:val="hy-AM"/>
        </w:rPr>
        <w:t>պետական բյուջեի նկատմամբ ստանձնած պայմանագրային պարտավորությունների չկատարման դիմաց գանձվող տույժերի</w:t>
      </w:r>
      <w:r w:rsidRPr="00D57B79">
        <w:rPr>
          <w:rFonts w:ascii="GHEA Grapalat" w:hAnsi="GHEA Grapalat" w:cs="GHEA Grapalat"/>
          <w:iCs/>
          <w:lang w:val="hy-AM"/>
        </w:rPr>
        <w:t xml:space="preserve"> գծով</w:t>
      </w:r>
      <w:r w:rsidR="00A7619D" w:rsidRPr="00D57B79">
        <w:rPr>
          <w:rFonts w:ascii="GHEA Grapalat" w:hAnsi="GHEA Grapalat" w:cs="GHEA Grapalat"/>
          <w:iCs/>
          <w:lang w:val="hy-AM"/>
        </w:rPr>
        <w:t xml:space="preserve"> գրանցվել է </w:t>
      </w:r>
      <w:r w:rsidR="00A7619D" w:rsidRPr="00D57B79">
        <w:rPr>
          <w:rFonts w:ascii="GHEA Grapalat" w:hAnsi="GHEA Grapalat" w:cs="GHEA Grapalat"/>
          <w:color w:val="000000"/>
          <w:lang w:val="hy-AM"/>
        </w:rPr>
        <w:t>զգալի անկում,</w:t>
      </w:r>
      <w:r w:rsidR="00A7619D" w:rsidRPr="00D57B79">
        <w:rPr>
          <w:rFonts w:ascii="GHEA Grapalat" w:hAnsi="GHEA Grapalat" w:cs="GHEA Grapalat"/>
          <w:iCs/>
          <w:lang w:val="hy-AM"/>
        </w:rPr>
        <w:t xml:space="preserve"> որոնք կազմել են 129.1 մլն դրամ՝ 88.9%-ով (1</w:t>
      </w:r>
      <w:r w:rsidR="00A7619D" w:rsidRPr="00D57B79">
        <w:rPr>
          <w:rFonts w:ascii="Calibri" w:hAnsi="Calibri" w:cs="Calibri"/>
          <w:iCs/>
          <w:lang w:val="hy-AM"/>
        </w:rPr>
        <w:t> </w:t>
      </w:r>
      <w:r w:rsidR="00A7619D" w:rsidRPr="00D57B79">
        <w:rPr>
          <w:rFonts w:ascii="GHEA Grapalat" w:hAnsi="GHEA Grapalat" w:cs="GHEA Grapalat"/>
          <w:iCs/>
          <w:lang w:val="hy-AM"/>
        </w:rPr>
        <w:t>մլրդ դրամով) զիջել</w:t>
      </w:r>
      <w:r w:rsidRPr="00D57B79">
        <w:rPr>
          <w:rFonts w:ascii="GHEA Grapalat" w:hAnsi="GHEA Grapalat" w:cs="GHEA Grapalat"/>
          <w:iCs/>
          <w:lang w:val="hy-AM"/>
        </w:rPr>
        <w:t>ով</w:t>
      </w:r>
      <w:r w:rsidR="00A7619D" w:rsidRPr="00D57B79">
        <w:rPr>
          <w:rFonts w:ascii="GHEA Grapalat" w:hAnsi="GHEA Grapalat" w:cs="GHEA Grapalat"/>
          <w:iCs/>
          <w:lang w:val="hy-AM"/>
        </w:rPr>
        <w:t xml:space="preserve"> </w:t>
      </w:r>
      <w:r w:rsidR="00A7619D" w:rsidRPr="00D57B79">
        <w:rPr>
          <w:rFonts w:ascii="GHEA Grapalat" w:hAnsi="GHEA Grapalat" w:cs="GHEA Grapalat"/>
          <w:color w:val="000000"/>
          <w:lang w:val="hy-AM"/>
        </w:rPr>
        <w:t>նախորդ տարվա նույն ժամանակահատվածի ցուցանիշը:</w:t>
      </w:r>
    </w:p>
    <w:p w:rsidR="00A7619D" w:rsidRPr="00D57B79" w:rsidRDefault="00A7619D" w:rsidP="00BC0E21">
      <w:pPr>
        <w:spacing w:line="360" w:lineRule="auto"/>
        <w:ind w:right="9" w:firstLine="567"/>
        <w:jc w:val="both"/>
        <w:rPr>
          <w:rFonts w:ascii="GHEA Grapalat" w:hAnsi="GHEA Grapalat"/>
          <w:lang w:val="hy-AM"/>
        </w:rPr>
      </w:pPr>
      <w:r w:rsidRPr="00D57B79">
        <w:rPr>
          <w:rFonts w:ascii="GHEA Grapalat" w:hAnsi="GHEA Grapalat" w:cs="GHEA Grapalat"/>
          <w:lang w:val="hy-AM"/>
        </w:rPr>
        <w:t>Օրենքով և իրավական այլ ակտերով սահմանված պետական բյուջե մուտքագրվող այլ եկամուտները</w:t>
      </w:r>
      <w:r w:rsidRPr="00D57B79">
        <w:rPr>
          <w:rFonts w:ascii="GHEA Grapalat" w:hAnsi="GHEA Grapalat" w:cs="GHEA Grapalat"/>
          <w:i/>
          <w:lang w:val="hy-AM"/>
        </w:rPr>
        <w:t xml:space="preserve"> </w:t>
      </w:r>
      <w:r w:rsidRPr="00D57B79">
        <w:rPr>
          <w:rFonts w:ascii="GHEA Grapalat" w:hAnsi="GHEA Grapalat" w:cs="GHEA Grapalat"/>
          <w:lang w:val="hy-AM"/>
        </w:rPr>
        <w:t>կազմել են 7.1 մլրդ դրամ՝ 4.9 անգամ (5.6 մլրդ դրամով) գերազանցելով առաջին կիսամյակի ծրագրված ցուցանիշը և 8.8 անգամ (6.3</w:t>
      </w:r>
      <w:r w:rsidRPr="00D57B79">
        <w:rPr>
          <w:rFonts w:ascii="Calibri" w:hAnsi="Calibri" w:cs="Calibri"/>
          <w:lang w:val="hy-AM"/>
        </w:rPr>
        <w:t> </w:t>
      </w:r>
      <w:r w:rsidRPr="00D57B79">
        <w:rPr>
          <w:rFonts w:ascii="GHEA Grapalat" w:hAnsi="GHEA Grapalat" w:cs="GHEA Grapalat"/>
          <w:lang w:val="hy-AM"/>
        </w:rPr>
        <w:t xml:space="preserve">մլրդ դրամով)՝ նախորդ տարվա նույն ժամանակահատվածի ցուցանիշը: </w:t>
      </w:r>
      <w:r w:rsidRPr="00D57B79">
        <w:rPr>
          <w:rFonts w:ascii="GHEA Grapalat" w:hAnsi="GHEA Grapalat"/>
          <w:lang w:val="hy-AM"/>
        </w:rPr>
        <w:t>Ծրագրի գերազանցումը և նախորդ տարվա համեմատ աճը պայմանավորված է նրանով, որ ՀՀ կառավարության 2024թ. դեկտեմբերի 5</w:t>
      </w:r>
      <w:r w:rsidRPr="00D57B79">
        <w:rPr>
          <w:rFonts w:ascii="GHEA Grapalat" w:hAnsi="GHEA Grapalat"/>
          <w:lang w:val="hy-AM"/>
        </w:rPr>
        <w:noBreakHyphen/>
        <w:t>ի N</w:t>
      </w:r>
      <w:r w:rsidRPr="00D57B79">
        <w:rPr>
          <w:rFonts w:ascii="Calibri" w:hAnsi="Calibri" w:cs="Calibri"/>
          <w:lang w:val="hy-AM"/>
        </w:rPr>
        <w:t> </w:t>
      </w:r>
      <w:r w:rsidRPr="00D57B79">
        <w:rPr>
          <w:rFonts w:ascii="GHEA Grapalat" w:hAnsi="GHEA Grapalat"/>
          <w:lang w:val="hy-AM"/>
        </w:rPr>
        <w:t>1922-Ն որոշման համաձայն, պետությանը և համայնքին պատճառված վնասի շրջանակներում քրեական վարույթներով վերականգնման ենթակա դրամական միջոցները սկսել են վճարվել գանձապետական միասնական հաշվին:</w:t>
      </w:r>
      <w:r w:rsidR="008A6756" w:rsidRPr="00D57B79">
        <w:rPr>
          <w:rFonts w:ascii="GHEA Grapalat" w:hAnsi="GHEA Grapalat"/>
          <w:lang w:val="hy-AM"/>
        </w:rPr>
        <w:t xml:space="preserve"> Հաշվետու ժամանակահատվածում </w:t>
      </w:r>
      <w:r w:rsidR="00452069" w:rsidRPr="00D57B79">
        <w:rPr>
          <w:rFonts w:ascii="GHEA Grapalat" w:hAnsi="GHEA Grapalat"/>
          <w:lang w:val="hy-AM"/>
        </w:rPr>
        <w:t>նշված մուտքերը կազմել են</w:t>
      </w:r>
      <w:r w:rsidR="008A6756" w:rsidRPr="00D57B79">
        <w:rPr>
          <w:rFonts w:ascii="GHEA Grapalat" w:hAnsi="GHEA Grapalat"/>
          <w:lang w:val="hy-AM"/>
        </w:rPr>
        <w:t xml:space="preserve"> 6.1</w:t>
      </w:r>
      <w:r w:rsidR="00452069" w:rsidRPr="00D57B79">
        <w:rPr>
          <w:rFonts w:ascii="GHEA Grapalat" w:hAnsi="GHEA Grapalat"/>
          <w:lang w:val="hy-AM"/>
        </w:rPr>
        <w:t xml:space="preserve"> մլրդ դրամ:</w:t>
      </w:r>
    </w:p>
    <w:p w:rsidR="00A7619D" w:rsidRPr="00D57B79" w:rsidRDefault="00A7619D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54290" w:rsidRPr="00D57B79" w:rsidRDefault="00554290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54290" w:rsidRPr="00D57B79" w:rsidRDefault="00554290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54290" w:rsidRPr="00D57B79" w:rsidRDefault="00554290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B1530B" w:rsidRPr="00D57B79" w:rsidRDefault="00B1530B" w:rsidP="00BC0E21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  <w:lang w:val="hy-AM"/>
        </w:rPr>
      </w:pPr>
      <w:r w:rsidRPr="00D57B79">
        <w:rPr>
          <w:rFonts w:ascii="GHEA Grapalat" w:hAnsi="GHEA Grapalat" w:cs="GHEA Grapalat"/>
          <w:i/>
          <w:u w:val="single"/>
          <w:lang w:val="hy-AM"/>
        </w:rPr>
        <w:t xml:space="preserve">Պետական </w:t>
      </w:r>
      <w:r w:rsidRPr="00D57B79">
        <w:rPr>
          <w:rFonts w:ascii="GHEA Grapalat" w:hAnsi="GHEA Grapalat" w:cs="GHEA Grapalat"/>
          <w:i/>
          <w:color w:val="000000"/>
          <w:u w:val="single"/>
          <w:lang w:val="hy-AM"/>
        </w:rPr>
        <w:t>բյուջեի</w:t>
      </w:r>
      <w:r w:rsidRPr="00D57B79">
        <w:rPr>
          <w:rFonts w:ascii="GHEA Grapalat" w:hAnsi="GHEA Grapalat" w:cs="GHEA Grapalat"/>
          <w:i/>
          <w:u w:val="single"/>
          <w:lang w:val="hy-AM"/>
        </w:rPr>
        <w:t xml:space="preserve"> ծախսերը</w:t>
      </w: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Calibri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>2025 թվականի հունվար-ապրիլ ամիսներին պետական բյուջեի ծախսերը կա</w:t>
      </w:r>
      <w:r w:rsidR="00B06F40" w:rsidRPr="00D57B79">
        <w:rPr>
          <w:rFonts w:ascii="GHEA Grapalat" w:hAnsi="GHEA Grapalat" w:cs="GHEA Grapalat"/>
          <w:color w:val="000000"/>
          <w:lang w:val="hy-AM"/>
        </w:rPr>
        <w:t>զմ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ել են </w:t>
      </w:r>
      <w:r w:rsidR="00554290" w:rsidRPr="00D57B79">
        <w:rPr>
          <w:rFonts w:ascii="GHEA Grapalat" w:hAnsi="GHEA Grapalat" w:cs="GHEA Grapalat"/>
          <w:color w:val="000000"/>
          <w:lang w:val="hy-AM"/>
        </w:rPr>
        <w:t>931.3</w:t>
      </w:r>
      <w:r w:rsidR="0005344C" w:rsidRPr="00D57B79">
        <w:rPr>
          <w:rFonts w:ascii="GHEA Grapalat" w:hAnsi="GHEA Grapalat" w:cs="GHEA Grapalat"/>
          <w:color w:val="000000"/>
          <w:lang w:val="hy-AM"/>
        </w:rPr>
        <w:t xml:space="preserve"> մլն դրամ կամ առաջին կիսամյակի ծրագրի </w:t>
      </w:r>
      <w:r w:rsidRPr="00D57B79">
        <w:rPr>
          <w:rFonts w:ascii="GHEA Grapalat" w:hAnsi="GHEA Grapalat" w:cs="GHEA Grapalat"/>
          <w:color w:val="000000"/>
          <w:lang w:val="hy-AM"/>
        </w:rPr>
        <w:t>54%-</w:t>
      </w:r>
      <w:r w:rsidR="0005344C" w:rsidRPr="00D57B79">
        <w:rPr>
          <w:rFonts w:ascii="GHEA Grapalat" w:hAnsi="GHEA Grapalat" w:cs="GHEA Grapalat"/>
          <w:color w:val="000000"/>
          <w:lang w:val="hy-AM"/>
        </w:rPr>
        <w:t>ը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: </w:t>
      </w:r>
      <w:r w:rsidR="0030048E" w:rsidRPr="00D57B79">
        <w:rPr>
          <w:rFonts w:ascii="GHEA Grapalat" w:hAnsi="GHEA Grapalat" w:cs="GHEA Grapalat"/>
          <w:color w:val="000000"/>
          <w:lang w:val="hy-AM"/>
        </w:rPr>
        <w:t>Ն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ախորդ տարվա հունվար-ապրիլ ամիսների համեմատ </w:t>
      </w:r>
      <w:r w:rsidR="0030048E" w:rsidRPr="00D57B79">
        <w:rPr>
          <w:rFonts w:ascii="GHEA Grapalat" w:hAnsi="GHEA Grapalat" w:cs="GHEA Grapalat"/>
          <w:color w:val="000000"/>
          <w:lang w:val="hy-AM"/>
        </w:rPr>
        <w:t xml:space="preserve">պետական բյուջեի ծախսերն </w:t>
      </w:r>
      <w:r w:rsidRPr="00D57B79">
        <w:rPr>
          <w:rFonts w:ascii="GHEA Grapalat" w:hAnsi="GHEA Grapalat" w:cs="GHEA Grapalat"/>
          <w:color w:val="000000"/>
          <w:lang w:val="hy-AM"/>
        </w:rPr>
        <w:t>աճել են 14%-ով կամ 114.2 մլրդ դրամով՝ հիմնականում պայմանավորված</w:t>
      </w:r>
      <w:r w:rsidR="00314362" w:rsidRPr="00D57B79">
        <w:rPr>
          <w:rFonts w:ascii="GHEA Grapalat" w:hAnsi="GHEA Grapalat" w:cs="GHEA Grapalat"/>
          <w:color w:val="000000"/>
          <w:lang w:val="hy-AM"/>
        </w:rPr>
        <w:t xml:space="preserve"> կապիտալ ծախսերի, </w:t>
      </w:r>
      <w:r w:rsidRPr="00D57B79">
        <w:rPr>
          <w:rFonts w:ascii="GHEA Grapalat" w:hAnsi="GHEA Grapalat" w:cs="GHEA Grapalat"/>
          <w:color w:val="000000"/>
          <w:lang w:val="hy-AM"/>
        </w:rPr>
        <w:t>սոցիալական նպաստների</w:t>
      </w:r>
      <w:r w:rsidR="00130F23" w:rsidRPr="00D57B79">
        <w:rPr>
          <w:rFonts w:ascii="GHEA Grapalat" w:hAnsi="GHEA Grapalat" w:cs="GHEA Grapalat"/>
          <w:color w:val="000000"/>
          <w:lang w:val="hy-AM"/>
        </w:rPr>
        <w:t xml:space="preserve"> և կենսաթոշակների</w:t>
      </w:r>
      <w:r w:rsidRPr="00D57B79">
        <w:rPr>
          <w:rFonts w:ascii="GHEA Grapalat" w:hAnsi="GHEA Grapalat" w:cs="GHEA Grapalat"/>
          <w:color w:val="000000"/>
          <w:lang w:val="hy-AM"/>
        </w:rPr>
        <w:t>,</w:t>
      </w:r>
      <w:r w:rsidRPr="00D57B79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>տոկոսավճարների,</w:t>
      </w:r>
      <w:r w:rsidRPr="00D57B79">
        <w:rPr>
          <w:rFonts w:ascii="GHEA Grapalat" w:hAnsi="GHEA Grapalat" w:cs="Calibri"/>
          <w:color w:val="000000"/>
          <w:lang w:val="hy-AM"/>
        </w:rPr>
        <w:t xml:space="preserve"> այլ ծախսերի և դրամաշնորհների աճով:</w:t>
      </w: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B1530B" w:rsidRPr="00D57B79" w:rsidRDefault="00B1530B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ծախսերը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969"/>
        <w:gridCol w:w="1843"/>
        <w:gridCol w:w="1984"/>
      </w:tblGrid>
      <w:tr w:rsidR="00B1530B" w:rsidRPr="00D57B79" w:rsidTr="00B06F40">
        <w:trPr>
          <w:trHeight w:val="8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2024թ. հունվար</w:t>
            </w:r>
            <w:r w:rsidR="00B06F40"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ապրիլ ամիսների փաստ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2025թ. հունվար</w:t>
            </w:r>
            <w:r w:rsidR="00B06F40"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ապրի</w:t>
            </w:r>
            <w:r w:rsidR="00B06F40"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լ</w:t>
            </w: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ամիսների փաստ</w:t>
            </w:r>
          </w:p>
        </w:tc>
      </w:tr>
      <w:tr w:rsidR="00B1530B" w:rsidRPr="00D57B79" w:rsidTr="00B06F40">
        <w:trPr>
          <w:trHeight w:val="34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 ծախսեր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817.1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1,724.0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931.3</w:t>
            </w:r>
          </w:p>
        </w:tc>
      </w:tr>
      <w:tr w:rsidR="00B1530B" w:rsidRPr="00D57B79" w:rsidTr="00B06F40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0B" w:rsidRPr="00D57B79" w:rsidRDefault="00B1530B" w:rsidP="00BC0E21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731.9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1,326.9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813.1</w:t>
            </w:r>
          </w:p>
        </w:tc>
      </w:tr>
      <w:tr w:rsidR="00B1530B" w:rsidRPr="00D57B79" w:rsidTr="00B06F40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0B" w:rsidRPr="00D57B79" w:rsidRDefault="00B1530B" w:rsidP="00BC0E21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85.3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397.1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118.2</w:t>
            </w:r>
          </w:p>
        </w:tc>
      </w:tr>
      <w:tr w:rsidR="00B1530B" w:rsidRPr="00D57B79" w:rsidTr="00B06F40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0B" w:rsidRPr="00D57B79" w:rsidRDefault="00B1530B" w:rsidP="00BC0E21">
            <w:pPr>
              <w:ind w:firstLineChars="100" w:firstLine="200"/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530B" w:rsidRPr="00D57B79" w:rsidTr="00B06F40">
        <w:trPr>
          <w:trHeight w:val="34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Կշիռն ընդամենը ծախսերի մեջ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530B" w:rsidRPr="00D57B79" w:rsidTr="00B06F40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0B" w:rsidRPr="00D57B79" w:rsidRDefault="00B1530B" w:rsidP="00BC0E21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87.3</w:t>
            </w:r>
          </w:p>
        </w:tc>
      </w:tr>
      <w:tr w:rsidR="00B1530B" w:rsidRPr="00D57B79" w:rsidTr="00B06F40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0B" w:rsidRPr="00D57B79" w:rsidRDefault="00B1530B" w:rsidP="00BC0E21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12.7</w:t>
            </w:r>
          </w:p>
        </w:tc>
      </w:tr>
    </w:tbl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u w:val="single"/>
          <w:lang w:val="hy-AM"/>
        </w:rPr>
      </w:pP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 xml:space="preserve">Ընթացիկ ծախսերի բաղադրիչների վերաբերյալ տվյալները ներկայացված են Աղյուսակ </w:t>
      </w:r>
      <w:r w:rsidR="0005344C" w:rsidRPr="00D57B79">
        <w:rPr>
          <w:rFonts w:ascii="GHEA Grapalat" w:hAnsi="GHEA Grapalat" w:cs="GHEA Grapalat"/>
          <w:color w:val="000000"/>
          <w:lang w:val="hy-AM"/>
        </w:rPr>
        <w:t>11</w:t>
      </w:r>
      <w:r w:rsidRPr="00D57B79">
        <w:rPr>
          <w:rFonts w:ascii="GHEA Grapalat" w:hAnsi="GHEA Grapalat" w:cs="GHEA Grapalat"/>
          <w:color w:val="000000"/>
          <w:lang w:val="hy-AM"/>
        </w:rPr>
        <w:t>-ում:</w:t>
      </w: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B1530B" w:rsidRPr="00D57B79" w:rsidRDefault="00B1530B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ընթացիկ ծախսերը (մլրդ դրամ)</w:t>
      </w:r>
    </w:p>
    <w:tbl>
      <w:tblPr>
        <w:tblStyle w:val="TableGrid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701"/>
        <w:gridCol w:w="1978"/>
      </w:tblGrid>
      <w:tr w:rsidR="00B1530B" w:rsidRPr="00D57B79" w:rsidTr="0005344C">
        <w:trPr>
          <w:trHeight w:val="1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</w:t>
            </w:r>
            <w:r w:rsidR="00B40D86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կանն առաջին կիսամյակի</w:t>
            </w:r>
            <w:r w:rsidR="00B40D86"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ճշտված պլանի նկատմամբ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(%)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հունվար-ապրիլը 2024թ. հունվար-ապրիլի նկատմամբ</w:t>
            </w:r>
          </w:p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ind w:left="17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Ընթացիկ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731.9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1,326.9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61.3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111.1</w:t>
            </w: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Աշխատավարձ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63.1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119.4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109.0</w:t>
            </w: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ձեռքբերում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100.1</w:t>
            </w: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135.4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189.8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150.9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79.5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111.4</w:t>
            </w: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93.7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113.6</w:t>
            </w: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79.0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157.5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111.3</w:t>
            </w: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lastRenderedPageBreak/>
              <w:t>Սոցիալական նպաստներ և կենսաթոշակներ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328.6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585.4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359.5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61.4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109.4</w:t>
            </w: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129.4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125.9</w:t>
            </w: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ind w:left="17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ընթացիկ ծախսերում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Աշխատավարձ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 բերում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B1530B" w:rsidRPr="00D57B79" w:rsidTr="0005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57B79">
        <w:rPr>
          <w:rFonts w:ascii="GHEA Grapalat" w:hAnsi="GHEA Grapalat" w:cs="GHEA Grapalat"/>
          <w:color w:val="000000"/>
          <w:lang w:val="hy-AM"/>
        </w:rPr>
        <w:t xml:space="preserve">2024 թվականի </w:t>
      </w:r>
      <w:r w:rsidRPr="00D57B79">
        <w:rPr>
          <w:rFonts w:ascii="GHEA Grapalat" w:hAnsi="GHEA Grapalat" w:cs="GHEA Grapalat"/>
          <w:color w:val="000000"/>
        </w:rPr>
        <w:t xml:space="preserve">հունվար-ապրիլ ամիսների </w:t>
      </w:r>
      <w:r w:rsidRPr="00D57B79">
        <w:rPr>
          <w:rFonts w:ascii="GHEA Grapalat" w:hAnsi="GHEA Grapalat" w:cs="GHEA Grapalat"/>
          <w:color w:val="000000"/>
          <w:lang w:val="hy-AM"/>
        </w:rPr>
        <w:t>համեմատ կառավարության պարտքի սպասարկման ծախսերն</w:t>
      </w:r>
      <w:r w:rsidRPr="00D57B79">
        <w:rPr>
          <w:rFonts w:ascii="GHEA Grapalat" w:hAnsi="GHEA Grapalat" w:cs="GHEA Grapalat"/>
          <w:color w:val="000000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>ա</w:t>
      </w:r>
      <w:r w:rsidRPr="00D57B79">
        <w:rPr>
          <w:rFonts w:ascii="GHEA Grapalat" w:hAnsi="GHEA Grapalat" w:cs="GHEA Grapalat"/>
          <w:color w:val="000000"/>
        </w:rPr>
        <w:t>ճ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ել են </w:t>
      </w:r>
      <w:r w:rsidRPr="00D57B79">
        <w:rPr>
          <w:rFonts w:ascii="GHEA Grapalat" w:hAnsi="GHEA Grapalat" w:cs="GHEA Grapalat"/>
          <w:color w:val="000000"/>
        </w:rPr>
        <w:t>11</w:t>
      </w:r>
      <w:r w:rsidRPr="00D57B79">
        <w:rPr>
          <w:rFonts w:ascii="GHEA Grapalat" w:hAnsi="GHEA Grapalat" w:cs="GHEA Grapalat"/>
          <w:color w:val="000000"/>
          <w:lang w:val="hy-AM"/>
        </w:rPr>
        <w:t>.</w:t>
      </w:r>
      <w:r w:rsidRPr="00D57B79">
        <w:rPr>
          <w:rFonts w:ascii="GHEA Grapalat" w:hAnsi="GHEA Grapalat" w:cs="GHEA Grapalat"/>
          <w:color w:val="000000"/>
        </w:rPr>
        <w:t>4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%-ով կամ </w:t>
      </w:r>
      <w:r w:rsidR="00653A39" w:rsidRPr="00D57B79">
        <w:rPr>
          <w:rFonts w:ascii="GHEA Grapalat" w:hAnsi="GHEA Grapalat" w:cs="GHEA Grapalat"/>
          <w:color w:val="000000"/>
        </w:rPr>
        <w:t>15.5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մլ</w:t>
      </w:r>
      <w:r w:rsidRPr="00D57B79">
        <w:rPr>
          <w:rFonts w:ascii="GHEA Grapalat" w:hAnsi="GHEA Grapalat" w:cs="GHEA Grapalat"/>
          <w:color w:val="000000"/>
        </w:rPr>
        <w:t>րդ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դրամով</w:t>
      </w:r>
      <w:r w:rsidRPr="00D57B79">
        <w:rPr>
          <w:rFonts w:ascii="GHEA Grapalat" w:hAnsi="GHEA Grapalat" w:cs="GHEA Grapalat"/>
          <w:color w:val="000000"/>
        </w:rPr>
        <w:t>: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</w:rPr>
        <w:t>Աճը արձանագրվել է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</w:rPr>
        <w:t>ներքին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տոկոսավճարներ</w:t>
      </w:r>
      <w:r w:rsidRPr="00D57B79">
        <w:rPr>
          <w:rFonts w:ascii="GHEA Grapalat" w:hAnsi="GHEA Grapalat" w:cs="GHEA Grapalat"/>
          <w:color w:val="000000"/>
        </w:rPr>
        <w:t>ի ծախսերում՝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</w:rPr>
        <w:t xml:space="preserve">հիմնականում պայմանավորված </w:t>
      </w:r>
      <w:r w:rsidR="00B01328" w:rsidRPr="00D57B79">
        <w:rPr>
          <w:rFonts w:ascii="GHEA Grapalat" w:hAnsi="GHEA Grapalat" w:cs="GHEA Grapalat"/>
          <w:color w:val="000000"/>
        </w:rPr>
        <w:t xml:space="preserve">շրջանառության մեջ գտնվող </w:t>
      </w:r>
      <w:r w:rsidRPr="00D57B79">
        <w:rPr>
          <w:rFonts w:ascii="GHEA Grapalat" w:hAnsi="GHEA Grapalat" w:cs="GHEA Grapalat"/>
          <w:color w:val="000000"/>
        </w:rPr>
        <w:t>գանձապետական պարտատոմսերի ծավալների աճով:</w:t>
      </w: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B1530B" w:rsidRPr="00D57B79" w:rsidRDefault="00B1530B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Կառավարության պարտքի սպասարկման ծախսերը (մլրդ դրամ)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417"/>
        <w:gridCol w:w="1531"/>
        <w:gridCol w:w="1723"/>
      </w:tblGrid>
      <w:tr w:rsidR="00B1530B" w:rsidRPr="00D57B79" w:rsidTr="00B1530B">
        <w:trPr>
          <w:trHeight w:val="1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կիսամյակի ճշտված պլանի նկատմամբ </w:t>
            </w:r>
          </w:p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հունվար-ապրիլը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հունվար-ապրիլի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B1530B" w:rsidRPr="00D57B79" w:rsidTr="00B1530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1328" w:rsidRPr="00D57B79" w:rsidRDefault="00B1530B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b/>
                <w:sz w:val="20"/>
                <w:szCs w:val="20"/>
              </w:rPr>
              <w:t>Տոկոսավճարներ,</w:t>
            </w:r>
          </w:p>
          <w:p w:rsidR="00B1530B" w:rsidRPr="00D57B79" w:rsidRDefault="00B1530B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>այդ թվում՝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135.4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189.8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150.9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79.5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111.4</w:t>
            </w:r>
          </w:p>
        </w:tc>
      </w:tr>
      <w:tr w:rsidR="00B1530B" w:rsidRPr="00D57B79" w:rsidTr="00B1530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 xml:space="preserve"> Ներքին տոկոսավճարներ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124.2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121.0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97.4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116.1</w:t>
            </w:r>
          </w:p>
        </w:tc>
      </w:tr>
      <w:tr w:rsidR="00B1530B" w:rsidRPr="00D57B79" w:rsidTr="00B1530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 xml:space="preserve"> Արտաքին տոկոսավճարներ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65.6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29.9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45.6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95.7</w:t>
            </w:r>
          </w:p>
        </w:tc>
      </w:tr>
    </w:tbl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B1530B" w:rsidRPr="00D57B79" w:rsidRDefault="00BB7229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57B79">
        <w:rPr>
          <w:rFonts w:ascii="GHEA Grapalat" w:hAnsi="GHEA Grapalat" w:cs="GHEA Grapalat"/>
          <w:color w:val="000000"/>
          <w:lang w:val="hy-AM"/>
        </w:rPr>
        <w:t>202</w:t>
      </w:r>
      <w:r w:rsidRPr="00D57B79">
        <w:rPr>
          <w:rFonts w:ascii="GHEA Grapalat" w:hAnsi="GHEA Grapalat" w:cs="GHEA Grapalat"/>
          <w:color w:val="000000"/>
        </w:rPr>
        <w:t>4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թվականի </w:t>
      </w:r>
      <w:r w:rsidRPr="00D57B79">
        <w:rPr>
          <w:rFonts w:ascii="GHEA Grapalat" w:hAnsi="GHEA Grapalat" w:cs="GHEA Grapalat"/>
          <w:color w:val="000000"/>
        </w:rPr>
        <w:t xml:space="preserve">հունվար-ապրիլ ամիսների </w:t>
      </w:r>
      <w:r w:rsidRPr="00D57B79">
        <w:rPr>
          <w:rFonts w:ascii="GHEA Grapalat" w:hAnsi="GHEA Grapalat" w:cs="GHEA Grapalat"/>
          <w:color w:val="000000"/>
          <w:lang w:val="hy-AM"/>
        </w:rPr>
        <w:t>համեմատ</w:t>
      </w:r>
      <w:r w:rsidRPr="00D57B79">
        <w:rPr>
          <w:rFonts w:ascii="GHEA Grapalat" w:hAnsi="GHEA Grapalat" w:cs="GHEA Grapalat"/>
          <w:color w:val="000000"/>
        </w:rPr>
        <w:t xml:space="preserve"> պ</w:t>
      </w:r>
      <w:r w:rsidR="00B1530B" w:rsidRPr="00D57B79">
        <w:rPr>
          <w:rFonts w:ascii="GHEA Grapalat" w:hAnsi="GHEA Grapalat" w:cs="GHEA Grapalat"/>
          <w:color w:val="000000"/>
        </w:rPr>
        <w:t>ետական բյուջեից տրամադրված սուբսիդիաների</w:t>
      </w:r>
      <w:r w:rsidR="00554290" w:rsidRPr="00D57B79">
        <w:rPr>
          <w:rFonts w:ascii="GHEA Grapalat" w:hAnsi="GHEA Grapalat" w:cs="GHEA Grapalat"/>
          <w:color w:val="000000"/>
        </w:rPr>
        <w:t xml:space="preserve"> </w:t>
      </w:r>
      <w:r w:rsidRPr="00D57B79">
        <w:rPr>
          <w:rFonts w:ascii="GHEA Grapalat" w:hAnsi="GHEA Grapalat" w:cs="GHEA Grapalat"/>
          <w:color w:val="000000"/>
        </w:rPr>
        <w:t>13.6% (6.9 մլրդ դրամ)</w:t>
      </w:r>
      <w:r w:rsidR="00B1530B" w:rsidRPr="00D57B79">
        <w:rPr>
          <w:rFonts w:ascii="GHEA Grapalat" w:hAnsi="GHEA Grapalat" w:cs="GHEA Grapalat"/>
          <w:color w:val="000000"/>
        </w:rPr>
        <w:t xml:space="preserve"> աճը հիմնականում պայմանավորված է հանրակրթության ծրագրի</w:t>
      </w:r>
      <w:r w:rsidR="00233191" w:rsidRPr="00D57B79">
        <w:rPr>
          <w:rFonts w:ascii="GHEA Grapalat" w:hAnsi="GHEA Grapalat" w:cs="GHEA Grapalat"/>
          <w:color w:val="000000"/>
        </w:rPr>
        <w:t xml:space="preserve"> ծախսերի՝ 9.8% (3.2 մլրդ դրամ)</w:t>
      </w:r>
      <w:r w:rsidR="00B1530B" w:rsidRPr="00D57B79">
        <w:rPr>
          <w:rFonts w:ascii="GHEA Grapalat" w:hAnsi="GHEA Grapalat" w:cs="GHEA Grapalat"/>
          <w:color w:val="000000"/>
        </w:rPr>
        <w:t>, տնտեսության արդիականացման միջոցառմանը պետական աջակցության</w:t>
      </w:r>
      <w:r w:rsidR="00233191" w:rsidRPr="00D57B79">
        <w:rPr>
          <w:rFonts w:ascii="GHEA Grapalat" w:hAnsi="GHEA Grapalat" w:cs="GHEA Grapalat"/>
          <w:color w:val="000000"/>
        </w:rPr>
        <w:t xml:space="preserve"> ծախսերի՝ 46.3% (1.9 մլրդ դրամ)</w:t>
      </w:r>
      <w:r w:rsidR="00B1530B" w:rsidRPr="00D57B79">
        <w:rPr>
          <w:rFonts w:ascii="GHEA Grapalat" w:hAnsi="GHEA Grapalat" w:cs="GHEA Grapalat"/>
          <w:color w:val="000000"/>
        </w:rPr>
        <w:t>, գյուղատնտեսության արդիականացման ծրագրի</w:t>
      </w:r>
      <w:r w:rsidR="00233191" w:rsidRPr="00D57B79">
        <w:rPr>
          <w:rFonts w:ascii="GHEA Grapalat" w:hAnsi="GHEA Grapalat" w:cs="GHEA Grapalat"/>
          <w:color w:val="000000"/>
        </w:rPr>
        <w:t xml:space="preserve"> ծախսերի՝</w:t>
      </w:r>
      <w:r w:rsidR="00B1530B" w:rsidRPr="00D57B79">
        <w:rPr>
          <w:rFonts w:ascii="GHEA Grapalat" w:hAnsi="GHEA Grapalat" w:cs="GHEA Grapalat"/>
          <w:color w:val="000000"/>
        </w:rPr>
        <w:t xml:space="preserve"> </w:t>
      </w:r>
      <w:r w:rsidR="00233191" w:rsidRPr="00D57B79">
        <w:rPr>
          <w:rFonts w:ascii="GHEA Grapalat" w:hAnsi="GHEA Grapalat" w:cs="GHEA Grapalat"/>
          <w:color w:val="000000"/>
        </w:rPr>
        <w:t xml:space="preserve">33% (2.1 մլրդ դրամ) </w:t>
      </w:r>
      <w:r w:rsidR="00B1530B" w:rsidRPr="00D57B79">
        <w:rPr>
          <w:rFonts w:ascii="GHEA Grapalat" w:hAnsi="GHEA Grapalat" w:cs="GHEA Grapalat"/>
          <w:color w:val="000000"/>
        </w:rPr>
        <w:t xml:space="preserve">և </w:t>
      </w:r>
      <w:r w:rsidR="00B1530B" w:rsidRPr="00D57B79">
        <w:rPr>
          <w:rFonts w:ascii="GHEA Grapalat" w:hAnsi="GHEA Grapalat" w:cs="GHEA Grapalat"/>
          <w:color w:val="000000"/>
        </w:rPr>
        <w:lastRenderedPageBreak/>
        <w:t>բնակարանների ու անհատական բնակելի տների էներգաարդյունավետ վերանորոգման աշխատանքների իրականացման միջոցառմանը պետական աջակցության ծախսերի 2.6 անգամ (1.2 մլրդ դրամ) աճով:</w:t>
      </w: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57B79">
        <w:rPr>
          <w:rFonts w:ascii="GHEA Grapalat" w:hAnsi="GHEA Grapalat" w:cs="GHEA Grapalat"/>
          <w:color w:val="000000"/>
          <w:lang w:val="hy-AM"/>
        </w:rPr>
        <w:t xml:space="preserve">Նախորդ տարվա </w:t>
      </w:r>
      <w:r w:rsidRPr="00D57B79">
        <w:rPr>
          <w:rFonts w:ascii="GHEA Grapalat" w:hAnsi="GHEA Grapalat" w:cs="GHEA Grapalat"/>
          <w:color w:val="000000"/>
        </w:rPr>
        <w:t>հունվար-ապրիլ ամիսների համեմատ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պետական բյուջեից տրամադրված դրամաշնորհների</w:t>
      </w:r>
      <w:r w:rsidR="00681844" w:rsidRPr="00D57B79">
        <w:rPr>
          <w:rFonts w:ascii="GHEA Grapalat" w:hAnsi="GHEA Grapalat" w:cs="GHEA Grapalat"/>
          <w:color w:val="000000"/>
        </w:rPr>
        <w:t xml:space="preserve"> 11.3% (8.9 մլրդ դրամ)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</w:t>
      </w:r>
      <w:r w:rsidRPr="00D57B79">
        <w:rPr>
          <w:rFonts w:ascii="GHEA Grapalat" w:hAnsi="GHEA Grapalat" w:cs="GHEA Grapalat"/>
          <w:color w:val="000000"/>
        </w:rPr>
        <w:t>աճը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հիմնականում </w:t>
      </w:r>
      <w:r w:rsidRPr="00D57B79">
        <w:rPr>
          <w:rFonts w:ascii="GHEA Grapalat" w:hAnsi="GHEA Grapalat" w:cs="GHEA Grapalat"/>
          <w:color w:val="000000"/>
        </w:rPr>
        <w:t>պայմանավորված է տեղեկատվական տեխնոլոգիաների ոլորտում գործունեություն իրականացնող առևտրային կազմակերպություններին և անհատ ձեռնարկատերերին պետական աջակցության ավելի քան 3 մլրդ դրամ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ծախսերով, որի համար </w:t>
      </w:r>
      <w:r w:rsidRPr="00D57B79">
        <w:rPr>
          <w:rFonts w:ascii="GHEA Grapalat" w:hAnsi="GHEA Grapalat" w:cs="GHEA Grapalat"/>
          <w:color w:val="000000"/>
        </w:rPr>
        <w:t xml:space="preserve">2024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թվականի </w:t>
      </w:r>
      <w:r w:rsidRPr="00D57B79">
        <w:rPr>
          <w:rFonts w:ascii="GHEA Grapalat" w:hAnsi="GHEA Grapalat" w:cs="GHEA Grapalat"/>
          <w:color w:val="000000"/>
        </w:rPr>
        <w:t xml:space="preserve">հունվար-ապրիլ ամիսներին </w:t>
      </w:r>
      <w:r w:rsidRPr="00D57B79">
        <w:rPr>
          <w:rFonts w:ascii="GHEA Grapalat" w:hAnsi="GHEA Grapalat" w:cs="GHEA Grapalat"/>
          <w:color w:val="000000"/>
          <w:lang w:val="hy-AM"/>
        </w:rPr>
        <w:t>միջոցներ չէին հատկացվել,</w:t>
      </w:r>
      <w:r w:rsidRPr="00D57B79">
        <w:rPr>
          <w:rFonts w:ascii="GHEA Grapalat" w:hAnsi="GHEA Grapalat" w:cs="GHEA Grapalat"/>
          <w:color w:val="000000"/>
        </w:rPr>
        <w:t xml:space="preserve"> </w:t>
      </w:r>
      <w:r w:rsidRPr="00D57B79">
        <w:rPr>
          <w:rFonts w:ascii="GHEA Grapalat" w:hAnsi="GHEA Grapalat" w:cs="GHEA Grapalat"/>
          <w:color w:val="000000"/>
          <w:lang w:val="hy-AM"/>
        </w:rPr>
        <w:t>ինչպես նա</w:t>
      </w:r>
      <w:r w:rsidRPr="00D57B79">
        <w:rPr>
          <w:rFonts w:ascii="GHEA Grapalat" w:hAnsi="GHEA Grapalat" w:cs="GHEA Grapalat"/>
          <w:color w:val="000000"/>
        </w:rPr>
        <w:t>և պետական բյուջեից համայնքների բյուջեներին համահարթեցման սկզբունքով տրվող դոտացիաների՝ 15.1% (4.3 մլրդ դրամ), ՀՀ պաշտպանության ժամանակ զինծառայողների կյանքին կամ առողջությանը պատճառված վնասների հատուցման</w:t>
      </w:r>
      <w:r w:rsidR="00515F76" w:rsidRPr="00D57B79">
        <w:rPr>
          <w:rFonts w:ascii="GHEA Grapalat" w:hAnsi="GHEA Grapalat" w:cs="GHEA Grapalat"/>
          <w:color w:val="000000"/>
        </w:rPr>
        <w:t xml:space="preserve"> ծախսերի</w:t>
      </w:r>
      <w:r w:rsidRPr="00D57B79">
        <w:rPr>
          <w:rFonts w:ascii="GHEA Grapalat" w:hAnsi="GHEA Grapalat" w:cs="GHEA Grapalat"/>
          <w:color w:val="000000"/>
        </w:rPr>
        <w:t>՝ 13.3% (2 մլրդ դրամ)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ու Գիտական և գիտատեխնիկական հետազոտությունների ծրագրի շրջանակներում կատարված</w:t>
      </w:r>
      <w:r w:rsidRPr="00D57B79">
        <w:rPr>
          <w:rFonts w:ascii="GHEA Grapalat" w:hAnsi="GHEA Grapalat" w:cs="GHEA Grapalat"/>
          <w:color w:val="000000"/>
        </w:rPr>
        <w:t xml:space="preserve"> ծախսերի 19.2% (1 մլրդ դրամ) աճով:</w:t>
      </w: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57B79">
        <w:rPr>
          <w:rFonts w:ascii="GHEA Grapalat" w:hAnsi="GHEA Grapalat" w:cs="GHEA Grapalat"/>
          <w:color w:val="000000"/>
        </w:rPr>
        <w:t>Միևնույն ժամանակ, զգալի անկում է արձանագրվել պետական հատվածի այլ մակարդակներին տրամադրվող կապիտալ դրամաշնորհների գծով՝ հիմնականում պայմանավորված ենթակառուցվածքների զարգացման նպատակով մարզերին տրամադրված սուբվենցիաների նվազմամբ:</w:t>
      </w:r>
      <w:r w:rsidR="00B06F40" w:rsidRPr="00D57B79">
        <w:rPr>
          <w:rFonts w:ascii="GHEA Grapalat" w:hAnsi="GHEA Grapalat" w:cs="GHEA Grapalat"/>
          <w:color w:val="000000"/>
        </w:rPr>
        <w:t xml:space="preserve"> </w:t>
      </w:r>
    </w:p>
    <w:p w:rsidR="00B1530B" w:rsidRPr="00D57B79" w:rsidRDefault="00B1530B" w:rsidP="00BC0E21">
      <w:pPr>
        <w:ind w:firstLine="567"/>
        <w:jc w:val="both"/>
        <w:rPr>
          <w:rFonts w:ascii="GHEA Grapalat" w:hAnsi="GHEA Grapalat" w:cs="GHEA Grapalat"/>
          <w:color w:val="000000"/>
        </w:rPr>
      </w:pPr>
    </w:p>
    <w:p w:rsidR="00B1530B" w:rsidRPr="00D57B79" w:rsidRDefault="00B1530B" w:rsidP="00BC0E21">
      <w:pPr>
        <w:ind w:firstLine="567"/>
        <w:jc w:val="both"/>
        <w:rPr>
          <w:rFonts w:ascii="GHEA Grapalat" w:hAnsi="GHEA Grapalat" w:cs="GHEA Grapalat"/>
          <w:color w:val="000000"/>
        </w:rPr>
      </w:pPr>
    </w:p>
    <w:p w:rsidR="00B1530B" w:rsidRPr="00D57B79" w:rsidRDefault="00B1530B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դրամաշնորհները (մլրդ դրամ)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418"/>
        <w:gridCol w:w="1417"/>
        <w:gridCol w:w="1613"/>
      </w:tblGrid>
      <w:tr w:rsidR="00B1530B" w:rsidRPr="00D57B79" w:rsidTr="00B1530B">
        <w:trPr>
          <w:trHeight w:val="1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կիսամյակի ճշտված պլանի նկատմամբ </w:t>
            </w:r>
          </w:p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հունվար-ապրիլը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հունվար-ապրիլի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B1530B" w:rsidRPr="00D57B79" w:rsidTr="00B1530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/>
                <w:b/>
                <w:sz w:val="20"/>
                <w:szCs w:val="20"/>
              </w:rPr>
              <w:t>Դրամաշնորհներ,</w:t>
            </w:r>
            <w:r w:rsidRPr="00D57B79">
              <w:rPr>
                <w:rFonts w:ascii="GHEA Grapalat" w:hAnsi="GHEA Grapalat"/>
                <w:sz w:val="20"/>
                <w:szCs w:val="20"/>
              </w:rPr>
              <w:t xml:space="preserve"> այդ թվում՝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79.0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157.5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111.3</w:t>
            </w:r>
          </w:p>
        </w:tc>
      </w:tr>
      <w:tr w:rsidR="00B1530B" w:rsidRPr="00D57B79" w:rsidTr="00B1530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 xml:space="preserve"> Միջազգային կազմակերպու-թյուններին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80.1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123.6</w:t>
            </w:r>
          </w:p>
        </w:tc>
      </w:tr>
      <w:tr w:rsidR="00B1530B" w:rsidRPr="00D57B79" w:rsidTr="00B1530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t xml:space="preserve"> Պետական հատվածի այլ մակարդակներին (ընթացիկ), այդ թվում`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71.1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143.1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83.8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58.5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117.8</w:t>
            </w:r>
          </w:p>
        </w:tc>
      </w:tr>
      <w:tr w:rsidR="00B1530B" w:rsidRPr="00D57B79" w:rsidTr="00B1530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- </w:t>
            </w:r>
            <w:r w:rsidRPr="00D57B79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Համայնքների բյուջեներին համահարթեցման սկզբուն</w:t>
            </w:r>
            <w:r w:rsidRPr="00D57B79">
              <w:rPr>
                <w:rFonts w:ascii="GHEA Grapalat" w:eastAsia="Times New Roman" w:hAnsi="GHEA Grapalat" w:cs="Calibri"/>
                <w:sz w:val="20"/>
                <w:szCs w:val="20"/>
              </w:rPr>
              <w:t>-</w:t>
            </w:r>
            <w:r w:rsidRPr="00D57B79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քով տրվող դոտացիաներ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66.7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115.1</w:t>
            </w:r>
          </w:p>
        </w:tc>
      </w:tr>
      <w:tr w:rsidR="00B1530B" w:rsidRPr="00D57B79" w:rsidTr="00B1530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/>
                <w:sz w:val="20"/>
                <w:szCs w:val="20"/>
              </w:rPr>
            </w:pPr>
            <w:r w:rsidRPr="00D57B79">
              <w:rPr>
                <w:rFonts w:ascii="GHEA Grapalat" w:hAnsi="GHEA Grapalat"/>
                <w:sz w:val="20"/>
                <w:szCs w:val="20"/>
              </w:rPr>
              <w:lastRenderedPageBreak/>
              <w:t>Պետական հատվածի այլ մակարդակներին (կապիտալ)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21.6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40.5</w:t>
            </w:r>
          </w:p>
        </w:tc>
      </w:tr>
    </w:tbl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D57B79">
        <w:rPr>
          <w:rFonts w:ascii="GHEA Grapalat" w:hAnsi="GHEA Grapalat" w:cs="GHEA Grapalat"/>
          <w:color w:val="000000"/>
        </w:rPr>
        <w:t>Նախորդ տարվա նույն ժամանակա</w:t>
      </w:r>
      <w:r w:rsidRPr="00D57B79">
        <w:rPr>
          <w:rFonts w:ascii="GHEA Grapalat" w:hAnsi="GHEA Grapalat" w:cs="GHEA Grapalat"/>
          <w:color w:val="000000"/>
          <w:lang w:val="hy-AM"/>
        </w:rPr>
        <w:t>հատված</w:t>
      </w:r>
      <w:r w:rsidRPr="00D57B79">
        <w:rPr>
          <w:rFonts w:ascii="GHEA Grapalat" w:hAnsi="GHEA Grapalat" w:cs="GHEA Grapalat"/>
          <w:color w:val="000000"/>
        </w:rPr>
        <w:t>ի համեմատ սոցիալական նպաստների և կենսաթոշակների գծով ծախսերի 9.4% (շուրջ 31 մլրդ դրամ) աճը հիմնականում պայմանավորված է հիպոտեկային վարկի վճարված տոկոսների գումարների վերադարձի՝ 29.8% (9.9 մլրդ դրամ), կուտակային կենսաթոշակային համակարգի մասնակիցների կենսաթոշակային հաշիվներին հատկացումների՝ 10.2% (6 մլրդ դրամ), ընտանիքում 3 և ավելի երեխա ունեցող ընտանիքներին դրամական աջակցության՝ 47% (2.4 մլրդ դրամ)</w:t>
      </w:r>
      <w:r w:rsidR="00315A83" w:rsidRPr="00D57B79">
        <w:rPr>
          <w:rFonts w:ascii="GHEA Grapalat" w:hAnsi="GHEA Grapalat" w:cs="GHEA Grapalat"/>
          <w:color w:val="000000"/>
        </w:rPr>
        <w:t>, սոցիալապես անապահով և առանձին խմբերի անձանց բժշկական օգնության ծախսերի՝ 27.4% (2.5 մլրդ դրամ)</w:t>
      </w:r>
      <w:r w:rsidRPr="00D57B79">
        <w:rPr>
          <w:rFonts w:ascii="GHEA Grapalat" w:hAnsi="GHEA Grapalat" w:cs="GHEA Grapalat"/>
          <w:color w:val="000000"/>
        </w:rPr>
        <w:t xml:space="preserve"> և անկանխիկ եղանակով վճարումներից կենսաթոշակառուներին հետվճարի տրամադրման ծախսերի 82.8% (2.2 մլրդ դրամ) աճով:</w:t>
      </w: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B1530B" w:rsidRPr="00D57B79" w:rsidRDefault="00B1530B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նպաստները և կենսաթոշակները (մլրդ դրամ)</w:t>
      </w:r>
    </w:p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417"/>
        <w:gridCol w:w="1701"/>
        <w:gridCol w:w="1598"/>
      </w:tblGrid>
      <w:tr w:rsidR="00B1530B" w:rsidRPr="00D57B79" w:rsidTr="00B1530B">
        <w:trPr>
          <w:trHeight w:val="1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կիսամյակի ճշտված պլանի նկատմամբ </w:t>
            </w:r>
          </w:p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հունվար-ապրիլը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հունվար-ապրիլի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B1530B" w:rsidRPr="00D57B79" w:rsidTr="00B1530B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Courier New" w:hAnsi="Courier New" w:cs="Courier New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Սոցիալական նպաստներ և կենսաթոշակներ,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այդ թվում`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328.6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585.4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359.5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61.4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109.4</w:t>
            </w:r>
          </w:p>
        </w:tc>
      </w:tr>
      <w:tr w:rsidR="00B1530B" w:rsidRPr="00D57B79" w:rsidTr="00B1530B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Նպաստներ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157.1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283.9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183.3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64.6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116.6</w:t>
            </w:r>
          </w:p>
        </w:tc>
      </w:tr>
      <w:tr w:rsidR="00B1530B" w:rsidRPr="00D57B79" w:rsidTr="00B1530B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Կենսաթոշակներ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171.5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301.5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176.3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58.5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102.8</w:t>
            </w:r>
          </w:p>
        </w:tc>
      </w:tr>
    </w:tbl>
    <w:p w:rsidR="00B1530B" w:rsidRPr="00D57B79" w:rsidRDefault="00B1530B" w:rsidP="00BC0E21">
      <w:pPr>
        <w:spacing w:line="360" w:lineRule="auto"/>
        <w:ind w:firstLine="567"/>
        <w:jc w:val="both"/>
      </w:pP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 xml:space="preserve">Նախորդ տարվա նույն ժամանակահատվածի համեմատ </w:t>
      </w:r>
      <w:r w:rsidRPr="00D57B79">
        <w:rPr>
          <w:rFonts w:ascii="GHEA Grapalat" w:hAnsi="GHEA Grapalat" w:cs="GHEA Grapalat"/>
          <w:color w:val="000000"/>
        </w:rPr>
        <w:t>կապիտալ ծախսեր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ն </w:t>
      </w:r>
      <w:r w:rsidRPr="00D57B79">
        <w:rPr>
          <w:rFonts w:ascii="GHEA Grapalat" w:hAnsi="GHEA Grapalat" w:cs="GHEA Grapalat"/>
          <w:color w:val="000000"/>
        </w:rPr>
        <w:t xml:space="preserve">աճել են 29.1%-ով (26.8 մլրդ դրամով)՝ պայմանավորված </w:t>
      </w:r>
      <w:r w:rsidR="0093078F" w:rsidRPr="00D57B79">
        <w:rPr>
          <w:rFonts w:ascii="GHEA Grapalat" w:hAnsi="GHEA Grapalat" w:cs="GHEA Grapalat"/>
          <w:color w:val="000000"/>
        </w:rPr>
        <w:t xml:space="preserve">ամբողջությամբ </w:t>
      </w:r>
      <w:r w:rsidRPr="00D57B79">
        <w:rPr>
          <w:rFonts w:ascii="GHEA Grapalat" w:hAnsi="GHEA Grapalat" w:cs="GHEA Grapalat"/>
          <w:color w:val="000000"/>
        </w:rPr>
        <w:t>ներքին ռեսուրսների հաշվին</w:t>
      </w:r>
      <w:r w:rsidR="0093078F" w:rsidRPr="00D57B79">
        <w:rPr>
          <w:rFonts w:ascii="GHEA Grapalat" w:hAnsi="GHEA Grapalat" w:cs="GHEA Grapalat"/>
          <w:color w:val="000000"/>
        </w:rPr>
        <w:t xml:space="preserve"> իրականացված ծրագրերի շրջանակներում</w:t>
      </w:r>
      <w:r w:rsidRPr="00D57B79">
        <w:rPr>
          <w:rFonts w:ascii="GHEA Grapalat" w:hAnsi="GHEA Grapalat" w:cs="GHEA Grapalat"/>
          <w:color w:val="000000"/>
        </w:rPr>
        <w:t xml:space="preserve"> կատարված ծախսերի</w:t>
      </w:r>
      <w:r w:rsidR="00B06F40" w:rsidRPr="00D57B79">
        <w:rPr>
          <w:rFonts w:ascii="GHEA Grapalat" w:hAnsi="GHEA Grapalat" w:cs="GHEA Grapalat"/>
          <w:color w:val="000000"/>
        </w:rPr>
        <w:t xml:space="preserve"> </w:t>
      </w:r>
      <w:r w:rsidRPr="00D57B79">
        <w:rPr>
          <w:rFonts w:ascii="GHEA Grapalat" w:hAnsi="GHEA Grapalat" w:cs="GHEA Grapalat"/>
          <w:color w:val="000000"/>
        </w:rPr>
        <w:t>35.9% (27.8 մլրդ դրամ) աճով:</w:t>
      </w: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 xml:space="preserve">Ոչ ֆինանսական ակտիվների օտարումից մուտքերը կազմել են </w:t>
      </w:r>
      <w:r w:rsidR="00EC7AB5" w:rsidRPr="00D57B79">
        <w:rPr>
          <w:rFonts w:ascii="GHEA Grapalat" w:hAnsi="GHEA Grapalat" w:cs="GHEA Grapalat"/>
          <w:color w:val="000000"/>
          <w:lang w:val="hy-AM"/>
        </w:rPr>
        <w:t>534.3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 մլն դրամ՝ նախատեսված 6.8 մլրդ դրամի և նախորդ տարվա </w:t>
      </w:r>
      <w:r w:rsidR="00EC7AB5" w:rsidRPr="00D57B79">
        <w:rPr>
          <w:rFonts w:ascii="GHEA Grapalat" w:hAnsi="GHEA Grapalat" w:cs="GHEA Grapalat"/>
          <w:color w:val="000000"/>
          <w:lang w:val="hy-AM"/>
        </w:rPr>
        <w:t xml:space="preserve">նույն ժամանակահատվածի </w:t>
      </w:r>
      <w:r w:rsidRPr="00D57B79">
        <w:rPr>
          <w:rFonts w:ascii="GHEA Grapalat" w:hAnsi="GHEA Grapalat" w:cs="GHEA Grapalat"/>
          <w:color w:val="000000"/>
          <w:lang w:val="hy-AM"/>
        </w:rPr>
        <w:t xml:space="preserve">6.7 մլրդ դրամի դիմաց: </w:t>
      </w:r>
    </w:p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B1530B" w:rsidRPr="00D57B79" w:rsidRDefault="00B1530B" w:rsidP="00BC0E2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lastRenderedPageBreak/>
        <w:t>ՀՀ պետական բյուջեի ոչ ֆինանսական ակտիվների հետ գործառնությունները (մլրդ դրամ)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275"/>
        <w:gridCol w:w="1418"/>
        <w:gridCol w:w="1417"/>
      </w:tblGrid>
      <w:tr w:rsidR="00B1530B" w:rsidRPr="00D57B79" w:rsidTr="00702E4B">
        <w:trPr>
          <w:trHeight w:val="1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կիսամյակի ճշտված պլանի նկատմամբ </w:t>
            </w:r>
          </w:p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հունվար-ապրիլը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հունվար-ապրիլի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B1530B" w:rsidRPr="00D57B79" w:rsidRDefault="00B1530B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B1530B" w:rsidRPr="00D57B79" w:rsidTr="00702E4B">
        <w:trPr>
          <w:trHeight w:val="6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Ոչ ֆինանսական ակտիվների հետ գործառնություններ, 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397.1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138.6</w:t>
            </w:r>
          </w:p>
        </w:tc>
      </w:tr>
      <w:tr w:rsidR="00B1530B" w:rsidRPr="00D57B79" w:rsidTr="00702E4B">
        <w:trPr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գծով ծախսեր, 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403.9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118.7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129.1</w:t>
            </w:r>
          </w:p>
        </w:tc>
      </w:tr>
      <w:tr w:rsidR="00B1530B" w:rsidRPr="00D57B79" w:rsidTr="00702E4B">
        <w:trPr>
          <w:trHeight w:val="3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ind w:left="283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շենքեր և շինություններ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84.9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371.1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111.2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131.1</w:t>
            </w:r>
          </w:p>
        </w:tc>
      </w:tr>
      <w:tr w:rsidR="00B1530B" w:rsidRPr="00D57B79" w:rsidTr="00702E4B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ind w:left="283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մեքենաների և սարքավորումների ձեռք բերում, պահպանում և հիմնանորոգում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22.3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101.7</w:t>
            </w:r>
          </w:p>
        </w:tc>
      </w:tr>
      <w:tr w:rsidR="00B1530B" w:rsidRPr="00D57B79" w:rsidTr="00702E4B">
        <w:trPr>
          <w:trHeight w:val="3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ind w:left="283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այլ հիմնական միջոցներ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127.3</w:t>
            </w:r>
          </w:p>
        </w:tc>
      </w:tr>
      <w:tr w:rsidR="00B1530B" w:rsidRPr="00D57B79" w:rsidTr="00702E4B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օտարումից մուտքեր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(6.7)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(6.8)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(0.5)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30B" w:rsidRPr="00D57B79" w:rsidRDefault="00B1530B" w:rsidP="00BC0E2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8.0</w:t>
            </w:r>
          </w:p>
        </w:tc>
      </w:tr>
    </w:tbl>
    <w:p w:rsidR="00B1530B" w:rsidRPr="00D57B79" w:rsidRDefault="00B1530B" w:rsidP="00BC0E2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B43668" w:rsidRPr="00D57B79" w:rsidRDefault="00B43668" w:rsidP="00BC0E21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  <w:lang w:val="hy-AM"/>
        </w:rPr>
      </w:pPr>
      <w:r w:rsidRPr="00D57B79">
        <w:rPr>
          <w:rFonts w:ascii="GHEA Grapalat" w:hAnsi="GHEA Grapalat" w:cs="GHEA Grapalat"/>
          <w:i/>
          <w:u w:val="single"/>
          <w:lang w:val="hy-AM"/>
        </w:rPr>
        <w:t>ՀՀ պետական բյուջեի պակասուրդը (հավելուրդը)</w:t>
      </w:r>
    </w:p>
    <w:p w:rsidR="00B43668" w:rsidRPr="00D57B79" w:rsidRDefault="00B43668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D57B79">
        <w:rPr>
          <w:rFonts w:ascii="GHEA Grapalat" w:hAnsi="GHEA Grapalat" w:cs="GHEA Grapalat"/>
          <w:color w:val="000000"/>
          <w:lang w:val="hy-AM"/>
        </w:rPr>
        <w:t>2025 թվականի հունվար-ապրիլ ամիսներին ՀՀ պետական բյուջեն կատարվել է 60.9</w:t>
      </w:r>
      <w:r w:rsidRPr="00D57B79">
        <w:rPr>
          <w:rFonts w:ascii="Calibri" w:hAnsi="Calibri" w:cs="Calibri"/>
          <w:color w:val="000000"/>
          <w:lang w:val="hy-AM"/>
        </w:rPr>
        <w:t> </w:t>
      </w:r>
      <w:r w:rsidRPr="00D57B79">
        <w:rPr>
          <w:rFonts w:ascii="GHEA Grapalat" w:hAnsi="GHEA Grapalat" w:cs="GHEA Grapalat"/>
          <w:color w:val="000000"/>
          <w:lang w:val="hy-AM"/>
        </w:rPr>
        <w:t>մլրդ դրամ հավելուրդով՝</w:t>
      </w:r>
      <w:r w:rsidRPr="00D57B79">
        <w:rPr>
          <w:rFonts w:ascii="GHEA Grapalat" w:hAnsi="GHEA Grapalat" w:cs="GHEA Grapalat"/>
          <w:lang w:val="hy-AM"/>
        </w:rPr>
        <w:t xml:space="preserve"> առաջին կիսամյակի համար ծրագրված 324.3 մլրդ դրամ պակասուրդի և նախորդ տարվա նույն ժամանակահատվածի 46.3 մլրդ դրամ հավելուրդի դիմաց: Բյուջեի հավելուրդը հիմնականում պայմանավորված է ծախսերի համեմատ եկամուտների ավելի բարձր կատարողականով, որ</w:t>
      </w:r>
      <w:r w:rsidR="0093078F" w:rsidRPr="00D57B79">
        <w:rPr>
          <w:rFonts w:ascii="GHEA Grapalat" w:hAnsi="GHEA Grapalat" w:cs="GHEA Grapalat"/>
          <w:lang w:val="hy-AM"/>
        </w:rPr>
        <w:t>ը հանգեցրել է</w:t>
      </w:r>
      <w:r w:rsidRPr="00D57B79">
        <w:rPr>
          <w:rFonts w:ascii="GHEA Grapalat" w:hAnsi="GHEA Grapalat" w:cs="GHEA Grapalat"/>
          <w:lang w:val="hy-AM"/>
        </w:rPr>
        <w:t xml:space="preserve"> ֆինանսավորման ներքին աղբյուրներում ն</w:t>
      </w:r>
      <w:r w:rsidR="0093078F" w:rsidRPr="00D57B79">
        <w:rPr>
          <w:rFonts w:ascii="GHEA Grapalat" w:hAnsi="GHEA Grapalat" w:cs="GHEA Grapalat"/>
          <w:lang w:val="hy-AM"/>
        </w:rPr>
        <w:t>ախատեսված բյուջեի ազատ միջոցների</w:t>
      </w:r>
      <w:r w:rsidRPr="00D57B79">
        <w:rPr>
          <w:rFonts w:ascii="GHEA Grapalat" w:hAnsi="GHEA Grapalat" w:cs="GHEA Grapalat"/>
          <w:lang w:val="hy-AM"/>
        </w:rPr>
        <w:t xml:space="preserve"> աճ</w:t>
      </w:r>
      <w:r w:rsidR="0093078F" w:rsidRPr="00D57B79">
        <w:rPr>
          <w:rFonts w:ascii="GHEA Grapalat" w:hAnsi="GHEA Grapalat" w:cs="GHEA Grapalat"/>
          <w:lang w:val="hy-AM"/>
        </w:rPr>
        <w:t>ի</w:t>
      </w:r>
      <w:r w:rsidRPr="00D57B79">
        <w:rPr>
          <w:rFonts w:ascii="GHEA Grapalat" w:hAnsi="GHEA Grapalat" w:cs="GHEA Grapalat"/>
          <w:lang w:val="hy-AM"/>
        </w:rPr>
        <w:t>: Բացի այդ, ցածր ցուցանիշ է արձանագրվել արտաքին աղբյուրներից ստացվող վարկերի գծով, որոնք կազմել են 11.8 մլրդ դրամ կամ կիսամյակային ծրագրի 9.5%</w:t>
      </w:r>
      <w:r w:rsidRPr="00D57B79">
        <w:rPr>
          <w:rFonts w:ascii="GHEA Grapalat" w:hAnsi="GHEA Grapalat" w:cs="GHEA Grapalat"/>
          <w:lang w:val="hy-AM"/>
        </w:rPr>
        <w:noBreakHyphen/>
        <w:t>ը:</w:t>
      </w:r>
    </w:p>
    <w:p w:rsidR="00B43668" w:rsidRPr="00D57B79" w:rsidRDefault="00B43668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D57B79">
        <w:rPr>
          <w:rFonts w:ascii="GHEA Grapalat" w:hAnsi="GHEA Grapalat" w:cs="GHEA Grapalat"/>
          <w:lang w:val="hy-AM"/>
        </w:rPr>
        <w:t xml:space="preserve">Հաշվետու ժամանակահատվածում ֆինանսավորման ներքին աղբյուրներից փոխառու միջոցների հաշվին պետական բյուջեի պակասուրդի ֆինանսավորումն ապահովվել է գանձապետական պարտատոմսերի տեղաբաշխումից զուտ մուտքերի հաշվին, որոնք կազմել են 39.1 մլրդ դրամ և 8.8%-ով </w:t>
      </w:r>
      <w:r w:rsidR="00122201" w:rsidRPr="00D57B79">
        <w:rPr>
          <w:rFonts w:ascii="GHEA Grapalat" w:hAnsi="GHEA Grapalat" w:cs="GHEA Grapalat"/>
          <w:lang w:val="hy-AM"/>
        </w:rPr>
        <w:t>գերազանց</w:t>
      </w:r>
      <w:r w:rsidRPr="00D57B79">
        <w:rPr>
          <w:rFonts w:ascii="GHEA Grapalat" w:hAnsi="GHEA Grapalat" w:cs="GHEA Grapalat"/>
          <w:lang w:val="hy-AM"/>
        </w:rPr>
        <w:t>ել կիսամյակային ծրագիրը:</w:t>
      </w:r>
      <w:r w:rsidR="00122201" w:rsidRPr="00D57B79">
        <w:rPr>
          <w:rFonts w:ascii="GHEA Grapalat" w:hAnsi="GHEA Grapalat" w:cs="GHEA Grapalat"/>
          <w:lang w:val="hy-AM"/>
        </w:rPr>
        <w:t xml:space="preserve"> </w:t>
      </w:r>
      <w:r w:rsidR="006E65DA" w:rsidRPr="00D57B79">
        <w:rPr>
          <w:rFonts w:ascii="GHEA Grapalat" w:hAnsi="GHEA Grapalat" w:cs="GHEA Grapalat"/>
          <w:lang w:val="hy-AM"/>
        </w:rPr>
        <w:t xml:space="preserve">Վերջինս պայմանավորված է </w:t>
      </w:r>
      <w:r w:rsidR="00122201" w:rsidRPr="00D57B79">
        <w:rPr>
          <w:rFonts w:ascii="GHEA Grapalat" w:hAnsi="GHEA Grapalat" w:cs="GHEA Grapalat"/>
          <w:lang w:val="hy-AM"/>
        </w:rPr>
        <w:t>գանձապետական պարտատոմսերի լրացուցիչ տեղաբաշխ</w:t>
      </w:r>
      <w:r w:rsidR="00914875" w:rsidRPr="00D57B79">
        <w:rPr>
          <w:rFonts w:ascii="GHEA Grapalat" w:hAnsi="GHEA Grapalat" w:cs="GHEA Grapalat"/>
          <w:lang w:val="hy-AM"/>
        </w:rPr>
        <w:t>մամբ՝</w:t>
      </w:r>
      <w:r w:rsidR="00122201" w:rsidRPr="00D57B79">
        <w:rPr>
          <w:rFonts w:ascii="GHEA Grapalat" w:hAnsi="GHEA Grapalat" w:cs="GHEA Grapalat"/>
          <w:lang w:val="hy-AM"/>
        </w:rPr>
        <w:t xml:space="preserve"> </w:t>
      </w:r>
      <w:r w:rsidR="00122201" w:rsidRPr="00D57B79">
        <w:rPr>
          <w:rFonts w:ascii="GHEA Grapalat" w:hAnsi="GHEA Grapalat" w:cs="GHEA Grapalat"/>
          <w:lang w:val="hy-AM"/>
        </w:rPr>
        <w:lastRenderedPageBreak/>
        <w:t>տարեկան թողարկումների ծրագրի կատարման ռիսկեր</w:t>
      </w:r>
      <w:r w:rsidR="007C6349" w:rsidRPr="00D57B79">
        <w:rPr>
          <w:rFonts w:ascii="GHEA Grapalat" w:hAnsi="GHEA Grapalat" w:cs="GHEA Grapalat"/>
          <w:lang w:val="hy-AM"/>
        </w:rPr>
        <w:t>ի</w:t>
      </w:r>
      <w:r w:rsidR="00914875" w:rsidRPr="00D57B79">
        <w:rPr>
          <w:rFonts w:ascii="GHEA Grapalat" w:hAnsi="GHEA Grapalat" w:cs="GHEA Grapalat"/>
          <w:lang w:val="hy-AM"/>
        </w:rPr>
        <w:t xml:space="preserve"> մեղմման</w:t>
      </w:r>
      <w:r w:rsidR="00122201" w:rsidRPr="00D57B79">
        <w:rPr>
          <w:rFonts w:ascii="GHEA Grapalat" w:hAnsi="GHEA Grapalat" w:cs="GHEA Grapalat"/>
          <w:lang w:val="hy-AM"/>
        </w:rPr>
        <w:t xml:space="preserve"> և ֆինանսա</w:t>
      </w:r>
      <w:r w:rsidR="008706E6" w:rsidRPr="00D57B79">
        <w:rPr>
          <w:rFonts w:ascii="GHEA Grapalat" w:hAnsi="GHEA Grapalat" w:cs="GHEA Grapalat"/>
          <w:lang w:val="hy-AM"/>
        </w:rPr>
        <w:t>վոր</w:t>
      </w:r>
      <w:r w:rsidR="007C6349" w:rsidRPr="00D57B79">
        <w:rPr>
          <w:rFonts w:ascii="GHEA Grapalat" w:hAnsi="GHEA Grapalat" w:cs="GHEA Grapalat"/>
          <w:lang w:val="hy-AM"/>
        </w:rPr>
        <w:t>ումը</w:t>
      </w:r>
      <w:r w:rsidR="00914875" w:rsidRPr="00D57B79">
        <w:rPr>
          <w:rFonts w:ascii="GHEA Grapalat" w:hAnsi="GHEA Grapalat" w:cs="GHEA Grapalat"/>
          <w:lang w:val="hy-AM"/>
        </w:rPr>
        <w:t xml:space="preserve"> հ</w:t>
      </w:r>
      <w:r w:rsidR="008706E6" w:rsidRPr="00D57B79">
        <w:rPr>
          <w:rFonts w:ascii="GHEA Grapalat" w:hAnsi="GHEA Grapalat" w:cs="GHEA Grapalat"/>
          <w:lang w:val="hy-AM"/>
        </w:rPr>
        <w:t>արթ ու</w:t>
      </w:r>
      <w:r w:rsidR="00122201" w:rsidRPr="00D57B79">
        <w:rPr>
          <w:rFonts w:ascii="GHEA Grapalat" w:hAnsi="GHEA Grapalat" w:cs="GHEA Grapalat"/>
          <w:lang w:val="hy-AM"/>
        </w:rPr>
        <w:t xml:space="preserve"> առանց ցնցումների</w:t>
      </w:r>
      <w:r w:rsidR="00914875" w:rsidRPr="00D57B79">
        <w:rPr>
          <w:rFonts w:ascii="GHEA Grapalat" w:hAnsi="GHEA Grapalat" w:cs="GHEA Grapalat"/>
          <w:lang w:val="hy-AM"/>
        </w:rPr>
        <w:t xml:space="preserve"> ապահով</w:t>
      </w:r>
      <w:r w:rsidR="007C6349" w:rsidRPr="00D57B79">
        <w:rPr>
          <w:rFonts w:ascii="GHEA Grapalat" w:hAnsi="GHEA Grapalat" w:cs="GHEA Grapalat"/>
          <w:lang w:val="hy-AM"/>
        </w:rPr>
        <w:t>ելու</w:t>
      </w:r>
      <w:r w:rsidR="00914875" w:rsidRPr="00D57B79">
        <w:rPr>
          <w:rFonts w:ascii="GHEA Grapalat" w:hAnsi="GHEA Grapalat" w:cs="GHEA Grapalat"/>
          <w:lang w:val="hy-AM"/>
        </w:rPr>
        <w:t xml:space="preserve"> նպատակով</w:t>
      </w:r>
      <w:r w:rsidR="00122201" w:rsidRPr="00D57B79">
        <w:rPr>
          <w:rFonts w:ascii="GHEA Grapalat" w:hAnsi="GHEA Grapalat" w:cs="GHEA Grapalat"/>
          <w:lang w:val="hy-AM"/>
        </w:rPr>
        <w:t>:</w:t>
      </w:r>
    </w:p>
    <w:p w:rsidR="00B43668" w:rsidRPr="00D57B79" w:rsidRDefault="00B43668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D57B79">
        <w:rPr>
          <w:rFonts w:ascii="GHEA Grapalat" w:hAnsi="GHEA Grapalat" w:cs="GHEA Grapalat"/>
          <w:lang w:val="hy-AM"/>
        </w:rPr>
        <w:t xml:space="preserve">2025 թվականի հունվար-ապրիլ ամիսների ընթացքում ներքին աղբյուրներից ֆինանսական զուտ ակտիվների հաշվին բյուջեի պակասուրդի ֆինանսավորումը կազմել է </w:t>
      </w:r>
      <w:r w:rsidRPr="00D57B79">
        <w:rPr>
          <w:rFonts w:ascii="GHEA Grapalat" w:hAnsi="GHEA Grapalat" w:cs="GHEA Grapalat"/>
          <w:lang w:val="hy-AM"/>
        </w:rPr>
        <w:noBreakHyphen/>
        <w:t>222.3 մլրդ դրամ` առաջին կիսամյակում ծրագրված 205 մլրդ դրամի դիմաց, որը հիմնականում պայմանավորված է ֆինանսավորման ներքին աղբյուրներում բյուջեի ազատ միջոցների՝ առաջին կիսամյակում նախատեսված 212.8</w:t>
      </w:r>
      <w:r w:rsidRPr="00D57B79">
        <w:rPr>
          <w:rFonts w:ascii="Calibri" w:hAnsi="Calibri" w:cs="Calibri"/>
          <w:lang w:val="hy-AM"/>
        </w:rPr>
        <w:t> </w:t>
      </w:r>
      <w:r w:rsidRPr="00D57B79">
        <w:rPr>
          <w:rFonts w:ascii="GHEA Grapalat" w:hAnsi="GHEA Grapalat" w:cs="GHEA Grapalat"/>
          <w:lang w:val="hy-AM"/>
        </w:rPr>
        <w:t>մլրդ դրամ օգտագործման փոխարեն 225.3 մլրդ դրամ աճով, որից 164 մլրդ դրամ</w:t>
      </w:r>
      <w:r w:rsidR="00B422AD" w:rsidRPr="00D57B79">
        <w:rPr>
          <w:rFonts w:ascii="GHEA Grapalat" w:hAnsi="GHEA Grapalat" w:cs="GHEA Grapalat"/>
          <w:lang w:val="hy-AM"/>
        </w:rPr>
        <w:t>ն ավելացել է</w:t>
      </w:r>
      <w:r w:rsidRPr="00D57B79">
        <w:rPr>
          <w:rFonts w:ascii="GHEA Grapalat" w:hAnsi="GHEA Grapalat" w:cs="GHEA Grapalat"/>
          <w:lang w:val="hy-AM"/>
        </w:rPr>
        <w:t xml:space="preserve"> արտարժութային պարտատոմսերի թողարկումից զուտ մուտքի հաշվին: Կիսամյակային ծրագրով նախատեսվել է 18.6 մլրդ դրամ վարկերի տրամադրում ՀՀ ռեզիդենտներին, որի դիմաց հաշվետու ժամանակահատվածում տրամադրվել է 1.1 մլրդ դրամ, որից 866.5 մլն դրամը ներքին ռեսուրսների հաշվին </w:t>
      </w:r>
      <w:r w:rsidR="00B422AD" w:rsidRPr="00D57B79">
        <w:rPr>
          <w:rFonts w:ascii="GHEA Grapalat" w:hAnsi="GHEA Grapalat" w:cs="GHEA Grapalat"/>
          <w:lang w:val="hy-AM"/>
        </w:rPr>
        <w:t xml:space="preserve">տրամադրվել է </w:t>
      </w:r>
      <w:r w:rsidRPr="00D57B79">
        <w:rPr>
          <w:rFonts w:ascii="GHEA Grapalat" w:hAnsi="GHEA Grapalat" w:cs="GHEA Grapalat"/>
          <w:lang w:val="hy-AM"/>
        </w:rPr>
        <w:t>«Հայփոստ» ՓԲԸ-ին: Արտաքին աջակցությամբ իրականացվող ծրագրերի շրջանակներում հաշվետու ժամանակահատվածում տրամադրվել են 247 մլն դրամ</w:t>
      </w:r>
      <w:r w:rsidR="00B422AD" w:rsidRPr="00D57B79">
        <w:rPr>
          <w:rFonts w:ascii="GHEA Grapalat" w:hAnsi="GHEA Grapalat" w:cs="GHEA Grapalat"/>
          <w:lang w:val="hy-AM"/>
        </w:rPr>
        <w:t>ի</w:t>
      </w:r>
      <w:r w:rsidRPr="00D57B79">
        <w:rPr>
          <w:rFonts w:ascii="GHEA Grapalat" w:hAnsi="GHEA Grapalat" w:cs="GHEA Grapalat"/>
          <w:lang w:val="hy-AM"/>
        </w:rPr>
        <w:t xml:space="preserve"> վարկեր, որից ավելի քան 112.4 մլն դրամը՝ Էլեկտրաէներգետիկ համակարգի զարգացման, 134.5 մլն դրամը՝ Քաղաքային զարգացման ծրագրի շրջանակներում: Նախկինում պետական բյուջեից ռեզիդենտներին տրամադրված վարկերից վերադարձվել է 7.7 մլրդ դրամ՝ առաջին կիսամյակում ծրագրված 14.6</w:t>
      </w:r>
      <w:r w:rsidRPr="00D57B79">
        <w:rPr>
          <w:rFonts w:ascii="Calibri" w:hAnsi="Calibri" w:cs="Calibri"/>
          <w:lang w:val="hy-AM"/>
        </w:rPr>
        <w:t> </w:t>
      </w:r>
      <w:r w:rsidRPr="00D57B79">
        <w:rPr>
          <w:rFonts w:ascii="GHEA Grapalat" w:hAnsi="GHEA Grapalat" w:cs="GHEA Grapalat"/>
          <w:lang w:val="hy-AM"/>
        </w:rPr>
        <w:t xml:space="preserve">մլրդ դրամի դիմաց: </w:t>
      </w:r>
    </w:p>
    <w:p w:rsidR="00B43668" w:rsidRPr="00D57B79" w:rsidRDefault="00B43668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B43668" w:rsidRPr="00D57B79" w:rsidRDefault="00B43668" w:rsidP="00BC0E21">
      <w:pPr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/>
          <w:sz w:val="20"/>
          <w:szCs w:val="20"/>
          <w:lang w:val="hy-AM"/>
        </w:rPr>
        <w:t>ՀՀ պետական բյուջեի պակասուրդի ֆինանսավորման աղբյուրները (մլրդ դրամ)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276"/>
        <w:gridCol w:w="1559"/>
        <w:gridCol w:w="1417"/>
      </w:tblGrid>
      <w:tr w:rsidR="00B43668" w:rsidRPr="00D57B79" w:rsidTr="005E0755">
        <w:trPr>
          <w:trHeight w:val="1738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43668" w:rsidRPr="00D57B79" w:rsidRDefault="00B43668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5" w:type="dxa"/>
          </w:tcPr>
          <w:p w:rsidR="00B43668" w:rsidRPr="00D57B79" w:rsidRDefault="00B43668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shd w:val="clear" w:color="000000" w:fill="FFFFFF"/>
            <w:hideMark/>
          </w:tcPr>
          <w:p w:rsidR="00B43668" w:rsidRPr="00D57B79" w:rsidRDefault="00B43668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276" w:type="dxa"/>
            <w:shd w:val="clear" w:color="000000" w:fill="FFFFFF"/>
            <w:hideMark/>
          </w:tcPr>
          <w:p w:rsidR="00B43668" w:rsidRPr="00D57B79" w:rsidRDefault="00B43668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559" w:type="dxa"/>
            <w:shd w:val="clear" w:color="000000" w:fill="FFFFFF"/>
            <w:hideMark/>
          </w:tcPr>
          <w:p w:rsidR="00B43668" w:rsidRPr="00D57B79" w:rsidRDefault="00B43668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կիսամյակի ճշտված պլանի նկատմամբ </w:t>
            </w:r>
          </w:p>
          <w:p w:rsidR="00B43668" w:rsidRPr="00D57B79" w:rsidRDefault="00B43668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shd w:val="clear" w:color="000000" w:fill="FFFFFF"/>
          </w:tcPr>
          <w:p w:rsidR="00B43668" w:rsidRPr="00D57B79" w:rsidRDefault="00B43668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հունվար-ապրիլը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հունվար-ապրիլի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B43668" w:rsidRPr="00D57B79" w:rsidRDefault="00B43668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B43668" w:rsidRPr="00D57B79" w:rsidTr="005E0755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B43668" w:rsidRPr="00D57B79" w:rsidRDefault="00B43668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 xml:space="preserve">Դեֆիցիտ </w:t>
            </w: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(</w:t>
            </w: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հավելուրդ</w:t>
            </w: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)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,</w:t>
            </w: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այդ թվում`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(46.3)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324.3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60.9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(18.8)</w:t>
            </w:r>
          </w:p>
        </w:tc>
        <w:tc>
          <w:tcPr>
            <w:tcW w:w="1417" w:type="dxa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131.6</w:t>
            </w:r>
          </w:p>
        </w:tc>
      </w:tr>
      <w:tr w:rsidR="00B43668" w:rsidRPr="00D57B79" w:rsidTr="005E0755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B43668" w:rsidRPr="00D57B79" w:rsidRDefault="00B43668" w:rsidP="00BC0E2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Ներքին աղբյուրներ, այդ թվում`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(6.5)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241.0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183.2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(76.0)</w:t>
            </w:r>
          </w:p>
        </w:tc>
        <w:tc>
          <w:tcPr>
            <w:tcW w:w="1417" w:type="dxa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2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,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820.9</w:t>
            </w:r>
          </w:p>
        </w:tc>
      </w:tr>
      <w:tr w:rsidR="00B43668" w:rsidRPr="00D57B79" w:rsidTr="005E0755">
        <w:trPr>
          <w:trHeight w:val="310"/>
        </w:trPr>
        <w:tc>
          <w:tcPr>
            <w:tcW w:w="3256" w:type="dxa"/>
            <w:shd w:val="clear" w:color="auto" w:fill="auto"/>
            <w:vAlign w:val="bottom"/>
          </w:tcPr>
          <w:p w:rsidR="00B43668" w:rsidRPr="00D57B79" w:rsidRDefault="00B43668" w:rsidP="00BC0E21">
            <w:pPr>
              <w:ind w:left="170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Փոխառու </w:t>
            </w:r>
            <w:r w:rsidRPr="00D57B79">
              <w:rPr>
                <w:rFonts w:ascii="GHEA Grapalat" w:eastAsia="Calibri" w:hAnsi="GHEA Grapalat" w:cs="Calibri"/>
                <w:sz w:val="20"/>
                <w:szCs w:val="20"/>
              </w:rPr>
              <w:t xml:space="preserve">զուտ </w:t>
            </w:r>
            <w:r w:rsidRPr="00D57B79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69.5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36.0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39.1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108.8</w:t>
            </w:r>
          </w:p>
        </w:tc>
        <w:tc>
          <w:tcPr>
            <w:tcW w:w="1417" w:type="dxa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56.3</w:t>
            </w:r>
          </w:p>
        </w:tc>
      </w:tr>
      <w:tr w:rsidR="00B43668" w:rsidRPr="00D57B79" w:rsidTr="005E0755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B43668" w:rsidRPr="00D57B79" w:rsidRDefault="00B43668" w:rsidP="00BC0E21">
            <w:pPr>
              <w:ind w:left="170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(76.0)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205.0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222.3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108.4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292.4</w:t>
            </w:r>
          </w:p>
        </w:tc>
      </w:tr>
      <w:tr w:rsidR="00B43668" w:rsidRPr="00D57B79" w:rsidTr="005E0755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B43668" w:rsidRPr="00D57B79" w:rsidRDefault="00B43668" w:rsidP="00BC0E2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color w:val="000000"/>
                <w:sz w:val="20"/>
                <w:szCs w:val="20"/>
              </w:rPr>
              <w:t>Արտաքին աղբյուրներ, այդ թվում`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(39.8)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83.3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122.2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146.7</w:t>
            </w:r>
          </w:p>
        </w:tc>
        <w:tc>
          <w:tcPr>
            <w:tcW w:w="1417" w:type="dxa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306.9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)</w:t>
            </w:r>
          </w:p>
        </w:tc>
      </w:tr>
      <w:tr w:rsidR="00B43668" w:rsidRPr="00D57B79" w:rsidTr="005E0755">
        <w:trPr>
          <w:trHeight w:val="328"/>
        </w:trPr>
        <w:tc>
          <w:tcPr>
            <w:tcW w:w="3256" w:type="dxa"/>
            <w:shd w:val="clear" w:color="auto" w:fill="auto"/>
            <w:vAlign w:val="bottom"/>
          </w:tcPr>
          <w:p w:rsidR="00B43668" w:rsidRPr="00D57B79" w:rsidRDefault="00B43668" w:rsidP="00BC0E21">
            <w:pPr>
              <w:ind w:left="170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Փոխառու զուտ միջոցներ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(36.9)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85.3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124.3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145.6</w:t>
            </w:r>
          </w:p>
        </w:tc>
        <w:tc>
          <w:tcPr>
            <w:tcW w:w="1417" w:type="dxa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336.5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)</w:t>
            </w:r>
          </w:p>
        </w:tc>
      </w:tr>
      <w:tr w:rsidR="00B43668" w:rsidRPr="00D57B79" w:rsidTr="005E0755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B43668" w:rsidRPr="00D57B79" w:rsidRDefault="00B43668" w:rsidP="00BC0E21">
            <w:pPr>
              <w:ind w:left="170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(2.9)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2.0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(2.0)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102.0</w:t>
            </w:r>
          </w:p>
        </w:tc>
        <w:tc>
          <w:tcPr>
            <w:tcW w:w="1417" w:type="dxa"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Cs/>
                <w:sz w:val="20"/>
                <w:szCs w:val="20"/>
              </w:rPr>
              <w:t>70.7</w:t>
            </w:r>
          </w:p>
        </w:tc>
      </w:tr>
    </w:tbl>
    <w:p w:rsidR="00B43668" w:rsidRPr="00D57B79" w:rsidRDefault="00B43668" w:rsidP="00BC0E21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B43668" w:rsidRPr="00D57B79" w:rsidRDefault="00B43668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D57B79">
        <w:rPr>
          <w:rFonts w:ascii="GHEA Grapalat" w:hAnsi="GHEA Grapalat" w:cs="GHEA Grapalat"/>
          <w:lang w:val="hy-AM"/>
        </w:rPr>
        <w:t>Հաշվետու ժամանակահատվածում արտաքին աղբյուրներից փոխառու զուտ միջոցների հաշվին ֆինանսավորումը կազմել է 124.3</w:t>
      </w:r>
      <w:r w:rsidR="009A19D2" w:rsidRPr="00D57B79">
        <w:rPr>
          <w:rFonts w:ascii="GHEA Grapalat" w:hAnsi="GHEA Grapalat" w:cs="GHEA Grapalat"/>
          <w:lang w:val="hy-AM"/>
        </w:rPr>
        <w:t xml:space="preserve"> մլրդ դրամ, որը</w:t>
      </w:r>
      <w:r w:rsidRPr="00D57B79">
        <w:rPr>
          <w:rFonts w:ascii="GHEA Grapalat" w:hAnsi="GHEA Grapalat" w:cs="GHEA Grapalat"/>
          <w:lang w:val="hy-AM"/>
        </w:rPr>
        <w:t xml:space="preserve"> հիմնականում</w:t>
      </w:r>
      <w:r w:rsidR="009A19D2" w:rsidRPr="00D57B79">
        <w:rPr>
          <w:rFonts w:ascii="GHEA Grapalat" w:hAnsi="GHEA Grapalat" w:cs="GHEA Grapalat"/>
        </w:rPr>
        <w:t xml:space="preserve"> ապահովվել է</w:t>
      </w:r>
      <w:r w:rsidRPr="00D57B79">
        <w:rPr>
          <w:rFonts w:ascii="GHEA Grapalat" w:hAnsi="GHEA Grapalat" w:cs="GHEA Grapalat"/>
          <w:lang w:val="hy-AM"/>
        </w:rPr>
        <w:t xml:space="preserve"> արտարժութային պարտատոմսերի թողարկման հաշվին: Հաշվետու ժամանակահատվածում թողարկվել է 287.4 մլրդ դրամի արտարժութային պարտատոմս՝ նախատեսված 193.6 մլրդ դրամի դիմաց, որից 123.4 մլրդ դրամն ուղղվել է նախկինում թողարկված արտարժութային պարտատոմսերի մարմանը՝ 93.3%-ով ապահովելով կիսամյակի ծրագրային ցուցանիշը: </w:t>
      </w:r>
      <w:r w:rsidRPr="00D57B79">
        <w:rPr>
          <w:rFonts w:ascii="GHEA Grapalat" w:hAnsi="GHEA Grapalat" w:cs="Arial"/>
          <w:color w:val="000000"/>
          <w:lang w:val="hy-AM"/>
        </w:rPr>
        <w:t>Հավելյալ արտարժութային պարտատոմսերի թողարկումը նպատակ է ունեցել բարձրացնել պետական բյուջեի պակասուրդի ֆինանսավորման հնարավոր ռիսկերի կառավարելիության աստիճանը, ինչպես նաև նպաստել վճարային հաշվեկշռի արտաքին հատվածի կայունությանը:</w:t>
      </w:r>
    </w:p>
    <w:p w:rsidR="00B43668" w:rsidRPr="00D57B79" w:rsidRDefault="00B43668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D57B79">
        <w:rPr>
          <w:rFonts w:ascii="GHEA Grapalat" w:hAnsi="GHEA Grapalat" w:cs="GHEA Grapalat"/>
          <w:lang w:val="hy-AM"/>
        </w:rPr>
        <w:t xml:space="preserve">Արտաքին վարկատուների աջակցությամբ իրականացվող նպատակային վարկային ծրագրերի շրջանակներում ստացված միջոցների հաշվին ֆինանսավորումը </w:t>
      </w:r>
      <w:r w:rsidR="00BE3071" w:rsidRPr="00D57B79">
        <w:rPr>
          <w:rFonts w:ascii="GHEA Grapalat" w:hAnsi="GHEA Grapalat" w:cs="GHEA Grapalat"/>
          <w:lang w:val="hy-AM"/>
        </w:rPr>
        <w:t xml:space="preserve">հաշվետու ժամանակահատվածում </w:t>
      </w:r>
      <w:r w:rsidRPr="00D57B79">
        <w:rPr>
          <w:rFonts w:ascii="GHEA Grapalat" w:hAnsi="GHEA Grapalat" w:cs="GHEA Grapalat"/>
          <w:lang w:val="hy-AM"/>
        </w:rPr>
        <w:t>կազմել է 11.8</w:t>
      </w:r>
      <w:r w:rsidRPr="00D57B79">
        <w:rPr>
          <w:rFonts w:ascii="Calibri" w:hAnsi="Calibri" w:cs="Calibri"/>
          <w:lang w:val="hy-AM"/>
        </w:rPr>
        <w:t> </w:t>
      </w:r>
      <w:r w:rsidRPr="00D57B79">
        <w:rPr>
          <w:rFonts w:ascii="GHEA Grapalat" w:hAnsi="GHEA Grapalat" w:cs="GHEA Grapalat"/>
          <w:lang w:val="hy-AM"/>
        </w:rPr>
        <w:t>մլրդ դրամ կամ առաջին կիսամյակի ծրագրված ցուցանիշի 9.5%-ը:</w:t>
      </w:r>
    </w:p>
    <w:p w:rsidR="00B43668" w:rsidRPr="00D57B79" w:rsidRDefault="00B43668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B43668" w:rsidRPr="00D57B79" w:rsidRDefault="00B43668" w:rsidP="00BC0E21">
      <w:pPr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D57B79">
        <w:rPr>
          <w:rFonts w:ascii="GHEA Grapalat" w:hAnsi="GHEA Grapalat"/>
          <w:b/>
          <w:bCs/>
          <w:i/>
          <w:sz w:val="20"/>
          <w:szCs w:val="20"/>
          <w:lang w:val="hy-AM"/>
        </w:rPr>
        <w:t>Արտաքին աղբյուրներից նպատակային վարկերի ստացում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559"/>
        <w:gridCol w:w="2126"/>
      </w:tblGrid>
      <w:tr w:rsidR="00B43668" w:rsidRPr="00D57B79" w:rsidTr="00991CE3">
        <w:trPr>
          <w:trHeight w:val="1054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B43668" w:rsidRPr="00D57B79" w:rsidRDefault="00B43668" w:rsidP="00BC0E21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43668" w:rsidRPr="00D57B79" w:rsidRDefault="00B43668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559" w:type="dxa"/>
            <w:shd w:val="clear" w:color="000000" w:fill="FFFFFF"/>
            <w:hideMark/>
          </w:tcPr>
          <w:p w:rsidR="00B43668" w:rsidRPr="00D57B79" w:rsidRDefault="00B43668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հունվար-ապրիլ ամիսների </w:t>
            </w: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2126" w:type="dxa"/>
            <w:shd w:val="clear" w:color="000000" w:fill="FFFFFF"/>
            <w:hideMark/>
          </w:tcPr>
          <w:p w:rsidR="00B43668" w:rsidRPr="00D57B79" w:rsidRDefault="00B43668" w:rsidP="00BC0E2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Կատարողականն առաջին կիսամյակի ճշտված պլանի նկատմամբ (%)</w:t>
            </w:r>
          </w:p>
        </w:tc>
      </w:tr>
      <w:tr w:rsidR="00B43668" w:rsidRPr="00D57B79" w:rsidTr="00991CE3">
        <w:trPr>
          <w:trHeight w:val="377"/>
        </w:trPr>
        <w:tc>
          <w:tcPr>
            <w:tcW w:w="4820" w:type="dxa"/>
            <w:shd w:val="clear" w:color="auto" w:fill="auto"/>
            <w:vAlign w:val="bottom"/>
          </w:tcPr>
          <w:p w:rsidR="00B43668" w:rsidRPr="00D57B79" w:rsidRDefault="00B43668" w:rsidP="00BC0E21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Նպատակային վարկերի ստացում</w:t>
            </w:r>
            <w:r w:rsidRPr="00D57B79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,</w:t>
            </w:r>
          </w:p>
          <w:p w:rsidR="00B43668" w:rsidRPr="00D57B79" w:rsidRDefault="00B43668" w:rsidP="00BC0E21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թվում`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124.0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11.8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bCs/>
                <w:sz w:val="20"/>
                <w:szCs w:val="20"/>
              </w:rPr>
              <w:t>9.5</w:t>
            </w:r>
          </w:p>
        </w:tc>
      </w:tr>
      <w:tr w:rsidR="00B43668" w:rsidRPr="00D57B79" w:rsidTr="00991CE3">
        <w:trPr>
          <w:trHeight w:val="335"/>
        </w:trPr>
        <w:tc>
          <w:tcPr>
            <w:tcW w:w="4820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</w:rPr>
              <w:t xml:space="preserve"> Միջազգային կազմակերպություններից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</w:rPr>
              <w:t>112.3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</w:rPr>
              <w:t>10.9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</w:rPr>
              <w:t>9</w:t>
            </w:r>
            <w:r w:rsidRPr="00D57B79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.7</w:t>
            </w:r>
          </w:p>
        </w:tc>
      </w:tr>
      <w:tr w:rsidR="00B43668" w:rsidRPr="00D57B79" w:rsidTr="00991CE3">
        <w:trPr>
          <w:trHeight w:val="321"/>
        </w:trPr>
        <w:tc>
          <w:tcPr>
            <w:tcW w:w="4820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Համաշխարհային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6.2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10.9</w:t>
            </w:r>
          </w:p>
        </w:tc>
      </w:tr>
      <w:tr w:rsidR="00B43668" w:rsidRPr="00D57B79" w:rsidTr="00991CE3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Վերակառուցման և զարգացման եվրոպական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10.7</w:t>
            </w:r>
          </w:p>
        </w:tc>
      </w:tr>
      <w:tr w:rsidR="00B43668" w:rsidRPr="00D57B79" w:rsidTr="00991CE3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Եվրոպական ներդրումային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2.9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B43668" w:rsidRPr="00D57B79" w:rsidTr="00991CE3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Ասիական զարգացման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9.0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4.2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47.0</w:t>
            </w:r>
          </w:p>
        </w:tc>
      </w:tr>
      <w:tr w:rsidR="00B43668" w:rsidRPr="00D57B79" w:rsidTr="00991CE3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Եվրասիական զարգացման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7.6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5.8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77.1</w:t>
            </w:r>
          </w:p>
        </w:tc>
      </w:tr>
      <w:tr w:rsidR="00B43668" w:rsidRPr="00D57B79" w:rsidTr="00991CE3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ind w:left="113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Այլ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85.3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B43668" w:rsidRPr="00D57B79" w:rsidTr="00991CE3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</w:rPr>
              <w:t xml:space="preserve"> Օտարերկրյա պետություններից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</w:rPr>
              <w:t>11.8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</w:rPr>
              <w:t>0.9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b/>
                <w:sz w:val="20"/>
                <w:szCs w:val="20"/>
              </w:rPr>
              <w:t>7.7</w:t>
            </w:r>
          </w:p>
        </w:tc>
      </w:tr>
      <w:tr w:rsidR="00B43668" w:rsidRPr="00D57B79" w:rsidTr="00991CE3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Գերմանիա (Վերականգնման վարկերի բանկ)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10.3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4.8</w:t>
            </w:r>
          </w:p>
        </w:tc>
      </w:tr>
      <w:tr w:rsidR="00B43668" w:rsidRPr="00D57B79" w:rsidTr="00991CE3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 xml:space="preserve"> Ֆրանսիա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1.4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0.</w:t>
            </w:r>
            <w:r w:rsidRPr="00D57B79">
              <w:rPr>
                <w:rFonts w:ascii="GHEA Grapalat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43668" w:rsidRPr="00D57B79" w:rsidRDefault="00B43668" w:rsidP="00BC0E2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57B79">
              <w:rPr>
                <w:rFonts w:ascii="GHEA Grapalat" w:hAnsi="GHEA Grapalat" w:cs="Calibri"/>
                <w:sz w:val="20"/>
                <w:szCs w:val="20"/>
              </w:rPr>
              <w:t>29.0</w:t>
            </w:r>
          </w:p>
        </w:tc>
      </w:tr>
    </w:tbl>
    <w:p w:rsidR="00B43668" w:rsidRPr="00D57B79" w:rsidRDefault="00B43668" w:rsidP="00BC0E21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B43668" w:rsidRPr="00D57B79" w:rsidRDefault="00BE3071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D57B79">
        <w:rPr>
          <w:rFonts w:ascii="GHEA Grapalat" w:hAnsi="GHEA Grapalat" w:cs="GHEA Grapalat"/>
        </w:rPr>
        <w:lastRenderedPageBreak/>
        <w:t>2025 թվականի հունվար-ապրիլ ամիսներին ա</w:t>
      </w:r>
      <w:r w:rsidR="00B43668" w:rsidRPr="00D57B79">
        <w:rPr>
          <w:rFonts w:ascii="GHEA Grapalat" w:hAnsi="GHEA Grapalat" w:cs="GHEA Grapalat"/>
        </w:rPr>
        <w:t>րտաքին զուտ փոխառու միջոցներում 51.5</w:t>
      </w:r>
      <w:r w:rsidRPr="00D57B79">
        <w:rPr>
          <w:rFonts w:ascii="Calibri" w:hAnsi="Calibri" w:cs="Calibri"/>
        </w:rPr>
        <w:t> </w:t>
      </w:r>
      <w:r w:rsidR="00B43668" w:rsidRPr="00D57B79">
        <w:rPr>
          <w:rFonts w:ascii="GHEA Grapalat" w:hAnsi="GHEA Grapalat" w:cs="GHEA Grapalat"/>
          <w:lang w:val="hy-AM"/>
        </w:rPr>
        <w:t xml:space="preserve">մլրդ դրամ ուղղվել է արտաքին վարկերի մարմանը՝ կազմելով </w:t>
      </w:r>
      <w:r w:rsidR="00B43668" w:rsidRPr="00D57B79">
        <w:rPr>
          <w:rFonts w:ascii="GHEA Grapalat" w:hAnsi="GHEA Grapalat" w:cs="GHEA Grapalat"/>
        </w:rPr>
        <w:t xml:space="preserve">կիսամյակային </w:t>
      </w:r>
      <w:r w:rsidR="00B43668" w:rsidRPr="00D57B79">
        <w:rPr>
          <w:rFonts w:ascii="GHEA Grapalat" w:hAnsi="GHEA Grapalat" w:cs="GHEA Grapalat"/>
          <w:lang w:val="hy-AM"/>
        </w:rPr>
        <w:t xml:space="preserve">ծրագրի </w:t>
      </w:r>
      <w:r w:rsidR="00B43668" w:rsidRPr="00D57B79">
        <w:rPr>
          <w:rFonts w:ascii="GHEA Grapalat" w:hAnsi="GHEA Grapalat" w:cs="GHEA Grapalat"/>
        </w:rPr>
        <w:t>51.6</w:t>
      </w:r>
      <w:r w:rsidR="00B43668" w:rsidRPr="00D57B79">
        <w:rPr>
          <w:rFonts w:ascii="GHEA Grapalat" w:hAnsi="GHEA Grapalat" w:cs="GHEA Grapalat"/>
          <w:lang w:val="hy-AM"/>
        </w:rPr>
        <w:t>%-ը: Նշված գումարից 39.5 մլրդ դրամն ուղղվել է միջազգային կազմակերպությունների, 11.7 մլրդ դրամը` օտարերկրյա պետությունների և 414.5 մլն դրամը` օտարերկրյա առևտրային բանկերի նկատմամբ պարտավորությունների մարմանը:</w:t>
      </w:r>
    </w:p>
    <w:p w:rsidR="00B43668" w:rsidRPr="002C2D5A" w:rsidRDefault="00B43668" w:rsidP="00BC0E21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D57B79">
        <w:rPr>
          <w:rFonts w:ascii="GHEA Grapalat" w:hAnsi="GHEA Grapalat" w:cs="GHEA Grapalat"/>
          <w:lang w:val="hy-AM"/>
        </w:rPr>
        <w:t>Արտաքին ֆինանսական զուտ ակտիվների հաշվին պետական բյուջեի պակասուրդի ֆինանսավորումը հաշվետու ժամանակահատվածում կազմել է -2 մլրդ դրամ: Մասնավորապես՝ 195.6 մլն դրամ (101.1%) է կազմել Վրաստանի կողմից ՀՀ նկատմամբ պարտավորությունների մարումից մուտքը, 577.1 մլն դրամ՝ միջազգային ֆինանսական կազմակերպությունների կապիտալում մասնակցության գծով ստանձնած պարտավորությունների կատարումը, 1.7 մլրդ դրամով ավելացել է արտաքին աղբյուրներից ստացված վարկային և դրամաշնորհային միջոցների մնացորդը:</w:t>
      </w:r>
    </w:p>
    <w:sectPr w:rsidR="00B43668" w:rsidRPr="002C2D5A" w:rsidSect="00417E4B">
      <w:footerReference w:type="even" r:id="rId8"/>
      <w:footerReference w:type="default" r:id="rId9"/>
      <w:pgSz w:w="11907" w:h="16839" w:code="9"/>
      <w:pgMar w:top="1134" w:right="567" w:bottom="567" w:left="1134" w:header="720" w:footer="62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D3F5C" w16cex:dateUtc="2021-04-23T08:43:00Z"/>
  <w16cex:commentExtensible w16cex:durableId="242D5254" w16cex:dateUtc="2021-04-23T10:04:00Z"/>
  <w16cex:commentExtensible w16cex:durableId="242D52CC" w16cex:dateUtc="2021-04-23T10:06:00Z"/>
  <w16cex:commentExtensible w16cex:durableId="242D5364" w16cex:dateUtc="2021-04-23T10:08:00Z"/>
  <w16cex:commentExtensible w16cex:durableId="242D53AF" w16cex:dateUtc="2021-04-23T10:09:00Z"/>
  <w16cex:commentExtensible w16cex:durableId="242D53ED" w16cex:dateUtc="2021-04-23T10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C7" w:rsidRDefault="000D06C7" w:rsidP="00F178F6">
      <w:r>
        <w:separator/>
      </w:r>
    </w:p>
  </w:endnote>
  <w:endnote w:type="continuationSeparator" w:id="0">
    <w:p w:rsidR="000D06C7" w:rsidRDefault="000D06C7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56" w:rsidRDefault="008A6756" w:rsidP="00225E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6756" w:rsidRDefault="008A6756" w:rsidP="00225E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56" w:rsidRPr="000E33E1" w:rsidRDefault="008A6756" w:rsidP="00225E96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0E33E1">
      <w:rPr>
        <w:rStyle w:val="PageNumber"/>
        <w:rFonts w:ascii="GHEA Grapalat" w:hAnsi="GHEA Grapalat"/>
      </w:rPr>
      <w:fldChar w:fldCharType="begin"/>
    </w:r>
    <w:r w:rsidRPr="000E33E1">
      <w:rPr>
        <w:rStyle w:val="PageNumber"/>
        <w:rFonts w:ascii="GHEA Grapalat" w:hAnsi="GHEA Grapalat"/>
      </w:rPr>
      <w:instrText xml:space="preserve">PAGE  </w:instrText>
    </w:r>
    <w:r w:rsidRPr="000E33E1">
      <w:rPr>
        <w:rStyle w:val="PageNumber"/>
        <w:rFonts w:ascii="GHEA Grapalat" w:hAnsi="GHEA Grapalat"/>
      </w:rPr>
      <w:fldChar w:fldCharType="separate"/>
    </w:r>
    <w:r w:rsidR="00D57B79">
      <w:rPr>
        <w:rStyle w:val="PageNumber"/>
        <w:rFonts w:ascii="GHEA Grapalat" w:hAnsi="GHEA Grapalat"/>
        <w:noProof/>
      </w:rPr>
      <w:t>18</w:t>
    </w:r>
    <w:r w:rsidRPr="000E33E1">
      <w:rPr>
        <w:rStyle w:val="PageNumber"/>
        <w:rFonts w:ascii="GHEA Grapalat" w:hAnsi="GHEA Grapalat"/>
      </w:rPr>
      <w:fldChar w:fldCharType="end"/>
    </w:r>
  </w:p>
  <w:p w:rsidR="008A6756" w:rsidRDefault="008A6756" w:rsidP="00225E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C7" w:rsidRDefault="000D06C7" w:rsidP="00F178F6">
      <w:r>
        <w:separator/>
      </w:r>
    </w:p>
  </w:footnote>
  <w:footnote w:type="continuationSeparator" w:id="0">
    <w:p w:rsidR="000D06C7" w:rsidRDefault="000D06C7" w:rsidP="00F178F6">
      <w:r>
        <w:continuationSeparator/>
      </w:r>
    </w:p>
  </w:footnote>
  <w:footnote w:id="1">
    <w:p w:rsidR="008A6756" w:rsidRPr="0022046E" w:rsidRDefault="008A6756" w:rsidP="0022046E">
      <w:pPr>
        <w:pStyle w:val="FootnoteText"/>
        <w:jc w:val="both"/>
        <w:rPr>
          <w:rFonts w:ascii="GHEA Grapalat" w:hAnsi="GHEA Grapalat"/>
        </w:rPr>
      </w:pPr>
      <w:r w:rsidRPr="0022046E">
        <w:rPr>
          <w:rStyle w:val="FootnoteReference"/>
          <w:rFonts w:ascii="GHEA Grapalat" w:hAnsi="GHEA Grapalat"/>
        </w:rPr>
        <w:footnoteRef/>
      </w:r>
      <w:r w:rsidRPr="0022046E">
        <w:rPr>
          <w:rFonts w:ascii="GHEA Grapalat" w:hAnsi="GHEA Grapalat"/>
        </w:rPr>
        <w:t xml:space="preserve"> Հաշվետվության մեջ ներկայացված ցուցանիշների հանրագումարների և դրանց բաղադրիչների միջև շեղումները պայմանավորված են կլորացումներով: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49C3"/>
    <w:multiLevelType w:val="hybridMultilevel"/>
    <w:tmpl w:val="49C8FF18"/>
    <w:lvl w:ilvl="0" w:tplc="5FDCFCF8">
      <w:start w:val="105"/>
      <w:numFmt w:val="bullet"/>
      <w:lvlText w:val="-"/>
      <w:lvlJc w:val="left"/>
      <w:pPr>
        <w:ind w:left="63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E138E8"/>
    <w:multiLevelType w:val="hybridMultilevel"/>
    <w:tmpl w:val="A2D6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87F1A"/>
    <w:multiLevelType w:val="hybridMultilevel"/>
    <w:tmpl w:val="21A653D8"/>
    <w:lvl w:ilvl="0" w:tplc="B78E53AA">
      <w:start w:val="1"/>
      <w:numFmt w:val="decimal"/>
      <w:lvlText w:val="Աղյուսակ %1."/>
      <w:lvlJc w:val="left"/>
      <w:pPr>
        <w:ind w:left="2771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960EC"/>
    <w:multiLevelType w:val="hybridMultilevel"/>
    <w:tmpl w:val="0A34C014"/>
    <w:lvl w:ilvl="0" w:tplc="B78E53AA">
      <w:start w:val="1"/>
      <w:numFmt w:val="decimal"/>
      <w:lvlText w:val="Աղյուսակ %1."/>
      <w:lvlJc w:val="left"/>
      <w:pPr>
        <w:ind w:left="1287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F6"/>
    <w:rsid w:val="0000084F"/>
    <w:rsid w:val="00000A3E"/>
    <w:rsid w:val="00001D5B"/>
    <w:rsid w:val="0000235A"/>
    <w:rsid w:val="00002AF5"/>
    <w:rsid w:val="00002DB1"/>
    <w:rsid w:val="000032D5"/>
    <w:rsid w:val="00003B1E"/>
    <w:rsid w:val="00004260"/>
    <w:rsid w:val="0000539F"/>
    <w:rsid w:val="0000763C"/>
    <w:rsid w:val="000079CC"/>
    <w:rsid w:val="00011199"/>
    <w:rsid w:val="00011283"/>
    <w:rsid w:val="0001150F"/>
    <w:rsid w:val="0001161C"/>
    <w:rsid w:val="000125D6"/>
    <w:rsid w:val="00012A87"/>
    <w:rsid w:val="00012CFA"/>
    <w:rsid w:val="00012E50"/>
    <w:rsid w:val="00012FA6"/>
    <w:rsid w:val="00012FF9"/>
    <w:rsid w:val="0001308B"/>
    <w:rsid w:val="000137CD"/>
    <w:rsid w:val="000157B5"/>
    <w:rsid w:val="00015F84"/>
    <w:rsid w:val="00017782"/>
    <w:rsid w:val="0002023B"/>
    <w:rsid w:val="0002063C"/>
    <w:rsid w:val="00020EB2"/>
    <w:rsid w:val="0002148D"/>
    <w:rsid w:val="000216B5"/>
    <w:rsid w:val="00022663"/>
    <w:rsid w:val="000231BE"/>
    <w:rsid w:val="00023481"/>
    <w:rsid w:val="00023731"/>
    <w:rsid w:val="00024019"/>
    <w:rsid w:val="00024217"/>
    <w:rsid w:val="0002447C"/>
    <w:rsid w:val="00024F0E"/>
    <w:rsid w:val="00026007"/>
    <w:rsid w:val="000270C2"/>
    <w:rsid w:val="0003000E"/>
    <w:rsid w:val="00030109"/>
    <w:rsid w:val="0003069E"/>
    <w:rsid w:val="00030BF3"/>
    <w:rsid w:val="00031AAD"/>
    <w:rsid w:val="000323DC"/>
    <w:rsid w:val="00033220"/>
    <w:rsid w:val="00033552"/>
    <w:rsid w:val="00033D71"/>
    <w:rsid w:val="0003401B"/>
    <w:rsid w:val="00034555"/>
    <w:rsid w:val="00035260"/>
    <w:rsid w:val="000359D2"/>
    <w:rsid w:val="00036BA9"/>
    <w:rsid w:val="00037BB6"/>
    <w:rsid w:val="00041605"/>
    <w:rsid w:val="000419FE"/>
    <w:rsid w:val="000427C5"/>
    <w:rsid w:val="00044AFC"/>
    <w:rsid w:val="00044F29"/>
    <w:rsid w:val="00045336"/>
    <w:rsid w:val="00046299"/>
    <w:rsid w:val="000471EE"/>
    <w:rsid w:val="00047851"/>
    <w:rsid w:val="0005016A"/>
    <w:rsid w:val="0005090B"/>
    <w:rsid w:val="0005201E"/>
    <w:rsid w:val="0005344C"/>
    <w:rsid w:val="00053BBE"/>
    <w:rsid w:val="00053F62"/>
    <w:rsid w:val="00054C35"/>
    <w:rsid w:val="0005539C"/>
    <w:rsid w:val="0005600A"/>
    <w:rsid w:val="0005668F"/>
    <w:rsid w:val="000566E6"/>
    <w:rsid w:val="00056F48"/>
    <w:rsid w:val="00056F4D"/>
    <w:rsid w:val="0005729E"/>
    <w:rsid w:val="000605F3"/>
    <w:rsid w:val="00060DAA"/>
    <w:rsid w:val="00060F73"/>
    <w:rsid w:val="000612D8"/>
    <w:rsid w:val="000617F8"/>
    <w:rsid w:val="000618C6"/>
    <w:rsid w:val="00061D0D"/>
    <w:rsid w:val="00061DD5"/>
    <w:rsid w:val="00063471"/>
    <w:rsid w:val="00063760"/>
    <w:rsid w:val="00063B4C"/>
    <w:rsid w:val="00065CD4"/>
    <w:rsid w:val="00065D15"/>
    <w:rsid w:val="00066CEA"/>
    <w:rsid w:val="0006751E"/>
    <w:rsid w:val="00067BAF"/>
    <w:rsid w:val="000711DA"/>
    <w:rsid w:val="00072C7D"/>
    <w:rsid w:val="00073150"/>
    <w:rsid w:val="00074703"/>
    <w:rsid w:val="00074E1E"/>
    <w:rsid w:val="000753BE"/>
    <w:rsid w:val="000758B4"/>
    <w:rsid w:val="00075C2C"/>
    <w:rsid w:val="00075C5A"/>
    <w:rsid w:val="000761A8"/>
    <w:rsid w:val="00076335"/>
    <w:rsid w:val="0008204B"/>
    <w:rsid w:val="00082406"/>
    <w:rsid w:val="000824BE"/>
    <w:rsid w:val="00082F8C"/>
    <w:rsid w:val="00083D39"/>
    <w:rsid w:val="000848ED"/>
    <w:rsid w:val="00085BF0"/>
    <w:rsid w:val="00086CE6"/>
    <w:rsid w:val="00087314"/>
    <w:rsid w:val="00087499"/>
    <w:rsid w:val="0008770F"/>
    <w:rsid w:val="00087D57"/>
    <w:rsid w:val="00087FE3"/>
    <w:rsid w:val="00091A95"/>
    <w:rsid w:val="000920EE"/>
    <w:rsid w:val="0009269F"/>
    <w:rsid w:val="00092E4B"/>
    <w:rsid w:val="00095EA7"/>
    <w:rsid w:val="0009603E"/>
    <w:rsid w:val="000960D3"/>
    <w:rsid w:val="00096151"/>
    <w:rsid w:val="00097AA9"/>
    <w:rsid w:val="00097AFE"/>
    <w:rsid w:val="000A0520"/>
    <w:rsid w:val="000A0587"/>
    <w:rsid w:val="000A0F5B"/>
    <w:rsid w:val="000A1853"/>
    <w:rsid w:val="000A1A23"/>
    <w:rsid w:val="000A1A80"/>
    <w:rsid w:val="000A24A1"/>
    <w:rsid w:val="000A3DB8"/>
    <w:rsid w:val="000A4349"/>
    <w:rsid w:val="000A4EBC"/>
    <w:rsid w:val="000A5936"/>
    <w:rsid w:val="000A6032"/>
    <w:rsid w:val="000A6088"/>
    <w:rsid w:val="000A6A74"/>
    <w:rsid w:val="000A7238"/>
    <w:rsid w:val="000A7A5D"/>
    <w:rsid w:val="000B0230"/>
    <w:rsid w:val="000B03EE"/>
    <w:rsid w:val="000B0F7D"/>
    <w:rsid w:val="000B1226"/>
    <w:rsid w:val="000B1475"/>
    <w:rsid w:val="000B19DD"/>
    <w:rsid w:val="000B1B77"/>
    <w:rsid w:val="000B1CBE"/>
    <w:rsid w:val="000B1E20"/>
    <w:rsid w:val="000B30FF"/>
    <w:rsid w:val="000B3C76"/>
    <w:rsid w:val="000B3ECA"/>
    <w:rsid w:val="000B507C"/>
    <w:rsid w:val="000B550C"/>
    <w:rsid w:val="000B5A94"/>
    <w:rsid w:val="000B5CAC"/>
    <w:rsid w:val="000B60E1"/>
    <w:rsid w:val="000B60F4"/>
    <w:rsid w:val="000B6195"/>
    <w:rsid w:val="000B6202"/>
    <w:rsid w:val="000B691C"/>
    <w:rsid w:val="000B7A05"/>
    <w:rsid w:val="000C04F1"/>
    <w:rsid w:val="000C06DF"/>
    <w:rsid w:val="000C0B4D"/>
    <w:rsid w:val="000C14C6"/>
    <w:rsid w:val="000C15F9"/>
    <w:rsid w:val="000C3D9F"/>
    <w:rsid w:val="000C4203"/>
    <w:rsid w:val="000C44DB"/>
    <w:rsid w:val="000C635A"/>
    <w:rsid w:val="000C6D57"/>
    <w:rsid w:val="000C6EE2"/>
    <w:rsid w:val="000C72FA"/>
    <w:rsid w:val="000C75E2"/>
    <w:rsid w:val="000C77FF"/>
    <w:rsid w:val="000D06C7"/>
    <w:rsid w:val="000D0CDE"/>
    <w:rsid w:val="000D2594"/>
    <w:rsid w:val="000D284E"/>
    <w:rsid w:val="000D2854"/>
    <w:rsid w:val="000D31B8"/>
    <w:rsid w:val="000D38A9"/>
    <w:rsid w:val="000D59A7"/>
    <w:rsid w:val="000D5B34"/>
    <w:rsid w:val="000D5C0F"/>
    <w:rsid w:val="000D7974"/>
    <w:rsid w:val="000E00D5"/>
    <w:rsid w:val="000E0102"/>
    <w:rsid w:val="000E019A"/>
    <w:rsid w:val="000E0218"/>
    <w:rsid w:val="000E1CAD"/>
    <w:rsid w:val="000E1CED"/>
    <w:rsid w:val="000E33E1"/>
    <w:rsid w:val="000E3C5D"/>
    <w:rsid w:val="000E3D19"/>
    <w:rsid w:val="000E4661"/>
    <w:rsid w:val="000E484A"/>
    <w:rsid w:val="000E575C"/>
    <w:rsid w:val="000E6544"/>
    <w:rsid w:val="000E6A2D"/>
    <w:rsid w:val="000E719F"/>
    <w:rsid w:val="000E736F"/>
    <w:rsid w:val="000F09FD"/>
    <w:rsid w:val="000F131C"/>
    <w:rsid w:val="000F14B8"/>
    <w:rsid w:val="000F2E07"/>
    <w:rsid w:val="000F2E93"/>
    <w:rsid w:val="000F38D4"/>
    <w:rsid w:val="000F4D7D"/>
    <w:rsid w:val="000F5CCC"/>
    <w:rsid w:val="000F6696"/>
    <w:rsid w:val="000F6EC0"/>
    <w:rsid w:val="000F74A8"/>
    <w:rsid w:val="000F7A93"/>
    <w:rsid w:val="0010042E"/>
    <w:rsid w:val="001006A7"/>
    <w:rsid w:val="00101727"/>
    <w:rsid w:val="0010243A"/>
    <w:rsid w:val="0010299E"/>
    <w:rsid w:val="00102B96"/>
    <w:rsid w:val="00103304"/>
    <w:rsid w:val="00103A81"/>
    <w:rsid w:val="00104C87"/>
    <w:rsid w:val="00104D6C"/>
    <w:rsid w:val="00104EC5"/>
    <w:rsid w:val="00104FAD"/>
    <w:rsid w:val="00106052"/>
    <w:rsid w:val="00106375"/>
    <w:rsid w:val="00106640"/>
    <w:rsid w:val="0010691E"/>
    <w:rsid w:val="00107D53"/>
    <w:rsid w:val="001101CA"/>
    <w:rsid w:val="001113A6"/>
    <w:rsid w:val="00112617"/>
    <w:rsid w:val="00112ADA"/>
    <w:rsid w:val="00112B01"/>
    <w:rsid w:val="00112CB5"/>
    <w:rsid w:val="00112CED"/>
    <w:rsid w:val="00112E53"/>
    <w:rsid w:val="0011314B"/>
    <w:rsid w:val="00113424"/>
    <w:rsid w:val="00113C2E"/>
    <w:rsid w:val="00113EF2"/>
    <w:rsid w:val="0011457B"/>
    <w:rsid w:val="001146DA"/>
    <w:rsid w:val="00114F1E"/>
    <w:rsid w:val="0011585E"/>
    <w:rsid w:val="001162EF"/>
    <w:rsid w:val="0011719B"/>
    <w:rsid w:val="0011752B"/>
    <w:rsid w:val="00117948"/>
    <w:rsid w:val="00120663"/>
    <w:rsid w:val="00120B25"/>
    <w:rsid w:val="00120CA2"/>
    <w:rsid w:val="00121061"/>
    <w:rsid w:val="001213FA"/>
    <w:rsid w:val="00121BCC"/>
    <w:rsid w:val="00121BF5"/>
    <w:rsid w:val="0012209A"/>
    <w:rsid w:val="00122201"/>
    <w:rsid w:val="00123FEE"/>
    <w:rsid w:val="0012415E"/>
    <w:rsid w:val="0012428E"/>
    <w:rsid w:val="001242B4"/>
    <w:rsid w:val="0012553C"/>
    <w:rsid w:val="001255CE"/>
    <w:rsid w:val="00125898"/>
    <w:rsid w:val="00126404"/>
    <w:rsid w:val="001273F5"/>
    <w:rsid w:val="00127A27"/>
    <w:rsid w:val="00127C0D"/>
    <w:rsid w:val="00130437"/>
    <w:rsid w:val="00130479"/>
    <w:rsid w:val="001306B6"/>
    <w:rsid w:val="00130B6B"/>
    <w:rsid w:val="00130CD2"/>
    <w:rsid w:val="00130F23"/>
    <w:rsid w:val="0013108F"/>
    <w:rsid w:val="00131530"/>
    <w:rsid w:val="00131EF2"/>
    <w:rsid w:val="001320ED"/>
    <w:rsid w:val="001321F7"/>
    <w:rsid w:val="001324B3"/>
    <w:rsid w:val="001324C5"/>
    <w:rsid w:val="00132929"/>
    <w:rsid w:val="00132A4B"/>
    <w:rsid w:val="00133DE4"/>
    <w:rsid w:val="001347D3"/>
    <w:rsid w:val="00134E14"/>
    <w:rsid w:val="00135285"/>
    <w:rsid w:val="00135A81"/>
    <w:rsid w:val="00135FF9"/>
    <w:rsid w:val="0013603C"/>
    <w:rsid w:val="00136F19"/>
    <w:rsid w:val="00136F26"/>
    <w:rsid w:val="00140777"/>
    <w:rsid w:val="00141170"/>
    <w:rsid w:val="0014360A"/>
    <w:rsid w:val="00144292"/>
    <w:rsid w:val="00144F86"/>
    <w:rsid w:val="0014518B"/>
    <w:rsid w:val="00146820"/>
    <w:rsid w:val="001475D0"/>
    <w:rsid w:val="001477EC"/>
    <w:rsid w:val="001478F0"/>
    <w:rsid w:val="0015031B"/>
    <w:rsid w:val="00151BF2"/>
    <w:rsid w:val="00152182"/>
    <w:rsid w:val="0015281F"/>
    <w:rsid w:val="00152B24"/>
    <w:rsid w:val="001530B4"/>
    <w:rsid w:val="00153172"/>
    <w:rsid w:val="00153432"/>
    <w:rsid w:val="00153672"/>
    <w:rsid w:val="00153A9F"/>
    <w:rsid w:val="00153B75"/>
    <w:rsid w:val="00153E6A"/>
    <w:rsid w:val="00154F03"/>
    <w:rsid w:val="00155194"/>
    <w:rsid w:val="00155452"/>
    <w:rsid w:val="00155B0D"/>
    <w:rsid w:val="00155C17"/>
    <w:rsid w:val="00155D00"/>
    <w:rsid w:val="00155F68"/>
    <w:rsid w:val="00155FC0"/>
    <w:rsid w:val="00156351"/>
    <w:rsid w:val="00160301"/>
    <w:rsid w:val="00160442"/>
    <w:rsid w:val="0016068A"/>
    <w:rsid w:val="001610B2"/>
    <w:rsid w:val="0016273C"/>
    <w:rsid w:val="00162A25"/>
    <w:rsid w:val="00162A4B"/>
    <w:rsid w:val="0016451B"/>
    <w:rsid w:val="00164BE2"/>
    <w:rsid w:val="0016544B"/>
    <w:rsid w:val="001655AD"/>
    <w:rsid w:val="001657FA"/>
    <w:rsid w:val="00165877"/>
    <w:rsid w:val="00165AA2"/>
    <w:rsid w:val="00165F15"/>
    <w:rsid w:val="00166354"/>
    <w:rsid w:val="00166C16"/>
    <w:rsid w:val="0016709E"/>
    <w:rsid w:val="001672E9"/>
    <w:rsid w:val="00171990"/>
    <w:rsid w:val="00171A0F"/>
    <w:rsid w:val="00172502"/>
    <w:rsid w:val="0017347B"/>
    <w:rsid w:val="00173744"/>
    <w:rsid w:val="00173E19"/>
    <w:rsid w:val="00174209"/>
    <w:rsid w:val="00174E4C"/>
    <w:rsid w:val="00175376"/>
    <w:rsid w:val="00175F52"/>
    <w:rsid w:val="001762FE"/>
    <w:rsid w:val="001768E4"/>
    <w:rsid w:val="00176A4A"/>
    <w:rsid w:val="001776B7"/>
    <w:rsid w:val="00177E6C"/>
    <w:rsid w:val="00180713"/>
    <w:rsid w:val="00180778"/>
    <w:rsid w:val="00182016"/>
    <w:rsid w:val="00182040"/>
    <w:rsid w:val="00182220"/>
    <w:rsid w:val="001824E0"/>
    <w:rsid w:val="0018281A"/>
    <w:rsid w:val="001844F8"/>
    <w:rsid w:val="00184872"/>
    <w:rsid w:val="001848AF"/>
    <w:rsid w:val="00184BA5"/>
    <w:rsid w:val="0018579D"/>
    <w:rsid w:val="00185ECA"/>
    <w:rsid w:val="00186572"/>
    <w:rsid w:val="00186A30"/>
    <w:rsid w:val="00186CD4"/>
    <w:rsid w:val="001907BD"/>
    <w:rsid w:val="00190991"/>
    <w:rsid w:val="00190EA4"/>
    <w:rsid w:val="0019100D"/>
    <w:rsid w:val="0019160C"/>
    <w:rsid w:val="00191955"/>
    <w:rsid w:val="001919DE"/>
    <w:rsid w:val="00191C98"/>
    <w:rsid w:val="001924AF"/>
    <w:rsid w:val="001929F3"/>
    <w:rsid w:val="0019343C"/>
    <w:rsid w:val="00193A65"/>
    <w:rsid w:val="00193D73"/>
    <w:rsid w:val="00195EE6"/>
    <w:rsid w:val="001963B9"/>
    <w:rsid w:val="00196D02"/>
    <w:rsid w:val="00196D66"/>
    <w:rsid w:val="001970DC"/>
    <w:rsid w:val="00197786"/>
    <w:rsid w:val="00197959"/>
    <w:rsid w:val="001A111B"/>
    <w:rsid w:val="001A1335"/>
    <w:rsid w:val="001A3646"/>
    <w:rsid w:val="001A3E7C"/>
    <w:rsid w:val="001A4448"/>
    <w:rsid w:val="001A4F40"/>
    <w:rsid w:val="001A5BA4"/>
    <w:rsid w:val="001A5E4F"/>
    <w:rsid w:val="001A5E5B"/>
    <w:rsid w:val="001A6C37"/>
    <w:rsid w:val="001A6DA1"/>
    <w:rsid w:val="001A6FF0"/>
    <w:rsid w:val="001A7B45"/>
    <w:rsid w:val="001A7ED4"/>
    <w:rsid w:val="001B0197"/>
    <w:rsid w:val="001B052D"/>
    <w:rsid w:val="001B07FB"/>
    <w:rsid w:val="001B0A3E"/>
    <w:rsid w:val="001B0C24"/>
    <w:rsid w:val="001B2207"/>
    <w:rsid w:val="001B22DC"/>
    <w:rsid w:val="001B3817"/>
    <w:rsid w:val="001B3D79"/>
    <w:rsid w:val="001B417F"/>
    <w:rsid w:val="001B5283"/>
    <w:rsid w:val="001B5355"/>
    <w:rsid w:val="001B59FB"/>
    <w:rsid w:val="001B5EFF"/>
    <w:rsid w:val="001B67B9"/>
    <w:rsid w:val="001B70DF"/>
    <w:rsid w:val="001B761C"/>
    <w:rsid w:val="001B78BD"/>
    <w:rsid w:val="001C310B"/>
    <w:rsid w:val="001C31F7"/>
    <w:rsid w:val="001C3BCC"/>
    <w:rsid w:val="001C3D9B"/>
    <w:rsid w:val="001C3EED"/>
    <w:rsid w:val="001C7A91"/>
    <w:rsid w:val="001D0161"/>
    <w:rsid w:val="001D0746"/>
    <w:rsid w:val="001D0D27"/>
    <w:rsid w:val="001D0E2A"/>
    <w:rsid w:val="001D1118"/>
    <w:rsid w:val="001D182E"/>
    <w:rsid w:val="001D2CA5"/>
    <w:rsid w:val="001D399D"/>
    <w:rsid w:val="001D411F"/>
    <w:rsid w:val="001D4BE6"/>
    <w:rsid w:val="001D4E7B"/>
    <w:rsid w:val="001D51E2"/>
    <w:rsid w:val="001D7A02"/>
    <w:rsid w:val="001D7B9A"/>
    <w:rsid w:val="001E1CC6"/>
    <w:rsid w:val="001E2664"/>
    <w:rsid w:val="001E3115"/>
    <w:rsid w:val="001E317C"/>
    <w:rsid w:val="001E341A"/>
    <w:rsid w:val="001E3AC6"/>
    <w:rsid w:val="001E4187"/>
    <w:rsid w:val="001E476E"/>
    <w:rsid w:val="001E5D02"/>
    <w:rsid w:val="001E6B1F"/>
    <w:rsid w:val="001E7648"/>
    <w:rsid w:val="001E7B6C"/>
    <w:rsid w:val="001E7ED8"/>
    <w:rsid w:val="001F0F8C"/>
    <w:rsid w:val="001F1D8A"/>
    <w:rsid w:val="001F1E14"/>
    <w:rsid w:val="001F1E69"/>
    <w:rsid w:val="001F27FF"/>
    <w:rsid w:val="001F3386"/>
    <w:rsid w:val="001F3E4F"/>
    <w:rsid w:val="001F496E"/>
    <w:rsid w:val="001F4B5E"/>
    <w:rsid w:val="001F4C57"/>
    <w:rsid w:val="001F4CCB"/>
    <w:rsid w:val="001F4F14"/>
    <w:rsid w:val="001F5291"/>
    <w:rsid w:val="001F5C3D"/>
    <w:rsid w:val="001F5E72"/>
    <w:rsid w:val="001F6246"/>
    <w:rsid w:val="001F6726"/>
    <w:rsid w:val="001F73B8"/>
    <w:rsid w:val="001F7624"/>
    <w:rsid w:val="001F7CCF"/>
    <w:rsid w:val="00200026"/>
    <w:rsid w:val="0020231A"/>
    <w:rsid w:val="002034FE"/>
    <w:rsid w:val="00203C20"/>
    <w:rsid w:val="00203CC9"/>
    <w:rsid w:val="00203D68"/>
    <w:rsid w:val="00203F1E"/>
    <w:rsid w:val="002040BE"/>
    <w:rsid w:val="00204DA1"/>
    <w:rsid w:val="0020579E"/>
    <w:rsid w:val="00205BA7"/>
    <w:rsid w:val="00205F35"/>
    <w:rsid w:val="00205FEB"/>
    <w:rsid w:val="002060A8"/>
    <w:rsid w:val="00206A9F"/>
    <w:rsid w:val="002074A5"/>
    <w:rsid w:val="00210505"/>
    <w:rsid w:val="002115A2"/>
    <w:rsid w:val="00211BDE"/>
    <w:rsid w:val="00212AA9"/>
    <w:rsid w:val="00212D70"/>
    <w:rsid w:val="00213A41"/>
    <w:rsid w:val="00214A0B"/>
    <w:rsid w:val="00215DAF"/>
    <w:rsid w:val="00217B9B"/>
    <w:rsid w:val="00217C66"/>
    <w:rsid w:val="0022046E"/>
    <w:rsid w:val="0022073F"/>
    <w:rsid w:val="0022111D"/>
    <w:rsid w:val="0022125B"/>
    <w:rsid w:val="00221C67"/>
    <w:rsid w:val="002220A2"/>
    <w:rsid w:val="00223E36"/>
    <w:rsid w:val="00224244"/>
    <w:rsid w:val="00224E77"/>
    <w:rsid w:val="002255E6"/>
    <w:rsid w:val="0022596E"/>
    <w:rsid w:val="00225C1C"/>
    <w:rsid w:val="00225E96"/>
    <w:rsid w:val="002264CA"/>
    <w:rsid w:val="00227624"/>
    <w:rsid w:val="00230942"/>
    <w:rsid w:val="00230A3F"/>
    <w:rsid w:val="002314CC"/>
    <w:rsid w:val="002329D9"/>
    <w:rsid w:val="00232C4E"/>
    <w:rsid w:val="002330D1"/>
    <w:rsid w:val="002330DE"/>
    <w:rsid w:val="00233191"/>
    <w:rsid w:val="002332F7"/>
    <w:rsid w:val="00233C93"/>
    <w:rsid w:val="002353CD"/>
    <w:rsid w:val="00236952"/>
    <w:rsid w:val="00236BEF"/>
    <w:rsid w:val="00236FC8"/>
    <w:rsid w:val="0023799B"/>
    <w:rsid w:val="00237BEC"/>
    <w:rsid w:val="00237EB4"/>
    <w:rsid w:val="00237EC0"/>
    <w:rsid w:val="00240053"/>
    <w:rsid w:val="002412FA"/>
    <w:rsid w:val="00241761"/>
    <w:rsid w:val="00242F14"/>
    <w:rsid w:val="00244286"/>
    <w:rsid w:val="00244958"/>
    <w:rsid w:val="002456B7"/>
    <w:rsid w:val="002458BF"/>
    <w:rsid w:val="00245A43"/>
    <w:rsid w:val="00246262"/>
    <w:rsid w:val="00246978"/>
    <w:rsid w:val="002472A9"/>
    <w:rsid w:val="002473B7"/>
    <w:rsid w:val="00247ADB"/>
    <w:rsid w:val="00247B05"/>
    <w:rsid w:val="00251012"/>
    <w:rsid w:val="00251CE5"/>
    <w:rsid w:val="002532A5"/>
    <w:rsid w:val="002539B2"/>
    <w:rsid w:val="0025402B"/>
    <w:rsid w:val="00255ABD"/>
    <w:rsid w:val="00260006"/>
    <w:rsid w:val="002602D9"/>
    <w:rsid w:val="00260746"/>
    <w:rsid w:val="00264252"/>
    <w:rsid w:val="00264C92"/>
    <w:rsid w:val="00265286"/>
    <w:rsid w:val="0026589D"/>
    <w:rsid w:val="00265CFF"/>
    <w:rsid w:val="0026636F"/>
    <w:rsid w:val="002669C5"/>
    <w:rsid w:val="00266BB7"/>
    <w:rsid w:val="00266BF7"/>
    <w:rsid w:val="00266C40"/>
    <w:rsid w:val="00266C9D"/>
    <w:rsid w:val="00267077"/>
    <w:rsid w:val="00267B38"/>
    <w:rsid w:val="00267BBA"/>
    <w:rsid w:val="00267C22"/>
    <w:rsid w:val="00270407"/>
    <w:rsid w:val="00271042"/>
    <w:rsid w:val="0027236A"/>
    <w:rsid w:val="00272A34"/>
    <w:rsid w:val="00272C34"/>
    <w:rsid w:val="00272F9A"/>
    <w:rsid w:val="002741E6"/>
    <w:rsid w:val="00274426"/>
    <w:rsid w:val="00274B5E"/>
    <w:rsid w:val="002756FB"/>
    <w:rsid w:val="0027598B"/>
    <w:rsid w:val="0027649D"/>
    <w:rsid w:val="00276FDF"/>
    <w:rsid w:val="00281308"/>
    <w:rsid w:val="00281A32"/>
    <w:rsid w:val="0028244B"/>
    <w:rsid w:val="00284374"/>
    <w:rsid w:val="00284392"/>
    <w:rsid w:val="00284419"/>
    <w:rsid w:val="00284494"/>
    <w:rsid w:val="002849B2"/>
    <w:rsid w:val="00285C8B"/>
    <w:rsid w:val="00287F9D"/>
    <w:rsid w:val="0029091A"/>
    <w:rsid w:val="00290E82"/>
    <w:rsid w:val="00290EA1"/>
    <w:rsid w:val="00290FDC"/>
    <w:rsid w:val="0029162A"/>
    <w:rsid w:val="00292A69"/>
    <w:rsid w:val="00292B86"/>
    <w:rsid w:val="00292E49"/>
    <w:rsid w:val="00292FD7"/>
    <w:rsid w:val="00293594"/>
    <w:rsid w:val="002946BF"/>
    <w:rsid w:val="00295072"/>
    <w:rsid w:val="0029683B"/>
    <w:rsid w:val="00296E15"/>
    <w:rsid w:val="00296EFE"/>
    <w:rsid w:val="00297F5E"/>
    <w:rsid w:val="002A02E1"/>
    <w:rsid w:val="002A0340"/>
    <w:rsid w:val="002A07D3"/>
    <w:rsid w:val="002A17E4"/>
    <w:rsid w:val="002A24A9"/>
    <w:rsid w:val="002A30BC"/>
    <w:rsid w:val="002A377B"/>
    <w:rsid w:val="002A4689"/>
    <w:rsid w:val="002A4994"/>
    <w:rsid w:val="002A4B8D"/>
    <w:rsid w:val="002A4C75"/>
    <w:rsid w:val="002A4CFE"/>
    <w:rsid w:val="002A53E8"/>
    <w:rsid w:val="002A566D"/>
    <w:rsid w:val="002A5889"/>
    <w:rsid w:val="002A6062"/>
    <w:rsid w:val="002A61C7"/>
    <w:rsid w:val="002A675F"/>
    <w:rsid w:val="002A69F2"/>
    <w:rsid w:val="002A6DC7"/>
    <w:rsid w:val="002A6FB8"/>
    <w:rsid w:val="002A7157"/>
    <w:rsid w:val="002A7988"/>
    <w:rsid w:val="002A7D88"/>
    <w:rsid w:val="002B03D6"/>
    <w:rsid w:val="002B0F42"/>
    <w:rsid w:val="002B1FB5"/>
    <w:rsid w:val="002B21E3"/>
    <w:rsid w:val="002B29DA"/>
    <w:rsid w:val="002B307D"/>
    <w:rsid w:val="002B3AA7"/>
    <w:rsid w:val="002B41E5"/>
    <w:rsid w:val="002B5F5C"/>
    <w:rsid w:val="002B65E7"/>
    <w:rsid w:val="002B7CFA"/>
    <w:rsid w:val="002B7DF9"/>
    <w:rsid w:val="002C0952"/>
    <w:rsid w:val="002C0C67"/>
    <w:rsid w:val="002C13EF"/>
    <w:rsid w:val="002C1722"/>
    <w:rsid w:val="002C17A1"/>
    <w:rsid w:val="002C1ADB"/>
    <w:rsid w:val="002C1B78"/>
    <w:rsid w:val="002C2C78"/>
    <w:rsid w:val="002C388C"/>
    <w:rsid w:val="002C5809"/>
    <w:rsid w:val="002C5995"/>
    <w:rsid w:val="002C5F14"/>
    <w:rsid w:val="002C65F7"/>
    <w:rsid w:val="002C7EDB"/>
    <w:rsid w:val="002D01E4"/>
    <w:rsid w:val="002D079C"/>
    <w:rsid w:val="002D085B"/>
    <w:rsid w:val="002D0E8F"/>
    <w:rsid w:val="002D1FAB"/>
    <w:rsid w:val="002D222A"/>
    <w:rsid w:val="002D33C7"/>
    <w:rsid w:val="002D3C51"/>
    <w:rsid w:val="002D486A"/>
    <w:rsid w:val="002D4AB9"/>
    <w:rsid w:val="002D5A58"/>
    <w:rsid w:val="002D6E59"/>
    <w:rsid w:val="002D73AD"/>
    <w:rsid w:val="002D7651"/>
    <w:rsid w:val="002D77A4"/>
    <w:rsid w:val="002E004A"/>
    <w:rsid w:val="002E0168"/>
    <w:rsid w:val="002E211A"/>
    <w:rsid w:val="002E275B"/>
    <w:rsid w:val="002E2A30"/>
    <w:rsid w:val="002E2B7F"/>
    <w:rsid w:val="002E2C2F"/>
    <w:rsid w:val="002E32B8"/>
    <w:rsid w:val="002E3E66"/>
    <w:rsid w:val="002E447E"/>
    <w:rsid w:val="002E4E3E"/>
    <w:rsid w:val="002E57D6"/>
    <w:rsid w:val="002E59F6"/>
    <w:rsid w:val="002E5A8B"/>
    <w:rsid w:val="002E5FC8"/>
    <w:rsid w:val="002E745B"/>
    <w:rsid w:val="002E7B88"/>
    <w:rsid w:val="002E7D7C"/>
    <w:rsid w:val="002F0345"/>
    <w:rsid w:val="002F0FA0"/>
    <w:rsid w:val="002F1827"/>
    <w:rsid w:val="002F3411"/>
    <w:rsid w:val="002F3650"/>
    <w:rsid w:val="002F39E4"/>
    <w:rsid w:val="002F3D65"/>
    <w:rsid w:val="002F3F4E"/>
    <w:rsid w:val="002F3FBD"/>
    <w:rsid w:val="002F4231"/>
    <w:rsid w:val="002F484C"/>
    <w:rsid w:val="002F4B62"/>
    <w:rsid w:val="002F5596"/>
    <w:rsid w:val="002F570A"/>
    <w:rsid w:val="002F5C73"/>
    <w:rsid w:val="00300235"/>
    <w:rsid w:val="0030048E"/>
    <w:rsid w:val="003005F3"/>
    <w:rsid w:val="00300EFF"/>
    <w:rsid w:val="003016A2"/>
    <w:rsid w:val="00301D42"/>
    <w:rsid w:val="00301EB5"/>
    <w:rsid w:val="00302220"/>
    <w:rsid w:val="00302F21"/>
    <w:rsid w:val="00303C54"/>
    <w:rsid w:val="00303D36"/>
    <w:rsid w:val="00303E89"/>
    <w:rsid w:val="0030417B"/>
    <w:rsid w:val="00304BBD"/>
    <w:rsid w:val="0030520B"/>
    <w:rsid w:val="003056A3"/>
    <w:rsid w:val="00305828"/>
    <w:rsid w:val="00305A9C"/>
    <w:rsid w:val="003066F7"/>
    <w:rsid w:val="00306F4A"/>
    <w:rsid w:val="00310392"/>
    <w:rsid w:val="00310809"/>
    <w:rsid w:val="003109D4"/>
    <w:rsid w:val="00311B70"/>
    <w:rsid w:val="00311BD8"/>
    <w:rsid w:val="003121A9"/>
    <w:rsid w:val="003126D7"/>
    <w:rsid w:val="00313431"/>
    <w:rsid w:val="00314362"/>
    <w:rsid w:val="003143CA"/>
    <w:rsid w:val="00314699"/>
    <w:rsid w:val="00314C75"/>
    <w:rsid w:val="00315402"/>
    <w:rsid w:val="00315963"/>
    <w:rsid w:val="00315A83"/>
    <w:rsid w:val="00315CA5"/>
    <w:rsid w:val="00317345"/>
    <w:rsid w:val="0032099F"/>
    <w:rsid w:val="00320D68"/>
    <w:rsid w:val="00321A41"/>
    <w:rsid w:val="00322135"/>
    <w:rsid w:val="0032213A"/>
    <w:rsid w:val="00322901"/>
    <w:rsid w:val="0032319F"/>
    <w:rsid w:val="003234C3"/>
    <w:rsid w:val="00323E3A"/>
    <w:rsid w:val="0032427C"/>
    <w:rsid w:val="00324303"/>
    <w:rsid w:val="00326BAB"/>
    <w:rsid w:val="00326D48"/>
    <w:rsid w:val="003270AC"/>
    <w:rsid w:val="0033044D"/>
    <w:rsid w:val="00330AAB"/>
    <w:rsid w:val="0033156F"/>
    <w:rsid w:val="0033177F"/>
    <w:rsid w:val="00331BD5"/>
    <w:rsid w:val="00331C76"/>
    <w:rsid w:val="0033294D"/>
    <w:rsid w:val="00332B28"/>
    <w:rsid w:val="00332FE7"/>
    <w:rsid w:val="003330A9"/>
    <w:rsid w:val="0033506E"/>
    <w:rsid w:val="003360ED"/>
    <w:rsid w:val="00336AA9"/>
    <w:rsid w:val="00336FA4"/>
    <w:rsid w:val="003375FE"/>
    <w:rsid w:val="003377E2"/>
    <w:rsid w:val="003379BF"/>
    <w:rsid w:val="00340D0D"/>
    <w:rsid w:val="00341DB4"/>
    <w:rsid w:val="00342220"/>
    <w:rsid w:val="00343D7E"/>
    <w:rsid w:val="00344645"/>
    <w:rsid w:val="00345438"/>
    <w:rsid w:val="0034588D"/>
    <w:rsid w:val="003458D3"/>
    <w:rsid w:val="00345E87"/>
    <w:rsid w:val="003462C9"/>
    <w:rsid w:val="00346456"/>
    <w:rsid w:val="0034664A"/>
    <w:rsid w:val="003513AC"/>
    <w:rsid w:val="003514C6"/>
    <w:rsid w:val="00352038"/>
    <w:rsid w:val="003526CF"/>
    <w:rsid w:val="00354A03"/>
    <w:rsid w:val="00356B3D"/>
    <w:rsid w:val="00356BC4"/>
    <w:rsid w:val="00360EEC"/>
    <w:rsid w:val="00361EE3"/>
    <w:rsid w:val="003624BA"/>
    <w:rsid w:val="00362C7A"/>
    <w:rsid w:val="0036321E"/>
    <w:rsid w:val="00363BD5"/>
    <w:rsid w:val="0036401C"/>
    <w:rsid w:val="00364E3D"/>
    <w:rsid w:val="003657EF"/>
    <w:rsid w:val="00365E82"/>
    <w:rsid w:val="0036654A"/>
    <w:rsid w:val="00366991"/>
    <w:rsid w:val="00366C8C"/>
    <w:rsid w:val="00367B53"/>
    <w:rsid w:val="003720B6"/>
    <w:rsid w:val="00372E7F"/>
    <w:rsid w:val="003738C8"/>
    <w:rsid w:val="00373A92"/>
    <w:rsid w:val="00374D4A"/>
    <w:rsid w:val="0037518E"/>
    <w:rsid w:val="003757B7"/>
    <w:rsid w:val="003759D1"/>
    <w:rsid w:val="00375EE8"/>
    <w:rsid w:val="00376371"/>
    <w:rsid w:val="003768D2"/>
    <w:rsid w:val="00377194"/>
    <w:rsid w:val="00380726"/>
    <w:rsid w:val="00380F3B"/>
    <w:rsid w:val="0038161B"/>
    <w:rsid w:val="003819BB"/>
    <w:rsid w:val="00381EAE"/>
    <w:rsid w:val="00382059"/>
    <w:rsid w:val="0038241F"/>
    <w:rsid w:val="0038254F"/>
    <w:rsid w:val="00382A91"/>
    <w:rsid w:val="00382F33"/>
    <w:rsid w:val="0038346A"/>
    <w:rsid w:val="0038444A"/>
    <w:rsid w:val="003849C4"/>
    <w:rsid w:val="00384DB1"/>
    <w:rsid w:val="003856DC"/>
    <w:rsid w:val="00386008"/>
    <w:rsid w:val="003860A6"/>
    <w:rsid w:val="003862E9"/>
    <w:rsid w:val="0038658E"/>
    <w:rsid w:val="00386AE5"/>
    <w:rsid w:val="00386BA0"/>
    <w:rsid w:val="00387B7C"/>
    <w:rsid w:val="00387CE1"/>
    <w:rsid w:val="00387D02"/>
    <w:rsid w:val="00390227"/>
    <w:rsid w:val="00392300"/>
    <w:rsid w:val="00392B98"/>
    <w:rsid w:val="00393119"/>
    <w:rsid w:val="00394013"/>
    <w:rsid w:val="00394480"/>
    <w:rsid w:val="00394E77"/>
    <w:rsid w:val="0039538B"/>
    <w:rsid w:val="00395789"/>
    <w:rsid w:val="003958A2"/>
    <w:rsid w:val="00395B85"/>
    <w:rsid w:val="00396793"/>
    <w:rsid w:val="00396851"/>
    <w:rsid w:val="003970B8"/>
    <w:rsid w:val="003971C2"/>
    <w:rsid w:val="003977B8"/>
    <w:rsid w:val="0039783C"/>
    <w:rsid w:val="003A02E6"/>
    <w:rsid w:val="003A0CA4"/>
    <w:rsid w:val="003A1110"/>
    <w:rsid w:val="003A1EF1"/>
    <w:rsid w:val="003A23F6"/>
    <w:rsid w:val="003A39C6"/>
    <w:rsid w:val="003A3B13"/>
    <w:rsid w:val="003A3BB2"/>
    <w:rsid w:val="003A551F"/>
    <w:rsid w:val="003A5D11"/>
    <w:rsid w:val="003A7A9A"/>
    <w:rsid w:val="003B0130"/>
    <w:rsid w:val="003B0399"/>
    <w:rsid w:val="003B11AC"/>
    <w:rsid w:val="003B145F"/>
    <w:rsid w:val="003B1AE7"/>
    <w:rsid w:val="003B1D44"/>
    <w:rsid w:val="003B1F56"/>
    <w:rsid w:val="003B2C01"/>
    <w:rsid w:val="003B2D9D"/>
    <w:rsid w:val="003B38D1"/>
    <w:rsid w:val="003B3CF5"/>
    <w:rsid w:val="003B433C"/>
    <w:rsid w:val="003B45C2"/>
    <w:rsid w:val="003B53B8"/>
    <w:rsid w:val="003B5DFA"/>
    <w:rsid w:val="003B6D6D"/>
    <w:rsid w:val="003B70A2"/>
    <w:rsid w:val="003B785C"/>
    <w:rsid w:val="003C0363"/>
    <w:rsid w:val="003C04EF"/>
    <w:rsid w:val="003C0CF3"/>
    <w:rsid w:val="003C0FA7"/>
    <w:rsid w:val="003C1293"/>
    <w:rsid w:val="003C1675"/>
    <w:rsid w:val="003C16DC"/>
    <w:rsid w:val="003C1EEC"/>
    <w:rsid w:val="003C24E4"/>
    <w:rsid w:val="003C29D0"/>
    <w:rsid w:val="003C4339"/>
    <w:rsid w:val="003C4348"/>
    <w:rsid w:val="003C4873"/>
    <w:rsid w:val="003C61D1"/>
    <w:rsid w:val="003C6C84"/>
    <w:rsid w:val="003C77D0"/>
    <w:rsid w:val="003D0D50"/>
    <w:rsid w:val="003D1C40"/>
    <w:rsid w:val="003D3023"/>
    <w:rsid w:val="003D390A"/>
    <w:rsid w:val="003D3AE9"/>
    <w:rsid w:val="003D3FED"/>
    <w:rsid w:val="003D4BE0"/>
    <w:rsid w:val="003D5B7B"/>
    <w:rsid w:val="003D5DF8"/>
    <w:rsid w:val="003D6321"/>
    <w:rsid w:val="003E04B9"/>
    <w:rsid w:val="003E0B42"/>
    <w:rsid w:val="003E138C"/>
    <w:rsid w:val="003E17F4"/>
    <w:rsid w:val="003E1BF8"/>
    <w:rsid w:val="003E1C6F"/>
    <w:rsid w:val="003E2AF9"/>
    <w:rsid w:val="003E3733"/>
    <w:rsid w:val="003E3ABA"/>
    <w:rsid w:val="003E3AC8"/>
    <w:rsid w:val="003E491A"/>
    <w:rsid w:val="003E4A96"/>
    <w:rsid w:val="003E58BD"/>
    <w:rsid w:val="003E61C7"/>
    <w:rsid w:val="003E661F"/>
    <w:rsid w:val="003E67D4"/>
    <w:rsid w:val="003E6A4C"/>
    <w:rsid w:val="003E6F82"/>
    <w:rsid w:val="003E7883"/>
    <w:rsid w:val="003F012D"/>
    <w:rsid w:val="003F0599"/>
    <w:rsid w:val="003F17C6"/>
    <w:rsid w:val="003F2B74"/>
    <w:rsid w:val="003F40FF"/>
    <w:rsid w:val="003F43E1"/>
    <w:rsid w:val="003F4852"/>
    <w:rsid w:val="003F4B8E"/>
    <w:rsid w:val="003F5A15"/>
    <w:rsid w:val="003F5E32"/>
    <w:rsid w:val="003F6165"/>
    <w:rsid w:val="003F6B3E"/>
    <w:rsid w:val="003F7592"/>
    <w:rsid w:val="003F7941"/>
    <w:rsid w:val="004001F5"/>
    <w:rsid w:val="00400370"/>
    <w:rsid w:val="004003AA"/>
    <w:rsid w:val="00400E21"/>
    <w:rsid w:val="00400E8E"/>
    <w:rsid w:val="00401DA4"/>
    <w:rsid w:val="0040256D"/>
    <w:rsid w:val="00403307"/>
    <w:rsid w:val="00403B62"/>
    <w:rsid w:val="0040501D"/>
    <w:rsid w:val="00405C60"/>
    <w:rsid w:val="00405CF0"/>
    <w:rsid w:val="00406635"/>
    <w:rsid w:val="00406C88"/>
    <w:rsid w:val="00407F96"/>
    <w:rsid w:val="004100E0"/>
    <w:rsid w:val="004105D5"/>
    <w:rsid w:val="004107E6"/>
    <w:rsid w:val="00410A56"/>
    <w:rsid w:val="00410B93"/>
    <w:rsid w:val="00411374"/>
    <w:rsid w:val="0041171B"/>
    <w:rsid w:val="00411851"/>
    <w:rsid w:val="00412E6B"/>
    <w:rsid w:val="0041347E"/>
    <w:rsid w:val="004139E3"/>
    <w:rsid w:val="00414145"/>
    <w:rsid w:val="004141AF"/>
    <w:rsid w:val="00415565"/>
    <w:rsid w:val="0041697E"/>
    <w:rsid w:val="00416BB6"/>
    <w:rsid w:val="00417DAB"/>
    <w:rsid w:val="00417E4B"/>
    <w:rsid w:val="00420568"/>
    <w:rsid w:val="00420FDA"/>
    <w:rsid w:val="00421146"/>
    <w:rsid w:val="0042116B"/>
    <w:rsid w:val="00421341"/>
    <w:rsid w:val="00421AB4"/>
    <w:rsid w:val="00421C15"/>
    <w:rsid w:val="004226A0"/>
    <w:rsid w:val="004229C2"/>
    <w:rsid w:val="00423348"/>
    <w:rsid w:val="0042343B"/>
    <w:rsid w:val="00424548"/>
    <w:rsid w:val="004246FF"/>
    <w:rsid w:val="0042477F"/>
    <w:rsid w:val="00425566"/>
    <w:rsid w:val="00426F45"/>
    <w:rsid w:val="004303A8"/>
    <w:rsid w:val="0043092F"/>
    <w:rsid w:val="004310E4"/>
    <w:rsid w:val="004316AB"/>
    <w:rsid w:val="004317DF"/>
    <w:rsid w:val="00431B29"/>
    <w:rsid w:val="0043229A"/>
    <w:rsid w:val="00432393"/>
    <w:rsid w:val="00432A6F"/>
    <w:rsid w:val="00432B4E"/>
    <w:rsid w:val="00432F7B"/>
    <w:rsid w:val="00435181"/>
    <w:rsid w:val="004365E4"/>
    <w:rsid w:val="00437C15"/>
    <w:rsid w:val="00437C79"/>
    <w:rsid w:val="00440C38"/>
    <w:rsid w:val="00441ECE"/>
    <w:rsid w:val="004425D8"/>
    <w:rsid w:val="00443C5A"/>
    <w:rsid w:val="00444621"/>
    <w:rsid w:val="004450D0"/>
    <w:rsid w:val="00445823"/>
    <w:rsid w:val="004459F5"/>
    <w:rsid w:val="00446311"/>
    <w:rsid w:val="00446446"/>
    <w:rsid w:val="00446A6E"/>
    <w:rsid w:val="00446CDE"/>
    <w:rsid w:val="00446EED"/>
    <w:rsid w:val="004507E3"/>
    <w:rsid w:val="004508C5"/>
    <w:rsid w:val="00450FD0"/>
    <w:rsid w:val="00451145"/>
    <w:rsid w:val="004518B9"/>
    <w:rsid w:val="00451E8E"/>
    <w:rsid w:val="00452069"/>
    <w:rsid w:val="0045346B"/>
    <w:rsid w:val="0045418D"/>
    <w:rsid w:val="00454AD5"/>
    <w:rsid w:val="004550A8"/>
    <w:rsid w:val="0045549B"/>
    <w:rsid w:val="004557F0"/>
    <w:rsid w:val="00455EFC"/>
    <w:rsid w:val="004568F8"/>
    <w:rsid w:val="00456D95"/>
    <w:rsid w:val="004575E4"/>
    <w:rsid w:val="004576B0"/>
    <w:rsid w:val="00460216"/>
    <w:rsid w:val="0046045F"/>
    <w:rsid w:val="00460CA8"/>
    <w:rsid w:val="0046216C"/>
    <w:rsid w:val="004631EA"/>
    <w:rsid w:val="00463FF9"/>
    <w:rsid w:val="004649FF"/>
    <w:rsid w:val="00464D80"/>
    <w:rsid w:val="00465088"/>
    <w:rsid w:val="00465990"/>
    <w:rsid w:val="00465D65"/>
    <w:rsid w:val="00465E9A"/>
    <w:rsid w:val="00466198"/>
    <w:rsid w:val="00466983"/>
    <w:rsid w:val="004701B2"/>
    <w:rsid w:val="00470F2B"/>
    <w:rsid w:val="0047146E"/>
    <w:rsid w:val="004724ED"/>
    <w:rsid w:val="004727EE"/>
    <w:rsid w:val="00472AEC"/>
    <w:rsid w:val="0047442A"/>
    <w:rsid w:val="00475365"/>
    <w:rsid w:val="00475A0A"/>
    <w:rsid w:val="00475D01"/>
    <w:rsid w:val="00475E8E"/>
    <w:rsid w:val="00476713"/>
    <w:rsid w:val="00476A8A"/>
    <w:rsid w:val="00476DA8"/>
    <w:rsid w:val="00477A3D"/>
    <w:rsid w:val="00480C14"/>
    <w:rsid w:val="0048187F"/>
    <w:rsid w:val="004824B8"/>
    <w:rsid w:val="00482599"/>
    <w:rsid w:val="00482EEC"/>
    <w:rsid w:val="00483BAD"/>
    <w:rsid w:val="00483E9E"/>
    <w:rsid w:val="0048529B"/>
    <w:rsid w:val="00485BF2"/>
    <w:rsid w:val="00486510"/>
    <w:rsid w:val="00486739"/>
    <w:rsid w:val="0048740C"/>
    <w:rsid w:val="0048785D"/>
    <w:rsid w:val="00487F55"/>
    <w:rsid w:val="0049019F"/>
    <w:rsid w:val="0049067F"/>
    <w:rsid w:val="00491335"/>
    <w:rsid w:val="00491806"/>
    <w:rsid w:val="00493A51"/>
    <w:rsid w:val="00493B86"/>
    <w:rsid w:val="004956E1"/>
    <w:rsid w:val="00495E29"/>
    <w:rsid w:val="00496050"/>
    <w:rsid w:val="00496DB7"/>
    <w:rsid w:val="00497F2C"/>
    <w:rsid w:val="004A03B5"/>
    <w:rsid w:val="004A04B5"/>
    <w:rsid w:val="004A050E"/>
    <w:rsid w:val="004A0AD0"/>
    <w:rsid w:val="004A1608"/>
    <w:rsid w:val="004A1AF1"/>
    <w:rsid w:val="004A211E"/>
    <w:rsid w:val="004A2E07"/>
    <w:rsid w:val="004A30E5"/>
    <w:rsid w:val="004A32A5"/>
    <w:rsid w:val="004A39B2"/>
    <w:rsid w:val="004A4ADA"/>
    <w:rsid w:val="004A50BF"/>
    <w:rsid w:val="004A54F3"/>
    <w:rsid w:val="004A613C"/>
    <w:rsid w:val="004A62B2"/>
    <w:rsid w:val="004A6641"/>
    <w:rsid w:val="004A6E00"/>
    <w:rsid w:val="004A758C"/>
    <w:rsid w:val="004A7685"/>
    <w:rsid w:val="004A79E1"/>
    <w:rsid w:val="004A7E8C"/>
    <w:rsid w:val="004B003A"/>
    <w:rsid w:val="004B055E"/>
    <w:rsid w:val="004B0AE3"/>
    <w:rsid w:val="004B0B7F"/>
    <w:rsid w:val="004B12C3"/>
    <w:rsid w:val="004B1BF4"/>
    <w:rsid w:val="004B1DE2"/>
    <w:rsid w:val="004B2076"/>
    <w:rsid w:val="004B2A31"/>
    <w:rsid w:val="004B2E55"/>
    <w:rsid w:val="004B3300"/>
    <w:rsid w:val="004B3B03"/>
    <w:rsid w:val="004B40A9"/>
    <w:rsid w:val="004B41FA"/>
    <w:rsid w:val="004B430E"/>
    <w:rsid w:val="004B454F"/>
    <w:rsid w:val="004B5D29"/>
    <w:rsid w:val="004B6165"/>
    <w:rsid w:val="004B67B7"/>
    <w:rsid w:val="004B6FAB"/>
    <w:rsid w:val="004B708E"/>
    <w:rsid w:val="004B7189"/>
    <w:rsid w:val="004B73B2"/>
    <w:rsid w:val="004B7C85"/>
    <w:rsid w:val="004C001E"/>
    <w:rsid w:val="004C17AD"/>
    <w:rsid w:val="004C2020"/>
    <w:rsid w:val="004C2A7A"/>
    <w:rsid w:val="004C2B4D"/>
    <w:rsid w:val="004C365C"/>
    <w:rsid w:val="004C3DDD"/>
    <w:rsid w:val="004C4FF8"/>
    <w:rsid w:val="004C55EA"/>
    <w:rsid w:val="004C5D9B"/>
    <w:rsid w:val="004C5E0A"/>
    <w:rsid w:val="004C6CC8"/>
    <w:rsid w:val="004C7934"/>
    <w:rsid w:val="004C7EE3"/>
    <w:rsid w:val="004D0ADE"/>
    <w:rsid w:val="004D1464"/>
    <w:rsid w:val="004D1E19"/>
    <w:rsid w:val="004D2A71"/>
    <w:rsid w:val="004D2F71"/>
    <w:rsid w:val="004D37B5"/>
    <w:rsid w:val="004D3FB2"/>
    <w:rsid w:val="004D51BA"/>
    <w:rsid w:val="004D53B6"/>
    <w:rsid w:val="004D55B2"/>
    <w:rsid w:val="004D653F"/>
    <w:rsid w:val="004D65D4"/>
    <w:rsid w:val="004D65D6"/>
    <w:rsid w:val="004D7EAE"/>
    <w:rsid w:val="004D7F00"/>
    <w:rsid w:val="004D7F8D"/>
    <w:rsid w:val="004E0029"/>
    <w:rsid w:val="004E043D"/>
    <w:rsid w:val="004E0B64"/>
    <w:rsid w:val="004E1A18"/>
    <w:rsid w:val="004E1E19"/>
    <w:rsid w:val="004E2F55"/>
    <w:rsid w:val="004E316B"/>
    <w:rsid w:val="004E3172"/>
    <w:rsid w:val="004E34BD"/>
    <w:rsid w:val="004E37AB"/>
    <w:rsid w:val="004E39BE"/>
    <w:rsid w:val="004E515B"/>
    <w:rsid w:val="004E598D"/>
    <w:rsid w:val="004E5DF9"/>
    <w:rsid w:val="004E7E24"/>
    <w:rsid w:val="004F057D"/>
    <w:rsid w:val="004F0E68"/>
    <w:rsid w:val="004F0F3D"/>
    <w:rsid w:val="004F1AC0"/>
    <w:rsid w:val="004F1BE6"/>
    <w:rsid w:val="004F2F83"/>
    <w:rsid w:val="004F34F4"/>
    <w:rsid w:val="004F3ADE"/>
    <w:rsid w:val="004F4465"/>
    <w:rsid w:val="004F47DC"/>
    <w:rsid w:val="004F5BB9"/>
    <w:rsid w:val="004F6092"/>
    <w:rsid w:val="004F65B0"/>
    <w:rsid w:val="004F6B8E"/>
    <w:rsid w:val="004F6FE2"/>
    <w:rsid w:val="004F7907"/>
    <w:rsid w:val="00500C91"/>
    <w:rsid w:val="00500F75"/>
    <w:rsid w:val="0050103A"/>
    <w:rsid w:val="00501917"/>
    <w:rsid w:val="005021CA"/>
    <w:rsid w:val="00502ACC"/>
    <w:rsid w:val="00502B09"/>
    <w:rsid w:val="00503BCE"/>
    <w:rsid w:val="005044B5"/>
    <w:rsid w:val="00504570"/>
    <w:rsid w:val="005103AC"/>
    <w:rsid w:val="0051054E"/>
    <w:rsid w:val="0051163D"/>
    <w:rsid w:val="00511A00"/>
    <w:rsid w:val="00511AB2"/>
    <w:rsid w:val="00512551"/>
    <w:rsid w:val="0051388B"/>
    <w:rsid w:val="00513F9E"/>
    <w:rsid w:val="005141C4"/>
    <w:rsid w:val="00514A1E"/>
    <w:rsid w:val="00515246"/>
    <w:rsid w:val="00515F76"/>
    <w:rsid w:val="00516455"/>
    <w:rsid w:val="00516456"/>
    <w:rsid w:val="00516C5F"/>
    <w:rsid w:val="00517263"/>
    <w:rsid w:val="00517D8E"/>
    <w:rsid w:val="00520C70"/>
    <w:rsid w:val="00520F7D"/>
    <w:rsid w:val="0052111B"/>
    <w:rsid w:val="0052149F"/>
    <w:rsid w:val="00521E5A"/>
    <w:rsid w:val="00521EA5"/>
    <w:rsid w:val="00521FB0"/>
    <w:rsid w:val="005222D7"/>
    <w:rsid w:val="00523636"/>
    <w:rsid w:val="005247DD"/>
    <w:rsid w:val="00524CFF"/>
    <w:rsid w:val="005257B4"/>
    <w:rsid w:val="0052599B"/>
    <w:rsid w:val="00526095"/>
    <w:rsid w:val="005264D9"/>
    <w:rsid w:val="00526505"/>
    <w:rsid w:val="005267AF"/>
    <w:rsid w:val="00526CFC"/>
    <w:rsid w:val="005273E1"/>
    <w:rsid w:val="0052753D"/>
    <w:rsid w:val="005277D9"/>
    <w:rsid w:val="00527D3B"/>
    <w:rsid w:val="005302C8"/>
    <w:rsid w:val="0053035A"/>
    <w:rsid w:val="00530FD5"/>
    <w:rsid w:val="005315EB"/>
    <w:rsid w:val="0053213A"/>
    <w:rsid w:val="00532607"/>
    <w:rsid w:val="005326F9"/>
    <w:rsid w:val="005329E1"/>
    <w:rsid w:val="0053361D"/>
    <w:rsid w:val="00533925"/>
    <w:rsid w:val="00533E23"/>
    <w:rsid w:val="00534005"/>
    <w:rsid w:val="00535031"/>
    <w:rsid w:val="00535BC7"/>
    <w:rsid w:val="00536023"/>
    <w:rsid w:val="00536604"/>
    <w:rsid w:val="00536653"/>
    <w:rsid w:val="005367D5"/>
    <w:rsid w:val="00536F1A"/>
    <w:rsid w:val="00537ED6"/>
    <w:rsid w:val="00540215"/>
    <w:rsid w:val="00540F5A"/>
    <w:rsid w:val="005415F8"/>
    <w:rsid w:val="00542725"/>
    <w:rsid w:val="00542C6A"/>
    <w:rsid w:val="00543B81"/>
    <w:rsid w:val="00543E32"/>
    <w:rsid w:val="005449BB"/>
    <w:rsid w:val="0054569A"/>
    <w:rsid w:val="00545919"/>
    <w:rsid w:val="00545B7D"/>
    <w:rsid w:val="00545CFA"/>
    <w:rsid w:val="0054783C"/>
    <w:rsid w:val="00547F4B"/>
    <w:rsid w:val="00547FE1"/>
    <w:rsid w:val="00550CD3"/>
    <w:rsid w:val="00550F23"/>
    <w:rsid w:val="0055179D"/>
    <w:rsid w:val="005520DD"/>
    <w:rsid w:val="00552BB7"/>
    <w:rsid w:val="00552F55"/>
    <w:rsid w:val="00554260"/>
    <w:rsid w:val="00554290"/>
    <w:rsid w:val="00554D50"/>
    <w:rsid w:val="00555397"/>
    <w:rsid w:val="005559B3"/>
    <w:rsid w:val="005563AF"/>
    <w:rsid w:val="00556AE2"/>
    <w:rsid w:val="00556D21"/>
    <w:rsid w:val="00560CAD"/>
    <w:rsid w:val="00561A18"/>
    <w:rsid w:val="00561AD8"/>
    <w:rsid w:val="00561C4B"/>
    <w:rsid w:val="00561CC7"/>
    <w:rsid w:val="0056237B"/>
    <w:rsid w:val="00562CBF"/>
    <w:rsid w:val="00562CEA"/>
    <w:rsid w:val="00562E5C"/>
    <w:rsid w:val="005632DF"/>
    <w:rsid w:val="0056350B"/>
    <w:rsid w:val="00563639"/>
    <w:rsid w:val="00564CAD"/>
    <w:rsid w:val="00565F67"/>
    <w:rsid w:val="00566773"/>
    <w:rsid w:val="005669F4"/>
    <w:rsid w:val="00567084"/>
    <w:rsid w:val="00567088"/>
    <w:rsid w:val="00567D5D"/>
    <w:rsid w:val="00567DA5"/>
    <w:rsid w:val="00567F6A"/>
    <w:rsid w:val="00570506"/>
    <w:rsid w:val="00571160"/>
    <w:rsid w:val="005724F6"/>
    <w:rsid w:val="00572E7E"/>
    <w:rsid w:val="00573233"/>
    <w:rsid w:val="00573EF5"/>
    <w:rsid w:val="0057441A"/>
    <w:rsid w:val="00574580"/>
    <w:rsid w:val="00574B05"/>
    <w:rsid w:val="0057604B"/>
    <w:rsid w:val="0057715D"/>
    <w:rsid w:val="00580D98"/>
    <w:rsid w:val="00581834"/>
    <w:rsid w:val="0058238D"/>
    <w:rsid w:val="00582658"/>
    <w:rsid w:val="00583625"/>
    <w:rsid w:val="00583CE8"/>
    <w:rsid w:val="00583DF6"/>
    <w:rsid w:val="00584616"/>
    <w:rsid w:val="005848C3"/>
    <w:rsid w:val="00585A54"/>
    <w:rsid w:val="005864F2"/>
    <w:rsid w:val="0058686A"/>
    <w:rsid w:val="0059009F"/>
    <w:rsid w:val="005903BF"/>
    <w:rsid w:val="005907BE"/>
    <w:rsid w:val="00591348"/>
    <w:rsid w:val="00591AEA"/>
    <w:rsid w:val="00592643"/>
    <w:rsid w:val="0059265E"/>
    <w:rsid w:val="00593328"/>
    <w:rsid w:val="00593868"/>
    <w:rsid w:val="00593DD4"/>
    <w:rsid w:val="005943C8"/>
    <w:rsid w:val="0059492C"/>
    <w:rsid w:val="00595103"/>
    <w:rsid w:val="00595856"/>
    <w:rsid w:val="00595D24"/>
    <w:rsid w:val="0059655E"/>
    <w:rsid w:val="00597111"/>
    <w:rsid w:val="005977B7"/>
    <w:rsid w:val="005A1A4F"/>
    <w:rsid w:val="005A3AF2"/>
    <w:rsid w:val="005A3CA0"/>
    <w:rsid w:val="005A5102"/>
    <w:rsid w:val="005A510F"/>
    <w:rsid w:val="005A70AA"/>
    <w:rsid w:val="005A7924"/>
    <w:rsid w:val="005A7DF9"/>
    <w:rsid w:val="005B064D"/>
    <w:rsid w:val="005B1BEE"/>
    <w:rsid w:val="005B384D"/>
    <w:rsid w:val="005B38AB"/>
    <w:rsid w:val="005B504F"/>
    <w:rsid w:val="005B50FD"/>
    <w:rsid w:val="005B5728"/>
    <w:rsid w:val="005B5830"/>
    <w:rsid w:val="005B74A9"/>
    <w:rsid w:val="005C0014"/>
    <w:rsid w:val="005C010F"/>
    <w:rsid w:val="005C0473"/>
    <w:rsid w:val="005C0768"/>
    <w:rsid w:val="005C0948"/>
    <w:rsid w:val="005C0CA8"/>
    <w:rsid w:val="005C0CD8"/>
    <w:rsid w:val="005C0DFC"/>
    <w:rsid w:val="005C0F02"/>
    <w:rsid w:val="005C24CC"/>
    <w:rsid w:val="005C2D35"/>
    <w:rsid w:val="005C2F31"/>
    <w:rsid w:val="005C45A6"/>
    <w:rsid w:val="005C4620"/>
    <w:rsid w:val="005C4896"/>
    <w:rsid w:val="005C54C3"/>
    <w:rsid w:val="005C5607"/>
    <w:rsid w:val="005C69E4"/>
    <w:rsid w:val="005C6B03"/>
    <w:rsid w:val="005C7D5F"/>
    <w:rsid w:val="005C7E69"/>
    <w:rsid w:val="005C7ED8"/>
    <w:rsid w:val="005D0A34"/>
    <w:rsid w:val="005D0AA0"/>
    <w:rsid w:val="005D0CDD"/>
    <w:rsid w:val="005D210D"/>
    <w:rsid w:val="005D2627"/>
    <w:rsid w:val="005D2724"/>
    <w:rsid w:val="005D3056"/>
    <w:rsid w:val="005D3701"/>
    <w:rsid w:val="005D3B9B"/>
    <w:rsid w:val="005D46E1"/>
    <w:rsid w:val="005D4E18"/>
    <w:rsid w:val="005D4E7A"/>
    <w:rsid w:val="005D5A34"/>
    <w:rsid w:val="005D6422"/>
    <w:rsid w:val="005E0755"/>
    <w:rsid w:val="005E0FA0"/>
    <w:rsid w:val="005E1756"/>
    <w:rsid w:val="005E247C"/>
    <w:rsid w:val="005E25FA"/>
    <w:rsid w:val="005E2798"/>
    <w:rsid w:val="005E27D5"/>
    <w:rsid w:val="005E434B"/>
    <w:rsid w:val="005E4F7D"/>
    <w:rsid w:val="005E5AFE"/>
    <w:rsid w:val="005E5BA1"/>
    <w:rsid w:val="005E5D2D"/>
    <w:rsid w:val="005E6145"/>
    <w:rsid w:val="005E6750"/>
    <w:rsid w:val="005E6AD1"/>
    <w:rsid w:val="005E6CBA"/>
    <w:rsid w:val="005E6DFD"/>
    <w:rsid w:val="005E7738"/>
    <w:rsid w:val="005F0DCB"/>
    <w:rsid w:val="005F16FE"/>
    <w:rsid w:val="005F3F44"/>
    <w:rsid w:val="005F490F"/>
    <w:rsid w:val="005F4E09"/>
    <w:rsid w:val="005F4FDF"/>
    <w:rsid w:val="005F5181"/>
    <w:rsid w:val="005F57B7"/>
    <w:rsid w:val="005F7022"/>
    <w:rsid w:val="005F7B00"/>
    <w:rsid w:val="005F7E70"/>
    <w:rsid w:val="005F7EC9"/>
    <w:rsid w:val="00600F0A"/>
    <w:rsid w:val="00601EBA"/>
    <w:rsid w:val="006035F5"/>
    <w:rsid w:val="00603A1B"/>
    <w:rsid w:val="00604059"/>
    <w:rsid w:val="00604124"/>
    <w:rsid w:val="006045B4"/>
    <w:rsid w:val="00605399"/>
    <w:rsid w:val="00605EE2"/>
    <w:rsid w:val="0060608A"/>
    <w:rsid w:val="0060667A"/>
    <w:rsid w:val="00606900"/>
    <w:rsid w:val="00606BCF"/>
    <w:rsid w:val="00606E8C"/>
    <w:rsid w:val="006111B8"/>
    <w:rsid w:val="006117EE"/>
    <w:rsid w:val="00611A8E"/>
    <w:rsid w:val="00611BB0"/>
    <w:rsid w:val="00611BCB"/>
    <w:rsid w:val="006121A1"/>
    <w:rsid w:val="00612C33"/>
    <w:rsid w:val="006137A1"/>
    <w:rsid w:val="00613C79"/>
    <w:rsid w:val="00614039"/>
    <w:rsid w:val="00614114"/>
    <w:rsid w:val="0061417A"/>
    <w:rsid w:val="00614444"/>
    <w:rsid w:val="0061527B"/>
    <w:rsid w:val="0061590C"/>
    <w:rsid w:val="00616798"/>
    <w:rsid w:val="0061692E"/>
    <w:rsid w:val="00616C44"/>
    <w:rsid w:val="00617D58"/>
    <w:rsid w:val="006215B2"/>
    <w:rsid w:val="00622331"/>
    <w:rsid w:val="006223E4"/>
    <w:rsid w:val="0062275B"/>
    <w:rsid w:val="00623DB2"/>
    <w:rsid w:val="00625FFB"/>
    <w:rsid w:val="00626069"/>
    <w:rsid w:val="00626696"/>
    <w:rsid w:val="0062694A"/>
    <w:rsid w:val="00626DDF"/>
    <w:rsid w:val="00627337"/>
    <w:rsid w:val="0062769E"/>
    <w:rsid w:val="00630711"/>
    <w:rsid w:val="00631E7D"/>
    <w:rsid w:val="00631FAB"/>
    <w:rsid w:val="006321BA"/>
    <w:rsid w:val="00633ABE"/>
    <w:rsid w:val="0063428C"/>
    <w:rsid w:val="006342E8"/>
    <w:rsid w:val="00634901"/>
    <w:rsid w:val="00634F9C"/>
    <w:rsid w:val="00635B22"/>
    <w:rsid w:val="00636B69"/>
    <w:rsid w:val="006403E0"/>
    <w:rsid w:val="00640BB1"/>
    <w:rsid w:val="00641472"/>
    <w:rsid w:val="00641900"/>
    <w:rsid w:val="00642741"/>
    <w:rsid w:val="00643943"/>
    <w:rsid w:val="00643E9C"/>
    <w:rsid w:val="00644770"/>
    <w:rsid w:val="006469E0"/>
    <w:rsid w:val="006470CA"/>
    <w:rsid w:val="00650A4A"/>
    <w:rsid w:val="00650B8A"/>
    <w:rsid w:val="00650BA6"/>
    <w:rsid w:val="00650BE0"/>
    <w:rsid w:val="00650CFF"/>
    <w:rsid w:val="00651122"/>
    <w:rsid w:val="00651CD9"/>
    <w:rsid w:val="00652054"/>
    <w:rsid w:val="00652328"/>
    <w:rsid w:val="006535BD"/>
    <w:rsid w:val="00653837"/>
    <w:rsid w:val="00653A39"/>
    <w:rsid w:val="006548F9"/>
    <w:rsid w:val="006554E5"/>
    <w:rsid w:val="0065556D"/>
    <w:rsid w:val="006558E1"/>
    <w:rsid w:val="00656807"/>
    <w:rsid w:val="00656E43"/>
    <w:rsid w:val="00656F65"/>
    <w:rsid w:val="00657E19"/>
    <w:rsid w:val="00657FE6"/>
    <w:rsid w:val="006611E3"/>
    <w:rsid w:val="0066134E"/>
    <w:rsid w:val="0066166C"/>
    <w:rsid w:val="00661C43"/>
    <w:rsid w:val="00661EC4"/>
    <w:rsid w:val="00662316"/>
    <w:rsid w:val="006633B7"/>
    <w:rsid w:val="00665730"/>
    <w:rsid w:val="00666054"/>
    <w:rsid w:val="00666345"/>
    <w:rsid w:val="00666517"/>
    <w:rsid w:val="0066745A"/>
    <w:rsid w:val="00670A91"/>
    <w:rsid w:val="00671363"/>
    <w:rsid w:val="006723CC"/>
    <w:rsid w:val="00672CD8"/>
    <w:rsid w:val="00672E65"/>
    <w:rsid w:val="00675021"/>
    <w:rsid w:val="0067722B"/>
    <w:rsid w:val="00681844"/>
    <w:rsid w:val="00681856"/>
    <w:rsid w:val="00681A92"/>
    <w:rsid w:val="00682587"/>
    <w:rsid w:val="00682E29"/>
    <w:rsid w:val="00683124"/>
    <w:rsid w:val="00683A59"/>
    <w:rsid w:val="006848A3"/>
    <w:rsid w:val="00684CD8"/>
    <w:rsid w:val="00685322"/>
    <w:rsid w:val="006855F9"/>
    <w:rsid w:val="0068585E"/>
    <w:rsid w:val="006860F8"/>
    <w:rsid w:val="0068613D"/>
    <w:rsid w:val="006863F1"/>
    <w:rsid w:val="0068676A"/>
    <w:rsid w:val="006868BF"/>
    <w:rsid w:val="00686BE7"/>
    <w:rsid w:val="00686FF5"/>
    <w:rsid w:val="00687E7C"/>
    <w:rsid w:val="00687FEC"/>
    <w:rsid w:val="00690C11"/>
    <w:rsid w:val="00690C1E"/>
    <w:rsid w:val="00690E87"/>
    <w:rsid w:val="006912A3"/>
    <w:rsid w:val="00691324"/>
    <w:rsid w:val="00691B23"/>
    <w:rsid w:val="00691FA3"/>
    <w:rsid w:val="00693E2D"/>
    <w:rsid w:val="00694ACA"/>
    <w:rsid w:val="00694ED5"/>
    <w:rsid w:val="006950A6"/>
    <w:rsid w:val="006953EF"/>
    <w:rsid w:val="006970E2"/>
    <w:rsid w:val="00697CA3"/>
    <w:rsid w:val="00697DB1"/>
    <w:rsid w:val="006A0378"/>
    <w:rsid w:val="006A07DA"/>
    <w:rsid w:val="006A132D"/>
    <w:rsid w:val="006A16B2"/>
    <w:rsid w:val="006A201D"/>
    <w:rsid w:val="006A25EE"/>
    <w:rsid w:val="006A2A4C"/>
    <w:rsid w:val="006A2AC3"/>
    <w:rsid w:val="006A35C5"/>
    <w:rsid w:val="006A3DE3"/>
    <w:rsid w:val="006A42D0"/>
    <w:rsid w:val="006A503E"/>
    <w:rsid w:val="006A699B"/>
    <w:rsid w:val="006A6A11"/>
    <w:rsid w:val="006A7253"/>
    <w:rsid w:val="006B2653"/>
    <w:rsid w:val="006B318C"/>
    <w:rsid w:val="006B32D8"/>
    <w:rsid w:val="006B3665"/>
    <w:rsid w:val="006B3F3C"/>
    <w:rsid w:val="006B4AB7"/>
    <w:rsid w:val="006B5625"/>
    <w:rsid w:val="006B616B"/>
    <w:rsid w:val="006B6E62"/>
    <w:rsid w:val="006B789A"/>
    <w:rsid w:val="006B7DD7"/>
    <w:rsid w:val="006C0320"/>
    <w:rsid w:val="006C0641"/>
    <w:rsid w:val="006C0E26"/>
    <w:rsid w:val="006C1750"/>
    <w:rsid w:val="006C1A1C"/>
    <w:rsid w:val="006C2838"/>
    <w:rsid w:val="006C28F9"/>
    <w:rsid w:val="006C2A03"/>
    <w:rsid w:val="006C3A3F"/>
    <w:rsid w:val="006C3ABF"/>
    <w:rsid w:val="006C3DDB"/>
    <w:rsid w:val="006C49A7"/>
    <w:rsid w:val="006C4AE0"/>
    <w:rsid w:val="006C5597"/>
    <w:rsid w:val="006C57ED"/>
    <w:rsid w:val="006C5F66"/>
    <w:rsid w:val="006C5FE3"/>
    <w:rsid w:val="006C6DED"/>
    <w:rsid w:val="006C7DC3"/>
    <w:rsid w:val="006C7FB2"/>
    <w:rsid w:val="006D0BEF"/>
    <w:rsid w:val="006D0F33"/>
    <w:rsid w:val="006D1B2A"/>
    <w:rsid w:val="006D2972"/>
    <w:rsid w:val="006D2B5F"/>
    <w:rsid w:val="006D2CA5"/>
    <w:rsid w:val="006D2EE7"/>
    <w:rsid w:val="006D31B3"/>
    <w:rsid w:val="006D3C6F"/>
    <w:rsid w:val="006D3F73"/>
    <w:rsid w:val="006D4266"/>
    <w:rsid w:val="006D47F3"/>
    <w:rsid w:val="006D5989"/>
    <w:rsid w:val="006D5D6E"/>
    <w:rsid w:val="006E02FD"/>
    <w:rsid w:val="006E1597"/>
    <w:rsid w:val="006E1A7B"/>
    <w:rsid w:val="006E1AA0"/>
    <w:rsid w:val="006E2134"/>
    <w:rsid w:val="006E315C"/>
    <w:rsid w:val="006E3223"/>
    <w:rsid w:val="006E35E2"/>
    <w:rsid w:val="006E3ADC"/>
    <w:rsid w:val="006E4DB0"/>
    <w:rsid w:val="006E5355"/>
    <w:rsid w:val="006E5623"/>
    <w:rsid w:val="006E5633"/>
    <w:rsid w:val="006E5912"/>
    <w:rsid w:val="006E5B09"/>
    <w:rsid w:val="006E65DA"/>
    <w:rsid w:val="006E6D94"/>
    <w:rsid w:val="006E7F10"/>
    <w:rsid w:val="006F01E1"/>
    <w:rsid w:val="006F0334"/>
    <w:rsid w:val="006F0414"/>
    <w:rsid w:val="006F0567"/>
    <w:rsid w:val="006F0770"/>
    <w:rsid w:val="006F16AC"/>
    <w:rsid w:val="006F1792"/>
    <w:rsid w:val="006F1CAE"/>
    <w:rsid w:val="006F24B0"/>
    <w:rsid w:val="006F2848"/>
    <w:rsid w:val="006F32FB"/>
    <w:rsid w:val="006F3398"/>
    <w:rsid w:val="006F3C8E"/>
    <w:rsid w:val="006F415D"/>
    <w:rsid w:val="006F49D3"/>
    <w:rsid w:val="006F4E28"/>
    <w:rsid w:val="006F55EE"/>
    <w:rsid w:val="006F5D4B"/>
    <w:rsid w:val="006F5E52"/>
    <w:rsid w:val="006F5FB8"/>
    <w:rsid w:val="006F6703"/>
    <w:rsid w:val="006F6E77"/>
    <w:rsid w:val="006F7A31"/>
    <w:rsid w:val="006F7B0A"/>
    <w:rsid w:val="0070039D"/>
    <w:rsid w:val="00700640"/>
    <w:rsid w:val="00700949"/>
    <w:rsid w:val="00701844"/>
    <w:rsid w:val="00702048"/>
    <w:rsid w:val="00702E4B"/>
    <w:rsid w:val="00703680"/>
    <w:rsid w:val="0070566B"/>
    <w:rsid w:val="00705CEA"/>
    <w:rsid w:val="0070657D"/>
    <w:rsid w:val="0070764F"/>
    <w:rsid w:val="00710344"/>
    <w:rsid w:val="00710AD1"/>
    <w:rsid w:val="00710B40"/>
    <w:rsid w:val="00710FF4"/>
    <w:rsid w:val="0071107F"/>
    <w:rsid w:val="00711849"/>
    <w:rsid w:val="007123D9"/>
    <w:rsid w:val="00712F70"/>
    <w:rsid w:val="0071303D"/>
    <w:rsid w:val="007136D9"/>
    <w:rsid w:val="00713B2E"/>
    <w:rsid w:val="00713DFE"/>
    <w:rsid w:val="0071411D"/>
    <w:rsid w:val="00714E39"/>
    <w:rsid w:val="00715B83"/>
    <w:rsid w:val="007167A2"/>
    <w:rsid w:val="00716C39"/>
    <w:rsid w:val="00716D2D"/>
    <w:rsid w:val="00716FE8"/>
    <w:rsid w:val="00717EE6"/>
    <w:rsid w:val="0072090C"/>
    <w:rsid w:val="0072139B"/>
    <w:rsid w:val="00721949"/>
    <w:rsid w:val="00723C29"/>
    <w:rsid w:val="00724322"/>
    <w:rsid w:val="0072607D"/>
    <w:rsid w:val="0072679F"/>
    <w:rsid w:val="00726BC9"/>
    <w:rsid w:val="00726E9B"/>
    <w:rsid w:val="0072787E"/>
    <w:rsid w:val="00727BFD"/>
    <w:rsid w:val="00727C17"/>
    <w:rsid w:val="00730186"/>
    <w:rsid w:val="00730203"/>
    <w:rsid w:val="00730B48"/>
    <w:rsid w:val="00733656"/>
    <w:rsid w:val="007340E2"/>
    <w:rsid w:val="0073421A"/>
    <w:rsid w:val="00734505"/>
    <w:rsid w:val="0073557D"/>
    <w:rsid w:val="007357FF"/>
    <w:rsid w:val="00735B2E"/>
    <w:rsid w:val="00736147"/>
    <w:rsid w:val="00736A9D"/>
    <w:rsid w:val="00737D97"/>
    <w:rsid w:val="00740627"/>
    <w:rsid w:val="00741286"/>
    <w:rsid w:val="00742736"/>
    <w:rsid w:val="007434FB"/>
    <w:rsid w:val="007441B1"/>
    <w:rsid w:val="00744951"/>
    <w:rsid w:val="00744FEA"/>
    <w:rsid w:val="00745A76"/>
    <w:rsid w:val="00745A84"/>
    <w:rsid w:val="00746B92"/>
    <w:rsid w:val="007472BD"/>
    <w:rsid w:val="00747466"/>
    <w:rsid w:val="007479ED"/>
    <w:rsid w:val="007513E1"/>
    <w:rsid w:val="0075169D"/>
    <w:rsid w:val="00751802"/>
    <w:rsid w:val="00751C00"/>
    <w:rsid w:val="00752D13"/>
    <w:rsid w:val="007531E2"/>
    <w:rsid w:val="007534E4"/>
    <w:rsid w:val="00753E11"/>
    <w:rsid w:val="00754270"/>
    <w:rsid w:val="007545A3"/>
    <w:rsid w:val="00754D76"/>
    <w:rsid w:val="00754F92"/>
    <w:rsid w:val="00755BF9"/>
    <w:rsid w:val="00756147"/>
    <w:rsid w:val="00756C1A"/>
    <w:rsid w:val="00757724"/>
    <w:rsid w:val="007602D3"/>
    <w:rsid w:val="00761CB7"/>
    <w:rsid w:val="007621FE"/>
    <w:rsid w:val="00762FAE"/>
    <w:rsid w:val="00764166"/>
    <w:rsid w:val="00764C30"/>
    <w:rsid w:val="00764C70"/>
    <w:rsid w:val="00764F76"/>
    <w:rsid w:val="00765D49"/>
    <w:rsid w:val="007665A3"/>
    <w:rsid w:val="007667A3"/>
    <w:rsid w:val="00770426"/>
    <w:rsid w:val="00770C3E"/>
    <w:rsid w:val="00770EA8"/>
    <w:rsid w:val="00772625"/>
    <w:rsid w:val="00773571"/>
    <w:rsid w:val="00773AE6"/>
    <w:rsid w:val="00774DD5"/>
    <w:rsid w:val="007750F8"/>
    <w:rsid w:val="007760A9"/>
    <w:rsid w:val="00776259"/>
    <w:rsid w:val="00776DBD"/>
    <w:rsid w:val="00777FD8"/>
    <w:rsid w:val="0078047B"/>
    <w:rsid w:val="0078049C"/>
    <w:rsid w:val="00781180"/>
    <w:rsid w:val="00781FE2"/>
    <w:rsid w:val="007828B0"/>
    <w:rsid w:val="00782BDD"/>
    <w:rsid w:val="00785736"/>
    <w:rsid w:val="00785B89"/>
    <w:rsid w:val="0078622B"/>
    <w:rsid w:val="00786C37"/>
    <w:rsid w:val="0078751D"/>
    <w:rsid w:val="007876B0"/>
    <w:rsid w:val="00787952"/>
    <w:rsid w:val="007911D5"/>
    <w:rsid w:val="0079261D"/>
    <w:rsid w:val="00793287"/>
    <w:rsid w:val="00793CD9"/>
    <w:rsid w:val="00793F78"/>
    <w:rsid w:val="00794332"/>
    <w:rsid w:val="00794BAE"/>
    <w:rsid w:val="00795C97"/>
    <w:rsid w:val="00795EF9"/>
    <w:rsid w:val="007968A2"/>
    <w:rsid w:val="007975A6"/>
    <w:rsid w:val="0079768A"/>
    <w:rsid w:val="00797E21"/>
    <w:rsid w:val="00797EE6"/>
    <w:rsid w:val="007A06DD"/>
    <w:rsid w:val="007A0FAB"/>
    <w:rsid w:val="007A184A"/>
    <w:rsid w:val="007A2122"/>
    <w:rsid w:val="007A234B"/>
    <w:rsid w:val="007A245D"/>
    <w:rsid w:val="007A2D46"/>
    <w:rsid w:val="007A4B49"/>
    <w:rsid w:val="007A4DE3"/>
    <w:rsid w:val="007A4F71"/>
    <w:rsid w:val="007A51F9"/>
    <w:rsid w:val="007A5AB7"/>
    <w:rsid w:val="007A6A39"/>
    <w:rsid w:val="007A73AB"/>
    <w:rsid w:val="007A78A4"/>
    <w:rsid w:val="007A7AEF"/>
    <w:rsid w:val="007A7DE1"/>
    <w:rsid w:val="007A7E27"/>
    <w:rsid w:val="007B0448"/>
    <w:rsid w:val="007B0E14"/>
    <w:rsid w:val="007B1049"/>
    <w:rsid w:val="007B1A07"/>
    <w:rsid w:val="007B3E8B"/>
    <w:rsid w:val="007B4366"/>
    <w:rsid w:val="007B4DBC"/>
    <w:rsid w:val="007B5146"/>
    <w:rsid w:val="007B5326"/>
    <w:rsid w:val="007B60B9"/>
    <w:rsid w:val="007B68F0"/>
    <w:rsid w:val="007B6B83"/>
    <w:rsid w:val="007C0532"/>
    <w:rsid w:val="007C0F57"/>
    <w:rsid w:val="007C1BB2"/>
    <w:rsid w:val="007C2D1A"/>
    <w:rsid w:val="007C3786"/>
    <w:rsid w:val="007C391B"/>
    <w:rsid w:val="007C3BEA"/>
    <w:rsid w:val="007C49B9"/>
    <w:rsid w:val="007C4A0E"/>
    <w:rsid w:val="007C4BB5"/>
    <w:rsid w:val="007C4DFC"/>
    <w:rsid w:val="007C4FB9"/>
    <w:rsid w:val="007C5A7B"/>
    <w:rsid w:val="007C5D4C"/>
    <w:rsid w:val="007C6349"/>
    <w:rsid w:val="007C6E98"/>
    <w:rsid w:val="007D1237"/>
    <w:rsid w:val="007D1A87"/>
    <w:rsid w:val="007D22EE"/>
    <w:rsid w:val="007D29E9"/>
    <w:rsid w:val="007D2F8F"/>
    <w:rsid w:val="007D2FC8"/>
    <w:rsid w:val="007D379E"/>
    <w:rsid w:val="007D399E"/>
    <w:rsid w:val="007D45C3"/>
    <w:rsid w:val="007D506A"/>
    <w:rsid w:val="007D6B78"/>
    <w:rsid w:val="007D78B2"/>
    <w:rsid w:val="007E0EF0"/>
    <w:rsid w:val="007E23E9"/>
    <w:rsid w:val="007E26DC"/>
    <w:rsid w:val="007E2FC4"/>
    <w:rsid w:val="007E36AB"/>
    <w:rsid w:val="007E466F"/>
    <w:rsid w:val="007E5055"/>
    <w:rsid w:val="007E5AC5"/>
    <w:rsid w:val="007E5B19"/>
    <w:rsid w:val="007E6C77"/>
    <w:rsid w:val="007F0846"/>
    <w:rsid w:val="007F08D7"/>
    <w:rsid w:val="007F0C1C"/>
    <w:rsid w:val="007F1AA1"/>
    <w:rsid w:val="007F22AB"/>
    <w:rsid w:val="007F2578"/>
    <w:rsid w:val="007F2864"/>
    <w:rsid w:val="007F310B"/>
    <w:rsid w:val="007F51E5"/>
    <w:rsid w:val="007F59A7"/>
    <w:rsid w:val="007F671B"/>
    <w:rsid w:val="007F7D5A"/>
    <w:rsid w:val="00802CB7"/>
    <w:rsid w:val="00802D8C"/>
    <w:rsid w:val="00803895"/>
    <w:rsid w:val="00803AB5"/>
    <w:rsid w:val="0080492D"/>
    <w:rsid w:val="00804AA4"/>
    <w:rsid w:val="00805098"/>
    <w:rsid w:val="008053A0"/>
    <w:rsid w:val="00805499"/>
    <w:rsid w:val="00805850"/>
    <w:rsid w:val="00806096"/>
    <w:rsid w:val="00806DEC"/>
    <w:rsid w:val="00806F4F"/>
    <w:rsid w:val="00807727"/>
    <w:rsid w:val="00807C5F"/>
    <w:rsid w:val="008107F3"/>
    <w:rsid w:val="00810D7F"/>
    <w:rsid w:val="00811EDA"/>
    <w:rsid w:val="008124FF"/>
    <w:rsid w:val="0081276A"/>
    <w:rsid w:val="0081291C"/>
    <w:rsid w:val="008132FD"/>
    <w:rsid w:val="0081345E"/>
    <w:rsid w:val="0081424C"/>
    <w:rsid w:val="00814BDE"/>
    <w:rsid w:val="008152CE"/>
    <w:rsid w:val="00815C03"/>
    <w:rsid w:val="00815CA2"/>
    <w:rsid w:val="00816207"/>
    <w:rsid w:val="00816B58"/>
    <w:rsid w:val="00816C8B"/>
    <w:rsid w:val="00816F8E"/>
    <w:rsid w:val="008171E0"/>
    <w:rsid w:val="00817CBC"/>
    <w:rsid w:val="00820244"/>
    <w:rsid w:val="00820463"/>
    <w:rsid w:val="00820991"/>
    <w:rsid w:val="00820A03"/>
    <w:rsid w:val="00820DBB"/>
    <w:rsid w:val="00821199"/>
    <w:rsid w:val="00821AB2"/>
    <w:rsid w:val="00823524"/>
    <w:rsid w:val="00823859"/>
    <w:rsid w:val="00823961"/>
    <w:rsid w:val="00825863"/>
    <w:rsid w:val="00825D58"/>
    <w:rsid w:val="0082618D"/>
    <w:rsid w:val="00826860"/>
    <w:rsid w:val="008269CE"/>
    <w:rsid w:val="00826A13"/>
    <w:rsid w:val="00826B53"/>
    <w:rsid w:val="00826EA2"/>
    <w:rsid w:val="0082702E"/>
    <w:rsid w:val="00827803"/>
    <w:rsid w:val="00830286"/>
    <w:rsid w:val="008309AD"/>
    <w:rsid w:val="00830AE5"/>
    <w:rsid w:val="00830CBC"/>
    <w:rsid w:val="0083110A"/>
    <w:rsid w:val="008312A7"/>
    <w:rsid w:val="0083133B"/>
    <w:rsid w:val="00832A13"/>
    <w:rsid w:val="008331D7"/>
    <w:rsid w:val="00833449"/>
    <w:rsid w:val="00833738"/>
    <w:rsid w:val="0083397B"/>
    <w:rsid w:val="00833E21"/>
    <w:rsid w:val="00833F8E"/>
    <w:rsid w:val="00834031"/>
    <w:rsid w:val="0083433F"/>
    <w:rsid w:val="008361DC"/>
    <w:rsid w:val="0083660A"/>
    <w:rsid w:val="008371F8"/>
    <w:rsid w:val="00840A2D"/>
    <w:rsid w:val="00841401"/>
    <w:rsid w:val="0084164B"/>
    <w:rsid w:val="0084166C"/>
    <w:rsid w:val="0084222D"/>
    <w:rsid w:val="0084288F"/>
    <w:rsid w:val="00842E42"/>
    <w:rsid w:val="0084339A"/>
    <w:rsid w:val="0084377E"/>
    <w:rsid w:val="00843B7E"/>
    <w:rsid w:val="00843BEC"/>
    <w:rsid w:val="00844876"/>
    <w:rsid w:val="008460EF"/>
    <w:rsid w:val="0084680E"/>
    <w:rsid w:val="00846AB1"/>
    <w:rsid w:val="00850D25"/>
    <w:rsid w:val="00851451"/>
    <w:rsid w:val="0085171B"/>
    <w:rsid w:val="00851D9A"/>
    <w:rsid w:val="00853288"/>
    <w:rsid w:val="00853976"/>
    <w:rsid w:val="00854C9D"/>
    <w:rsid w:val="00854DBA"/>
    <w:rsid w:val="00854E38"/>
    <w:rsid w:val="00854EBE"/>
    <w:rsid w:val="00855027"/>
    <w:rsid w:val="008551F1"/>
    <w:rsid w:val="008552C0"/>
    <w:rsid w:val="00856C2D"/>
    <w:rsid w:val="00857535"/>
    <w:rsid w:val="0085762E"/>
    <w:rsid w:val="00857EA1"/>
    <w:rsid w:val="00860A4C"/>
    <w:rsid w:val="00860F37"/>
    <w:rsid w:val="008614D9"/>
    <w:rsid w:val="00863764"/>
    <w:rsid w:val="00863D4E"/>
    <w:rsid w:val="008659AB"/>
    <w:rsid w:val="00866919"/>
    <w:rsid w:val="00866FBD"/>
    <w:rsid w:val="00867327"/>
    <w:rsid w:val="0087015F"/>
    <w:rsid w:val="008706E6"/>
    <w:rsid w:val="00870A0C"/>
    <w:rsid w:val="00870AC9"/>
    <w:rsid w:val="00871127"/>
    <w:rsid w:val="00871F7B"/>
    <w:rsid w:val="00872DE4"/>
    <w:rsid w:val="00872F0E"/>
    <w:rsid w:val="0087326D"/>
    <w:rsid w:val="0087412F"/>
    <w:rsid w:val="00874DC8"/>
    <w:rsid w:val="008754DA"/>
    <w:rsid w:val="00876A47"/>
    <w:rsid w:val="008771FC"/>
    <w:rsid w:val="00877B46"/>
    <w:rsid w:val="0088087E"/>
    <w:rsid w:val="00880AEF"/>
    <w:rsid w:val="00880CB1"/>
    <w:rsid w:val="008825F9"/>
    <w:rsid w:val="00882BF7"/>
    <w:rsid w:val="00883B06"/>
    <w:rsid w:val="00883E8B"/>
    <w:rsid w:val="00885361"/>
    <w:rsid w:val="008855D6"/>
    <w:rsid w:val="0088597C"/>
    <w:rsid w:val="00886405"/>
    <w:rsid w:val="00886CDC"/>
    <w:rsid w:val="00886D1A"/>
    <w:rsid w:val="00886F74"/>
    <w:rsid w:val="008870E6"/>
    <w:rsid w:val="008903DB"/>
    <w:rsid w:val="008904DC"/>
    <w:rsid w:val="00890791"/>
    <w:rsid w:val="00890A97"/>
    <w:rsid w:val="00892224"/>
    <w:rsid w:val="008923AF"/>
    <w:rsid w:val="00892534"/>
    <w:rsid w:val="0089371C"/>
    <w:rsid w:val="00895A16"/>
    <w:rsid w:val="00895D92"/>
    <w:rsid w:val="0089644B"/>
    <w:rsid w:val="00896CC4"/>
    <w:rsid w:val="008973A5"/>
    <w:rsid w:val="00897F8D"/>
    <w:rsid w:val="008A008B"/>
    <w:rsid w:val="008A030D"/>
    <w:rsid w:val="008A0C33"/>
    <w:rsid w:val="008A180C"/>
    <w:rsid w:val="008A1ED1"/>
    <w:rsid w:val="008A21FC"/>
    <w:rsid w:val="008A294B"/>
    <w:rsid w:val="008A6756"/>
    <w:rsid w:val="008A682F"/>
    <w:rsid w:val="008A7142"/>
    <w:rsid w:val="008A79AB"/>
    <w:rsid w:val="008B1A0B"/>
    <w:rsid w:val="008B2581"/>
    <w:rsid w:val="008B2698"/>
    <w:rsid w:val="008B4448"/>
    <w:rsid w:val="008B4E8E"/>
    <w:rsid w:val="008B5E00"/>
    <w:rsid w:val="008B69F1"/>
    <w:rsid w:val="008B7B62"/>
    <w:rsid w:val="008B7C99"/>
    <w:rsid w:val="008B7D3C"/>
    <w:rsid w:val="008B7DEE"/>
    <w:rsid w:val="008B7F1E"/>
    <w:rsid w:val="008C03A4"/>
    <w:rsid w:val="008C0A6F"/>
    <w:rsid w:val="008C0BEE"/>
    <w:rsid w:val="008C0EE9"/>
    <w:rsid w:val="008C158C"/>
    <w:rsid w:val="008C1DB3"/>
    <w:rsid w:val="008C2DA2"/>
    <w:rsid w:val="008C363B"/>
    <w:rsid w:val="008C449A"/>
    <w:rsid w:val="008C59D2"/>
    <w:rsid w:val="008C601C"/>
    <w:rsid w:val="008C61E2"/>
    <w:rsid w:val="008C6CD4"/>
    <w:rsid w:val="008C6FE6"/>
    <w:rsid w:val="008C74A9"/>
    <w:rsid w:val="008C74EE"/>
    <w:rsid w:val="008C7BA4"/>
    <w:rsid w:val="008D043B"/>
    <w:rsid w:val="008D0634"/>
    <w:rsid w:val="008D06D0"/>
    <w:rsid w:val="008D36AA"/>
    <w:rsid w:val="008D38A4"/>
    <w:rsid w:val="008D3C6D"/>
    <w:rsid w:val="008D400D"/>
    <w:rsid w:val="008D4709"/>
    <w:rsid w:val="008D6580"/>
    <w:rsid w:val="008D6E05"/>
    <w:rsid w:val="008D7762"/>
    <w:rsid w:val="008E0300"/>
    <w:rsid w:val="008E1845"/>
    <w:rsid w:val="008E229B"/>
    <w:rsid w:val="008E2385"/>
    <w:rsid w:val="008E297B"/>
    <w:rsid w:val="008E2E76"/>
    <w:rsid w:val="008E34E2"/>
    <w:rsid w:val="008E4B2A"/>
    <w:rsid w:val="008E50F5"/>
    <w:rsid w:val="008E55C9"/>
    <w:rsid w:val="008E5A2E"/>
    <w:rsid w:val="008E691A"/>
    <w:rsid w:val="008E6AFF"/>
    <w:rsid w:val="008F0BFC"/>
    <w:rsid w:val="008F0D11"/>
    <w:rsid w:val="008F0E66"/>
    <w:rsid w:val="008F0F37"/>
    <w:rsid w:val="008F1110"/>
    <w:rsid w:val="008F123B"/>
    <w:rsid w:val="008F16A9"/>
    <w:rsid w:val="008F2E89"/>
    <w:rsid w:val="008F3E1B"/>
    <w:rsid w:val="008F3E38"/>
    <w:rsid w:val="008F43D4"/>
    <w:rsid w:val="008F4555"/>
    <w:rsid w:val="008F558A"/>
    <w:rsid w:val="008F62F4"/>
    <w:rsid w:val="008F695E"/>
    <w:rsid w:val="008F6CCC"/>
    <w:rsid w:val="008F6FB9"/>
    <w:rsid w:val="008F723A"/>
    <w:rsid w:val="008F79A2"/>
    <w:rsid w:val="008F7B58"/>
    <w:rsid w:val="0090023D"/>
    <w:rsid w:val="009008E3"/>
    <w:rsid w:val="00901258"/>
    <w:rsid w:val="009012B1"/>
    <w:rsid w:val="009012DC"/>
    <w:rsid w:val="00901957"/>
    <w:rsid w:val="00904386"/>
    <w:rsid w:val="0090451F"/>
    <w:rsid w:val="009049A7"/>
    <w:rsid w:val="00905E46"/>
    <w:rsid w:val="009062C0"/>
    <w:rsid w:val="00906456"/>
    <w:rsid w:val="0091063B"/>
    <w:rsid w:val="0091110A"/>
    <w:rsid w:val="0091195F"/>
    <w:rsid w:val="00911D47"/>
    <w:rsid w:val="00912988"/>
    <w:rsid w:val="0091303D"/>
    <w:rsid w:val="009140BC"/>
    <w:rsid w:val="0091410C"/>
    <w:rsid w:val="00914121"/>
    <w:rsid w:val="00914875"/>
    <w:rsid w:val="0091538F"/>
    <w:rsid w:val="00915A7F"/>
    <w:rsid w:val="00915F1C"/>
    <w:rsid w:val="00916858"/>
    <w:rsid w:val="00917186"/>
    <w:rsid w:val="00917B46"/>
    <w:rsid w:val="00920F24"/>
    <w:rsid w:val="00921D8B"/>
    <w:rsid w:val="009225F0"/>
    <w:rsid w:val="00922A9A"/>
    <w:rsid w:val="00923B9D"/>
    <w:rsid w:val="0092489C"/>
    <w:rsid w:val="00924CFB"/>
    <w:rsid w:val="0092516B"/>
    <w:rsid w:val="00925427"/>
    <w:rsid w:val="009258F0"/>
    <w:rsid w:val="00925D37"/>
    <w:rsid w:val="00925E61"/>
    <w:rsid w:val="00926474"/>
    <w:rsid w:val="00926682"/>
    <w:rsid w:val="009269D8"/>
    <w:rsid w:val="009271A8"/>
    <w:rsid w:val="0093078F"/>
    <w:rsid w:val="009308BE"/>
    <w:rsid w:val="00930D2B"/>
    <w:rsid w:val="00931456"/>
    <w:rsid w:val="0093187C"/>
    <w:rsid w:val="009319F6"/>
    <w:rsid w:val="00931F3E"/>
    <w:rsid w:val="00932563"/>
    <w:rsid w:val="009327A7"/>
    <w:rsid w:val="00932FFE"/>
    <w:rsid w:val="0093361D"/>
    <w:rsid w:val="00933A80"/>
    <w:rsid w:val="009340A6"/>
    <w:rsid w:val="00934263"/>
    <w:rsid w:val="009342EC"/>
    <w:rsid w:val="009345BD"/>
    <w:rsid w:val="00934771"/>
    <w:rsid w:val="00935436"/>
    <w:rsid w:val="00935B1D"/>
    <w:rsid w:val="0093639A"/>
    <w:rsid w:val="009366CD"/>
    <w:rsid w:val="00940563"/>
    <w:rsid w:val="0094091A"/>
    <w:rsid w:val="00942DC0"/>
    <w:rsid w:val="00943223"/>
    <w:rsid w:val="009435B3"/>
    <w:rsid w:val="00943677"/>
    <w:rsid w:val="00943F2B"/>
    <w:rsid w:val="0094450D"/>
    <w:rsid w:val="00944B7C"/>
    <w:rsid w:val="009458B1"/>
    <w:rsid w:val="009468F5"/>
    <w:rsid w:val="0094750C"/>
    <w:rsid w:val="0095001E"/>
    <w:rsid w:val="00950C88"/>
    <w:rsid w:val="009519D4"/>
    <w:rsid w:val="00951C59"/>
    <w:rsid w:val="00951C7B"/>
    <w:rsid w:val="00952170"/>
    <w:rsid w:val="00952271"/>
    <w:rsid w:val="0095229B"/>
    <w:rsid w:val="00952C60"/>
    <w:rsid w:val="00952CDD"/>
    <w:rsid w:val="00953C0F"/>
    <w:rsid w:val="0095513B"/>
    <w:rsid w:val="0095525D"/>
    <w:rsid w:val="00955C91"/>
    <w:rsid w:val="00955F76"/>
    <w:rsid w:val="009561C3"/>
    <w:rsid w:val="009574A9"/>
    <w:rsid w:val="00960021"/>
    <w:rsid w:val="009602E2"/>
    <w:rsid w:val="0096245A"/>
    <w:rsid w:val="009627F0"/>
    <w:rsid w:val="009638D0"/>
    <w:rsid w:val="00963F68"/>
    <w:rsid w:val="00964D6E"/>
    <w:rsid w:val="00964EA5"/>
    <w:rsid w:val="0096505C"/>
    <w:rsid w:val="009650F0"/>
    <w:rsid w:val="00965C7F"/>
    <w:rsid w:val="00965FE5"/>
    <w:rsid w:val="00967729"/>
    <w:rsid w:val="009678C8"/>
    <w:rsid w:val="00967B36"/>
    <w:rsid w:val="00970998"/>
    <w:rsid w:val="00970EE2"/>
    <w:rsid w:val="009712F3"/>
    <w:rsid w:val="009715E2"/>
    <w:rsid w:val="00971C25"/>
    <w:rsid w:val="00972051"/>
    <w:rsid w:val="00974B57"/>
    <w:rsid w:val="00975122"/>
    <w:rsid w:val="0097527A"/>
    <w:rsid w:val="0097527B"/>
    <w:rsid w:val="00975AD2"/>
    <w:rsid w:val="00975F21"/>
    <w:rsid w:val="00976713"/>
    <w:rsid w:val="0097740B"/>
    <w:rsid w:val="00977E0A"/>
    <w:rsid w:val="0098018B"/>
    <w:rsid w:val="00980933"/>
    <w:rsid w:val="00980C03"/>
    <w:rsid w:val="0098124B"/>
    <w:rsid w:val="0098213C"/>
    <w:rsid w:val="00982628"/>
    <w:rsid w:val="0098299A"/>
    <w:rsid w:val="00982ECB"/>
    <w:rsid w:val="0098458F"/>
    <w:rsid w:val="00984FAF"/>
    <w:rsid w:val="00985AFC"/>
    <w:rsid w:val="00985B2F"/>
    <w:rsid w:val="0098620A"/>
    <w:rsid w:val="0098661F"/>
    <w:rsid w:val="00986C77"/>
    <w:rsid w:val="00990B8D"/>
    <w:rsid w:val="009914B6"/>
    <w:rsid w:val="009918B7"/>
    <w:rsid w:val="00991B5D"/>
    <w:rsid w:val="00991B75"/>
    <w:rsid w:val="00991CE3"/>
    <w:rsid w:val="00991F4A"/>
    <w:rsid w:val="00994509"/>
    <w:rsid w:val="00994862"/>
    <w:rsid w:val="00996355"/>
    <w:rsid w:val="009963F5"/>
    <w:rsid w:val="009968EF"/>
    <w:rsid w:val="009A028E"/>
    <w:rsid w:val="009A0B7C"/>
    <w:rsid w:val="009A19D2"/>
    <w:rsid w:val="009A28B5"/>
    <w:rsid w:val="009A2C2A"/>
    <w:rsid w:val="009A2CAF"/>
    <w:rsid w:val="009A3C2A"/>
    <w:rsid w:val="009A48B4"/>
    <w:rsid w:val="009A5581"/>
    <w:rsid w:val="009A5F6D"/>
    <w:rsid w:val="009A5F76"/>
    <w:rsid w:val="009A6608"/>
    <w:rsid w:val="009A66B3"/>
    <w:rsid w:val="009A6A6F"/>
    <w:rsid w:val="009A6F76"/>
    <w:rsid w:val="009A7170"/>
    <w:rsid w:val="009A7E0A"/>
    <w:rsid w:val="009B0892"/>
    <w:rsid w:val="009B0F7D"/>
    <w:rsid w:val="009B2DB9"/>
    <w:rsid w:val="009B3756"/>
    <w:rsid w:val="009B3BAA"/>
    <w:rsid w:val="009B4078"/>
    <w:rsid w:val="009B471A"/>
    <w:rsid w:val="009B4781"/>
    <w:rsid w:val="009B4E8A"/>
    <w:rsid w:val="009B5A20"/>
    <w:rsid w:val="009B5B59"/>
    <w:rsid w:val="009B5D54"/>
    <w:rsid w:val="009B70AB"/>
    <w:rsid w:val="009B7438"/>
    <w:rsid w:val="009B7913"/>
    <w:rsid w:val="009C02FB"/>
    <w:rsid w:val="009C0B1D"/>
    <w:rsid w:val="009C24C6"/>
    <w:rsid w:val="009C28AA"/>
    <w:rsid w:val="009C3933"/>
    <w:rsid w:val="009C3AEE"/>
    <w:rsid w:val="009C503B"/>
    <w:rsid w:val="009C5122"/>
    <w:rsid w:val="009C55A2"/>
    <w:rsid w:val="009C614F"/>
    <w:rsid w:val="009D0F7C"/>
    <w:rsid w:val="009D1E23"/>
    <w:rsid w:val="009D3385"/>
    <w:rsid w:val="009D3E42"/>
    <w:rsid w:val="009D438D"/>
    <w:rsid w:val="009D5614"/>
    <w:rsid w:val="009D5768"/>
    <w:rsid w:val="009D6A33"/>
    <w:rsid w:val="009D728A"/>
    <w:rsid w:val="009D758C"/>
    <w:rsid w:val="009E00AB"/>
    <w:rsid w:val="009E0336"/>
    <w:rsid w:val="009E049B"/>
    <w:rsid w:val="009E0E37"/>
    <w:rsid w:val="009E1E91"/>
    <w:rsid w:val="009E250F"/>
    <w:rsid w:val="009E2626"/>
    <w:rsid w:val="009E2CBF"/>
    <w:rsid w:val="009E3B1D"/>
    <w:rsid w:val="009E3BFA"/>
    <w:rsid w:val="009E4336"/>
    <w:rsid w:val="009E4455"/>
    <w:rsid w:val="009E5499"/>
    <w:rsid w:val="009E6D6B"/>
    <w:rsid w:val="009E6E79"/>
    <w:rsid w:val="009F0187"/>
    <w:rsid w:val="009F03D6"/>
    <w:rsid w:val="009F06DC"/>
    <w:rsid w:val="009F107F"/>
    <w:rsid w:val="009F2167"/>
    <w:rsid w:val="009F2E1B"/>
    <w:rsid w:val="009F32D7"/>
    <w:rsid w:val="009F46AD"/>
    <w:rsid w:val="009F49DC"/>
    <w:rsid w:val="009F51C2"/>
    <w:rsid w:val="009F5B7A"/>
    <w:rsid w:val="009F71C5"/>
    <w:rsid w:val="00A01204"/>
    <w:rsid w:val="00A01653"/>
    <w:rsid w:val="00A019DF"/>
    <w:rsid w:val="00A01B0C"/>
    <w:rsid w:val="00A02FA2"/>
    <w:rsid w:val="00A032CE"/>
    <w:rsid w:val="00A034D5"/>
    <w:rsid w:val="00A039F6"/>
    <w:rsid w:val="00A04FE1"/>
    <w:rsid w:val="00A05EFA"/>
    <w:rsid w:val="00A065E8"/>
    <w:rsid w:val="00A066A2"/>
    <w:rsid w:val="00A10483"/>
    <w:rsid w:val="00A11BCD"/>
    <w:rsid w:val="00A11DDF"/>
    <w:rsid w:val="00A12075"/>
    <w:rsid w:val="00A13258"/>
    <w:rsid w:val="00A13300"/>
    <w:rsid w:val="00A13622"/>
    <w:rsid w:val="00A1403E"/>
    <w:rsid w:val="00A147C3"/>
    <w:rsid w:val="00A1765B"/>
    <w:rsid w:val="00A17F8E"/>
    <w:rsid w:val="00A207E8"/>
    <w:rsid w:val="00A21BCE"/>
    <w:rsid w:val="00A21DFA"/>
    <w:rsid w:val="00A21F1F"/>
    <w:rsid w:val="00A225BE"/>
    <w:rsid w:val="00A22C86"/>
    <w:rsid w:val="00A23AC2"/>
    <w:rsid w:val="00A23D63"/>
    <w:rsid w:val="00A242B3"/>
    <w:rsid w:val="00A2473C"/>
    <w:rsid w:val="00A24B0D"/>
    <w:rsid w:val="00A256F8"/>
    <w:rsid w:val="00A26A6D"/>
    <w:rsid w:val="00A30006"/>
    <w:rsid w:val="00A30B52"/>
    <w:rsid w:val="00A30C88"/>
    <w:rsid w:val="00A30E70"/>
    <w:rsid w:val="00A30F12"/>
    <w:rsid w:val="00A31277"/>
    <w:rsid w:val="00A315FB"/>
    <w:rsid w:val="00A31F4A"/>
    <w:rsid w:val="00A32091"/>
    <w:rsid w:val="00A322C1"/>
    <w:rsid w:val="00A329A1"/>
    <w:rsid w:val="00A3354E"/>
    <w:rsid w:val="00A33DEB"/>
    <w:rsid w:val="00A34054"/>
    <w:rsid w:val="00A3488C"/>
    <w:rsid w:val="00A34FCA"/>
    <w:rsid w:val="00A35201"/>
    <w:rsid w:val="00A3716A"/>
    <w:rsid w:val="00A372E7"/>
    <w:rsid w:val="00A37F2A"/>
    <w:rsid w:val="00A40203"/>
    <w:rsid w:val="00A4071F"/>
    <w:rsid w:val="00A41280"/>
    <w:rsid w:val="00A41A8F"/>
    <w:rsid w:val="00A41F8C"/>
    <w:rsid w:val="00A42612"/>
    <w:rsid w:val="00A42855"/>
    <w:rsid w:val="00A42A3E"/>
    <w:rsid w:val="00A42F7F"/>
    <w:rsid w:val="00A4303C"/>
    <w:rsid w:val="00A441DE"/>
    <w:rsid w:val="00A4446F"/>
    <w:rsid w:val="00A44BD6"/>
    <w:rsid w:val="00A44E19"/>
    <w:rsid w:val="00A45699"/>
    <w:rsid w:val="00A46495"/>
    <w:rsid w:val="00A46B6D"/>
    <w:rsid w:val="00A50EAC"/>
    <w:rsid w:val="00A5186B"/>
    <w:rsid w:val="00A51E35"/>
    <w:rsid w:val="00A5248E"/>
    <w:rsid w:val="00A525C1"/>
    <w:rsid w:val="00A52753"/>
    <w:rsid w:val="00A53256"/>
    <w:rsid w:val="00A53579"/>
    <w:rsid w:val="00A53EAD"/>
    <w:rsid w:val="00A5439F"/>
    <w:rsid w:val="00A5443E"/>
    <w:rsid w:val="00A5487F"/>
    <w:rsid w:val="00A54B00"/>
    <w:rsid w:val="00A559CE"/>
    <w:rsid w:val="00A55F0B"/>
    <w:rsid w:val="00A5673D"/>
    <w:rsid w:val="00A57830"/>
    <w:rsid w:val="00A57E91"/>
    <w:rsid w:val="00A607CD"/>
    <w:rsid w:val="00A60CE2"/>
    <w:rsid w:val="00A618A5"/>
    <w:rsid w:val="00A62925"/>
    <w:rsid w:val="00A6354A"/>
    <w:rsid w:val="00A64D14"/>
    <w:rsid w:val="00A64DFE"/>
    <w:rsid w:val="00A64F69"/>
    <w:rsid w:val="00A65DB9"/>
    <w:rsid w:val="00A6656D"/>
    <w:rsid w:val="00A66842"/>
    <w:rsid w:val="00A6701D"/>
    <w:rsid w:val="00A67726"/>
    <w:rsid w:val="00A67E12"/>
    <w:rsid w:val="00A700D0"/>
    <w:rsid w:val="00A70589"/>
    <w:rsid w:val="00A70B6D"/>
    <w:rsid w:val="00A70DF9"/>
    <w:rsid w:val="00A710DD"/>
    <w:rsid w:val="00A7136A"/>
    <w:rsid w:val="00A716B3"/>
    <w:rsid w:val="00A7182A"/>
    <w:rsid w:val="00A72221"/>
    <w:rsid w:val="00A72E4B"/>
    <w:rsid w:val="00A7312B"/>
    <w:rsid w:val="00A73DA8"/>
    <w:rsid w:val="00A75650"/>
    <w:rsid w:val="00A759ED"/>
    <w:rsid w:val="00A7619D"/>
    <w:rsid w:val="00A763B4"/>
    <w:rsid w:val="00A76C1F"/>
    <w:rsid w:val="00A8054D"/>
    <w:rsid w:val="00A8079A"/>
    <w:rsid w:val="00A80F72"/>
    <w:rsid w:val="00A8276F"/>
    <w:rsid w:val="00A84B26"/>
    <w:rsid w:val="00A84BCB"/>
    <w:rsid w:val="00A85A63"/>
    <w:rsid w:val="00A85AC7"/>
    <w:rsid w:val="00A85C77"/>
    <w:rsid w:val="00A85F7B"/>
    <w:rsid w:val="00A86A45"/>
    <w:rsid w:val="00A86DD9"/>
    <w:rsid w:val="00A870A2"/>
    <w:rsid w:val="00A87EAD"/>
    <w:rsid w:val="00A91BFE"/>
    <w:rsid w:val="00A91C06"/>
    <w:rsid w:val="00A91DEA"/>
    <w:rsid w:val="00A91FF6"/>
    <w:rsid w:val="00A91FFE"/>
    <w:rsid w:val="00A92F29"/>
    <w:rsid w:val="00A931D2"/>
    <w:rsid w:val="00A93406"/>
    <w:rsid w:val="00A938E6"/>
    <w:rsid w:val="00A95247"/>
    <w:rsid w:val="00A95974"/>
    <w:rsid w:val="00A95FE3"/>
    <w:rsid w:val="00A9642A"/>
    <w:rsid w:val="00A971AB"/>
    <w:rsid w:val="00A9761F"/>
    <w:rsid w:val="00A97D6E"/>
    <w:rsid w:val="00AA01F8"/>
    <w:rsid w:val="00AA09D4"/>
    <w:rsid w:val="00AA0EAE"/>
    <w:rsid w:val="00AA1C99"/>
    <w:rsid w:val="00AA1DE7"/>
    <w:rsid w:val="00AA30C6"/>
    <w:rsid w:val="00AA357B"/>
    <w:rsid w:val="00AA4E6B"/>
    <w:rsid w:val="00AA6315"/>
    <w:rsid w:val="00AA6690"/>
    <w:rsid w:val="00AA6A9E"/>
    <w:rsid w:val="00AA7A36"/>
    <w:rsid w:val="00AA7B9D"/>
    <w:rsid w:val="00AA7FE8"/>
    <w:rsid w:val="00AB118E"/>
    <w:rsid w:val="00AB123D"/>
    <w:rsid w:val="00AB1B19"/>
    <w:rsid w:val="00AB1C7F"/>
    <w:rsid w:val="00AB214E"/>
    <w:rsid w:val="00AB226C"/>
    <w:rsid w:val="00AB289C"/>
    <w:rsid w:val="00AB2E9F"/>
    <w:rsid w:val="00AB30F5"/>
    <w:rsid w:val="00AB3EED"/>
    <w:rsid w:val="00AB4107"/>
    <w:rsid w:val="00AB45C9"/>
    <w:rsid w:val="00AB4A96"/>
    <w:rsid w:val="00AB4CDB"/>
    <w:rsid w:val="00AB5687"/>
    <w:rsid w:val="00AB5A01"/>
    <w:rsid w:val="00AB6BE9"/>
    <w:rsid w:val="00AB6C69"/>
    <w:rsid w:val="00AB6DDC"/>
    <w:rsid w:val="00AB75EE"/>
    <w:rsid w:val="00AC0EB9"/>
    <w:rsid w:val="00AC0EE6"/>
    <w:rsid w:val="00AC116D"/>
    <w:rsid w:val="00AC18F6"/>
    <w:rsid w:val="00AC1962"/>
    <w:rsid w:val="00AC1E72"/>
    <w:rsid w:val="00AC2648"/>
    <w:rsid w:val="00AC2C13"/>
    <w:rsid w:val="00AC30BD"/>
    <w:rsid w:val="00AC3461"/>
    <w:rsid w:val="00AC389D"/>
    <w:rsid w:val="00AC4EB3"/>
    <w:rsid w:val="00AC6BE0"/>
    <w:rsid w:val="00AC6E6C"/>
    <w:rsid w:val="00AD032A"/>
    <w:rsid w:val="00AD1530"/>
    <w:rsid w:val="00AD19BE"/>
    <w:rsid w:val="00AD272D"/>
    <w:rsid w:val="00AD3515"/>
    <w:rsid w:val="00AD3E57"/>
    <w:rsid w:val="00AD3FAB"/>
    <w:rsid w:val="00AD54B0"/>
    <w:rsid w:val="00AD5683"/>
    <w:rsid w:val="00AD5CC1"/>
    <w:rsid w:val="00AD778F"/>
    <w:rsid w:val="00AE04BB"/>
    <w:rsid w:val="00AE056B"/>
    <w:rsid w:val="00AE0615"/>
    <w:rsid w:val="00AE0827"/>
    <w:rsid w:val="00AE0DC8"/>
    <w:rsid w:val="00AE24E1"/>
    <w:rsid w:val="00AE26AD"/>
    <w:rsid w:val="00AE27B7"/>
    <w:rsid w:val="00AE28F3"/>
    <w:rsid w:val="00AE31ED"/>
    <w:rsid w:val="00AE37C0"/>
    <w:rsid w:val="00AE4258"/>
    <w:rsid w:val="00AE4833"/>
    <w:rsid w:val="00AE4C35"/>
    <w:rsid w:val="00AE7125"/>
    <w:rsid w:val="00AE7BB3"/>
    <w:rsid w:val="00AF07FC"/>
    <w:rsid w:val="00AF1BA3"/>
    <w:rsid w:val="00AF24A8"/>
    <w:rsid w:val="00AF2792"/>
    <w:rsid w:val="00AF2828"/>
    <w:rsid w:val="00AF3252"/>
    <w:rsid w:val="00AF37C4"/>
    <w:rsid w:val="00AF3983"/>
    <w:rsid w:val="00AF476B"/>
    <w:rsid w:val="00AF56E1"/>
    <w:rsid w:val="00AF5B18"/>
    <w:rsid w:val="00AF667C"/>
    <w:rsid w:val="00AF70E0"/>
    <w:rsid w:val="00AF766B"/>
    <w:rsid w:val="00AF7DAB"/>
    <w:rsid w:val="00B010F8"/>
    <w:rsid w:val="00B01328"/>
    <w:rsid w:val="00B01720"/>
    <w:rsid w:val="00B02352"/>
    <w:rsid w:val="00B039B3"/>
    <w:rsid w:val="00B04E6E"/>
    <w:rsid w:val="00B05192"/>
    <w:rsid w:val="00B051E1"/>
    <w:rsid w:val="00B05433"/>
    <w:rsid w:val="00B05972"/>
    <w:rsid w:val="00B06F40"/>
    <w:rsid w:val="00B07AEA"/>
    <w:rsid w:val="00B10186"/>
    <w:rsid w:val="00B10479"/>
    <w:rsid w:val="00B115AA"/>
    <w:rsid w:val="00B115E5"/>
    <w:rsid w:val="00B11BF7"/>
    <w:rsid w:val="00B11E47"/>
    <w:rsid w:val="00B123CF"/>
    <w:rsid w:val="00B12464"/>
    <w:rsid w:val="00B12DEA"/>
    <w:rsid w:val="00B130E2"/>
    <w:rsid w:val="00B141E6"/>
    <w:rsid w:val="00B1530B"/>
    <w:rsid w:val="00B155C2"/>
    <w:rsid w:val="00B162A1"/>
    <w:rsid w:val="00B16462"/>
    <w:rsid w:val="00B17BEC"/>
    <w:rsid w:val="00B21508"/>
    <w:rsid w:val="00B21680"/>
    <w:rsid w:val="00B21C3C"/>
    <w:rsid w:val="00B223ED"/>
    <w:rsid w:val="00B22BC7"/>
    <w:rsid w:val="00B22E40"/>
    <w:rsid w:val="00B22FF7"/>
    <w:rsid w:val="00B233F9"/>
    <w:rsid w:val="00B23CFC"/>
    <w:rsid w:val="00B23D30"/>
    <w:rsid w:val="00B2445F"/>
    <w:rsid w:val="00B24D0D"/>
    <w:rsid w:val="00B251B0"/>
    <w:rsid w:val="00B259B6"/>
    <w:rsid w:val="00B25F29"/>
    <w:rsid w:val="00B26C67"/>
    <w:rsid w:val="00B26D57"/>
    <w:rsid w:val="00B27845"/>
    <w:rsid w:val="00B30D01"/>
    <w:rsid w:val="00B31059"/>
    <w:rsid w:val="00B312C2"/>
    <w:rsid w:val="00B313BE"/>
    <w:rsid w:val="00B31558"/>
    <w:rsid w:val="00B31628"/>
    <w:rsid w:val="00B31777"/>
    <w:rsid w:val="00B31F0F"/>
    <w:rsid w:val="00B320B6"/>
    <w:rsid w:val="00B33DDF"/>
    <w:rsid w:val="00B34557"/>
    <w:rsid w:val="00B34C59"/>
    <w:rsid w:val="00B3548F"/>
    <w:rsid w:val="00B354EB"/>
    <w:rsid w:val="00B355B1"/>
    <w:rsid w:val="00B35940"/>
    <w:rsid w:val="00B3677D"/>
    <w:rsid w:val="00B40D86"/>
    <w:rsid w:val="00B422AD"/>
    <w:rsid w:val="00B43277"/>
    <w:rsid w:val="00B43668"/>
    <w:rsid w:val="00B43A77"/>
    <w:rsid w:val="00B43B04"/>
    <w:rsid w:val="00B441FC"/>
    <w:rsid w:val="00B45349"/>
    <w:rsid w:val="00B45ACD"/>
    <w:rsid w:val="00B46B26"/>
    <w:rsid w:val="00B46DEB"/>
    <w:rsid w:val="00B47BCE"/>
    <w:rsid w:val="00B47BD3"/>
    <w:rsid w:val="00B47C12"/>
    <w:rsid w:val="00B47D0E"/>
    <w:rsid w:val="00B47EE9"/>
    <w:rsid w:val="00B5010A"/>
    <w:rsid w:val="00B508D1"/>
    <w:rsid w:val="00B50AA7"/>
    <w:rsid w:val="00B511FA"/>
    <w:rsid w:val="00B51A90"/>
    <w:rsid w:val="00B52F6C"/>
    <w:rsid w:val="00B5386B"/>
    <w:rsid w:val="00B538E6"/>
    <w:rsid w:val="00B541FF"/>
    <w:rsid w:val="00B5426C"/>
    <w:rsid w:val="00B54C0B"/>
    <w:rsid w:val="00B557AE"/>
    <w:rsid w:val="00B5581A"/>
    <w:rsid w:val="00B5639D"/>
    <w:rsid w:val="00B56F39"/>
    <w:rsid w:val="00B575E3"/>
    <w:rsid w:val="00B57A65"/>
    <w:rsid w:val="00B57B19"/>
    <w:rsid w:val="00B57C02"/>
    <w:rsid w:val="00B57D5C"/>
    <w:rsid w:val="00B6019A"/>
    <w:rsid w:val="00B6156F"/>
    <w:rsid w:val="00B6190A"/>
    <w:rsid w:val="00B621DA"/>
    <w:rsid w:val="00B622AA"/>
    <w:rsid w:val="00B6277A"/>
    <w:rsid w:val="00B62B22"/>
    <w:rsid w:val="00B64A60"/>
    <w:rsid w:val="00B650AA"/>
    <w:rsid w:val="00B65BC3"/>
    <w:rsid w:val="00B661EA"/>
    <w:rsid w:val="00B66295"/>
    <w:rsid w:val="00B66554"/>
    <w:rsid w:val="00B6684A"/>
    <w:rsid w:val="00B708AE"/>
    <w:rsid w:val="00B70D29"/>
    <w:rsid w:val="00B70E67"/>
    <w:rsid w:val="00B70FF0"/>
    <w:rsid w:val="00B71024"/>
    <w:rsid w:val="00B71792"/>
    <w:rsid w:val="00B71A09"/>
    <w:rsid w:val="00B71F6D"/>
    <w:rsid w:val="00B722D3"/>
    <w:rsid w:val="00B726B6"/>
    <w:rsid w:val="00B7273E"/>
    <w:rsid w:val="00B727E5"/>
    <w:rsid w:val="00B728AD"/>
    <w:rsid w:val="00B7389F"/>
    <w:rsid w:val="00B7438C"/>
    <w:rsid w:val="00B74A00"/>
    <w:rsid w:val="00B751E8"/>
    <w:rsid w:val="00B75382"/>
    <w:rsid w:val="00B75C7D"/>
    <w:rsid w:val="00B75D10"/>
    <w:rsid w:val="00B77367"/>
    <w:rsid w:val="00B805FF"/>
    <w:rsid w:val="00B8157E"/>
    <w:rsid w:val="00B81712"/>
    <w:rsid w:val="00B81B1F"/>
    <w:rsid w:val="00B81EC4"/>
    <w:rsid w:val="00B8246D"/>
    <w:rsid w:val="00B8304B"/>
    <w:rsid w:val="00B835F9"/>
    <w:rsid w:val="00B83CAC"/>
    <w:rsid w:val="00B84481"/>
    <w:rsid w:val="00B84C0B"/>
    <w:rsid w:val="00B84E95"/>
    <w:rsid w:val="00B86939"/>
    <w:rsid w:val="00B86DA0"/>
    <w:rsid w:val="00B873F2"/>
    <w:rsid w:val="00B87C5D"/>
    <w:rsid w:val="00B91F76"/>
    <w:rsid w:val="00B91F7D"/>
    <w:rsid w:val="00B93082"/>
    <w:rsid w:val="00B93322"/>
    <w:rsid w:val="00B935C9"/>
    <w:rsid w:val="00B93AFC"/>
    <w:rsid w:val="00B93C39"/>
    <w:rsid w:val="00B94320"/>
    <w:rsid w:val="00B943EE"/>
    <w:rsid w:val="00B95467"/>
    <w:rsid w:val="00B965D0"/>
    <w:rsid w:val="00B96764"/>
    <w:rsid w:val="00B96F63"/>
    <w:rsid w:val="00B97A81"/>
    <w:rsid w:val="00BA0392"/>
    <w:rsid w:val="00BA0751"/>
    <w:rsid w:val="00BA097E"/>
    <w:rsid w:val="00BA0D78"/>
    <w:rsid w:val="00BA16C2"/>
    <w:rsid w:val="00BA1C06"/>
    <w:rsid w:val="00BA221F"/>
    <w:rsid w:val="00BA2D04"/>
    <w:rsid w:val="00BA31D5"/>
    <w:rsid w:val="00BA481B"/>
    <w:rsid w:val="00BA5374"/>
    <w:rsid w:val="00BA5780"/>
    <w:rsid w:val="00BA63B5"/>
    <w:rsid w:val="00BA63B8"/>
    <w:rsid w:val="00BB1FFA"/>
    <w:rsid w:val="00BB2C5E"/>
    <w:rsid w:val="00BB32D7"/>
    <w:rsid w:val="00BB38E6"/>
    <w:rsid w:val="00BB3A57"/>
    <w:rsid w:val="00BB3BBA"/>
    <w:rsid w:val="00BB44D3"/>
    <w:rsid w:val="00BB47D5"/>
    <w:rsid w:val="00BB50B3"/>
    <w:rsid w:val="00BB5D2D"/>
    <w:rsid w:val="00BB625E"/>
    <w:rsid w:val="00BB7229"/>
    <w:rsid w:val="00BC0E21"/>
    <w:rsid w:val="00BC10CD"/>
    <w:rsid w:val="00BC119E"/>
    <w:rsid w:val="00BC3773"/>
    <w:rsid w:val="00BC3C9C"/>
    <w:rsid w:val="00BC4C27"/>
    <w:rsid w:val="00BC5327"/>
    <w:rsid w:val="00BC535C"/>
    <w:rsid w:val="00BC5665"/>
    <w:rsid w:val="00BC64B2"/>
    <w:rsid w:val="00BC686E"/>
    <w:rsid w:val="00BC69AC"/>
    <w:rsid w:val="00BC6D2E"/>
    <w:rsid w:val="00BD0625"/>
    <w:rsid w:val="00BD0C3B"/>
    <w:rsid w:val="00BD0EFD"/>
    <w:rsid w:val="00BD1262"/>
    <w:rsid w:val="00BD35E2"/>
    <w:rsid w:val="00BD3801"/>
    <w:rsid w:val="00BD4CD6"/>
    <w:rsid w:val="00BD53C2"/>
    <w:rsid w:val="00BD5F46"/>
    <w:rsid w:val="00BD67BF"/>
    <w:rsid w:val="00BD6ECF"/>
    <w:rsid w:val="00BD7066"/>
    <w:rsid w:val="00BD72C5"/>
    <w:rsid w:val="00BE02A9"/>
    <w:rsid w:val="00BE03A2"/>
    <w:rsid w:val="00BE143C"/>
    <w:rsid w:val="00BE2A69"/>
    <w:rsid w:val="00BE2DA6"/>
    <w:rsid w:val="00BE2DE0"/>
    <w:rsid w:val="00BE3071"/>
    <w:rsid w:val="00BE3657"/>
    <w:rsid w:val="00BE4E5E"/>
    <w:rsid w:val="00BE53C7"/>
    <w:rsid w:val="00BE5B57"/>
    <w:rsid w:val="00BE6441"/>
    <w:rsid w:val="00BE6A31"/>
    <w:rsid w:val="00BE7042"/>
    <w:rsid w:val="00BE73E4"/>
    <w:rsid w:val="00BF131F"/>
    <w:rsid w:val="00BF1756"/>
    <w:rsid w:val="00BF1B03"/>
    <w:rsid w:val="00BF21A5"/>
    <w:rsid w:val="00BF3F14"/>
    <w:rsid w:val="00BF40B0"/>
    <w:rsid w:val="00BF43A1"/>
    <w:rsid w:val="00BF449B"/>
    <w:rsid w:val="00BF44B8"/>
    <w:rsid w:val="00BF48F3"/>
    <w:rsid w:val="00BF50C4"/>
    <w:rsid w:val="00BF57C0"/>
    <w:rsid w:val="00BF5917"/>
    <w:rsid w:val="00BF653C"/>
    <w:rsid w:val="00BF66C7"/>
    <w:rsid w:val="00BF7025"/>
    <w:rsid w:val="00BF73CF"/>
    <w:rsid w:val="00BF7C5C"/>
    <w:rsid w:val="00C01414"/>
    <w:rsid w:val="00C01627"/>
    <w:rsid w:val="00C01D4B"/>
    <w:rsid w:val="00C01EBB"/>
    <w:rsid w:val="00C04240"/>
    <w:rsid w:val="00C049FF"/>
    <w:rsid w:val="00C05CE3"/>
    <w:rsid w:val="00C06695"/>
    <w:rsid w:val="00C074BB"/>
    <w:rsid w:val="00C07DFD"/>
    <w:rsid w:val="00C10C3D"/>
    <w:rsid w:val="00C1150D"/>
    <w:rsid w:val="00C12050"/>
    <w:rsid w:val="00C121AD"/>
    <w:rsid w:val="00C123D7"/>
    <w:rsid w:val="00C12E9E"/>
    <w:rsid w:val="00C1332B"/>
    <w:rsid w:val="00C15403"/>
    <w:rsid w:val="00C15B2E"/>
    <w:rsid w:val="00C15DAF"/>
    <w:rsid w:val="00C15F80"/>
    <w:rsid w:val="00C16132"/>
    <w:rsid w:val="00C1631E"/>
    <w:rsid w:val="00C1662A"/>
    <w:rsid w:val="00C17955"/>
    <w:rsid w:val="00C1797E"/>
    <w:rsid w:val="00C204BE"/>
    <w:rsid w:val="00C2053D"/>
    <w:rsid w:val="00C20B08"/>
    <w:rsid w:val="00C21C26"/>
    <w:rsid w:val="00C21F82"/>
    <w:rsid w:val="00C22098"/>
    <w:rsid w:val="00C22767"/>
    <w:rsid w:val="00C23739"/>
    <w:rsid w:val="00C23F14"/>
    <w:rsid w:val="00C24161"/>
    <w:rsid w:val="00C2464C"/>
    <w:rsid w:val="00C256DB"/>
    <w:rsid w:val="00C25B40"/>
    <w:rsid w:val="00C25B96"/>
    <w:rsid w:val="00C27519"/>
    <w:rsid w:val="00C27907"/>
    <w:rsid w:val="00C27BAF"/>
    <w:rsid w:val="00C31566"/>
    <w:rsid w:val="00C31574"/>
    <w:rsid w:val="00C315F2"/>
    <w:rsid w:val="00C319B1"/>
    <w:rsid w:val="00C31C21"/>
    <w:rsid w:val="00C3262A"/>
    <w:rsid w:val="00C32C2B"/>
    <w:rsid w:val="00C33297"/>
    <w:rsid w:val="00C336B8"/>
    <w:rsid w:val="00C337A6"/>
    <w:rsid w:val="00C33E02"/>
    <w:rsid w:val="00C34432"/>
    <w:rsid w:val="00C34F70"/>
    <w:rsid w:val="00C35594"/>
    <w:rsid w:val="00C3628B"/>
    <w:rsid w:val="00C362C1"/>
    <w:rsid w:val="00C3658E"/>
    <w:rsid w:val="00C36BC8"/>
    <w:rsid w:val="00C36ECB"/>
    <w:rsid w:val="00C40492"/>
    <w:rsid w:val="00C40541"/>
    <w:rsid w:val="00C40656"/>
    <w:rsid w:val="00C4086A"/>
    <w:rsid w:val="00C40A6D"/>
    <w:rsid w:val="00C40C11"/>
    <w:rsid w:val="00C42005"/>
    <w:rsid w:val="00C426E2"/>
    <w:rsid w:val="00C42725"/>
    <w:rsid w:val="00C42933"/>
    <w:rsid w:val="00C43880"/>
    <w:rsid w:val="00C439E4"/>
    <w:rsid w:val="00C43C60"/>
    <w:rsid w:val="00C449CC"/>
    <w:rsid w:val="00C44D9B"/>
    <w:rsid w:val="00C44F77"/>
    <w:rsid w:val="00C45406"/>
    <w:rsid w:val="00C45525"/>
    <w:rsid w:val="00C45F18"/>
    <w:rsid w:val="00C4790A"/>
    <w:rsid w:val="00C5093D"/>
    <w:rsid w:val="00C523E4"/>
    <w:rsid w:val="00C52815"/>
    <w:rsid w:val="00C52CA0"/>
    <w:rsid w:val="00C532EF"/>
    <w:rsid w:val="00C54B90"/>
    <w:rsid w:val="00C5500D"/>
    <w:rsid w:val="00C554FB"/>
    <w:rsid w:val="00C55D45"/>
    <w:rsid w:val="00C5605D"/>
    <w:rsid w:val="00C566C6"/>
    <w:rsid w:val="00C56750"/>
    <w:rsid w:val="00C567C2"/>
    <w:rsid w:val="00C567CF"/>
    <w:rsid w:val="00C571FE"/>
    <w:rsid w:val="00C57AD4"/>
    <w:rsid w:val="00C60203"/>
    <w:rsid w:val="00C6044A"/>
    <w:rsid w:val="00C60554"/>
    <w:rsid w:val="00C623A5"/>
    <w:rsid w:val="00C627B1"/>
    <w:rsid w:val="00C62F2E"/>
    <w:rsid w:val="00C63DF3"/>
    <w:rsid w:val="00C657BA"/>
    <w:rsid w:val="00C6589F"/>
    <w:rsid w:val="00C65E4B"/>
    <w:rsid w:val="00C66957"/>
    <w:rsid w:val="00C6749C"/>
    <w:rsid w:val="00C67CE2"/>
    <w:rsid w:val="00C67CF3"/>
    <w:rsid w:val="00C67D0F"/>
    <w:rsid w:val="00C7030C"/>
    <w:rsid w:val="00C71090"/>
    <w:rsid w:val="00C7157B"/>
    <w:rsid w:val="00C718E1"/>
    <w:rsid w:val="00C7218F"/>
    <w:rsid w:val="00C72673"/>
    <w:rsid w:val="00C73B7F"/>
    <w:rsid w:val="00C74DAE"/>
    <w:rsid w:val="00C75234"/>
    <w:rsid w:val="00C756D3"/>
    <w:rsid w:val="00C761FB"/>
    <w:rsid w:val="00C76396"/>
    <w:rsid w:val="00C7641C"/>
    <w:rsid w:val="00C76AE2"/>
    <w:rsid w:val="00C76D8B"/>
    <w:rsid w:val="00C77203"/>
    <w:rsid w:val="00C778CB"/>
    <w:rsid w:val="00C77977"/>
    <w:rsid w:val="00C80865"/>
    <w:rsid w:val="00C82E14"/>
    <w:rsid w:val="00C82F83"/>
    <w:rsid w:val="00C8474A"/>
    <w:rsid w:val="00C86356"/>
    <w:rsid w:val="00C86A45"/>
    <w:rsid w:val="00C903D4"/>
    <w:rsid w:val="00C90B46"/>
    <w:rsid w:val="00C915B7"/>
    <w:rsid w:val="00C915E7"/>
    <w:rsid w:val="00C92779"/>
    <w:rsid w:val="00C92EBE"/>
    <w:rsid w:val="00C93051"/>
    <w:rsid w:val="00C93455"/>
    <w:rsid w:val="00C9374E"/>
    <w:rsid w:val="00C941AB"/>
    <w:rsid w:val="00C943C7"/>
    <w:rsid w:val="00C94615"/>
    <w:rsid w:val="00C959DE"/>
    <w:rsid w:val="00C96BFC"/>
    <w:rsid w:val="00C96D9C"/>
    <w:rsid w:val="00C972A1"/>
    <w:rsid w:val="00C974F9"/>
    <w:rsid w:val="00C975D7"/>
    <w:rsid w:val="00C97C5B"/>
    <w:rsid w:val="00C97D48"/>
    <w:rsid w:val="00CA0375"/>
    <w:rsid w:val="00CA0378"/>
    <w:rsid w:val="00CA0A4D"/>
    <w:rsid w:val="00CA109E"/>
    <w:rsid w:val="00CA13ED"/>
    <w:rsid w:val="00CA189C"/>
    <w:rsid w:val="00CA20D3"/>
    <w:rsid w:val="00CA33A4"/>
    <w:rsid w:val="00CA3D2F"/>
    <w:rsid w:val="00CA3F27"/>
    <w:rsid w:val="00CA49E7"/>
    <w:rsid w:val="00CA59F3"/>
    <w:rsid w:val="00CA5FBA"/>
    <w:rsid w:val="00CA6049"/>
    <w:rsid w:val="00CA63C4"/>
    <w:rsid w:val="00CA6A7C"/>
    <w:rsid w:val="00CA74F3"/>
    <w:rsid w:val="00CB1A70"/>
    <w:rsid w:val="00CB2E60"/>
    <w:rsid w:val="00CB339A"/>
    <w:rsid w:val="00CB4740"/>
    <w:rsid w:val="00CB484E"/>
    <w:rsid w:val="00CB74A3"/>
    <w:rsid w:val="00CC01B8"/>
    <w:rsid w:val="00CC0486"/>
    <w:rsid w:val="00CC1B83"/>
    <w:rsid w:val="00CC37BC"/>
    <w:rsid w:val="00CC4C90"/>
    <w:rsid w:val="00CC577F"/>
    <w:rsid w:val="00CC60ED"/>
    <w:rsid w:val="00CC6A43"/>
    <w:rsid w:val="00CC6C99"/>
    <w:rsid w:val="00CD0000"/>
    <w:rsid w:val="00CD01EC"/>
    <w:rsid w:val="00CD04DF"/>
    <w:rsid w:val="00CD0662"/>
    <w:rsid w:val="00CD0828"/>
    <w:rsid w:val="00CD09A0"/>
    <w:rsid w:val="00CD2667"/>
    <w:rsid w:val="00CD2EFA"/>
    <w:rsid w:val="00CD4485"/>
    <w:rsid w:val="00CD5FD9"/>
    <w:rsid w:val="00CD672B"/>
    <w:rsid w:val="00CD6F11"/>
    <w:rsid w:val="00CD736E"/>
    <w:rsid w:val="00CD78EF"/>
    <w:rsid w:val="00CD7A44"/>
    <w:rsid w:val="00CD7C5F"/>
    <w:rsid w:val="00CE0BF7"/>
    <w:rsid w:val="00CE0E6D"/>
    <w:rsid w:val="00CE1B5D"/>
    <w:rsid w:val="00CE2C65"/>
    <w:rsid w:val="00CE2FA0"/>
    <w:rsid w:val="00CE3562"/>
    <w:rsid w:val="00CE3ABA"/>
    <w:rsid w:val="00CE4267"/>
    <w:rsid w:val="00CE42C2"/>
    <w:rsid w:val="00CE4481"/>
    <w:rsid w:val="00CE4D88"/>
    <w:rsid w:val="00CE6275"/>
    <w:rsid w:val="00CF03EC"/>
    <w:rsid w:val="00CF096B"/>
    <w:rsid w:val="00CF2354"/>
    <w:rsid w:val="00CF33B3"/>
    <w:rsid w:val="00CF364C"/>
    <w:rsid w:val="00CF49E7"/>
    <w:rsid w:val="00CF547E"/>
    <w:rsid w:val="00CF67C4"/>
    <w:rsid w:val="00CF6829"/>
    <w:rsid w:val="00CF6DAA"/>
    <w:rsid w:val="00CF6E73"/>
    <w:rsid w:val="00CF6EB0"/>
    <w:rsid w:val="00CF7252"/>
    <w:rsid w:val="00CF725A"/>
    <w:rsid w:val="00D02967"/>
    <w:rsid w:val="00D02BEF"/>
    <w:rsid w:val="00D03CA3"/>
    <w:rsid w:val="00D03E84"/>
    <w:rsid w:val="00D040A3"/>
    <w:rsid w:val="00D0419D"/>
    <w:rsid w:val="00D04D0E"/>
    <w:rsid w:val="00D05892"/>
    <w:rsid w:val="00D05CAD"/>
    <w:rsid w:val="00D05F2A"/>
    <w:rsid w:val="00D06380"/>
    <w:rsid w:val="00D068C4"/>
    <w:rsid w:val="00D069BE"/>
    <w:rsid w:val="00D0795C"/>
    <w:rsid w:val="00D07D1E"/>
    <w:rsid w:val="00D10D1A"/>
    <w:rsid w:val="00D1144B"/>
    <w:rsid w:val="00D11573"/>
    <w:rsid w:val="00D11972"/>
    <w:rsid w:val="00D11BF0"/>
    <w:rsid w:val="00D1208C"/>
    <w:rsid w:val="00D12752"/>
    <w:rsid w:val="00D12AFE"/>
    <w:rsid w:val="00D13364"/>
    <w:rsid w:val="00D14183"/>
    <w:rsid w:val="00D146A8"/>
    <w:rsid w:val="00D15B35"/>
    <w:rsid w:val="00D15FF3"/>
    <w:rsid w:val="00D1605E"/>
    <w:rsid w:val="00D1666C"/>
    <w:rsid w:val="00D16A43"/>
    <w:rsid w:val="00D17D6B"/>
    <w:rsid w:val="00D202B5"/>
    <w:rsid w:val="00D20601"/>
    <w:rsid w:val="00D217E7"/>
    <w:rsid w:val="00D21EF6"/>
    <w:rsid w:val="00D21F14"/>
    <w:rsid w:val="00D22482"/>
    <w:rsid w:val="00D2248B"/>
    <w:rsid w:val="00D22879"/>
    <w:rsid w:val="00D22E66"/>
    <w:rsid w:val="00D2302F"/>
    <w:rsid w:val="00D23882"/>
    <w:rsid w:val="00D24B50"/>
    <w:rsid w:val="00D252C9"/>
    <w:rsid w:val="00D258B8"/>
    <w:rsid w:val="00D2596C"/>
    <w:rsid w:val="00D26BBE"/>
    <w:rsid w:val="00D27804"/>
    <w:rsid w:val="00D27901"/>
    <w:rsid w:val="00D3026D"/>
    <w:rsid w:val="00D303E1"/>
    <w:rsid w:val="00D30793"/>
    <w:rsid w:val="00D3107B"/>
    <w:rsid w:val="00D31B5C"/>
    <w:rsid w:val="00D3230B"/>
    <w:rsid w:val="00D3359C"/>
    <w:rsid w:val="00D335A1"/>
    <w:rsid w:val="00D33940"/>
    <w:rsid w:val="00D33A79"/>
    <w:rsid w:val="00D34EFC"/>
    <w:rsid w:val="00D3520D"/>
    <w:rsid w:val="00D359D0"/>
    <w:rsid w:val="00D360C2"/>
    <w:rsid w:val="00D36230"/>
    <w:rsid w:val="00D368A0"/>
    <w:rsid w:val="00D369F5"/>
    <w:rsid w:val="00D37117"/>
    <w:rsid w:val="00D37ED7"/>
    <w:rsid w:val="00D4036D"/>
    <w:rsid w:val="00D409A8"/>
    <w:rsid w:val="00D413DF"/>
    <w:rsid w:val="00D41874"/>
    <w:rsid w:val="00D41E24"/>
    <w:rsid w:val="00D42393"/>
    <w:rsid w:val="00D427FD"/>
    <w:rsid w:val="00D444FA"/>
    <w:rsid w:val="00D4459B"/>
    <w:rsid w:val="00D45576"/>
    <w:rsid w:val="00D463E3"/>
    <w:rsid w:val="00D474F5"/>
    <w:rsid w:val="00D47624"/>
    <w:rsid w:val="00D478F1"/>
    <w:rsid w:val="00D5129A"/>
    <w:rsid w:val="00D516A5"/>
    <w:rsid w:val="00D51B30"/>
    <w:rsid w:val="00D52121"/>
    <w:rsid w:val="00D527C5"/>
    <w:rsid w:val="00D52EDC"/>
    <w:rsid w:val="00D52FB0"/>
    <w:rsid w:val="00D530C2"/>
    <w:rsid w:val="00D534C7"/>
    <w:rsid w:val="00D534FC"/>
    <w:rsid w:val="00D53796"/>
    <w:rsid w:val="00D53E14"/>
    <w:rsid w:val="00D5443A"/>
    <w:rsid w:val="00D55415"/>
    <w:rsid w:val="00D55B6F"/>
    <w:rsid w:val="00D55B8C"/>
    <w:rsid w:val="00D56B81"/>
    <w:rsid w:val="00D56F79"/>
    <w:rsid w:val="00D570A0"/>
    <w:rsid w:val="00D57A86"/>
    <w:rsid w:val="00D57B79"/>
    <w:rsid w:val="00D57FDB"/>
    <w:rsid w:val="00D61BEC"/>
    <w:rsid w:val="00D61F06"/>
    <w:rsid w:val="00D626DD"/>
    <w:rsid w:val="00D62B72"/>
    <w:rsid w:val="00D632A8"/>
    <w:rsid w:val="00D6393D"/>
    <w:rsid w:val="00D642F1"/>
    <w:rsid w:val="00D64595"/>
    <w:rsid w:val="00D646B2"/>
    <w:rsid w:val="00D64A33"/>
    <w:rsid w:val="00D653AB"/>
    <w:rsid w:val="00D65F23"/>
    <w:rsid w:val="00D65FCF"/>
    <w:rsid w:val="00D6776D"/>
    <w:rsid w:val="00D67B68"/>
    <w:rsid w:val="00D70095"/>
    <w:rsid w:val="00D70A1A"/>
    <w:rsid w:val="00D70EFF"/>
    <w:rsid w:val="00D71C8D"/>
    <w:rsid w:val="00D72999"/>
    <w:rsid w:val="00D739EE"/>
    <w:rsid w:val="00D742DD"/>
    <w:rsid w:val="00D745AD"/>
    <w:rsid w:val="00D7516A"/>
    <w:rsid w:val="00D756A6"/>
    <w:rsid w:val="00D75917"/>
    <w:rsid w:val="00D75BF7"/>
    <w:rsid w:val="00D75C4C"/>
    <w:rsid w:val="00D76AE1"/>
    <w:rsid w:val="00D772DC"/>
    <w:rsid w:val="00D7741B"/>
    <w:rsid w:val="00D803AE"/>
    <w:rsid w:val="00D8080B"/>
    <w:rsid w:val="00D80B9D"/>
    <w:rsid w:val="00D8179D"/>
    <w:rsid w:val="00D8227E"/>
    <w:rsid w:val="00D825A9"/>
    <w:rsid w:val="00D82C64"/>
    <w:rsid w:val="00D82FD5"/>
    <w:rsid w:val="00D8301B"/>
    <w:rsid w:val="00D838C9"/>
    <w:rsid w:val="00D84004"/>
    <w:rsid w:val="00D84150"/>
    <w:rsid w:val="00D8479C"/>
    <w:rsid w:val="00D85193"/>
    <w:rsid w:val="00D85983"/>
    <w:rsid w:val="00D85C35"/>
    <w:rsid w:val="00D867AF"/>
    <w:rsid w:val="00D86CA4"/>
    <w:rsid w:val="00D87078"/>
    <w:rsid w:val="00D90363"/>
    <w:rsid w:val="00D908F5"/>
    <w:rsid w:val="00D91052"/>
    <w:rsid w:val="00D917CA"/>
    <w:rsid w:val="00D92B38"/>
    <w:rsid w:val="00D92B9D"/>
    <w:rsid w:val="00D93BBB"/>
    <w:rsid w:val="00D95A50"/>
    <w:rsid w:val="00D9631A"/>
    <w:rsid w:val="00D966D7"/>
    <w:rsid w:val="00D9684B"/>
    <w:rsid w:val="00D96DDD"/>
    <w:rsid w:val="00D976E6"/>
    <w:rsid w:val="00D978F8"/>
    <w:rsid w:val="00D97A6E"/>
    <w:rsid w:val="00D97AD6"/>
    <w:rsid w:val="00D97C93"/>
    <w:rsid w:val="00DA0407"/>
    <w:rsid w:val="00DA0DB0"/>
    <w:rsid w:val="00DA1A70"/>
    <w:rsid w:val="00DA2189"/>
    <w:rsid w:val="00DA46FE"/>
    <w:rsid w:val="00DA4BB0"/>
    <w:rsid w:val="00DA5E69"/>
    <w:rsid w:val="00DA6BB2"/>
    <w:rsid w:val="00DA70AA"/>
    <w:rsid w:val="00DA7585"/>
    <w:rsid w:val="00DA7A3D"/>
    <w:rsid w:val="00DA7B97"/>
    <w:rsid w:val="00DA7C15"/>
    <w:rsid w:val="00DB08C4"/>
    <w:rsid w:val="00DB1505"/>
    <w:rsid w:val="00DB1775"/>
    <w:rsid w:val="00DB1FFC"/>
    <w:rsid w:val="00DB2488"/>
    <w:rsid w:val="00DB2584"/>
    <w:rsid w:val="00DB2950"/>
    <w:rsid w:val="00DB2EB6"/>
    <w:rsid w:val="00DB367F"/>
    <w:rsid w:val="00DB3F58"/>
    <w:rsid w:val="00DB4063"/>
    <w:rsid w:val="00DB46D7"/>
    <w:rsid w:val="00DB4A04"/>
    <w:rsid w:val="00DB507D"/>
    <w:rsid w:val="00DB55DD"/>
    <w:rsid w:val="00DB6669"/>
    <w:rsid w:val="00DB687A"/>
    <w:rsid w:val="00DB6984"/>
    <w:rsid w:val="00DB7134"/>
    <w:rsid w:val="00DB7259"/>
    <w:rsid w:val="00DB7AAA"/>
    <w:rsid w:val="00DB7DA6"/>
    <w:rsid w:val="00DC03D6"/>
    <w:rsid w:val="00DC051B"/>
    <w:rsid w:val="00DC1736"/>
    <w:rsid w:val="00DC202D"/>
    <w:rsid w:val="00DC24A4"/>
    <w:rsid w:val="00DC2C14"/>
    <w:rsid w:val="00DC2E5C"/>
    <w:rsid w:val="00DC3321"/>
    <w:rsid w:val="00DC42E7"/>
    <w:rsid w:val="00DC4328"/>
    <w:rsid w:val="00DC4A5A"/>
    <w:rsid w:val="00DC4A5D"/>
    <w:rsid w:val="00DC4C20"/>
    <w:rsid w:val="00DC5756"/>
    <w:rsid w:val="00DC61BC"/>
    <w:rsid w:val="00DC626F"/>
    <w:rsid w:val="00DC6431"/>
    <w:rsid w:val="00DC6548"/>
    <w:rsid w:val="00DC6754"/>
    <w:rsid w:val="00DC68D5"/>
    <w:rsid w:val="00DC690C"/>
    <w:rsid w:val="00DC7789"/>
    <w:rsid w:val="00DC79BB"/>
    <w:rsid w:val="00DC7BE6"/>
    <w:rsid w:val="00DD0F07"/>
    <w:rsid w:val="00DD107B"/>
    <w:rsid w:val="00DD14E4"/>
    <w:rsid w:val="00DD18B4"/>
    <w:rsid w:val="00DD1C4A"/>
    <w:rsid w:val="00DD1D5F"/>
    <w:rsid w:val="00DD2305"/>
    <w:rsid w:val="00DD3D2B"/>
    <w:rsid w:val="00DD40D7"/>
    <w:rsid w:val="00DD41E0"/>
    <w:rsid w:val="00DD42D1"/>
    <w:rsid w:val="00DD460C"/>
    <w:rsid w:val="00DD48EC"/>
    <w:rsid w:val="00DD5C3F"/>
    <w:rsid w:val="00DD5D1E"/>
    <w:rsid w:val="00DD5DDA"/>
    <w:rsid w:val="00DD6CFC"/>
    <w:rsid w:val="00DD76FC"/>
    <w:rsid w:val="00DE0D0A"/>
    <w:rsid w:val="00DE13FA"/>
    <w:rsid w:val="00DE19F8"/>
    <w:rsid w:val="00DE1C4B"/>
    <w:rsid w:val="00DE1CF5"/>
    <w:rsid w:val="00DE2E55"/>
    <w:rsid w:val="00DE2F28"/>
    <w:rsid w:val="00DE3E22"/>
    <w:rsid w:val="00DE40D2"/>
    <w:rsid w:val="00DE4455"/>
    <w:rsid w:val="00DE62D3"/>
    <w:rsid w:val="00DF0745"/>
    <w:rsid w:val="00DF1A12"/>
    <w:rsid w:val="00DF1D07"/>
    <w:rsid w:val="00DF2391"/>
    <w:rsid w:val="00DF2BD9"/>
    <w:rsid w:val="00DF381F"/>
    <w:rsid w:val="00DF4A0E"/>
    <w:rsid w:val="00DF51A1"/>
    <w:rsid w:val="00DF57D1"/>
    <w:rsid w:val="00DF663E"/>
    <w:rsid w:val="00DF6DF1"/>
    <w:rsid w:val="00DF6FAF"/>
    <w:rsid w:val="00E006FF"/>
    <w:rsid w:val="00E0092A"/>
    <w:rsid w:val="00E00CA2"/>
    <w:rsid w:val="00E010C5"/>
    <w:rsid w:val="00E01348"/>
    <w:rsid w:val="00E01C4A"/>
    <w:rsid w:val="00E027A8"/>
    <w:rsid w:val="00E03149"/>
    <w:rsid w:val="00E03BE3"/>
    <w:rsid w:val="00E03EC7"/>
    <w:rsid w:val="00E0405A"/>
    <w:rsid w:val="00E04261"/>
    <w:rsid w:val="00E04721"/>
    <w:rsid w:val="00E04EFA"/>
    <w:rsid w:val="00E05843"/>
    <w:rsid w:val="00E0645E"/>
    <w:rsid w:val="00E066B1"/>
    <w:rsid w:val="00E110EB"/>
    <w:rsid w:val="00E118E8"/>
    <w:rsid w:val="00E124ED"/>
    <w:rsid w:val="00E13306"/>
    <w:rsid w:val="00E142EF"/>
    <w:rsid w:val="00E147A5"/>
    <w:rsid w:val="00E149C1"/>
    <w:rsid w:val="00E14CF9"/>
    <w:rsid w:val="00E14DAD"/>
    <w:rsid w:val="00E15EAD"/>
    <w:rsid w:val="00E16436"/>
    <w:rsid w:val="00E178D1"/>
    <w:rsid w:val="00E17B64"/>
    <w:rsid w:val="00E20195"/>
    <w:rsid w:val="00E207F4"/>
    <w:rsid w:val="00E213B0"/>
    <w:rsid w:val="00E213DF"/>
    <w:rsid w:val="00E21E1E"/>
    <w:rsid w:val="00E23717"/>
    <w:rsid w:val="00E24614"/>
    <w:rsid w:val="00E25035"/>
    <w:rsid w:val="00E25E07"/>
    <w:rsid w:val="00E26816"/>
    <w:rsid w:val="00E2782D"/>
    <w:rsid w:val="00E30211"/>
    <w:rsid w:val="00E30CB1"/>
    <w:rsid w:val="00E311A7"/>
    <w:rsid w:val="00E311AA"/>
    <w:rsid w:val="00E31C06"/>
    <w:rsid w:val="00E3226E"/>
    <w:rsid w:val="00E33CC1"/>
    <w:rsid w:val="00E3412B"/>
    <w:rsid w:val="00E34539"/>
    <w:rsid w:val="00E3462F"/>
    <w:rsid w:val="00E36AD9"/>
    <w:rsid w:val="00E36BCA"/>
    <w:rsid w:val="00E36FBC"/>
    <w:rsid w:val="00E400BF"/>
    <w:rsid w:val="00E41428"/>
    <w:rsid w:val="00E44F39"/>
    <w:rsid w:val="00E45136"/>
    <w:rsid w:val="00E45199"/>
    <w:rsid w:val="00E45688"/>
    <w:rsid w:val="00E4585E"/>
    <w:rsid w:val="00E4617A"/>
    <w:rsid w:val="00E46412"/>
    <w:rsid w:val="00E468A5"/>
    <w:rsid w:val="00E471AE"/>
    <w:rsid w:val="00E47420"/>
    <w:rsid w:val="00E52ED5"/>
    <w:rsid w:val="00E531D3"/>
    <w:rsid w:val="00E53777"/>
    <w:rsid w:val="00E5380A"/>
    <w:rsid w:val="00E538A0"/>
    <w:rsid w:val="00E54193"/>
    <w:rsid w:val="00E548F1"/>
    <w:rsid w:val="00E55CB9"/>
    <w:rsid w:val="00E56068"/>
    <w:rsid w:val="00E56772"/>
    <w:rsid w:val="00E5698A"/>
    <w:rsid w:val="00E572AD"/>
    <w:rsid w:val="00E61D06"/>
    <w:rsid w:val="00E627FF"/>
    <w:rsid w:val="00E6482D"/>
    <w:rsid w:val="00E653DC"/>
    <w:rsid w:val="00E65553"/>
    <w:rsid w:val="00E66592"/>
    <w:rsid w:val="00E666ED"/>
    <w:rsid w:val="00E670AB"/>
    <w:rsid w:val="00E67140"/>
    <w:rsid w:val="00E67144"/>
    <w:rsid w:val="00E67D1C"/>
    <w:rsid w:val="00E67DB5"/>
    <w:rsid w:val="00E70132"/>
    <w:rsid w:val="00E702BC"/>
    <w:rsid w:val="00E7042C"/>
    <w:rsid w:val="00E70920"/>
    <w:rsid w:val="00E712B6"/>
    <w:rsid w:val="00E7190C"/>
    <w:rsid w:val="00E7198B"/>
    <w:rsid w:val="00E739BE"/>
    <w:rsid w:val="00E741D1"/>
    <w:rsid w:val="00E74ED7"/>
    <w:rsid w:val="00E76640"/>
    <w:rsid w:val="00E76E81"/>
    <w:rsid w:val="00E76F14"/>
    <w:rsid w:val="00E7707F"/>
    <w:rsid w:val="00E77489"/>
    <w:rsid w:val="00E77AD1"/>
    <w:rsid w:val="00E806A9"/>
    <w:rsid w:val="00E80D35"/>
    <w:rsid w:val="00E81CCD"/>
    <w:rsid w:val="00E81D08"/>
    <w:rsid w:val="00E81F81"/>
    <w:rsid w:val="00E82E0A"/>
    <w:rsid w:val="00E84525"/>
    <w:rsid w:val="00E84AE8"/>
    <w:rsid w:val="00E84C70"/>
    <w:rsid w:val="00E85903"/>
    <w:rsid w:val="00E87460"/>
    <w:rsid w:val="00E8769B"/>
    <w:rsid w:val="00E90383"/>
    <w:rsid w:val="00E91A95"/>
    <w:rsid w:val="00E92751"/>
    <w:rsid w:val="00E92783"/>
    <w:rsid w:val="00E93D3C"/>
    <w:rsid w:val="00E93FD5"/>
    <w:rsid w:val="00E94A74"/>
    <w:rsid w:val="00E94B9C"/>
    <w:rsid w:val="00E959D0"/>
    <w:rsid w:val="00E95DB2"/>
    <w:rsid w:val="00E9646D"/>
    <w:rsid w:val="00E96B8E"/>
    <w:rsid w:val="00E976BF"/>
    <w:rsid w:val="00E97BEA"/>
    <w:rsid w:val="00EA0025"/>
    <w:rsid w:val="00EA12A8"/>
    <w:rsid w:val="00EA28E0"/>
    <w:rsid w:val="00EA2D31"/>
    <w:rsid w:val="00EA4188"/>
    <w:rsid w:val="00EA436F"/>
    <w:rsid w:val="00EA4A35"/>
    <w:rsid w:val="00EA4CCB"/>
    <w:rsid w:val="00EA52BA"/>
    <w:rsid w:val="00EA53BC"/>
    <w:rsid w:val="00EA5DA2"/>
    <w:rsid w:val="00EA6CBF"/>
    <w:rsid w:val="00EA740B"/>
    <w:rsid w:val="00EB013A"/>
    <w:rsid w:val="00EB36AB"/>
    <w:rsid w:val="00EB3D0A"/>
    <w:rsid w:val="00EB4554"/>
    <w:rsid w:val="00EB5D80"/>
    <w:rsid w:val="00EB6C1A"/>
    <w:rsid w:val="00EB745C"/>
    <w:rsid w:val="00EC0DA6"/>
    <w:rsid w:val="00EC2292"/>
    <w:rsid w:val="00EC33FF"/>
    <w:rsid w:val="00EC3F14"/>
    <w:rsid w:val="00EC4227"/>
    <w:rsid w:val="00EC6425"/>
    <w:rsid w:val="00EC7968"/>
    <w:rsid w:val="00EC7AB5"/>
    <w:rsid w:val="00ED1487"/>
    <w:rsid w:val="00ED3185"/>
    <w:rsid w:val="00ED397C"/>
    <w:rsid w:val="00ED41BB"/>
    <w:rsid w:val="00ED4840"/>
    <w:rsid w:val="00ED48EC"/>
    <w:rsid w:val="00ED4A66"/>
    <w:rsid w:val="00ED4C0A"/>
    <w:rsid w:val="00ED5115"/>
    <w:rsid w:val="00ED6517"/>
    <w:rsid w:val="00ED684B"/>
    <w:rsid w:val="00ED7228"/>
    <w:rsid w:val="00ED77E0"/>
    <w:rsid w:val="00ED7BE8"/>
    <w:rsid w:val="00ED7E58"/>
    <w:rsid w:val="00ED7FEE"/>
    <w:rsid w:val="00EE0788"/>
    <w:rsid w:val="00EE1152"/>
    <w:rsid w:val="00EE1749"/>
    <w:rsid w:val="00EE18CA"/>
    <w:rsid w:val="00EE1E9E"/>
    <w:rsid w:val="00EE1F7B"/>
    <w:rsid w:val="00EE1F9B"/>
    <w:rsid w:val="00EE20B2"/>
    <w:rsid w:val="00EE4120"/>
    <w:rsid w:val="00EE4ABD"/>
    <w:rsid w:val="00EE57EB"/>
    <w:rsid w:val="00EE597C"/>
    <w:rsid w:val="00EE761E"/>
    <w:rsid w:val="00EE7B13"/>
    <w:rsid w:val="00EE7B1F"/>
    <w:rsid w:val="00EF1932"/>
    <w:rsid w:val="00EF2292"/>
    <w:rsid w:val="00EF3056"/>
    <w:rsid w:val="00EF3C48"/>
    <w:rsid w:val="00EF469C"/>
    <w:rsid w:val="00EF479A"/>
    <w:rsid w:val="00EF4B36"/>
    <w:rsid w:val="00EF55F3"/>
    <w:rsid w:val="00EF5DEC"/>
    <w:rsid w:val="00EF5F71"/>
    <w:rsid w:val="00EF6EA6"/>
    <w:rsid w:val="00EF6F29"/>
    <w:rsid w:val="00EF784F"/>
    <w:rsid w:val="00F00AA9"/>
    <w:rsid w:val="00F00B7B"/>
    <w:rsid w:val="00F012A0"/>
    <w:rsid w:val="00F01840"/>
    <w:rsid w:val="00F01C28"/>
    <w:rsid w:val="00F02CAC"/>
    <w:rsid w:val="00F02E21"/>
    <w:rsid w:val="00F036B9"/>
    <w:rsid w:val="00F03DFF"/>
    <w:rsid w:val="00F042C8"/>
    <w:rsid w:val="00F0464B"/>
    <w:rsid w:val="00F0521D"/>
    <w:rsid w:val="00F0555C"/>
    <w:rsid w:val="00F0573F"/>
    <w:rsid w:val="00F05BB5"/>
    <w:rsid w:val="00F05D97"/>
    <w:rsid w:val="00F06BD5"/>
    <w:rsid w:val="00F07766"/>
    <w:rsid w:val="00F07CD1"/>
    <w:rsid w:val="00F10F79"/>
    <w:rsid w:val="00F11102"/>
    <w:rsid w:val="00F1183D"/>
    <w:rsid w:val="00F11ED1"/>
    <w:rsid w:val="00F12621"/>
    <w:rsid w:val="00F12E78"/>
    <w:rsid w:val="00F14CF2"/>
    <w:rsid w:val="00F1534E"/>
    <w:rsid w:val="00F1613E"/>
    <w:rsid w:val="00F1622C"/>
    <w:rsid w:val="00F163D0"/>
    <w:rsid w:val="00F178F6"/>
    <w:rsid w:val="00F2143F"/>
    <w:rsid w:val="00F21BB9"/>
    <w:rsid w:val="00F21CB4"/>
    <w:rsid w:val="00F21FAA"/>
    <w:rsid w:val="00F225B2"/>
    <w:rsid w:val="00F22DF8"/>
    <w:rsid w:val="00F24CD8"/>
    <w:rsid w:val="00F254D2"/>
    <w:rsid w:val="00F26538"/>
    <w:rsid w:val="00F26793"/>
    <w:rsid w:val="00F31F00"/>
    <w:rsid w:val="00F32AE4"/>
    <w:rsid w:val="00F32D77"/>
    <w:rsid w:val="00F33381"/>
    <w:rsid w:val="00F3353E"/>
    <w:rsid w:val="00F33555"/>
    <w:rsid w:val="00F33B5F"/>
    <w:rsid w:val="00F34B5B"/>
    <w:rsid w:val="00F3521A"/>
    <w:rsid w:val="00F37D86"/>
    <w:rsid w:val="00F37DC4"/>
    <w:rsid w:val="00F40385"/>
    <w:rsid w:val="00F40F70"/>
    <w:rsid w:val="00F411C9"/>
    <w:rsid w:val="00F413DC"/>
    <w:rsid w:val="00F42031"/>
    <w:rsid w:val="00F422A5"/>
    <w:rsid w:val="00F42DD2"/>
    <w:rsid w:val="00F4327A"/>
    <w:rsid w:val="00F43C10"/>
    <w:rsid w:val="00F447AA"/>
    <w:rsid w:val="00F46711"/>
    <w:rsid w:val="00F475E0"/>
    <w:rsid w:val="00F476DF"/>
    <w:rsid w:val="00F47938"/>
    <w:rsid w:val="00F50E17"/>
    <w:rsid w:val="00F52886"/>
    <w:rsid w:val="00F52AA4"/>
    <w:rsid w:val="00F52EAC"/>
    <w:rsid w:val="00F52F30"/>
    <w:rsid w:val="00F53724"/>
    <w:rsid w:val="00F54162"/>
    <w:rsid w:val="00F548EF"/>
    <w:rsid w:val="00F54AB3"/>
    <w:rsid w:val="00F54B5D"/>
    <w:rsid w:val="00F54DF6"/>
    <w:rsid w:val="00F57918"/>
    <w:rsid w:val="00F57E68"/>
    <w:rsid w:val="00F615BE"/>
    <w:rsid w:val="00F61F38"/>
    <w:rsid w:val="00F623FE"/>
    <w:rsid w:val="00F62FB5"/>
    <w:rsid w:val="00F63272"/>
    <w:rsid w:val="00F6398D"/>
    <w:rsid w:val="00F63C8B"/>
    <w:rsid w:val="00F642E7"/>
    <w:rsid w:val="00F64AF9"/>
    <w:rsid w:val="00F6509E"/>
    <w:rsid w:val="00F650A3"/>
    <w:rsid w:val="00F65FD3"/>
    <w:rsid w:val="00F66BF8"/>
    <w:rsid w:val="00F66F1E"/>
    <w:rsid w:val="00F670B6"/>
    <w:rsid w:val="00F71026"/>
    <w:rsid w:val="00F71C34"/>
    <w:rsid w:val="00F72A3A"/>
    <w:rsid w:val="00F72AFB"/>
    <w:rsid w:val="00F72B6D"/>
    <w:rsid w:val="00F72E49"/>
    <w:rsid w:val="00F738A4"/>
    <w:rsid w:val="00F73EBA"/>
    <w:rsid w:val="00F740FB"/>
    <w:rsid w:val="00F74589"/>
    <w:rsid w:val="00F74D44"/>
    <w:rsid w:val="00F757E1"/>
    <w:rsid w:val="00F77BF0"/>
    <w:rsid w:val="00F824D6"/>
    <w:rsid w:val="00F8255C"/>
    <w:rsid w:val="00F82C0B"/>
    <w:rsid w:val="00F835F3"/>
    <w:rsid w:val="00F84F7D"/>
    <w:rsid w:val="00F855FE"/>
    <w:rsid w:val="00F85FD6"/>
    <w:rsid w:val="00F861B4"/>
    <w:rsid w:val="00F86D89"/>
    <w:rsid w:val="00F903AD"/>
    <w:rsid w:val="00F90ABA"/>
    <w:rsid w:val="00F90C80"/>
    <w:rsid w:val="00F90D03"/>
    <w:rsid w:val="00F91C38"/>
    <w:rsid w:val="00F91C74"/>
    <w:rsid w:val="00F91DC4"/>
    <w:rsid w:val="00F92660"/>
    <w:rsid w:val="00F92F9D"/>
    <w:rsid w:val="00F943A8"/>
    <w:rsid w:val="00F945A6"/>
    <w:rsid w:val="00F951B5"/>
    <w:rsid w:val="00F96794"/>
    <w:rsid w:val="00F967B7"/>
    <w:rsid w:val="00F96A62"/>
    <w:rsid w:val="00F979D3"/>
    <w:rsid w:val="00F97DF3"/>
    <w:rsid w:val="00FA14F4"/>
    <w:rsid w:val="00FA1775"/>
    <w:rsid w:val="00FA18FF"/>
    <w:rsid w:val="00FA1CFD"/>
    <w:rsid w:val="00FA27F6"/>
    <w:rsid w:val="00FA28D1"/>
    <w:rsid w:val="00FA2948"/>
    <w:rsid w:val="00FA3681"/>
    <w:rsid w:val="00FA3EF2"/>
    <w:rsid w:val="00FA5DFF"/>
    <w:rsid w:val="00FA66BF"/>
    <w:rsid w:val="00FA6AFD"/>
    <w:rsid w:val="00FA6B0D"/>
    <w:rsid w:val="00FA7852"/>
    <w:rsid w:val="00FA7DBF"/>
    <w:rsid w:val="00FB09E3"/>
    <w:rsid w:val="00FB0A23"/>
    <w:rsid w:val="00FB1371"/>
    <w:rsid w:val="00FB1B92"/>
    <w:rsid w:val="00FB24A0"/>
    <w:rsid w:val="00FB2738"/>
    <w:rsid w:val="00FB279C"/>
    <w:rsid w:val="00FB288E"/>
    <w:rsid w:val="00FB2F2B"/>
    <w:rsid w:val="00FB3350"/>
    <w:rsid w:val="00FB3753"/>
    <w:rsid w:val="00FB3A9A"/>
    <w:rsid w:val="00FB402B"/>
    <w:rsid w:val="00FB45E6"/>
    <w:rsid w:val="00FB49B0"/>
    <w:rsid w:val="00FB5E7D"/>
    <w:rsid w:val="00FB6621"/>
    <w:rsid w:val="00FB6E9D"/>
    <w:rsid w:val="00FC0721"/>
    <w:rsid w:val="00FC0DBB"/>
    <w:rsid w:val="00FC1126"/>
    <w:rsid w:val="00FC182F"/>
    <w:rsid w:val="00FC219A"/>
    <w:rsid w:val="00FC2211"/>
    <w:rsid w:val="00FC2389"/>
    <w:rsid w:val="00FC2A36"/>
    <w:rsid w:val="00FC2AD2"/>
    <w:rsid w:val="00FC2FD8"/>
    <w:rsid w:val="00FC3BD9"/>
    <w:rsid w:val="00FC520E"/>
    <w:rsid w:val="00FC5401"/>
    <w:rsid w:val="00FC5896"/>
    <w:rsid w:val="00FC5E1C"/>
    <w:rsid w:val="00FC7140"/>
    <w:rsid w:val="00FC7B8B"/>
    <w:rsid w:val="00FD0E1E"/>
    <w:rsid w:val="00FD1B5A"/>
    <w:rsid w:val="00FD2191"/>
    <w:rsid w:val="00FD2411"/>
    <w:rsid w:val="00FD2570"/>
    <w:rsid w:val="00FD3380"/>
    <w:rsid w:val="00FD4A6B"/>
    <w:rsid w:val="00FD4F7F"/>
    <w:rsid w:val="00FD61B0"/>
    <w:rsid w:val="00FD6220"/>
    <w:rsid w:val="00FD6B3F"/>
    <w:rsid w:val="00FD7826"/>
    <w:rsid w:val="00FD78FB"/>
    <w:rsid w:val="00FD7EAB"/>
    <w:rsid w:val="00FE0006"/>
    <w:rsid w:val="00FE0AEF"/>
    <w:rsid w:val="00FE0E56"/>
    <w:rsid w:val="00FE1238"/>
    <w:rsid w:val="00FE18B7"/>
    <w:rsid w:val="00FE1E82"/>
    <w:rsid w:val="00FE3837"/>
    <w:rsid w:val="00FE43E2"/>
    <w:rsid w:val="00FE4BCF"/>
    <w:rsid w:val="00FE4BF1"/>
    <w:rsid w:val="00FE4C89"/>
    <w:rsid w:val="00FE5D1A"/>
    <w:rsid w:val="00FE5D28"/>
    <w:rsid w:val="00FE5E39"/>
    <w:rsid w:val="00FE5F3E"/>
    <w:rsid w:val="00FE5FE9"/>
    <w:rsid w:val="00FE6176"/>
    <w:rsid w:val="00FF0332"/>
    <w:rsid w:val="00FF0647"/>
    <w:rsid w:val="00FF0CF8"/>
    <w:rsid w:val="00FF0EA9"/>
    <w:rsid w:val="00FF19CE"/>
    <w:rsid w:val="00FF1B85"/>
    <w:rsid w:val="00FF1DDC"/>
    <w:rsid w:val="00FF1E7C"/>
    <w:rsid w:val="00FF27A2"/>
    <w:rsid w:val="00FF291D"/>
    <w:rsid w:val="00FF312D"/>
    <w:rsid w:val="00FF3330"/>
    <w:rsid w:val="00FF5214"/>
    <w:rsid w:val="00FF5290"/>
    <w:rsid w:val="00FF534B"/>
    <w:rsid w:val="00FF5F49"/>
    <w:rsid w:val="00FF6C4E"/>
    <w:rsid w:val="00FF6EC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DA3D8-BCB8-4670-834C-A35091B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E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8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20"/>
    <w:rPr>
      <w:rFonts w:ascii="GHEA Grapalat" w:hAnsi="GHEA Grapalat"/>
      <w:color w:val="0070C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5A20"/>
    <w:rPr>
      <w:rFonts w:ascii="GHEA Grapalat" w:eastAsia="Times New Roman" w:hAnsi="GHEA Grapalat"/>
      <w:color w:val="0070C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A45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link w:val="Heading1"/>
    <w:uiPriority w:val="9"/>
    <w:rsid w:val="003C1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Akapit z listą BS,List Paragraph2,Bullets,List Paragraph nowy,List Paragraph (numbered (a)),Liste 1,List Paragraph 1,List_Paragraph,Multilevel para_II,References,IBL List Paragraph,Numbered List Paragraph,Bullet1,List Paragraph4,OBC Bulle"/>
    <w:basedOn w:val="Normal"/>
    <w:link w:val="ListParagraphChar"/>
    <w:uiPriority w:val="34"/>
    <w:qFormat/>
    <w:rsid w:val="00456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154F0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Akapit z listą BS Char,List Paragraph2 Char,Bullets Char,List Paragraph nowy Char,List Paragraph (numbered (a)) Char,Liste 1 Char,List Paragraph 1 Char,List_Paragraph Char,Multilevel para_II Char,References Char,Bullet1 Char"/>
    <w:link w:val="ListParagraph"/>
    <w:uiPriority w:val="34"/>
    <w:qFormat/>
    <w:locked/>
    <w:rsid w:val="00990B8D"/>
    <w:rPr>
      <w:sz w:val="22"/>
      <w:szCs w:val="22"/>
    </w:rPr>
  </w:style>
  <w:style w:type="table" w:styleId="TableGrid">
    <w:name w:val="Table Grid"/>
    <w:basedOn w:val="TableNormal"/>
    <w:uiPriority w:val="59"/>
    <w:rsid w:val="0033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59BC-8DA3-419A-AFFD-85F04EC1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4380</Words>
  <Characters>24968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Varduhi</dc:creator>
  <cp:keywords>https:/mul2-minfin.gov.am/tasks/1008645/oneclick?token=26caa221eded36b7659cb4e45177b5f3</cp:keywords>
  <cp:lastModifiedBy>Emma Ghaytanjyan</cp:lastModifiedBy>
  <cp:revision>7</cp:revision>
  <cp:lastPrinted>2025-05-27T13:51:00Z</cp:lastPrinted>
  <dcterms:created xsi:type="dcterms:W3CDTF">2025-07-08T12:49:00Z</dcterms:created>
  <dcterms:modified xsi:type="dcterms:W3CDTF">2025-07-08T13:46:00Z</dcterms:modified>
</cp:coreProperties>
</file>