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62" w:rsidRPr="00775D4D" w:rsidRDefault="00AF1262" w:rsidP="00AF1262">
      <w:pPr>
        <w:pStyle w:val="mechtex"/>
        <w:widowControl w:val="0"/>
        <w:tabs>
          <w:tab w:val="left" w:pos="0"/>
        </w:tabs>
        <w:spacing w:before="120" w:after="0" w:line="276" w:lineRule="auto"/>
        <w:ind w:firstLine="0"/>
        <w:jc w:val="left"/>
        <w:rPr>
          <w:b/>
          <w:sz w:val="24"/>
          <w:szCs w:val="24"/>
          <w:lang w:val="hy-AM"/>
        </w:rPr>
      </w:pPr>
      <w:bookmarkStart w:id="0" w:name="_Toc14687615"/>
      <w:bookmarkStart w:id="1" w:name="_Toc13837279"/>
      <w:bookmarkStart w:id="2" w:name="_Toc45838560"/>
      <w:bookmarkStart w:id="3" w:name="_Toc46154385"/>
      <w:bookmarkStart w:id="4" w:name="_Toc106822903"/>
      <w:bookmarkStart w:id="5" w:name="_Toc14687616"/>
      <w:bookmarkStart w:id="6" w:name="_Toc13837280"/>
      <w:bookmarkStart w:id="7" w:name="_Toc170926363"/>
      <w:r w:rsidRPr="00775D4D">
        <w:rPr>
          <w:color w:val="000000" w:themeColor="text1"/>
          <w:lang w:val="hy-AM"/>
        </w:rPr>
        <w:t xml:space="preserve">  </w:t>
      </w:r>
      <w:bookmarkStart w:id="8" w:name="_Toc265687172"/>
      <w:bookmarkStart w:id="9" w:name="_Toc296702337"/>
      <w:bookmarkStart w:id="10" w:name="_Toc519513604"/>
      <w:r w:rsidRPr="00775D4D">
        <w:rPr>
          <w:rFonts w:eastAsiaTheme="majorEastAsia" w:cstheme="majorBidi"/>
          <w:b/>
          <w:bCs/>
          <w:color w:val="44546A" w:themeColor="text2"/>
          <w:sz w:val="24"/>
          <w:szCs w:val="28"/>
          <w:lang w:val="hy-AM"/>
        </w:rPr>
        <w:t>ԲՈՎԱՆԴԱԿՈՒԹՅՈՒՆ</w:t>
      </w:r>
    </w:p>
    <w:bookmarkStart w:id="11" w:name="_Toc45838510" w:displacedByCustomXml="next"/>
    <w:bookmarkStart w:id="12" w:name="_Toc13837261" w:displacedByCustomXml="next"/>
    <w:sdt>
      <w:sdtPr>
        <w:rPr>
          <w:rFonts w:ascii="GHEA Grapalat" w:hAnsi="GHEA Grapalat"/>
          <w:b/>
          <w:bCs/>
          <w:caps/>
          <w:color w:val="44546A" w:themeColor="text2"/>
          <w:sz w:val="26"/>
          <w:szCs w:val="26"/>
          <w:lang w:val="es-ES"/>
        </w:rPr>
        <w:id w:val="784848711"/>
        <w:docPartObj>
          <w:docPartGallery w:val="Table of Contents"/>
          <w:docPartUnique/>
        </w:docPartObj>
      </w:sdtPr>
      <w:sdtEndPr>
        <w:rPr>
          <w:noProof/>
        </w:rPr>
      </w:sdtEndPr>
      <w:sdtContent>
        <w:p w:rsidR="00AF1262" w:rsidRDefault="00AF1262">
          <w:pPr>
            <w:pStyle w:val="TOCHeading"/>
          </w:pPr>
        </w:p>
        <w:p w:rsidR="00AF1262" w:rsidRPr="00775D4D" w:rsidRDefault="00AF1262">
          <w:pPr>
            <w:pStyle w:val="TOC2"/>
            <w:tabs>
              <w:tab w:val="right" w:leader="dot" w:pos="9350"/>
            </w:tabs>
            <w:rPr>
              <w:rFonts w:ascii="GHEA Grapalat" w:hAnsi="GHEA Grapalat" w:cstheme="minorBidi"/>
              <w:b w:val="0"/>
              <w:bCs w:val="0"/>
              <w:noProof/>
            </w:rPr>
          </w:pPr>
          <w:r>
            <w:fldChar w:fldCharType="begin"/>
          </w:r>
          <w:r>
            <w:instrText xml:space="preserve"> TOC \o "1-3" \h \z \u </w:instrText>
          </w:r>
          <w:r>
            <w:fldChar w:fldCharType="separate"/>
          </w:r>
          <w:hyperlink w:anchor="_Toc172016326" w:history="1">
            <w:r w:rsidRPr="00775D4D">
              <w:rPr>
                <w:rStyle w:val="Hyperlink"/>
                <w:rFonts w:ascii="GHEA Grapalat" w:eastAsia="Times New Roman" w:hAnsi="GHEA Grapalat" w:cs="Times New Roman"/>
                <w:noProof/>
                <w:lang w:val="hy-AM"/>
              </w:rPr>
              <w:t xml:space="preserve">3. ՀԱՐԿԱԲՅՈՒՋԵՏԱՅԻՆ ՌԻՍԿԵՐԻ ԳՆԱՀԱՏՈՒՄ ԵՎ </w:t>
            </w:r>
            <w:r w:rsidRPr="00775D4D">
              <w:rPr>
                <w:rStyle w:val="Hyperlink"/>
                <w:rFonts w:ascii="GHEA Grapalat" w:hAnsi="GHEA Grapalat"/>
                <w:noProof/>
                <w:lang w:val="hy-AM" w:eastAsia="ru-RU"/>
              </w:rPr>
              <w:t>ՀՀ ԿԱՌԱՎԱՐՈՒԹՅԱՆ ՊԱՐՏՔԻ ԿԱՅՈՒՆՈՒԹՅԱՆ ՎԵՐԼՈՒԾՈՒԹՅՈՒՆ</w:t>
            </w:r>
            <w:r w:rsidRPr="00775D4D">
              <w:rPr>
                <w:rFonts w:ascii="GHEA Grapalat" w:hAnsi="GHEA Grapalat"/>
                <w:noProof/>
                <w:webHidden/>
              </w:rPr>
              <w:tab/>
            </w:r>
            <w:r w:rsidRPr="00775D4D">
              <w:rPr>
                <w:rFonts w:ascii="GHEA Grapalat" w:hAnsi="GHEA Grapalat"/>
                <w:noProof/>
                <w:webHidden/>
              </w:rPr>
              <w:fldChar w:fldCharType="begin"/>
            </w:r>
            <w:r w:rsidRPr="00775D4D">
              <w:rPr>
                <w:rFonts w:ascii="GHEA Grapalat" w:hAnsi="GHEA Grapalat"/>
                <w:noProof/>
                <w:webHidden/>
              </w:rPr>
              <w:instrText xml:space="preserve"> PAGEREF _Toc172016326 \h </w:instrText>
            </w:r>
            <w:r w:rsidRPr="00775D4D">
              <w:rPr>
                <w:rFonts w:ascii="GHEA Grapalat" w:hAnsi="GHEA Grapalat"/>
                <w:noProof/>
                <w:webHidden/>
              </w:rPr>
            </w:r>
            <w:r w:rsidRPr="00775D4D">
              <w:rPr>
                <w:rFonts w:ascii="GHEA Grapalat" w:hAnsi="GHEA Grapalat"/>
                <w:noProof/>
                <w:webHidden/>
              </w:rPr>
              <w:fldChar w:fldCharType="separate"/>
            </w:r>
            <w:r w:rsidRPr="00775D4D">
              <w:rPr>
                <w:rFonts w:ascii="GHEA Grapalat" w:hAnsi="GHEA Grapalat"/>
                <w:noProof/>
                <w:webHidden/>
              </w:rPr>
              <w:t>2</w:t>
            </w:r>
            <w:r w:rsidRPr="00775D4D">
              <w:rPr>
                <w:rFonts w:ascii="GHEA Grapalat" w:hAnsi="GHEA Grapalat"/>
                <w:noProof/>
                <w:webHidden/>
              </w:rPr>
              <w:fldChar w:fldCharType="end"/>
            </w:r>
          </w:hyperlink>
        </w:p>
        <w:p w:rsidR="00AF1262" w:rsidRPr="00775D4D" w:rsidRDefault="00775D4D">
          <w:pPr>
            <w:pStyle w:val="TOC2"/>
            <w:tabs>
              <w:tab w:val="right" w:leader="dot" w:pos="9350"/>
            </w:tabs>
            <w:rPr>
              <w:rFonts w:ascii="GHEA Grapalat" w:hAnsi="GHEA Grapalat" w:cstheme="minorBidi"/>
              <w:b w:val="0"/>
              <w:bCs w:val="0"/>
              <w:noProof/>
            </w:rPr>
          </w:pPr>
          <w:hyperlink w:anchor="_Toc172016327" w:history="1">
            <w:r w:rsidR="00AF1262" w:rsidRPr="00775D4D">
              <w:rPr>
                <w:rStyle w:val="Hyperlink"/>
                <w:rFonts w:ascii="GHEA Grapalat" w:hAnsi="GHEA Grapalat"/>
                <w:noProof/>
              </w:rPr>
              <w:t>3.1. ՊԵՏԱԿԱՆ ԲՅՈՒՋԵԻ ՎՐԱ ՄԱԿՐՈՏՆՏԵՍԱԿԱՆ ԿԱՆԽԱՏԵՍՎԱԾ ՑՈՒՑԱՆԻՇՆԵՐԻՑ ՇԵՂՄԱՆ ՌԻՍԿԵՐԻ ԱԶԴԵՑՈՒԹՅԱՆ ՔԱՆԱԿԱԿԱՆ ԳՆԱՀԱՏՈՒՄ</w:t>
            </w:r>
            <w:r w:rsidR="00AF1262" w:rsidRPr="00775D4D">
              <w:rPr>
                <w:rFonts w:ascii="GHEA Grapalat" w:hAnsi="GHEA Grapalat"/>
                <w:noProof/>
                <w:webHidden/>
              </w:rPr>
              <w:tab/>
            </w:r>
            <w:r w:rsidR="00AF1262" w:rsidRPr="00775D4D">
              <w:rPr>
                <w:rFonts w:ascii="GHEA Grapalat" w:hAnsi="GHEA Grapalat"/>
                <w:noProof/>
                <w:webHidden/>
              </w:rPr>
              <w:fldChar w:fldCharType="begin"/>
            </w:r>
            <w:r w:rsidR="00AF1262" w:rsidRPr="00775D4D">
              <w:rPr>
                <w:rFonts w:ascii="GHEA Grapalat" w:hAnsi="GHEA Grapalat"/>
                <w:noProof/>
                <w:webHidden/>
              </w:rPr>
              <w:instrText xml:space="preserve"> PAGEREF _Toc172016327 \h </w:instrText>
            </w:r>
            <w:r w:rsidR="00AF1262" w:rsidRPr="00775D4D">
              <w:rPr>
                <w:rFonts w:ascii="GHEA Grapalat" w:hAnsi="GHEA Grapalat"/>
                <w:noProof/>
                <w:webHidden/>
              </w:rPr>
            </w:r>
            <w:r w:rsidR="00AF1262" w:rsidRPr="00775D4D">
              <w:rPr>
                <w:rFonts w:ascii="GHEA Grapalat" w:hAnsi="GHEA Grapalat"/>
                <w:noProof/>
                <w:webHidden/>
              </w:rPr>
              <w:fldChar w:fldCharType="separate"/>
            </w:r>
            <w:r w:rsidR="00AF1262" w:rsidRPr="00775D4D">
              <w:rPr>
                <w:rFonts w:ascii="GHEA Grapalat" w:hAnsi="GHEA Grapalat"/>
                <w:noProof/>
                <w:webHidden/>
              </w:rPr>
              <w:t>2</w:t>
            </w:r>
            <w:r w:rsidR="00AF1262" w:rsidRPr="00775D4D">
              <w:rPr>
                <w:rFonts w:ascii="GHEA Grapalat" w:hAnsi="GHEA Grapalat"/>
                <w:noProof/>
                <w:webHidden/>
              </w:rPr>
              <w:fldChar w:fldCharType="end"/>
            </w:r>
          </w:hyperlink>
        </w:p>
        <w:p w:rsidR="00AF1262" w:rsidRPr="00775D4D" w:rsidRDefault="00775D4D">
          <w:pPr>
            <w:pStyle w:val="TOC3"/>
            <w:tabs>
              <w:tab w:val="right" w:leader="dot" w:pos="9350"/>
            </w:tabs>
            <w:rPr>
              <w:rFonts w:ascii="GHEA Grapalat" w:hAnsi="GHEA Grapalat" w:cstheme="minorBidi"/>
              <w:noProof/>
              <w:sz w:val="22"/>
              <w:szCs w:val="22"/>
            </w:rPr>
          </w:pPr>
          <w:hyperlink w:anchor="_Toc172016328" w:history="1">
            <w:r w:rsidR="00AF1262" w:rsidRPr="00775D4D">
              <w:rPr>
                <w:rStyle w:val="Hyperlink"/>
                <w:rFonts w:ascii="GHEA Grapalat" w:eastAsia="Times New Roman" w:hAnsi="GHEA Grapalat"/>
                <w:b/>
                <w:caps/>
                <w:noProof/>
                <w:lang w:val="hy-AM"/>
              </w:rPr>
              <w:t>3.1.1.2025-2027 թվականներին ՄԺԾԾ հարկային եկամուտների վրա մակրոտնտեսական ցուցանիշների կանխատեսվածից շեղման ռիսկերի ազդեցության քանակական գնահատումը</w:t>
            </w:r>
            <w:r w:rsidR="00AF1262" w:rsidRPr="00775D4D">
              <w:rPr>
                <w:rFonts w:ascii="GHEA Grapalat" w:hAnsi="GHEA Grapalat"/>
                <w:noProof/>
                <w:webHidden/>
              </w:rPr>
              <w:tab/>
            </w:r>
            <w:r w:rsidR="00AF1262" w:rsidRPr="00775D4D">
              <w:rPr>
                <w:rFonts w:ascii="GHEA Grapalat" w:hAnsi="GHEA Grapalat"/>
                <w:noProof/>
                <w:webHidden/>
              </w:rPr>
              <w:fldChar w:fldCharType="begin"/>
            </w:r>
            <w:r w:rsidR="00AF1262" w:rsidRPr="00775D4D">
              <w:rPr>
                <w:rFonts w:ascii="GHEA Grapalat" w:hAnsi="GHEA Grapalat"/>
                <w:noProof/>
                <w:webHidden/>
              </w:rPr>
              <w:instrText xml:space="preserve"> PAGEREF _Toc172016328 \h </w:instrText>
            </w:r>
            <w:r w:rsidR="00AF1262" w:rsidRPr="00775D4D">
              <w:rPr>
                <w:rFonts w:ascii="GHEA Grapalat" w:hAnsi="GHEA Grapalat"/>
                <w:noProof/>
                <w:webHidden/>
              </w:rPr>
            </w:r>
            <w:r w:rsidR="00AF1262" w:rsidRPr="00775D4D">
              <w:rPr>
                <w:rFonts w:ascii="GHEA Grapalat" w:hAnsi="GHEA Grapalat"/>
                <w:noProof/>
                <w:webHidden/>
              </w:rPr>
              <w:fldChar w:fldCharType="separate"/>
            </w:r>
            <w:r w:rsidR="00AF1262" w:rsidRPr="00775D4D">
              <w:rPr>
                <w:rFonts w:ascii="GHEA Grapalat" w:hAnsi="GHEA Grapalat"/>
                <w:noProof/>
                <w:webHidden/>
              </w:rPr>
              <w:t>2</w:t>
            </w:r>
            <w:r w:rsidR="00AF1262" w:rsidRPr="00775D4D">
              <w:rPr>
                <w:rFonts w:ascii="GHEA Grapalat" w:hAnsi="GHEA Grapalat"/>
                <w:noProof/>
                <w:webHidden/>
              </w:rPr>
              <w:fldChar w:fldCharType="end"/>
            </w:r>
          </w:hyperlink>
        </w:p>
        <w:p w:rsidR="00AF1262" w:rsidRPr="00775D4D" w:rsidRDefault="00775D4D">
          <w:pPr>
            <w:pStyle w:val="TOC3"/>
            <w:tabs>
              <w:tab w:val="right" w:leader="dot" w:pos="9350"/>
            </w:tabs>
            <w:rPr>
              <w:rFonts w:ascii="GHEA Grapalat" w:hAnsi="GHEA Grapalat" w:cstheme="minorBidi"/>
              <w:noProof/>
              <w:sz w:val="22"/>
              <w:szCs w:val="22"/>
            </w:rPr>
          </w:pPr>
          <w:hyperlink w:anchor="_Toc172016329" w:history="1">
            <w:r w:rsidR="00AF1262" w:rsidRPr="00775D4D">
              <w:rPr>
                <w:rStyle w:val="Hyperlink"/>
                <w:rFonts w:ascii="GHEA Grapalat" w:eastAsia="Times New Roman" w:hAnsi="GHEA Grapalat" w:cs="Times New Roman"/>
                <w:b/>
                <w:noProof/>
                <w:lang w:val="hy-AM"/>
              </w:rPr>
              <w:t>1. ՀՆԱ կանխատեսումներից շեղումների ռիսկ</w:t>
            </w:r>
            <w:r w:rsidR="00AF1262" w:rsidRPr="00775D4D">
              <w:rPr>
                <w:rFonts w:ascii="GHEA Grapalat" w:hAnsi="GHEA Grapalat"/>
                <w:noProof/>
                <w:webHidden/>
              </w:rPr>
              <w:tab/>
            </w:r>
            <w:r w:rsidR="00AF1262" w:rsidRPr="00775D4D">
              <w:rPr>
                <w:rFonts w:ascii="GHEA Grapalat" w:hAnsi="GHEA Grapalat"/>
                <w:noProof/>
                <w:webHidden/>
              </w:rPr>
              <w:fldChar w:fldCharType="begin"/>
            </w:r>
            <w:r w:rsidR="00AF1262" w:rsidRPr="00775D4D">
              <w:rPr>
                <w:rFonts w:ascii="GHEA Grapalat" w:hAnsi="GHEA Grapalat"/>
                <w:noProof/>
                <w:webHidden/>
              </w:rPr>
              <w:instrText xml:space="preserve"> PAGEREF _Toc172016329 \h </w:instrText>
            </w:r>
            <w:r w:rsidR="00AF1262" w:rsidRPr="00775D4D">
              <w:rPr>
                <w:rFonts w:ascii="GHEA Grapalat" w:hAnsi="GHEA Grapalat"/>
                <w:noProof/>
                <w:webHidden/>
              </w:rPr>
            </w:r>
            <w:r w:rsidR="00AF1262" w:rsidRPr="00775D4D">
              <w:rPr>
                <w:rFonts w:ascii="GHEA Grapalat" w:hAnsi="GHEA Grapalat"/>
                <w:noProof/>
                <w:webHidden/>
              </w:rPr>
              <w:fldChar w:fldCharType="separate"/>
            </w:r>
            <w:r w:rsidR="00AF1262" w:rsidRPr="00775D4D">
              <w:rPr>
                <w:rFonts w:ascii="GHEA Grapalat" w:hAnsi="GHEA Grapalat"/>
                <w:noProof/>
                <w:webHidden/>
              </w:rPr>
              <w:t>2</w:t>
            </w:r>
            <w:r w:rsidR="00AF1262" w:rsidRPr="00775D4D">
              <w:rPr>
                <w:rFonts w:ascii="GHEA Grapalat" w:hAnsi="GHEA Grapalat"/>
                <w:noProof/>
                <w:webHidden/>
              </w:rPr>
              <w:fldChar w:fldCharType="end"/>
            </w:r>
          </w:hyperlink>
        </w:p>
        <w:p w:rsidR="00AF1262" w:rsidRPr="00775D4D" w:rsidRDefault="00775D4D">
          <w:pPr>
            <w:pStyle w:val="TOC3"/>
            <w:tabs>
              <w:tab w:val="right" w:leader="dot" w:pos="9350"/>
            </w:tabs>
            <w:rPr>
              <w:rFonts w:ascii="GHEA Grapalat" w:hAnsi="GHEA Grapalat" w:cstheme="minorBidi"/>
              <w:noProof/>
              <w:sz w:val="22"/>
              <w:szCs w:val="22"/>
            </w:rPr>
          </w:pPr>
          <w:hyperlink w:anchor="_Toc172016330" w:history="1">
            <w:r w:rsidR="00AF1262" w:rsidRPr="00775D4D">
              <w:rPr>
                <w:rStyle w:val="Hyperlink"/>
                <w:rFonts w:ascii="GHEA Grapalat" w:eastAsia="Times New Roman" w:hAnsi="GHEA Grapalat" w:cs="Times New Roman"/>
                <w:b/>
                <w:noProof/>
                <w:lang w:val="hy-AM"/>
              </w:rPr>
              <w:t>2. Ենթադրություններից շեղումների ռիսկ</w:t>
            </w:r>
            <w:r w:rsidR="00AF1262" w:rsidRPr="00775D4D">
              <w:rPr>
                <w:rFonts w:ascii="GHEA Grapalat" w:hAnsi="GHEA Grapalat"/>
                <w:noProof/>
                <w:webHidden/>
              </w:rPr>
              <w:tab/>
            </w:r>
            <w:r w:rsidR="00AF1262" w:rsidRPr="00775D4D">
              <w:rPr>
                <w:rFonts w:ascii="GHEA Grapalat" w:hAnsi="GHEA Grapalat"/>
                <w:noProof/>
                <w:webHidden/>
              </w:rPr>
              <w:fldChar w:fldCharType="begin"/>
            </w:r>
            <w:r w:rsidR="00AF1262" w:rsidRPr="00775D4D">
              <w:rPr>
                <w:rFonts w:ascii="GHEA Grapalat" w:hAnsi="GHEA Grapalat"/>
                <w:noProof/>
                <w:webHidden/>
              </w:rPr>
              <w:instrText xml:space="preserve"> PAGEREF _Toc172016330 \h </w:instrText>
            </w:r>
            <w:r w:rsidR="00AF1262" w:rsidRPr="00775D4D">
              <w:rPr>
                <w:rFonts w:ascii="GHEA Grapalat" w:hAnsi="GHEA Grapalat"/>
                <w:noProof/>
                <w:webHidden/>
              </w:rPr>
            </w:r>
            <w:r w:rsidR="00AF1262" w:rsidRPr="00775D4D">
              <w:rPr>
                <w:rFonts w:ascii="GHEA Grapalat" w:hAnsi="GHEA Grapalat"/>
                <w:noProof/>
                <w:webHidden/>
              </w:rPr>
              <w:fldChar w:fldCharType="separate"/>
            </w:r>
            <w:r w:rsidR="00AF1262" w:rsidRPr="00775D4D">
              <w:rPr>
                <w:rFonts w:ascii="GHEA Grapalat" w:hAnsi="GHEA Grapalat"/>
                <w:noProof/>
                <w:webHidden/>
              </w:rPr>
              <w:t>3</w:t>
            </w:r>
            <w:r w:rsidR="00AF1262" w:rsidRPr="00775D4D">
              <w:rPr>
                <w:rFonts w:ascii="GHEA Grapalat" w:hAnsi="GHEA Grapalat"/>
                <w:noProof/>
                <w:webHidden/>
              </w:rPr>
              <w:fldChar w:fldCharType="end"/>
            </w:r>
          </w:hyperlink>
        </w:p>
        <w:p w:rsidR="00AF1262" w:rsidRPr="00775D4D" w:rsidRDefault="00775D4D">
          <w:pPr>
            <w:pStyle w:val="TOC3"/>
            <w:tabs>
              <w:tab w:val="right" w:leader="dot" w:pos="9350"/>
            </w:tabs>
            <w:rPr>
              <w:rFonts w:ascii="GHEA Grapalat" w:hAnsi="GHEA Grapalat" w:cstheme="minorBidi"/>
              <w:noProof/>
              <w:sz w:val="22"/>
              <w:szCs w:val="22"/>
            </w:rPr>
          </w:pPr>
          <w:hyperlink w:anchor="_Toc172016331" w:history="1">
            <w:r w:rsidR="00AF1262" w:rsidRPr="00775D4D">
              <w:rPr>
                <w:rStyle w:val="Hyperlink"/>
                <w:rFonts w:ascii="GHEA Grapalat" w:eastAsia="Times New Roman" w:hAnsi="GHEA Grapalat"/>
                <w:b/>
                <w:caps/>
                <w:noProof/>
                <w:lang w:val="hy-AM"/>
              </w:rPr>
              <w:t>3.1.2. 2025-2027 թվականներին ՄԺԾԾ մակրոտնտեսական ցուցանիշների կանխատեսվածից շեղման ռիսկերի ազդեցության ընդհանուր գնահատականը եվ դրանց մեղմման հնարավորությունները</w:t>
            </w:r>
            <w:r w:rsidR="00AF1262" w:rsidRPr="00775D4D">
              <w:rPr>
                <w:rFonts w:ascii="GHEA Grapalat" w:hAnsi="GHEA Grapalat"/>
                <w:noProof/>
                <w:webHidden/>
              </w:rPr>
              <w:tab/>
            </w:r>
            <w:r w:rsidR="00AF1262" w:rsidRPr="00775D4D">
              <w:rPr>
                <w:rFonts w:ascii="GHEA Grapalat" w:hAnsi="GHEA Grapalat"/>
                <w:noProof/>
                <w:webHidden/>
              </w:rPr>
              <w:fldChar w:fldCharType="begin"/>
            </w:r>
            <w:r w:rsidR="00AF1262" w:rsidRPr="00775D4D">
              <w:rPr>
                <w:rFonts w:ascii="GHEA Grapalat" w:hAnsi="GHEA Grapalat"/>
                <w:noProof/>
                <w:webHidden/>
              </w:rPr>
              <w:instrText xml:space="preserve"> PAGEREF _Toc172016331 \h </w:instrText>
            </w:r>
            <w:r w:rsidR="00AF1262" w:rsidRPr="00775D4D">
              <w:rPr>
                <w:rFonts w:ascii="GHEA Grapalat" w:hAnsi="GHEA Grapalat"/>
                <w:noProof/>
                <w:webHidden/>
              </w:rPr>
            </w:r>
            <w:r w:rsidR="00AF1262" w:rsidRPr="00775D4D">
              <w:rPr>
                <w:rFonts w:ascii="GHEA Grapalat" w:hAnsi="GHEA Grapalat"/>
                <w:noProof/>
                <w:webHidden/>
              </w:rPr>
              <w:fldChar w:fldCharType="separate"/>
            </w:r>
            <w:r w:rsidR="00AF1262" w:rsidRPr="00775D4D">
              <w:rPr>
                <w:rFonts w:ascii="GHEA Grapalat" w:hAnsi="GHEA Grapalat"/>
                <w:noProof/>
                <w:webHidden/>
              </w:rPr>
              <w:t>8</w:t>
            </w:r>
            <w:r w:rsidR="00AF1262" w:rsidRPr="00775D4D">
              <w:rPr>
                <w:rFonts w:ascii="GHEA Grapalat" w:hAnsi="GHEA Grapalat"/>
                <w:noProof/>
                <w:webHidden/>
              </w:rPr>
              <w:fldChar w:fldCharType="end"/>
            </w:r>
          </w:hyperlink>
        </w:p>
        <w:p w:rsidR="00AF1262" w:rsidRPr="00775D4D" w:rsidRDefault="00775D4D">
          <w:pPr>
            <w:pStyle w:val="TOC2"/>
            <w:tabs>
              <w:tab w:val="right" w:leader="dot" w:pos="9350"/>
            </w:tabs>
            <w:rPr>
              <w:rFonts w:ascii="GHEA Grapalat" w:hAnsi="GHEA Grapalat" w:cstheme="minorBidi"/>
              <w:b w:val="0"/>
              <w:bCs w:val="0"/>
              <w:noProof/>
            </w:rPr>
          </w:pPr>
          <w:hyperlink w:anchor="_Toc172016332" w:history="1">
            <w:r w:rsidR="00AF1262" w:rsidRPr="00775D4D">
              <w:rPr>
                <w:rStyle w:val="Hyperlink"/>
                <w:rFonts w:ascii="GHEA Grapalat" w:hAnsi="GHEA Grapalat"/>
                <w:noProof/>
              </w:rPr>
              <w:t>3.2. ՀՀ ԿԱՌԱՎԱՐՈՒԹՅԱՆ ՊԱՐՏՔԻ ԿԱՅՈՒՆՈՒԹՅԱՆ ՎԵՐԼՈՒԾՈՒԹՅՈՒՆ</w:t>
            </w:r>
            <w:r w:rsidR="00AF1262" w:rsidRPr="00775D4D">
              <w:rPr>
                <w:rFonts w:ascii="GHEA Grapalat" w:hAnsi="GHEA Grapalat"/>
                <w:noProof/>
                <w:webHidden/>
              </w:rPr>
              <w:tab/>
            </w:r>
            <w:r w:rsidR="00AF1262" w:rsidRPr="00775D4D">
              <w:rPr>
                <w:rFonts w:ascii="GHEA Grapalat" w:hAnsi="GHEA Grapalat"/>
                <w:noProof/>
                <w:webHidden/>
              </w:rPr>
              <w:fldChar w:fldCharType="begin"/>
            </w:r>
            <w:r w:rsidR="00AF1262" w:rsidRPr="00775D4D">
              <w:rPr>
                <w:rFonts w:ascii="GHEA Grapalat" w:hAnsi="GHEA Grapalat"/>
                <w:noProof/>
                <w:webHidden/>
              </w:rPr>
              <w:instrText xml:space="preserve"> PAGEREF _Toc172016332 \h </w:instrText>
            </w:r>
            <w:r w:rsidR="00AF1262" w:rsidRPr="00775D4D">
              <w:rPr>
                <w:rFonts w:ascii="GHEA Grapalat" w:hAnsi="GHEA Grapalat"/>
                <w:noProof/>
                <w:webHidden/>
              </w:rPr>
            </w:r>
            <w:r w:rsidR="00AF1262" w:rsidRPr="00775D4D">
              <w:rPr>
                <w:rFonts w:ascii="GHEA Grapalat" w:hAnsi="GHEA Grapalat"/>
                <w:noProof/>
                <w:webHidden/>
              </w:rPr>
              <w:fldChar w:fldCharType="separate"/>
            </w:r>
            <w:r w:rsidR="00AF1262" w:rsidRPr="00775D4D">
              <w:rPr>
                <w:rFonts w:ascii="GHEA Grapalat" w:hAnsi="GHEA Grapalat"/>
                <w:noProof/>
                <w:webHidden/>
              </w:rPr>
              <w:t>9</w:t>
            </w:r>
            <w:r w:rsidR="00AF1262" w:rsidRPr="00775D4D">
              <w:rPr>
                <w:rFonts w:ascii="GHEA Grapalat" w:hAnsi="GHEA Grapalat"/>
                <w:noProof/>
                <w:webHidden/>
              </w:rPr>
              <w:fldChar w:fldCharType="end"/>
            </w:r>
          </w:hyperlink>
        </w:p>
        <w:p w:rsidR="00AF1262" w:rsidRDefault="00AF1262" w:rsidP="00AF1262">
          <w:pPr>
            <w:pStyle w:val="Heading2"/>
            <w:tabs>
              <w:tab w:val="left" w:pos="0"/>
            </w:tabs>
            <w:spacing w:before="120" w:after="0" w:line="276" w:lineRule="auto"/>
            <w:jc w:val="both"/>
          </w:pPr>
          <w:r>
            <w:rPr>
              <w:noProof/>
            </w:rPr>
            <w:fldChar w:fldCharType="end"/>
          </w:r>
        </w:p>
      </w:sdtContent>
    </w:sdt>
    <w:p w:rsidR="00AF1262" w:rsidRDefault="00AF1262" w:rsidP="00AF1262">
      <w:pPr>
        <w:tabs>
          <w:tab w:val="left" w:pos="0"/>
        </w:tabs>
        <w:spacing w:before="120" w:after="0" w:line="276" w:lineRule="auto"/>
        <w:rPr>
          <w:rFonts w:eastAsiaTheme="majorEastAsia" w:cstheme="majorBidi"/>
          <w:b/>
          <w:bCs/>
          <w:color w:val="44546A" w:themeColor="text2"/>
          <w:sz w:val="24"/>
          <w:szCs w:val="28"/>
          <w:lang w:val="hy-AM"/>
        </w:rPr>
      </w:pPr>
      <w:r>
        <w:rPr>
          <w:sz w:val="24"/>
          <w:lang w:val="hy-AM"/>
        </w:rPr>
        <w:br w:type="page"/>
      </w:r>
    </w:p>
    <w:p w:rsidR="00AF1262" w:rsidRDefault="00AF1262">
      <w:pPr>
        <w:rPr>
          <w:rFonts w:ascii="GHEA Grapalat" w:eastAsia="Times New Roman" w:hAnsi="GHEA Grapalat" w:cs="Times New Roman"/>
          <w:b/>
          <w:color w:val="44546A" w:themeColor="text2"/>
          <w:sz w:val="24"/>
          <w:szCs w:val="24"/>
          <w:lang w:val="hy-AM"/>
        </w:rPr>
      </w:pPr>
      <w:bookmarkStart w:id="13" w:name="_GoBack"/>
      <w:bookmarkEnd w:id="8"/>
      <w:bookmarkEnd w:id="9"/>
      <w:bookmarkEnd w:id="10"/>
      <w:bookmarkEnd w:id="12"/>
      <w:bookmarkEnd w:id="11"/>
      <w:bookmarkEnd w:id="13"/>
    </w:p>
    <w:p w:rsidR="001D3687" w:rsidRPr="001D3687" w:rsidRDefault="001D3687" w:rsidP="001D3687">
      <w:pPr>
        <w:keepNext/>
        <w:widowControl w:val="0"/>
        <w:tabs>
          <w:tab w:val="left" w:pos="0"/>
          <w:tab w:val="left" w:pos="993"/>
          <w:tab w:val="right" w:pos="10208"/>
        </w:tabs>
        <w:spacing w:before="120" w:after="0" w:line="276" w:lineRule="auto"/>
        <w:outlineLvl w:val="1"/>
        <w:rPr>
          <w:rFonts w:ascii="GHEA Grapalat" w:eastAsia="Times New Roman" w:hAnsi="GHEA Grapalat" w:cs="Times New Roman"/>
          <w:b/>
          <w:color w:val="44546A" w:themeColor="text2"/>
          <w:sz w:val="24"/>
          <w:szCs w:val="24"/>
          <w:lang w:val="hy-AM"/>
        </w:rPr>
      </w:pPr>
      <w:bookmarkStart w:id="14" w:name="_Toc172016326"/>
      <w:r w:rsidRPr="001D3687">
        <w:rPr>
          <w:rFonts w:ascii="GHEA Grapalat" w:eastAsia="Times New Roman" w:hAnsi="GHEA Grapalat" w:cs="Times New Roman"/>
          <w:b/>
          <w:color w:val="44546A" w:themeColor="text2"/>
          <w:sz w:val="24"/>
          <w:szCs w:val="24"/>
          <w:lang w:val="hy-AM"/>
        </w:rPr>
        <w:t xml:space="preserve">3. </w:t>
      </w:r>
      <w:bookmarkStart w:id="15" w:name="_Toc138956242"/>
      <w:bookmarkStart w:id="16" w:name="_Toc77837912"/>
      <w:bookmarkEnd w:id="0"/>
      <w:bookmarkEnd w:id="1"/>
      <w:bookmarkEnd w:id="2"/>
      <w:bookmarkEnd w:id="3"/>
      <w:bookmarkEnd w:id="4"/>
      <w:bookmarkEnd w:id="5"/>
      <w:bookmarkEnd w:id="6"/>
      <w:r w:rsidRPr="001D3687">
        <w:rPr>
          <w:rFonts w:ascii="GHEA Grapalat" w:eastAsia="Times New Roman" w:hAnsi="GHEA Grapalat" w:cs="Times New Roman"/>
          <w:b/>
          <w:color w:val="44546A" w:themeColor="text2"/>
          <w:sz w:val="24"/>
          <w:szCs w:val="24"/>
          <w:lang w:val="hy-AM"/>
        </w:rPr>
        <w:t>ՀԱՐԿԱԲՅՈՒՋԵՏԱՅԻՆ ՌԻՍԿԵՐԻ ԳՆԱՀԱՏՈՒՄ</w:t>
      </w:r>
      <w:bookmarkEnd w:id="7"/>
      <w:r w:rsidR="00BA5435">
        <w:rPr>
          <w:rFonts w:ascii="GHEA Grapalat" w:eastAsia="Times New Roman" w:hAnsi="GHEA Grapalat" w:cs="Times New Roman"/>
          <w:b/>
          <w:color w:val="44546A" w:themeColor="text2"/>
          <w:sz w:val="24"/>
          <w:szCs w:val="24"/>
          <w:lang w:val="hy-AM"/>
        </w:rPr>
        <w:t xml:space="preserve"> ԵՎ </w:t>
      </w:r>
      <w:r w:rsidR="00BA5435" w:rsidRPr="001D3687">
        <w:rPr>
          <w:rFonts w:ascii="GHEA Grapalat" w:eastAsiaTheme="minorEastAsia" w:hAnsi="GHEA Grapalat"/>
          <w:b/>
          <w:color w:val="44546A" w:themeColor="text2"/>
          <w:sz w:val="24"/>
          <w:szCs w:val="24"/>
          <w:lang w:val="hy-AM" w:eastAsia="ru-RU"/>
        </w:rPr>
        <w:t>ՀՀ ԿԱՌԱՎԱՐՈՒԹՅԱՆ ՊԱՐՏՔԻ ԿԱՅՈՒՆՈՒԹՅԱՆ ՎԵՐԼՈՒԾՈՒԹՅՈՒՆ</w:t>
      </w:r>
      <w:bookmarkEnd w:id="14"/>
    </w:p>
    <w:p w:rsidR="001D3687" w:rsidRPr="00AF1262" w:rsidRDefault="001D3687" w:rsidP="00AF1262">
      <w:pPr>
        <w:pStyle w:val="Heading2"/>
        <w:tabs>
          <w:tab w:val="left" w:pos="0"/>
        </w:tabs>
        <w:spacing w:before="120" w:after="0" w:line="276" w:lineRule="auto"/>
        <w:jc w:val="both"/>
        <w:rPr>
          <w:color w:val="1F4E79" w:themeColor="accent1" w:themeShade="80"/>
          <w:sz w:val="24"/>
          <w:szCs w:val="24"/>
        </w:rPr>
      </w:pPr>
      <w:bookmarkStart w:id="17" w:name="_Toc172016327"/>
      <w:r w:rsidRPr="00AF1262">
        <w:rPr>
          <w:color w:val="1F4E79" w:themeColor="accent1" w:themeShade="80"/>
          <w:sz w:val="24"/>
          <w:szCs w:val="24"/>
        </w:rPr>
        <w:t>3.1. ՊԵՏԱԿԱՆ ԲՅՈՒՋԵԻ ՎՐԱ ՄԱԿՐՈՏՆՏԵՍԱԿԱՆ ԿԱՆԽԱՏԵՍՎԱԾ ՑՈՒՑԱՆԻՇՆԵՐԻՑ ՇԵՂՄԱՆ ՌԻՍԿԵՐԻ ԱԶԴԵՑՈՒԹՅԱՆ ՔԱՆԱԿԱԿԱՆ ԳՆԱՀԱՏՈՒՄ</w:t>
      </w:r>
      <w:bookmarkEnd w:id="15"/>
      <w:bookmarkEnd w:id="17"/>
    </w:p>
    <w:p w:rsidR="001D3687" w:rsidRPr="00AF1262" w:rsidRDefault="001D3687" w:rsidP="00AF1262">
      <w:pPr>
        <w:keepNext/>
        <w:keepLines/>
        <w:spacing w:before="240" w:after="60" w:line="276" w:lineRule="auto"/>
        <w:ind w:left="709" w:hanging="425"/>
        <w:contextualSpacing/>
        <w:jc w:val="both"/>
        <w:outlineLvl w:val="2"/>
        <w:rPr>
          <w:rFonts w:ascii="GHEA Grapalat" w:eastAsia="Times New Roman" w:hAnsi="GHEA Grapalat"/>
          <w:b/>
          <w:caps/>
          <w:color w:val="1F4E79" w:themeColor="accent1" w:themeShade="80"/>
          <w:sz w:val="24"/>
          <w:lang w:val="hy-AM"/>
        </w:rPr>
      </w:pPr>
      <w:bookmarkStart w:id="18" w:name="_5._ՖԻՍԿԱԼ_ՌԻՍԿԵՐԻ"/>
      <w:bookmarkStart w:id="19" w:name="_Toc170750603"/>
      <w:bookmarkStart w:id="20" w:name="_Toc172016328"/>
      <w:bookmarkEnd w:id="18"/>
      <w:r w:rsidRPr="00AF1262">
        <w:rPr>
          <w:rFonts w:ascii="GHEA Grapalat" w:eastAsia="Times New Roman" w:hAnsi="GHEA Grapalat"/>
          <w:b/>
          <w:caps/>
          <w:color w:val="1F4E79" w:themeColor="accent1" w:themeShade="80"/>
          <w:sz w:val="24"/>
          <w:lang w:val="hy-AM"/>
        </w:rPr>
        <w:t>3.1.1.2025-2027 թվականներին ՄԺԾԾ հարկային եկամուտների վրա մակրոտնտեսական ցուցանիշների կանխատեսվածից շեղման ռիսկերի ազդեցության քանակական գնահատումը</w:t>
      </w:r>
      <w:bookmarkEnd w:id="19"/>
      <w:bookmarkEnd w:id="20"/>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Միջնաժամկետ հատվածում հարկային եկամուտների կանխատեսվող հոսքերի վրա մակրոտնտեսական բնույթի ռիսկերի ազդեցության քանակական գնահատումը հիմնվել է ստորև նկարագրված </w:t>
      </w:r>
      <w:r w:rsidRPr="001D3687">
        <w:rPr>
          <w:rFonts w:ascii="GHEA Grapalat" w:eastAsia="Times New Roman" w:hAnsi="GHEA Grapalat" w:cs="Sylfaen"/>
          <w:b/>
          <w:lang w:val="hy-AM"/>
        </w:rPr>
        <w:t xml:space="preserve">ՀՆԱ կանխատեսումներից շեղումների ռիսկի </w:t>
      </w:r>
      <w:r w:rsidRPr="001D3687">
        <w:rPr>
          <w:rFonts w:ascii="GHEA Grapalat" w:eastAsia="Times New Roman" w:hAnsi="GHEA Grapalat" w:cs="Sylfaen"/>
          <w:lang w:val="hy-AM"/>
        </w:rPr>
        <w:t>և</w:t>
      </w:r>
      <w:r w:rsidRPr="001D3687">
        <w:rPr>
          <w:rFonts w:ascii="GHEA Grapalat" w:eastAsia="Times New Roman" w:hAnsi="GHEA Grapalat" w:cs="Sylfaen"/>
          <w:b/>
          <w:lang w:val="hy-AM"/>
        </w:rPr>
        <w:t xml:space="preserve"> ենթադրություններից շեղումների ռիսկի </w:t>
      </w:r>
      <w:r w:rsidRPr="001D3687">
        <w:rPr>
          <w:rFonts w:ascii="GHEA Grapalat" w:eastAsia="Times New Roman" w:hAnsi="GHEA Grapalat" w:cs="Sylfaen"/>
          <w:lang w:val="hy-AM"/>
        </w:rPr>
        <w:t>վրա: Ռիսկերի առարակայացման գնահատումն իրականացվել է Բայեսյան Վեկտոր ավտոռեգրեսիոն մոդելով, որի նախնական արժեքները նշանակվել են հիմք ընդունելով ՀՀ ՖՆ «AFSM DSGE» կառուցվածքային մոդելով</w:t>
      </w:r>
      <w:r w:rsidRPr="001D3687">
        <w:rPr>
          <w:rFonts w:ascii="GHEA Grapalat" w:eastAsia="Times New Roman" w:hAnsi="GHEA Grapalat" w:cs="Sylfaen"/>
          <w:vertAlign w:val="superscript"/>
          <w:lang w:val="hy-AM"/>
        </w:rPr>
        <w:footnoteReference w:id="1"/>
      </w:r>
      <w:r w:rsidRPr="001D3687">
        <w:rPr>
          <w:rFonts w:ascii="GHEA Grapalat" w:eastAsia="Times New Roman" w:hAnsi="GHEA Grapalat" w:cs="Sylfaen"/>
          <w:lang w:val="hy-AM"/>
        </w:rPr>
        <w:t xml:space="preserve"> գնահատված զգայունության գործակիցները։  </w:t>
      </w:r>
    </w:p>
    <w:p w:rsidR="001D3687" w:rsidRPr="00AF1262" w:rsidRDefault="001D3687" w:rsidP="00AF1262">
      <w:pPr>
        <w:keepNext/>
        <w:keepLines/>
        <w:spacing w:before="240" w:after="60" w:line="276" w:lineRule="auto"/>
        <w:ind w:left="709" w:hanging="425"/>
        <w:contextualSpacing/>
        <w:outlineLvl w:val="2"/>
        <w:rPr>
          <w:rFonts w:ascii="GHEA Grapalat" w:eastAsia="Times New Roman" w:hAnsi="GHEA Grapalat" w:cs="Times New Roman"/>
          <w:b/>
          <w:color w:val="1F4E79"/>
          <w:sz w:val="24"/>
          <w:lang w:val="hy-AM"/>
        </w:rPr>
      </w:pPr>
      <w:bookmarkStart w:id="21" w:name="_Toc172016329"/>
      <w:r w:rsidRPr="00AF1262">
        <w:rPr>
          <w:rFonts w:ascii="GHEA Grapalat" w:eastAsia="Times New Roman" w:hAnsi="GHEA Grapalat" w:cs="Times New Roman"/>
          <w:b/>
          <w:color w:val="1F4E79"/>
          <w:sz w:val="24"/>
          <w:lang w:val="hy-AM"/>
        </w:rPr>
        <w:t>1. ՀՆԱ կանխատեսումներից շեղումների ռիսկ</w:t>
      </w:r>
      <w:bookmarkEnd w:id="21"/>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ՀՆԱ-ի կանխատեսումների ռիսկը գնահատվել է 2010-2023 թվականներին միջնաժամկետ ծախսերի ծրագրերի հիմքում դրվող ՀՆԱ-ի կանխատեսված ցուցա</w:t>
      </w:r>
      <w:r w:rsidRPr="001D3687">
        <w:rPr>
          <w:rFonts w:ascii="GHEA Grapalat" w:eastAsia="Times New Roman" w:hAnsi="GHEA Grapalat" w:cs="Sylfaen"/>
          <w:lang w:val="hy-AM"/>
        </w:rPr>
        <w:softHyphen/>
        <w:t>նիշների և ՀՆԱ-ի փաստացի ցուցանիշների միջև շեղման հիման վրա, որոնք վերջին տարիների համար եղել են 3.3-ից 4.1 տոկոսային կետ: Ընդ որում, պետք է նշել, որ այս գնահատականներն ամփոփում են կանխատեսումներից ինչպես դրական, այնպես էլ բացասական շեղումները՝ ըստ էության արտացոլելով ՀՆԱ պատմական տատանողականության և ՀՆԱ կանխատեսումների շուրջ ձևավորվող անորոշության ազդեցությունը։ Այս պարագայում որպես ռիսկ է դիտարկվել ՀՆԱ-ի իրական աճի կանխատեսվածից 3.3 տոկոսային կետով ավելի ցածր ցուցանիշի ձևավորումը 2025 թվականին, 4.1 տոկոսային կետով ցածր՝ 2026 թվականին և 4.1 տոկոսային կետով ցածր՝ 2027 թվականին:</w:t>
      </w:r>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Արդյունքում, ՀՆԱ նվազման ռիսկի ազդեցությունը հարկային եկամուտների վրա 2025, 2026 և 2027 թվականների համար գնահատվում է համապատասխանաբար 53.1, 77.6 և 84.3 մլրդ ՀՀ դրամ ֆինանսական պահանջի ավելացման ուղղությամբ:</w:t>
      </w:r>
    </w:p>
    <w:p w:rsidR="001D3687" w:rsidRPr="00AF1262" w:rsidRDefault="001D3687" w:rsidP="00AF1262">
      <w:pPr>
        <w:keepNext/>
        <w:keepLines/>
        <w:spacing w:before="240" w:after="60" w:line="276" w:lineRule="auto"/>
        <w:ind w:left="709" w:hanging="425"/>
        <w:contextualSpacing/>
        <w:outlineLvl w:val="2"/>
        <w:rPr>
          <w:rFonts w:ascii="GHEA Grapalat" w:eastAsia="Times New Roman" w:hAnsi="GHEA Grapalat" w:cs="Times New Roman"/>
          <w:b/>
          <w:color w:val="1F4E79"/>
          <w:sz w:val="24"/>
          <w:lang w:val="hy-AM"/>
        </w:rPr>
      </w:pPr>
      <w:bookmarkStart w:id="22" w:name="_Toc172016330"/>
      <w:r w:rsidRPr="00AF1262">
        <w:rPr>
          <w:rFonts w:ascii="GHEA Grapalat" w:eastAsia="Times New Roman" w:hAnsi="GHEA Grapalat" w:cs="Times New Roman"/>
          <w:b/>
          <w:color w:val="1F4E79"/>
          <w:sz w:val="24"/>
          <w:lang w:val="hy-AM"/>
        </w:rPr>
        <w:lastRenderedPageBreak/>
        <w:t>2. Ենթադրություններից շեղումների ռիսկ</w:t>
      </w:r>
      <w:bookmarkEnd w:id="22"/>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ՄԺԾԾ հիմքում դրվող կանխատեսումները կառուցվում են որոշակի ենթադրու</w:t>
      </w:r>
      <w:r w:rsidRPr="001D3687">
        <w:rPr>
          <w:rFonts w:ascii="GHEA Grapalat" w:eastAsia="Times New Roman" w:hAnsi="GHEA Grapalat" w:cs="Sylfaen"/>
          <w:lang w:val="hy-AM"/>
        </w:rPr>
        <w:softHyphen/>
        <w:t>թյու</w:t>
      </w:r>
      <w:r w:rsidRPr="001D3687">
        <w:rPr>
          <w:rFonts w:ascii="GHEA Grapalat" w:eastAsia="Times New Roman" w:hAnsi="GHEA Grapalat" w:cs="Sylfaen"/>
          <w:lang w:val="hy-AM"/>
        </w:rPr>
        <w:softHyphen/>
        <w:t xml:space="preserve">նների հիման վրա, որոնք էլ իրենց հերթին կախված են արտաքին կամ  ներքին գործոններից։ Սակայն միշտ չէ, որ այդ ենթադրությունները կանխատեսվող հորիզոնում իրականություն են դառնում՝ կապված ՀՀ կառավարության և ՀՀ ԿԲ-ի կառավարման դաշտից դուրս ի հայտ եկող երևույթների հետ: </w:t>
      </w:r>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Բացի արտաքին կամ ներքին գործոններից, ենթադրությունների ռիսկ է հարկեր/ՀՆԱ թիրախավորված բարելավման չապահովումը՝ հարկային վարչարարության կատարելագործման ոչ բավարար տեմպ ապահովելու դեպքում։ </w:t>
      </w:r>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Ենթադրություններից շեղումների ռիսկ է նաև ԵԱՏՄ անդամ պետությունների տնտեսական զարգացումները: Միաժամանակ, ՀՀ պետական բյուջեի հարկային եկամուտներում մաքսա</w:t>
      </w:r>
      <w:r w:rsidRPr="001D3687">
        <w:rPr>
          <w:rFonts w:ascii="GHEA Grapalat" w:eastAsia="Times New Roman" w:hAnsi="GHEA Grapalat" w:cs="Sylfaen"/>
          <w:lang w:val="hy-AM"/>
        </w:rPr>
        <w:softHyphen/>
        <w:t>տուր</w:t>
      </w:r>
      <w:r w:rsidRPr="001D3687">
        <w:rPr>
          <w:rFonts w:ascii="GHEA Grapalat" w:eastAsia="Times New Roman" w:hAnsi="GHEA Grapalat" w:cs="Sylfaen"/>
          <w:lang w:val="hy-AM"/>
        </w:rPr>
        <w:softHyphen/>
        <w:t>քերի մասնաբաժինը կարող է փոփոխվել նոր պետությունների ԵԱՏՄ-ին անդամակ</w:t>
      </w:r>
      <w:r w:rsidRPr="001D3687">
        <w:rPr>
          <w:rFonts w:ascii="GHEA Grapalat" w:eastAsia="Times New Roman" w:hAnsi="GHEA Grapalat" w:cs="Sylfaen"/>
          <w:lang w:val="hy-AM"/>
        </w:rPr>
        <w:softHyphen/>
        <w:t xml:space="preserve">ցությունից: </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b/>
          <w:lang w:val="hy-AM"/>
        </w:rPr>
      </w:pPr>
      <w:r w:rsidRPr="001D3687">
        <w:rPr>
          <w:rFonts w:ascii="GHEA Grapalat" w:eastAsia="Times New Roman" w:hAnsi="GHEA Grapalat" w:cs="Sylfaen"/>
          <w:b/>
          <w:lang w:val="hy-AM"/>
        </w:rPr>
        <w:t>2.1. Գնաճի շեղման հնարավոր չափը</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Գնաճի ցուցանիշի շեղման հնարավոր չափ է դիտարկվում է վերջին տասնամյակում միջնաժամկետ ծախսերի ծրագրերի հիմքում դրվող գնաճի կանխատեսումներից փաստացի շեղումների միջին չափը: </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Կանխատեսված ցուցանիշից գնաճի շեղման ռիսկերը միջնաժամկետ հորիզոնում գնահատվում են միջինում </w:t>
      </w:r>
      <w:r w:rsidRPr="001D3687">
        <w:rPr>
          <w:rFonts w:ascii="GHEA Grapalat" w:eastAsia="Times New Roman" w:hAnsi="GHEA Grapalat" w:cs="Sylfaen"/>
          <w:b/>
          <w:lang w:val="hy-AM"/>
        </w:rPr>
        <w:t>դեպի</w:t>
      </w:r>
      <w:r w:rsidRPr="001D3687">
        <w:rPr>
          <w:rFonts w:ascii="GHEA Grapalat" w:eastAsia="Times New Roman" w:hAnsi="GHEA Grapalat" w:cs="Sylfaen"/>
          <w:lang w:val="hy-AM"/>
        </w:rPr>
        <w:t xml:space="preserve"> </w:t>
      </w:r>
      <w:r w:rsidRPr="001D3687">
        <w:rPr>
          <w:rFonts w:ascii="GHEA Grapalat" w:eastAsia="Times New Roman" w:hAnsi="GHEA Grapalat" w:cs="Sylfaen"/>
          <w:b/>
          <w:lang w:val="hy-AM"/>
        </w:rPr>
        <w:t>ներքև`</w:t>
      </w:r>
      <w:r w:rsidRPr="001D3687">
        <w:rPr>
          <w:rFonts w:ascii="GHEA Grapalat" w:eastAsia="Times New Roman" w:hAnsi="GHEA Grapalat" w:cs="Sylfaen"/>
          <w:lang w:val="hy-AM"/>
        </w:rPr>
        <w:t xml:space="preserve"> </w:t>
      </w:r>
      <w:r w:rsidRPr="001D3687">
        <w:rPr>
          <w:rFonts w:ascii="GHEA Grapalat" w:eastAsia="Times New Roman" w:hAnsi="GHEA Grapalat" w:cs="Sylfaen"/>
          <w:b/>
          <w:lang w:val="hy-AM"/>
        </w:rPr>
        <w:t>2.6 տոկոսային կետի չափով</w:t>
      </w:r>
      <w:r w:rsidRPr="001D3687">
        <w:rPr>
          <w:rFonts w:ascii="GHEA Grapalat" w:eastAsia="Times New Roman" w:hAnsi="GHEA Grapalat" w:cs="Sylfaen"/>
          <w:lang w:val="hy-AM"/>
        </w:rPr>
        <w:t xml:space="preserve">: </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Գնաճի շեղման ռիսկը կարող է ազդեցություն ունենալ ՀՀ պետական բյուջեի և՛ եկամտային, և՛ ծախսային կատարողականների վրա` անուղղակի հարկերի, ինչպես նաև ապրանքների և ծառայությունների գծով ծախսերի ուղղությամբ: Գնանկումային պայմաններում հարկերից մուտքերը կկրճատվեն և ընդհակառակը: </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Արդյունքում, գնաճի դանդաղման ռիսկի ազդեցությունը հարկային եկամուտների վրա 2025, 2026 և 2027 թվականների համար գնահատվում է համապատասխանաբար 25.6, 27.8 և 30.0 մլրդ ՀՀ դրամ ֆինանսական պահանջի ավելացման ուղղությամբ:</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b/>
          <w:lang w:val="hy-AM"/>
        </w:rPr>
      </w:pPr>
      <w:r w:rsidRPr="001D3687">
        <w:rPr>
          <w:rFonts w:ascii="GHEA Grapalat" w:eastAsia="Times New Roman" w:hAnsi="GHEA Grapalat" w:cs="Sylfaen"/>
          <w:b/>
          <w:lang w:val="hy-AM"/>
        </w:rPr>
        <w:t>2.2. Փոխարժեքի շեղման հնարավոր չափը</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Չնայած ՀՀ ԿԲ-ն և ՀՀ ՖՆ-ն մշակում են փոխարժեքի վերաբերյալ սցենարներ, որոնք արտացոլում են փոխարժեքի վարքագիծը տարբեր մակրոտնտեսական հիմնարարների ներքո, ՀՀ-ում իրականացվում է լողացող փոխարժեքի քաղաքականություն, իսկ յուրաքանչյուր տարվա պետական բյուջեի ցուցանիշների կանխատեսումների հիմքում դրվում է փոխարժեքի անփոփոխ (որոշակի պահի դրությամբ) մակարդակ: Սակայն փոխարժեքի տատա</w:t>
      </w:r>
      <w:r w:rsidRPr="001D3687">
        <w:rPr>
          <w:rFonts w:ascii="GHEA Grapalat" w:eastAsia="Times New Roman" w:hAnsi="GHEA Grapalat" w:cs="Sylfaen"/>
          <w:lang w:val="hy-AM"/>
        </w:rPr>
        <w:softHyphen/>
        <w:t>նում</w:t>
      </w:r>
      <w:r w:rsidRPr="001D3687">
        <w:rPr>
          <w:rFonts w:ascii="GHEA Grapalat" w:eastAsia="Times New Roman" w:hAnsi="GHEA Grapalat" w:cs="Sylfaen"/>
          <w:lang w:val="hy-AM"/>
        </w:rPr>
        <w:softHyphen/>
        <w:t>ները կազդեն ներմուծումից ՀՀ պետական բյուջե մուտքագրվող հարկային եկամուտների վրա:</w:t>
      </w:r>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lastRenderedPageBreak/>
        <w:t>Հաշվի առնելով այն հանգամանքը, որ վերջին տարիների համար և՛ արժևորման, և՛ արժեզրկման ուղղությամբ փոխար</w:t>
      </w:r>
      <w:r w:rsidRPr="001D3687">
        <w:rPr>
          <w:rFonts w:ascii="GHEA Grapalat" w:eastAsia="Times New Roman" w:hAnsi="GHEA Grapalat" w:cs="Sylfaen"/>
          <w:lang w:val="hy-AM"/>
        </w:rPr>
        <w:softHyphen/>
        <w:t xml:space="preserve">ժեքի տատանումների բացարձակ շեղման միջին չափը չի գերազանցել 6.3 տոկոսը` որպես ռիսկ է դիտարկվել ԱՄՆ դոլարի նկատմամբ ՀՀ դրամի առավելագույնը 6.3 տոկոս արժեզրկումը: </w:t>
      </w:r>
    </w:p>
    <w:p w:rsidR="001D3687" w:rsidRPr="001D3687" w:rsidRDefault="001D3687" w:rsidP="001D3687">
      <w:pPr>
        <w:tabs>
          <w:tab w:val="left" w:pos="0"/>
          <w:tab w:val="left" w:pos="567"/>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Արդյունքում, փոխարժեքի 6.3 տոկոսով արժեզրկման ռիսկի դրսևորման դեպքում, այլ հավասար պայմաններում, 2025, 2026 և 2027 թվականներին կարելի է ապահովել հարկային եկամուտների համապատասխանաբար 17.7, 19.3 և 21.8 մլրդ ՀՀ դրամ լրացուցիչ մուտք:</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b/>
          <w:lang w:val="hy-AM"/>
        </w:rPr>
      </w:pPr>
      <w:r w:rsidRPr="001D3687">
        <w:rPr>
          <w:rFonts w:ascii="GHEA Grapalat" w:eastAsia="Times New Roman" w:hAnsi="GHEA Grapalat" w:cs="Sylfaen"/>
          <w:b/>
          <w:lang w:val="hy-AM"/>
        </w:rPr>
        <w:t>2.3. Ներմուծման գծով ռիսկի հնարավոր չափը</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Քանի որ մաքսային սահմանին ներմուծումից գանձվող անուղղակի հարկերը էական կշիռ ունեն պետական բյուջեի ընդհանուր հարկային եկամուտներում, անհրաժեշտ է գնահատել նաև ներմուծման հնարավոր նվազման պարագայում հարկային եկամուտների նվազման ռիսկի չափը: 2010-2023 թվականների ընթացքում ՄԺԾԾ-ում ներմուծման գծով կանխատեսումների շեղման միջին բացարձակ չափը գտնվում է 7.3-14.3%-ի միջակայքում, ինչն էլ հաշվի է առնվել այս գործոնի ազդեցությունը գնահատելու համար: 2022-2024 թթ. գնահատականներում ներմուծման ցուցանիշները դիտարկվել են առանց վերաարտահանման  ծավալների: 2025, 2026 և 2027 թվականների համար ծրագրվածից համապատասխանաբար 7.3, 12.3 և 14.3% պակաս ներմուծման ռիսկի դրսևորման պայմաններում հարկային եկամուտների վրա ազդեցությունը գնահատվել է համապատասխանաբար՝ 25.7, 47.5 և 62.2 մլրդ ՀՀ դրամ` ֆինանսական պահանջի ավելացման ուղղությամբ:</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b/>
          <w:bCs/>
          <w:lang w:val="hy-AM"/>
        </w:rPr>
      </w:pPr>
      <w:r w:rsidRPr="001D3687">
        <w:rPr>
          <w:rFonts w:ascii="GHEA Grapalat" w:eastAsia="Times New Roman" w:hAnsi="GHEA Grapalat" w:cs="Sylfaen"/>
          <w:b/>
          <w:bCs/>
          <w:lang w:val="hy-AM"/>
        </w:rPr>
        <w:t>2</w:t>
      </w:r>
      <w:r w:rsidRPr="001D3687">
        <w:rPr>
          <w:rFonts w:ascii="Cambria Math" w:eastAsia="Times New Roman" w:hAnsi="Cambria Math" w:cs="Cambria Math"/>
          <w:b/>
          <w:bCs/>
          <w:lang w:val="hy-AM"/>
        </w:rPr>
        <w:t>․</w:t>
      </w:r>
      <w:r w:rsidRPr="001D3687">
        <w:rPr>
          <w:rFonts w:ascii="GHEA Grapalat" w:eastAsia="Times New Roman" w:hAnsi="GHEA Grapalat" w:cs="Sylfaen"/>
          <w:b/>
          <w:bCs/>
          <w:lang w:val="hy-AM"/>
        </w:rPr>
        <w:t>4. Հարկեր/ՀՆԱ թիրախավորված բարելավումը չապահովելու ռիսկի չափը</w:t>
      </w:r>
    </w:p>
    <w:p w:rsidR="001D3687" w:rsidRPr="001D3687" w:rsidRDefault="001D3687" w:rsidP="001D3687">
      <w:pPr>
        <w:tabs>
          <w:tab w:val="left" w:pos="0"/>
          <w:tab w:val="left" w:pos="284"/>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ՀՀ հարկեր/ՀՆԱ ցուցանիշը վերջին տասնամյակում միջինում բարելավվել է շուրջ 0.2 տոկոսային կետով, որին նպաստել են ինչպես տնտեսության կառուցվածքային փոփոխությունները (հարկունակ ճյուղերի մասնաբաժնի ավելացում), այնպես էլ հարկային օրենսդրական բարեփոխումները և վարչարարության արդյունավետության բարձրացումը՝ ստվերի դեմ պայքարի և հարկային վարչարարության ճեղքի աստիճանական կրճատման ճանապարհով։ Այնուամենայնիվ, վերջին տարիներին հարկային վարչարարության ճեղքի կրճատման ավելի բարձր արագության հաշվին հարկեր/ՀՆԱ բարելավումների տեմպը արագացել է (2021-2022թթ</w:t>
      </w:r>
      <w:r w:rsidRPr="001D3687">
        <w:rPr>
          <w:rFonts w:ascii="Cambria Math" w:eastAsia="Times New Roman" w:hAnsi="Cambria Math" w:cs="Cambria Math"/>
          <w:lang w:val="hy-AM"/>
        </w:rPr>
        <w:t>․</w:t>
      </w:r>
      <w:r w:rsidRPr="001D3687">
        <w:rPr>
          <w:rFonts w:ascii="GHEA Grapalat" w:eastAsia="Times New Roman" w:hAnsi="GHEA Grapalat" w:cs="Sylfaen"/>
          <w:lang w:val="hy-AM"/>
        </w:rPr>
        <w:t xml:space="preserve"> հարկային ճեղքը միջինում կրճատվել է 0</w:t>
      </w:r>
      <w:r w:rsidRPr="001D3687">
        <w:rPr>
          <w:rFonts w:ascii="Cambria Math" w:eastAsia="Times New Roman" w:hAnsi="Cambria Math" w:cs="Cambria Math"/>
          <w:lang w:val="hy-AM"/>
        </w:rPr>
        <w:t>․</w:t>
      </w:r>
      <w:r w:rsidRPr="001D3687">
        <w:rPr>
          <w:rFonts w:ascii="GHEA Grapalat" w:eastAsia="Times New Roman" w:hAnsi="GHEA Grapalat" w:cs="Sylfaen"/>
          <w:lang w:val="hy-AM"/>
        </w:rPr>
        <w:t>6%-ային կետով)։ Ըստ այդմ, համահունչ նաև  ՀՀ կառավարության ծրագրով մինչև 2026 թ</w:t>
      </w:r>
      <w:r w:rsidRPr="001D3687">
        <w:rPr>
          <w:rFonts w:ascii="Cambria Math" w:eastAsia="Times New Roman" w:hAnsi="Cambria Math" w:cs="Cambria Math"/>
          <w:lang w:val="hy-AM"/>
        </w:rPr>
        <w:t>․</w:t>
      </w:r>
      <w:r w:rsidRPr="001D3687">
        <w:rPr>
          <w:rFonts w:ascii="GHEA Grapalat" w:eastAsia="Times New Roman" w:hAnsi="GHEA Grapalat" w:cs="Sylfaen"/>
          <w:lang w:val="hy-AM"/>
        </w:rPr>
        <w:t xml:space="preserve"> թիրախավորված առնվազն 25% հարկեր/ՀՆԱ ցուցանիշ գրանցելու թիրախկին, միջնաժամկետ հատվածում ծրագրվել է տարեկան 0.6 տոկոսային կետով բարելավման տեմպ, որում հարկային վարչարության ազդեցությունը 0</w:t>
      </w:r>
      <w:r w:rsidRPr="001D3687">
        <w:rPr>
          <w:rFonts w:ascii="Cambria Math" w:eastAsia="Times New Roman" w:hAnsi="Cambria Math" w:cs="Cambria Math"/>
          <w:lang w:val="hy-AM"/>
        </w:rPr>
        <w:t>․</w:t>
      </w:r>
      <w:r w:rsidRPr="001D3687">
        <w:rPr>
          <w:rFonts w:ascii="GHEA Grapalat" w:eastAsia="Times New Roman" w:hAnsi="GHEA Grapalat" w:cs="Sylfaen"/>
          <w:lang w:val="hy-AM"/>
        </w:rPr>
        <w:t xml:space="preserve">5%-ային կետ է։ Այնուամենայնիվ, հարկային վարչարարության ազդեցությունը ճեղքի կրճատման վրա ոչ գծային է, և կարող է թուլանալ ճեղքի ավելի ցածր մակարդակներում։ Ըստ այդմ, ռիսկի չափ է դիտարկվել ծրագրվածից </w:t>
      </w:r>
      <w:r w:rsidRPr="001D3687">
        <w:rPr>
          <w:rFonts w:ascii="GHEA Grapalat" w:eastAsia="Times New Roman" w:hAnsi="GHEA Grapalat" w:cs="Sylfaen"/>
          <w:lang w:val="hy-AM"/>
        </w:rPr>
        <w:lastRenderedPageBreak/>
        <w:t>ավելի դանդաղ հարկեր/ՀՆԱ բարելավման սցենարը 0</w:t>
      </w:r>
      <w:r w:rsidRPr="001D3687">
        <w:rPr>
          <w:rFonts w:ascii="Cambria Math" w:eastAsia="Times New Roman" w:hAnsi="Cambria Math" w:cs="Cambria Math"/>
          <w:lang w:val="hy-AM"/>
        </w:rPr>
        <w:t>․</w:t>
      </w:r>
      <w:r w:rsidRPr="001D3687">
        <w:rPr>
          <w:rFonts w:ascii="GHEA Grapalat" w:eastAsia="Times New Roman" w:hAnsi="GHEA Grapalat" w:cs="Sylfaen"/>
          <w:lang w:val="hy-AM"/>
        </w:rPr>
        <w:t xml:space="preserve">3%-ային կետի չափով, որը ենթադրում է ցուցանիշի բարելավում վերջին տասնամյակի միտումներին համահունչ։ </w:t>
      </w:r>
    </w:p>
    <w:p w:rsidR="001D3687" w:rsidRPr="001D3687" w:rsidRDefault="001D3687" w:rsidP="001D3687">
      <w:pPr>
        <w:tabs>
          <w:tab w:val="left" w:pos="0"/>
        </w:tabs>
        <w:spacing w:before="120" w:after="0" w:line="276" w:lineRule="auto"/>
        <w:jc w:val="both"/>
        <w:rPr>
          <w:rFonts w:ascii="Cambria Math" w:eastAsia="Times New Roman" w:hAnsi="Cambria Math" w:cs="Sylfaen"/>
          <w:lang w:val="hy-AM"/>
        </w:rPr>
      </w:pPr>
      <w:r w:rsidRPr="001D3687">
        <w:rPr>
          <w:rFonts w:ascii="GHEA Grapalat" w:eastAsia="Times New Roman" w:hAnsi="GHEA Grapalat" w:cs="Sylfaen"/>
          <w:lang w:val="hy-AM"/>
        </w:rPr>
        <w:t xml:space="preserve">Վերը նկարագրված ռիսկի առարկայացման դեպքում 2025, 2026 և 2027 թվականներին հարկային եկամուտները առավել ցածր կձևավորվեն համապատասխանաբար 33.6, 36.9, 40.5 մլրդ դրամով։  </w:t>
      </w: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Ամփոփելով վերը նկարագրված </w:t>
      </w:r>
      <w:r w:rsidRPr="001D3687">
        <w:rPr>
          <w:rFonts w:ascii="GHEA Grapalat" w:eastAsia="Times New Roman" w:hAnsi="GHEA Grapalat" w:cs="Sylfaen"/>
          <w:b/>
          <w:lang w:val="hy-AM"/>
        </w:rPr>
        <w:t>կանխատեսումների ռիսկի,</w:t>
      </w:r>
      <w:r w:rsidRPr="001D3687">
        <w:rPr>
          <w:rFonts w:ascii="GHEA Grapalat" w:eastAsia="Times New Roman" w:hAnsi="GHEA Grapalat" w:cs="Sylfaen"/>
          <w:lang w:val="hy-AM"/>
        </w:rPr>
        <w:t xml:space="preserve"> </w:t>
      </w:r>
      <w:r w:rsidRPr="001D3687">
        <w:rPr>
          <w:rFonts w:ascii="GHEA Grapalat" w:eastAsia="Times New Roman" w:hAnsi="GHEA Grapalat" w:cs="Sylfaen"/>
          <w:b/>
          <w:lang w:val="hy-AM"/>
        </w:rPr>
        <w:t>ենթադրություններից շեղումների և հարկեր/ՀՆԱ թիրախավորված բարելավումը չապահովելու ռիսկի</w:t>
      </w:r>
      <w:r w:rsidRPr="001D3687">
        <w:rPr>
          <w:rFonts w:ascii="GHEA Grapalat" w:eastAsia="Times New Roman" w:hAnsi="GHEA Grapalat" w:cs="Sylfaen"/>
          <w:lang w:val="hy-AM"/>
        </w:rPr>
        <w:t xml:space="preserve"> գնահատականները, միջնաժամկետ հորիզոնում ՀՀ պետական բյուջեի հարկային եկամուտների վրա մակրոտնտեսական ցուցանիշների` իրական ՀՆԱ-ի աճի, գնաճի, փոխարժեքի տատանողականության և ներմուծման, ինչպես նաև հարկային վարչաչարության լրացուցիչ ջանքի չապահովման ռիսկերի ազդեցության քանակական ամփոփ գնահատականները ներկայացվում են ստորև.</w:t>
      </w:r>
    </w:p>
    <w:p w:rsidR="001D3687" w:rsidRPr="001D3687" w:rsidRDefault="001D3687" w:rsidP="001D3687">
      <w:pPr>
        <w:tabs>
          <w:tab w:val="left" w:pos="0"/>
        </w:tabs>
        <w:spacing w:before="120" w:after="0" w:line="276" w:lineRule="auto"/>
        <w:rPr>
          <w:rFonts w:ascii="GHEA Grapalat" w:eastAsia="Calibri" w:hAnsi="GHEA Grapalat" w:cs="Sylfaen"/>
          <w:b/>
          <w:bCs/>
          <w:lang w:val="hy-AM"/>
        </w:rPr>
      </w:pPr>
    </w:p>
    <w:p w:rsidR="001D3687" w:rsidRPr="001D3687" w:rsidRDefault="001D3687" w:rsidP="001D3687">
      <w:pPr>
        <w:tabs>
          <w:tab w:val="left" w:pos="0"/>
        </w:tabs>
        <w:spacing w:before="120" w:after="0" w:line="276" w:lineRule="auto"/>
        <w:rPr>
          <w:rFonts w:ascii="GHEA Grapalat" w:eastAsia="Calibri" w:hAnsi="GHEA Grapalat" w:cs="Sylfaen"/>
          <w:b/>
          <w:bCs/>
          <w:lang w:val="hy-AM"/>
        </w:rPr>
      </w:pPr>
      <w:r w:rsidRPr="001D3687">
        <w:rPr>
          <w:rFonts w:ascii="GHEA Grapalat" w:eastAsia="Calibri" w:hAnsi="GHEA Grapalat" w:cs="Sylfaen"/>
          <w:b/>
          <w:bCs/>
          <w:lang w:val="hy-AM"/>
        </w:rPr>
        <w:t xml:space="preserve">Աղյուսակ 3.1.1 </w:t>
      </w:r>
      <w:r w:rsidRPr="001D3687">
        <w:rPr>
          <w:rFonts w:ascii="GHEA Grapalat" w:eastAsia="Calibri" w:hAnsi="GHEA Grapalat" w:cs="Sylfaen"/>
          <w:bCs/>
          <w:lang w:val="hy-AM"/>
        </w:rPr>
        <w:t>Հարկային եկամուտների վրա մակրոտնտեսական կանխատեսումների և ենթադրությունների ռիսկերի ազդեցություն, մլրդ դրամ</w:t>
      </w:r>
      <w:r w:rsidRPr="001D3687">
        <w:rPr>
          <w:rFonts w:ascii="GHEA Grapalat" w:eastAsia="Calibri" w:hAnsi="GHEA Grapalat" w:cs="Sylfaen"/>
          <w:bCs/>
          <w:vertAlign w:val="superscript"/>
          <w:lang w:val="hy-AM"/>
        </w:rPr>
        <w:t xml:space="preserve"> </w:t>
      </w:r>
      <w:r w:rsidRPr="001D3687">
        <w:rPr>
          <w:rFonts w:ascii="GHEA Grapalat" w:eastAsia="Calibri" w:hAnsi="GHEA Grapalat" w:cs="Sylfaen"/>
          <w:bCs/>
          <w:vertAlign w:val="superscript"/>
          <w:lang w:val="hy-AM"/>
        </w:rPr>
        <w:footnoteReference w:id="2"/>
      </w:r>
    </w:p>
    <w:tbl>
      <w:tblPr>
        <w:tblW w:w="9541" w:type="dxa"/>
        <w:tblLook w:val="04A0" w:firstRow="1" w:lastRow="0" w:firstColumn="1" w:lastColumn="0" w:noHBand="0" w:noVBand="1"/>
      </w:tblPr>
      <w:tblGrid>
        <w:gridCol w:w="5432"/>
        <w:gridCol w:w="1418"/>
        <w:gridCol w:w="1418"/>
        <w:gridCol w:w="1256"/>
        <w:gridCol w:w="17"/>
      </w:tblGrid>
      <w:tr w:rsidR="001D3687" w:rsidRPr="001D3687" w:rsidTr="00C42AB8">
        <w:trPr>
          <w:gridAfter w:val="1"/>
          <w:wAfter w:w="16" w:type="dxa"/>
          <w:trHeight w:val="645"/>
        </w:trPr>
        <w:tc>
          <w:tcPr>
            <w:tcW w:w="5433" w:type="dxa"/>
            <w:vMerge w:val="restart"/>
            <w:tcBorders>
              <w:top w:val="single" w:sz="4" w:space="0" w:color="4F81BD"/>
              <w:left w:val="single" w:sz="4" w:space="0" w:color="4F81BD"/>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Ռիսկի տեսակը</w:t>
            </w:r>
          </w:p>
        </w:tc>
        <w:tc>
          <w:tcPr>
            <w:tcW w:w="4092" w:type="dxa"/>
            <w:gridSpan w:val="3"/>
            <w:vMerge w:val="restart"/>
            <w:tcBorders>
              <w:top w:val="single" w:sz="4" w:space="0" w:color="4F81BD"/>
              <w:left w:val="single" w:sz="4" w:space="0" w:color="4F81BD"/>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Ազդեցության գնահատականը, մլրդ ՀՀ դրամ</w:t>
            </w:r>
          </w:p>
        </w:tc>
      </w:tr>
      <w:tr w:rsidR="001D3687" w:rsidRPr="001D3687" w:rsidTr="00C42AB8">
        <w:trPr>
          <w:gridAfter w:val="1"/>
          <w:wAfter w:w="16" w:type="dxa"/>
          <w:trHeight w:val="486"/>
        </w:trPr>
        <w:tc>
          <w:tcPr>
            <w:tcW w:w="5433" w:type="dxa"/>
            <w:vMerge/>
            <w:tcBorders>
              <w:top w:val="single" w:sz="4" w:space="0" w:color="4F81BD"/>
              <w:left w:val="single" w:sz="4" w:space="0" w:color="4F81BD"/>
              <w:bottom w:val="single" w:sz="4" w:space="0" w:color="4F81BD"/>
              <w:right w:val="single" w:sz="4" w:space="0" w:color="4F81BD"/>
            </w:tcBorders>
            <w:vAlign w:val="center"/>
            <w:hideMark/>
          </w:tcPr>
          <w:p w:rsidR="001D3687" w:rsidRPr="001D3687" w:rsidRDefault="001D3687" w:rsidP="001D3687">
            <w:pPr>
              <w:spacing w:after="0" w:line="240" w:lineRule="auto"/>
              <w:rPr>
                <w:rFonts w:ascii="GHEA Grapalat" w:eastAsia="Times New Roman" w:hAnsi="GHEA Grapalat" w:cs="Times New Roman"/>
                <w:b/>
                <w:bCs/>
                <w:color w:val="FFFFFF"/>
              </w:rPr>
            </w:pPr>
          </w:p>
        </w:tc>
        <w:tc>
          <w:tcPr>
            <w:tcW w:w="4092" w:type="dxa"/>
            <w:gridSpan w:val="3"/>
            <w:vMerge/>
            <w:tcBorders>
              <w:top w:val="single" w:sz="4" w:space="0" w:color="4F81BD"/>
              <w:left w:val="single" w:sz="4" w:space="0" w:color="4F81BD"/>
              <w:bottom w:val="single" w:sz="4" w:space="0" w:color="4F81BD"/>
              <w:right w:val="single" w:sz="4" w:space="0" w:color="4F81BD"/>
            </w:tcBorders>
            <w:vAlign w:val="center"/>
            <w:hideMark/>
          </w:tcPr>
          <w:p w:rsidR="001D3687" w:rsidRPr="001D3687" w:rsidRDefault="001D3687" w:rsidP="001D3687">
            <w:pPr>
              <w:spacing w:after="0" w:line="240" w:lineRule="auto"/>
              <w:rPr>
                <w:rFonts w:ascii="GHEA Grapalat" w:eastAsia="Times New Roman" w:hAnsi="GHEA Grapalat" w:cs="Times New Roman"/>
                <w:b/>
                <w:bCs/>
                <w:color w:val="FFFFFF"/>
              </w:rPr>
            </w:pPr>
          </w:p>
        </w:tc>
      </w:tr>
      <w:tr w:rsidR="001D3687" w:rsidRPr="001D3687" w:rsidTr="00C42AB8">
        <w:trPr>
          <w:gridAfter w:val="1"/>
          <w:wAfter w:w="17" w:type="dxa"/>
          <w:trHeight w:val="315"/>
        </w:trPr>
        <w:tc>
          <w:tcPr>
            <w:tcW w:w="5433" w:type="dxa"/>
            <w:tcBorders>
              <w:top w:val="nil"/>
              <w:left w:val="single" w:sz="4" w:space="0" w:color="4F81BD"/>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Calibri" w:eastAsia="Times New Roman" w:hAnsi="Calibri" w:cs="Times New Roman"/>
                <w:b/>
                <w:bCs/>
                <w:color w:val="FFFFFF"/>
              </w:rPr>
            </w:pPr>
            <w:r w:rsidRPr="001D3687">
              <w:rPr>
                <w:rFonts w:ascii="Calibri" w:eastAsia="Times New Roman" w:hAnsi="Calibri" w:cs="Times New Roman"/>
                <w:b/>
                <w:bCs/>
                <w:color w:val="FFFFFF"/>
              </w:rPr>
              <w:t> </w:t>
            </w:r>
          </w:p>
        </w:tc>
        <w:tc>
          <w:tcPr>
            <w:tcW w:w="1418" w:type="dxa"/>
            <w:tcBorders>
              <w:top w:val="nil"/>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2025</w:t>
            </w:r>
          </w:p>
        </w:tc>
        <w:tc>
          <w:tcPr>
            <w:tcW w:w="1418" w:type="dxa"/>
            <w:tcBorders>
              <w:top w:val="nil"/>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2026</w:t>
            </w:r>
          </w:p>
        </w:tc>
        <w:tc>
          <w:tcPr>
            <w:tcW w:w="1255" w:type="dxa"/>
            <w:tcBorders>
              <w:top w:val="nil"/>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2027</w:t>
            </w:r>
          </w:p>
        </w:tc>
      </w:tr>
      <w:tr w:rsidR="001D3687" w:rsidRPr="001D3687" w:rsidTr="00C42AB8">
        <w:trPr>
          <w:trHeight w:val="315"/>
        </w:trPr>
        <w:tc>
          <w:tcPr>
            <w:tcW w:w="9541" w:type="dxa"/>
            <w:gridSpan w:val="5"/>
            <w:tcBorders>
              <w:top w:val="single" w:sz="4" w:space="0" w:color="4F81BD"/>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Ռիսկերի առանձին հանդես գալու պայմաններում</w:t>
            </w:r>
          </w:p>
        </w:tc>
      </w:tr>
      <w:tr w:rsidR="001D3687" w:rsidRPr="001D3687" w:rsidTr="00C42AB8">
        <w:trPr>
          <w:gridAfter w:val="1"/>
          <w:wAfter w:w="17" w:type="dxa"/>
          <w:trHeight w:val="946"/>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1. Կանխատեսվածից ավելի ցածր իրական ՀՆԱ-ի աճ, 3.3-4.1 տոկոսային կետ</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-53.1</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-77.6</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-84.3</w:t>
            </w:r>
          </w:p>
        </w:tc>
      </w:tr>
      <w:tr w:rsidR="001D3687" w:rsidRPr="001D3687" w:rsidTr="00C42AB8">
        <w:trPr>
          <w:gridAfter w:val="1"/>
          <w:wAfter w:w="17" w:type="dxa"/>
          <w:trHeight w:val="631"/>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 xml:space="preserve">2. Ավելի ցածր գնաճի ռիսկ, 2.6 տոկոսային կետ </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-25.6</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-27.8</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-30.0</w:t>
            </w:r>
          </w:p>
        </w:tc>
      </w:tr>
      <w:tr w:rsidR="001D3687" w:rsidRPr="001D3687" w:rsidTr="00C42AB8">
        <w:trPr>
          <w:gridAfter w:val="1"/>
          <w:wAfter w:w="17" w:type="dxa"/>
          <w:trHeight w:val="631"/>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3. Փոխարժեքի 6.3 տոկոս արժեզրկման ռիսկ</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17.7</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19.3</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21.8</w:t>
            </w:r>
          </w:p>
        </w:tc>
      </w:tr>
      <w:tr w:rsidR="001D3687" w:rsidRPr="001D3687" w:rsidTr="00C42AB8">
        <w:trPr>
          <w:gridAfter w:val="1"/>
          <w:wAfter w:w="17" w:type="dxa"/>
          <w:trHeight w:val="631"/>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4. Ներմուծման  նվազման ռիսկ, 7.3-14.3 տոկոսային կետ</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-25.7</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-47.5</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-62.2</w:t>
            </w:r>
          </w:p>
        </w:tc>
      </w:tr>
      <w:tr w:rsidR="001D3687" w:rsidRPr="001D3687" w:rsidTr="00C42AB8">
        <w:trPr>
          <w:gridAfter w:val="1"/>
          <w:wAfter w:w="17" w:type="dxa"/>
          <w:trHeight w:val="946"/>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Վերոնշյալ ռիսկերի միաժամանակյա հանդես գալու պայմաններում</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-82.2</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-123.0</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-141.9</w:t>
            </w:r>
          </w:p>
        </w:tc>
      </w:tr>
      <w:tr w:rsidR="001D3687" w:rsidRPr="001D3687" w:rsidTr="00C42AB8">
        <w:trPr>
          <w:gridAfter w:val="1"/>
          <w:wAfter w:w="17" w:type="dxa"/>
          <w:trHeight w:val="946"/>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lang w:val="hy-AM"/>
              </w:rPr>
            </w:pPr>
            <w:r w:rsidRPr="001D3687">
              <w:rPr>
                <w:rFonts w:ascii="GHEA Grapalat" w:eastAsia="Times New Roman" w:hAnsi="GHEA Grapalat" w:cs="Times New Roman"/>
                <w:color w:val="000000"/>
              </w:rPr>
              <w:lastRenderedPageBreak/>
              <w:t>Հարկային եկամուտների վարչարարության ռիսկ, 0.3 տոկոսային կետ</w:t>
            </w:r>
            <w:r w:rsidRPr="001D3687">
              <w:rPr>
                <w:rFonts w:ascii="GHEA Grapalat" w:eastAsia="Times New Roman" w:hAnsi="GHEA Grapalat" w:cs="Times New Roman"/>
                <w:color w:val="000000"/>
                <w:lang w:val="hy-AM"/>
              </w:rPr>
              <w:t xml:space="preserve">ով ավելի ցածր հարկեր/ՀՆԱ բարելավման տեմպ </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-33.6</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-36.9</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-40.5</w:t>
            </w:r>
          </w:p>
        </w:tc>
      </w:tr>
      <w:tr w:rsidR="001D3687" w:rsidRPr="001D3687" w:rsidTr="00C42AB8">
        <w:trPr>
          <w:gridAfter w:val="1"/>
          <w:wAfter w:w="17" w:type="dxa"/>
          <w:trHeight w:val="315"/>
        </w:trPr>
        <w:tc>
          <w:tcPr>
            <w:tcW w:w="5433"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ԸՆԴԱՄԵՆԸ</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-115.8</w:t>
            </w:r>
          </w:p>
        </w:tc>
        <w:tc>
          <w:tcPr>
            <w:tcW w:w="1418"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-160.0</w:t>
            </w:r>
          </w:p>
        </w:tc>
        <w:tc>
          <w:tcPr>
            <w:tcW w:w="1255" w:type="dxa"/>
            <w:tcBorders>
              <w:top w:val="nil"/>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-182.4</w:t>
            </w:r>
          </w:p>
        </w:tc>
      </w:tr>
    </w:tbl>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Այսպիսով, գնահատվում է, որ հարկային եկամուտների վրա ազդող վերոնշյալ ռիսկերի միաժամանակյա ի հայտ գալու պարագայում հարկային եկամուտների ծրագրված մակարդակից շեղումը կկազմի շուրջ 115.8 մլրդ ՀՀ դրամ 2025 թվականին, 160.0 մլրդ ՀՀ դրամ 2026 թվականին և 182.4 մլրդ ՀՀ դրամ 2027 թվականին: </w:t>
      </w: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Հարկային եկամուտների վրա առանձին ռիսկերի ազդեցության չափի վերաբերյալ պատկերացում են տալիս նաև ստորև ներկայացվող զգայունության գնահատականները, սակայն այս դեպքում դիտարկվում է հարկային եկամուտների աճի վրա ազդող գործոնների աճերի 1% փոփոխության ազդեցությունը, ինչը ներկայացված է հարկային եկամուտների զգայունության աղյուսակում:</w:t>
      </w:r>
    </w:p>
    <w:p w:rsidR="001D3687" w:rsidRPr="001D3687" w:rsidRDefault="001D3687" w:rsidP="001D3687">
      <w:pPr>
        <w:tabs>
          <w:tab w:val="left" w:pos="0"/>
        </w:tabs>
        <w:spacing w:before="120" w:after="0" w:line="276" w:lineRule="auto"/>
        <w:rPr>
          <w:rFonts w:ascii="GHEA Grapalat" w:eastAsia="Calibri" w:hAnsi="GHEA Grapalat" w:cs="Sylfaen"/>
          <w:bCs/>
          <w:lang w:val="hy-AM"/>
        </w:rPr>
      </w:pPr>
      <w:r w:rsidRPr="001D3687">
        <w:rPr>
          <w:rFonts w:ascii="GHEA Grapalat" w:eastAsia="Calibri" w:hAnsi="GHEA Grapalat" w:cs="Sylfaen"/>
          <w:b/>
          <w:bCs/>
          <w:lang w:val="hy-AM"/>
        </w:rPr>
        <w:t xml:space="preserve">Աղյուսակ 3.1.2 </w:t>
      </w:r>
      <w:r w:rsidRPr="001D3687">
        <w:rPr>
          <w:rFonts w:ascii="GHEA Grapalat" w:eastAsia="Calibri" w:hAnsi="GHEA Grapalat" w:cs="Sylfaen"/>
          <w:bCs/>
          <w:lang w:val="hy-AM"/>
        </w:rPr>
        <w:t>Հարկային եկամուտների զգայունությունը հիմնական տնտեսական գործոնների նկատմամբ, %</w:t>
      </w:r>
    </w:p>
    <w:tbl>
      <w:tblPr>
        <w:tblW w:w="9357" w:type="dxa"/>
        <w:tblLook w:val="04A0" w:firstRow="1" w:lastRow="0" w:firstColumn="1" w:lastColumn="0" w:noHBand="0" w:noVBand="1"/>
      </w:tblPr>
      <w:tblGrid>
        <w:gridCol w:w="3931"/>
        <w:gridCol w:w="1208"/>
        <w:gridCol w:w="1220"/>
        <w:gridCol w:w="1492"/>
        <w:gridCol w:w="1506"/>
      </w:tblGrid>
      <w:tr w:rsidR="001D3687" w:rsidRPr="001D3687" w:rsidTr="00C42AB8">
        <w:trPr>
          <w:trHeight w:val="753"/>
        </w:trPr>
        <w:tc>
          <w:tcPr>
            <w:tcW w:w="3931" w:type="dxa"/>
            <w:tcBorders>
              <w:top w:val="single" w:sz="4" w:space="0" w:color="4F81BD"/>
              <w:left w:val="single" w:sz="4" w:space="0" w:color="4F81BD"/>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lang w:val="hy-AM"/>
              </w:rPr>
            </w:pPr>
            <w:r w:rsidRPr="001D3687">
              <w:rPr>
                <w:rFonts w:ascii="Calibri" w:eastAsia="Times New Roman" w:hAnsi="Calibri" w:cs="Calibri"/>
                <w:b/>
                <w:bCs/>
                <w:color w:val="FFFFFF"/>
                <w:lang w:val="hy-AM"/>
              </w:rPr>
              <w:t> </w:t>
            </w:r>
          </w:p>
        </w:tc>
        <w:tc>
          <w:tcPr>
            <w:tcW w:w="1208" w:type="dxa"/>
            <w:tcBorders>
              <w:top w:val="single" w:sz="4" w:space="0" w:color="4F81BD"/>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ՀՆԱ</w:t>
            </w:r>
          </w:p>
        </w:tc>
        <w:tc>
          <w:tcPr>
            <w:tcW w:w="1220" w:type="dxa"/>
            <w:tcBorders>
              <w:top w:val="single" w:sz="4" w:space="0" w:color="4F81BD"/>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Գնաճ</w:t>
            </w:r>
          </w:p>
        </w:tc>
        <w:tc>
          <w:tcPr>
            <w:tcW w:w="1492" w:type="dxa"/>
            <w:tcBorders>
              <w:top w:val="single" w:sz="4" w:space="0" w:color="4F81BD"/>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Փոխարժեք</w:t>
            </w:r>
          </w:p>
        </w:tc>
        <w:tc>
          <w:tcPr>
            <w:tcW w:w="1506" w:type="dxa"/>
            <w:tcBorders>
              <w:top w:val="single" w:sz="4" w:space="0" w:color="4F81BD"/>
              <w:left w:val="nil"/>
              <w:bottom w:val="single" w:sz="4" w:space="0" w:color="4F81BD"/>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Ներմուծում</w:t>
            </w:r>
          </w:p>
        </w:tc>
      </w:tr>
      <w:tr w:rsidR="001D3687" w:rsidRPr="001D3687" w:rsidTr="00C42AB8">
        <w:trPr>
          <w:trHeight w:val="376"/>
        </w:trPr>
        <w:tc>
          <w:tcPr>
            <w:tcW w:w="3931" w:type="dxa"/>
            <w:tcBorders>
              <w:top w:val="nil"/>
              <w:left w:val="single" w:sz="4" w:space="0" w:color="4F81BD"/>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b/>
                <w:bCs/>
                <w:color w:val="000000"/>
              </w:rPr>
            </w:pPr>
            <w:r w:rsidRPr="001D3687">
              <w:rPr>
                <w:rFonts w:ascii="GHEA Grapalat" w:eastAsia="Times New Roman" w:hAnsi="GHEA Grapalat" w:cs="Times New Roman"/>
                <w:b/>
                <w:bCs/>
                <w:color w:val="000000"/>
                <w:lang w:val="hy-AM"/>
              </w:rPr>
              <w:t>Տ</w:t>
            </w:r>
            <w:r w:rsidRPr="001D3687">
              <w:rPr>
                <w:rFonts w:ascii="GHEA Grapalat" w:eastAsia="Times New Roman" w:hAnsi="GHEA Grapalat" w:cs="Times New Roman"/>
                <w:b/>
                <w:bCs/>
                <w:color w:val="000000"/>
              </w:rPr>
              <w:t>արեկան (</w:t>
            </w:r>
            <w:r w:rsidRPr="001D3687">
              <w:rPr>
                <w:rFonts w:ascii="GHEA Grapalat" w:eastAsia="Times New Roman" w:hAnsi="GHEA Grapalat" w:cs="Times New Roman"/>
                <w:b/>
                <w:bCs/>
                <w:color w:val="000000"/>
                <w:lang w:val="hy-AM"/>
              </w:rPr>
              <w:t xml:space="preserve">շոկին հաջորդող </w:t>
            </w:r>
            <w:r w:rsidRPr="001D3687">
              <w:rPr>
                <w:rFonts w:ascii="GHEA Grapalat" w:eastAsia="Times New Roman" w:hAnsi="GHEA Grapalat" w:cs="Times New Roman"/>
                <w:b/>
                <w:bCs/>
                <w:color w:val="000000"/>
              </w:rPr>
              <w:t xml:space="preserve">4 </w:t>
            </w:r>
            <w:r w:rsidRPr="001D3687">
              <w:rPr>
                <w:rFonts w:ascii="GHEA Grapalat" w:eastAsia="Times New Roman" w:hAnsi="GHEA Grapalat" w:cs="Times New Roman"/>
                <w:b/>
                <w:bCs/>
                <w:color w:val="000000"/>
                <w:lang w:val="hy-AM"/>
              </w:rPr>
              <w:t>եռամսյակների</w:t>
            </w:r>
            <w:r w:rsidRPr="001D3687">
              <w:rPr>
                <w:rFonts w:ascii="GHEA Grapalat" w:eastAsia="Times New Roman" w:hAnsi="GHEA Grapalat" w:cs="Times New Roman"/>
                <w:b/>
                <w:bCs/>
                <w:color w:val="000000"/>
              </w:rPr>
              <w:t>) ազդեցություն</w:t>
            </w:r>
          </w:p>
        </w:tc>
        <w:tc>
          <w:tcPr>
            <w:tcW w:w="1208" w:type="dxa"/>
            <w:tcBorders>
              <w:top w:val="nil"/>
              <w:left w:val="nil"/>
              <w:bottom w:val="single" w:sz="4" w:space="0" w:color="4F81BD"/>
              <w:right w:val="single" w:sz="4" w:space="0" w:color="4F81BD"/>
            </w:tcBorders>
            <w:shd w:val="clear" w:color="auto" w:fill="auto"/>
            <w:vAlign w:val="bottom"/>
            <w:hideMark/>
          </w:tcPr>
          <w:p w:rsidR="001D3687" w:rsidRPr="001D3687" w:rsidRDefault="001D3687" w:rsidP="001D3687">
            <w:pPr>
              <w:spacing w:after="0" w:line="240" w:lineRule="auto"/>
              <w:jc w:val="right"/>
              <w:rPr>
                <w:rFonts w:ascii="GHEA Grapalat" w:eastAsia="Times New Roman" w:hAnsi="GHEA Grapalat" w:cs="Times New Roman"/>
                <w:color w:val="000000"/>
              </w:rPr>
            </w:pPr>
            <w:r w:rsidRPr="001D3687">
              <w:rPr>
                <w:rFonts w:ascii="GHEA Grapalat" w:eastAsiaTheme="minorEastAsia" w:hAnsi="GHEA Grapalat" w:cs="Calibri"/>
                <w:color w:val="000000"/>
              </w:rPr>
              <w:t>0.99</w:t>
            </w:r>
          </w:p>
        </w:tc>
        <w:tc>
          <w:tcPr>
            <w:tcW w:w="1220" w:type="dxa"/>
            <w:tcBorders>
              <w:top w:val="nil"/>
              <w:left w:val="nil"/>
              <w:bottom w:val="single" w:sz="4" w:space="0" w:color="4F81BD"/>
              <w:right w:val="single" w:sz="4" w:space="0" w:color="4F81BD"/>
            </w:tcBorders>
            <w:shd w:val="clear" w:color="auto" w:fill="auto"/>
            <w:vAlign w:val="bottom"/>
            <w:hideMark/>
          </w:tcPr>
          <w:p w:rsidR="001D3687" w:rsidRPr="001D3687" w:rsidRDefault="001D3687" w:rsidP="001D3687">
            <w:pPr>
              <w:spacing w:after="0" w:line="240" w:lineRule="auto"/>
              <w:jc w:val="right"/>
              <w:rPr>
                <w:rFonts w:ascii="GHEA Grapalat" w:eastAsia="Times New Roman" w:hAnsi="GHEA Grapalat" w:cs="Times New Roman"/>
                <w:color w:val="000000"/>
              </w:rPr>
            </w:pPr>
            <w:r w:rsidRPr="001D3687">
              <w:rPr>
                <w:rFonts w:ascii="GHEA Grapalat" w:eastAsiaTheme="minorEastAsia" w:hAnsi="GHEA Grapalat" w:cs="Calibri"/>
                <w:color w:val="000000"/>
              </w:rPr>
              <w:t>0.66</w:t>
            </w:r>
          </w:p>
        </w:tc>
        <w:tc>
          <w:tcPr>
            <w:tcW w:w="1492" w:type="dxa"/>
            <w:tcBorders>
              <w:top w:val="nil"/>
              <w:left w:val="nil"/>
              <w:bottom w:val="single" w:sz="4" w:space="0" w:color="4F81BD"/>
              <w:right w:val="single" w:sz="4" w:space="0" w:color="4F81BD"/>
            </w:tcBorders>
            <w:shd w:val="clear" w:color="auto" w:fill="auto"/>
            <w:vAlign w:val="bottom"/>
            <w:hideMark/>
          </w:tcPr>
          <w:p w:rsidR="001D3687" w:rsidRPr="001D3687" w:rsidRDefault="001D3687" w:rsidP="001D3687">
            <w:pPr>
              <w:spacing w:after="0" w:line="240" w:lineRule="auto"/>
              <w:jc w:val="right"/>
              <w:rPr>
                <w:rFonts w:ascii="GHEA Grapalat" w:eastAsia="Times New Roman" w:hAnsi="GHEA Grapalat" w:cs="Times New Roman"/>
                <w:color w:val="000000"/>
              </w:rPr>
            </w:pPr>
            <w:r w:rsidRPr="001D3687">
              <w:rPr>
                <w:rFonts w:ascii="GHEA Grapalat" w:eastAsiaTheme="minorEastAsia" w:hAnsi="GHEA Grapalat" w:cs="Calibri"/>
                <w:color w:val="000000"/>
              </w:rPr>
              <w:t>0.26</w:t>
            </w:r>
          </w:p>
        </w:tc>
        <w:tc>
          <w:tcPr>
            <w:tcW w:w="1506" w:type="dxa"/>
            <w:tcBorders>
              <w:top w:val="nil"/>
              <w:left w:val="nil"/>
              <w:bottom w:val="single" w:sz="4" w:space="0" w:color="4F81BD"/>
              <w:right w:val="single" w:sz="4" w:space="0" w:color="4F81BD"/>
            </w:tcBorders>
            <w:shd w:val="clear" w:color="auto" w:fill="auto"/>
            <w:vAlign w:val="bottom"/>
            <w:hideMark/>
          </w:tcPr>
          <w:p w:rsidR="001D3687" w:rsidRPr="001D3687" w:rsidRDefault="001D3687" w:rsidP="001D3687">
            <w:pPr>
              <w:spacing w:after="0" w:line="240" w:lineRule="auto"/>
              <w:jc w:val="right"/>
              <w:rPr>
                <w:rFonts w:ascii="GHEA Grapalat" w:eastAsia="Times New Roman" w:hAnsi="GHEA Grapalat" w:cs="Times New Roman"/>
                <w:color w:val="000000"/>
              </w:rPr>
            </w:pPr>
            <w:r w:rsidRPr="001D3687">
              <w:rPr>
                <w:rFonts w:ascii="GHEA Grapalat" w:eastAsiaTheme="minorEastAsia" w:hAnsi="GHEA Grapalat" w:cs="Calibri"/>
                <w:color w:val="000000"/>
              </w:rPr>
              <w:t>0.13</w:t>
            </w:r>
          </w:p>
        </w:tc>
      </w:tr>
    </w:tbl>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Ինչպես երևում է աղյուսակից, հարկերի հավաքագրման առումով առավել էական գործոններ են հանդիսանում ՀՆԱ-ի և գնաճի փոփոխությունները:</w:t>
      </w: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Հարկային եկամուտների կանխատեսումների հետ կապված անորոշությունների և ռիսկերի հաշվեկշռի վերաբերյալ գնահատականներն իրենց արտացոլումն են գտել ստորև ներկայացվող հարկային եկամուտների հավանականային բաշխման գծապատկերում և համապատասխան աղյուսակում (տես` Գծապատկեր 3.1 և Աղյուսակ 3.1.3): Հավանականային բաշխման գրաֆիկի կառուցման ժամանակ օգտագործվել է աղյուսակ 3.1.1-ում գնահատված ամբողջական ռիսկերի միաժամանակյա հանդես գալու պայմաններում ի հայտ եկող բացասական ռիսկերը:</w:t>
      </w:r>
    </w:p>
    <w:p w:rsidR="001D3687" w:rsidRPr="001D3687" w:rsidRDefault="001D3687" w:rsidP="001D3687">
      <w:pPr>
        <w:keepNext/>
        <w:tabs>
          <w:tab w:val="left" w:pos="0"/>
        </w:tabs>
        <w:spacing w:before="120" w:after="0" w:line="276" w:lineRule="auto"/>
        <w:outlineLvl w:val="4"/>
        <w:rPr>
          <w:rFonts w:ascii="GHEA Grapalat" w:eastAsia="Times New Roman" w:hAnsi="GHEA Grapalat" w:cs="Times Unicode"/>
          <w:bCs/>
          <w:iCs/>
          <w:lang w:val="hy-AM"/>
        </w:rPr>
      </w:pPr>
      <w:r w:rsidRPr="001D3687">
        <w:rPr>
          <w:rFonts w:ascii="GHEA Grapalat" w:eastAsia="Times New Roman" w:hAnsi="GHEA Grapalat" w:cs="Times Unicode"/>
          <w:b/>
          <w:bCs/>
          <w:iCs/>
          <w:lang w:val="hy-AM"/>
        </w:rPr>
        <w:lastRenderedPageBreak/>
        <w:t xml:space="preserve">Գծապատկեր 3.1. </w:t>
      </w:r>
      <w:r w:rsidRPr="001D3687">
        <w:rPr>
          <w:rFonts w:ascii="GHEA Grapalat" w:eastAsia="Times New Roman" w:hAnsi="GHEA Grapalat" w:cs="Times Unicode"/>
          <w:bCs/>
          <w:iCs/>
          <w:lang w:val="hy-AM"/>
        </w:rPr>
        <w:t>Հարկային եկամուտների տարեկան աճի տեմպերի կանխատեսումների հավանականային բաշխումը, %</w:t>
      </w:r>
    </w:p>
    <w:p w:rsidR="001D3687" w:rsidRPr="001D3687" w:rsidRDefault="001D3687" w:rsidP="001D3687">
      <w:pPr>
        <w:keepNext/>
        <w:tabs>
          <w:tab w:val="left" w:pos="0"/>
        </w:tabs>
        <w:spacing w:before="120" w:after="0" w:line="276" w:lineRule="auto"/>
        <w:outlineLvl w:val="4"/>
        <w:rPr>
          <w:rFonts w:ascii="GHEA Grapalat" w:eastAsia="Times New Roman" w:hAnsi="GHEA Grapalat" w:cs="Times Unicode"/>
          <w:b/>
          <w:bCs/>
          <w:iCs/>
          <w:lang w:val="hy-AM"/>
        </w:rPr>
      </w:pPr>
      <w:r w:rsidRPr="001D3687">
        <w:rPr>
          <w:rFonts w:ascii="GHEA Grapalat" w:eastAsiaTheme="minorEastAsia" w:hAnsi="GHEA Grapalat"/>
          <w:noProof/>
        </w:rPr>
        <w:drawing>
          <wp:inline distT="0" distB="0" distL="0" distR="0" wp14:anchorId="3A11D66C" wp14:editId="595BB65D">
            <wp:extent cx="5857875" cy="2800350"/>
            <wp:effectExtent l="0" t="0" r="9525" b="0"/>
            <wp:docPr id="1" name="Chart 1">
              <a:extLst xmlns:a="http://schemas.openxmlformats.org/drawingml/2006/main">
                <a:ext uri="{FF2B5EF4-FFF2-40B4-BE49-F238E27FC236}">
                  <a16:creationId xmlns:a16="http://schemas.microsoft.com/office/drawing/2014/main" id="{60EF238E-80B4-462E-ACC4-C261A5A779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D3687" w:rsidRPr="001D3687" w:rsidRDefault="001D3687" w:rsidP="001D3687">
      <w:pPr>
        <w:tabs>
          <w:tab w:val="left" w:pos="0"/>
        </w:tabs>
        <w:spacing w:before="120" w:after="0" w:line="276" w:lineRule="auto"/>
        <w:jc w:val="both"/>
        <w:rPr>
          <w:rFonts w:ascii="GHEA Grapalat" w:eastAsia="Times New Roman" w:hAnsi="GHEA Grapalat" w:cs="Times New Roman"/>
          <w:b/>
          <w:lang w:val="hy-AM"/>
        </w:rPr>
      </w:pPr>
      <w:r w:rsidRPr="001D3687">
        <w:rPr>
          <w:rFonts w:ascii="GHEA Grapalat" w:eastAsia="Times New Roman" w:hAnsi="GHEA Grapalat" w:cs="Sylfaen"/>
          <w:lang w:val="hy-AM"/>
        </w:rPr>
        <w:t xml:space="preserve">Կանխատեսումների բաշխման հավանականություններն առավել պարզորոշ երևում են ստորև բերվող աղյուսակում: </w:t>
      </w:r>
    </w:p>
    <w:p w:rsidR="001D3687" w:rsidRPr="001D3687" w:rsidRDefault="001D3687" w:rsidP="001D3687">
      <w:pPr>
        <w:spacing w:before="120" w:after="0" w:line="276" w:lineRule="auto"/>
        <w:rPr>
          <w:rFonts w:ascii="GHEA Grapalat" w:eastAsia="Calibri" w:hAnsi="GHEA Grapalat" w:cs="Sylfaen"/>
          <w:bCs/>
          <w:lang w:val="hy-AM"/>
        </w:rPr>
      </w:pPr>
      <w:r w:rsidRPr="001D3687">
        <w:rPr>
          <w:rFonts w:ascii="GHEA Grapalat" w:eastAsia="Calibri" w:hAnsi="GHEA Grapalat" w:cs="Sylfaen"/>
          <w:b/>
          <w:bCs/>
          <w:lang w:val="hy-AM"/>
        </w:rPr>
        <w:t xml:space="preserve">Աղյուսակ 3.1.3 </w:t>
      </w:r>
      <w:r w:rsidRPr="001D3687">
        <w:rPr>
          <w:rFonts w:ascii="GHEA Grapalat" w:eastAsia="Calibri" w:hAnsi="GHEA Grapalat" w:cs="Sylfaen"/>
          <w:bCs/>
          <w:lang w:val="hy-AM"/>
        </w:rPr>
        <w:t xml:space="preserve">Հարկային եկամուտների կանխատեսումների հավանականային բաշխումը  </w:t>
      </w:r>
    </w:p>
    <w:p w:rsidR="001D3687" w:rsidRPr="001D3687" w:rsidRDefault="001D3687" w:rsidP="001D3687">
      <w:pPr>
        <w:tabs>
          <w:tab w:val="left" w:pos="0"/>
          <w:tab w:val="left" w:pos="795"/>
        </w:tabs>
        <w:spacing w:before="120" w:after="0" w:line="276" w:lineRule="auto"/>
        <w:jc w:val="both"/>
        <w:rPr>
          <w:rFonts w:ascii="GHEA Grapalat" w:eastAsia="Calibri" w:hAnsi="GHEA Grapalat" w:cs="Sylfaen"/>
          <w:bCs/>
          <w:sz w:val="18"/>
          <w:szCs w:val="18"/>
          <w:lang w:val="hy-AM"/>
        </w:rPr>
      </w:pPr>
      <w:r w:rsidRPr="001D3687">
        <w:rPr>
          <w:rFonts w:ascii="GHEA Grapalat" w:eastAsia="Calibri" w:hAnsi="GHEA Grapalat" w:cs="Sylfaen"/>
          <w:bCs/>
          <w:sz w:val="18"/>
          <w:szCs w:val="18"/>
          <w:lang w:val="hy-AM"/>
        </w:rPr>
        <w:t xml:space="preserve">  </w:t>
      </w:r>
      <w:r w:rsidRPr="001D3687">
        <w:rPr>
          <w:rFonts w:ascii="GHEA Grapalat" w:eastAsia="Calibri" w:hAnsi="GHEA Grapalat" w:cs="Sylfaen"/>
          <w:bCs/>
          <w:sz w:val="18"/>
          <w:szCs w:val="18"/>
          <w:lang w:val="hy-AM"/>
        </w:rPr>
        <w:tab/>
      </w:r>
    </w:p>
    <w:tbl>
      <w:tblPr>
        <w:tblW w:w="9166" w:type="dxa"/>
        <w:tblInd w:w="-10" w:type="dxa"/>
        <w:tblLayout w:type="fixed"/>
        <w:tblLook w:val="04A0" w:firstRow="1" w:lastRow="0" w:firstColumn="1" w:lastColumn="0" w:noHBand="0" w:noVBand="1"/>
      </w:tblPr>
      <w:tblGrid>
        <w:gridCol w:w="2702"/>
        <w:gridCol w:w="1757"/>
        <w:gridCol w:w="2674"/>
        <w:gridCol w:w="2033"/>
      </w:tblGrid>
      <w:tr w:rsidR="001D3687" w:rsidRPr="001D3687" w:rsidTr="00C42AB8">
        <w:trPr>
          <w:trHeight w:val="493"/>
        </w:trPr>
        <w:tc>
          <w:tcPr>
            <w:tcW w:w="2702" w:type="dxa"/>
            <w:vMerge w:val="restart"/>
            <w:tcBorders>
              <w:top w:val="single" w:sz="8" w:space="0" w:color="4F81BD"/>
              <w:left w:val="single" w:sz="8" w:space="0" w:color="4F81BD"/>
              <w:bottom w:val="single" w:sz="8" w:space="0" w:color="4F81BD"/>
              <w:right w:val="single" w:sz="8"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Calibri"/>
                <w:b/>
                <w:bCs/>
                <w:color w:val="FFFFFF"/>
              </w:rPr>
            </w:pPr>
            <w:r w:rsidRPr="001D3687">
              <w:rPr>
                <w:rFonts w:ascii="GHEA Grapalat" w:eastAsia="Times New Roman" w:hAnsi="GHEA Grapalat" w:cs="Calibri"/>
                <w:b/>
                <w:bCs/>
                <w:color w:val="FFFFFF"/>
                <w:lang w:val="hy-AM"/>
              </w:rPr>
              <w:t>Հարկային եկամուտների աճի միջակայքը</w:t>
            </w:r>
          </w:p>
        </w:tc>
        <w:tc>
          <w:tcPr>
            <w:tcW w:w="6464" w:type="dxa"/>
            <w:gridSpan w:val="3"/>
            <w:tcBorders>
              <w:top w:val="single" w:sz="8" w:space="0" w:color="4F81BD"/>
              <w:left w:val="nil"/>
              <w:bottom w:val="single" w:sz="8" w:space="0" w:color="4F81BD"/>
              <w:right w:val="single" w:sz="8"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Calibri"/>
                <w:b/>
                <w:bCs/>
                <w:color w:val="FFFFFF"/>
              </w:rPr>
            </w:pPr>
            <w:r w:rsidRPr="001D3687">
              <w:rPr>
                <w:rFonts w:ascii="GHEA Grapalat" w:eastAsia="Times New Roman" w:hAnsi="GHEA Grapalat" w:cs="Calibri"/>
                <w:b/>
                <w:bCs/>
                <w:color w:val="FFFFFF"/>
                <w:lang w:val="hy-AM"/>
              </w:rPr>
              <w:t>Հարկային եկամուտների աճի՝ տվյալ միջակայքում ձևավորվելու հավանականությունը</w:t>
            </w:r>
          </w:p>
        </w:tc>
      </w:tr>
      <w:tr w:rsidR="001D3687" w:rsidRPr="001D3687" w:rsidTr="00C42AB8">
        <w:trPr>
          <w:trHeight w:val="359"/>
        </w:trPr>
        <w:tc>
          <w:tcPr>
            <w:tcW w:w="2702" w:type="dxa"/>
            <w:vMerge/>
            <w:tcBorders>
              <w:top w:val="single" w:sz="8" w:space="0" w:color="4F81BD"/>
              <w:left w:val="single" w:sz="8" w:space="0" w:color="4F81BD"/>
              <w:bottom w:val="single" w:sz="8" w:space="0" w:color="4F81BD"/>
              <w:right w:val="single" w:sz="8" w:space="0" w:color="4F81BD"/>
            </w:tcBorders>
            <w:vAlign w:val="center"/>
            <w:hideMark/>
          </w:tcPr>
          <w:p w:rsidR="001D3687" w:rsidRPr="001D3687" w:rsidRDefault="001D3687" w:rsidP="001D3687">
            <w:pPr>
              <w:spacing w:after="0" w:line="240" w:lineRule="auto"/>
              <w:rPr>
                <w:rFonts w:ascii="GHEA Grapalat" w:eastAsia="Times New Roman" w:hAnsi="GHEA Grapalat" w:cs="Calibri"/>
                <w:b/>
                <w:bCs/>
                <w:color w:val="FFFFFF"/>
              </w:rPr>
            </w:pPr>
          </w:p>
        </w:tc>
        <w:tc>
          <w:tcPr>
            <w:tcW w:w="1757" w:type="dxa"/>
            <w:tcBorders>
              <w:top w:val="nil"/>
              <w:left w:val="nil"/>
              <w:bottom w:val="single" w:sz="8" w:space="0" w:color="4F81BD"/>
              <w:right w:val="single" w:sz="8"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Calibri"/>
                <w:b/>
                <w:bCs/>
                <w:color w:val="FFFFFF"/>
              </w:rPr>
            </w:pPr>
            <w:r w:rsidRPr="001D3687">
              <w:rPr>
                <w:rFonts w:ascii="GHEA Grapalat" w:eastAsia="Times New Roman" w:hAnsi="GHEA Grapalat" w:cs="Calibri"/>
                <w:b/>
                <w:bCs/>
                <w:color w:val="FFFFFF"/>
                <w:lang w:val="hy-AM"/>
              </w:rPr>
              <w:t>2024</w:t>
            </w:r>
          </w:p>
        </w:tc>
        <w:tc>
          <w:tcPr>
            <w:tcW w:w="2674" w:type="dxa"/>
            <w:tcBorders>
              <w:top w:val="nil"/>
              <w:left w:val="nil"/>
              <w:bottom w:val="single" w:sz="8" w:space="0" w:color="4F81BD"/>
              <w:right w:val="single" w:sz="8"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Calibri"/>
                <w:b/>
                <w:bCs/>
                <w:color w:val="FFFFFF"/>
              </w:rPr>
            </w:pPr>
            <w:r w:rsidRPr="001D3687">
              <w:rPr>
                <w:rFonts w:ascii="GHEA Grapalat" w:eastAsia="Times New Roman" w:hAnsi="GHEA Grapalat" w:cs="Calibri"/>
                <w:b/>
                <w:bCs/>
                <w:color w:val="FFFFFF"/>
                <w:lang w:val="hy-AM"/>
              </w:rPr>
              <w:t>2025</w:t>
            </w:r>
          </w:p>
        </w:tc>
        <w:tc>
          <w:tcPr>
            <w:tcW w:w="2032" w:type="dxa"/>
            <w:tcBorders>
              <w:top w:val="nil"/>
              <w:left w:val="nil"/>
              <w:bottom w:val="single" w:sz="8" w:space="0" w:color="4F81BD"/>
              <w:right w:val="single" w:sz="8"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Calibri"/>
                <w:b/>
                <w:bCs/>
                <w:color w:val="FFFFFF"/>
              </w:rPr>
            </w:pPr>
            <w:r w:rsidRPr="001D3687">
              <w:rPr>
                <w:rFonts w:ascii="GHEA Grapalat" w:eastAsia="Times New Roman" w:hAnsi="GHEA Grapalat" w:cs="Calibri"/>
                <w:b/>
                <w:bCs/>
                <w:color w:val="FFFFFF"/>
                <w:lang w:val="hy-AM"/>
              </w:rPr>
              <w:t>2026</w:t>
            </w:r>
          </w:p>
        </w:tc>
      </w:tr>
      <w:tr w:rsidR="001D3687" w:rsidRPr="001D3687" w:rsidTr="00C42AB8">
        <w:trPr>
          <w:trHeight w:val="179"/>
        </w:trPr>
        <w:tc>
          <w:tcPr>
            <w:tcW w:w="2702" w:type="dxa"/>
            <w:tcBorders>
              <w:top w:val="nil"/>
              <w:left w:val="single" w:sz="8" w:space="0" w:color="4F81BD"/>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lang w:val="hy-AM"/>
              </w:rPr>
              <w:t>3-8 տոկոս</w:t>
            </w:r>
          </w:p>
        </w:tc>
        <w:tc>
          <w:tcPr>
            <w:tcW w:w="1757"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rPr>
              <w:t>0.27</w:t>
            </w:r>
          </w:p>
        </w:tc>
        <w:tc>
          <w:tcPr>
            <w:tcW w:w="2674"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rPr>
              <w:t>0.26</w:t>
            </w:r>
          </w:p>
        </w:tc>
        <w:tc>
          <w:tcPr>
            <w:tcW w:w="2032"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rPr>
              <w:t>0.31</w:t>
            </w:r>
          </w:p>
        </w:tc>
      </w:tr>
      <w:tr w:rsidR="001D3687" w:rsidRPr="001D3687" w:rsidTr="00C42AB8">
        <w:trPr>
          <w:trHeight w:val="179"/>
        </w:trPr>
        <w:tc>
          <w:tcPr>
            <w:tcW w:w="2702" w:type="dxa"/>
            <w:tcBorders>
              <w:top w:val="nil"/>
              <w:left w:val="single" w:sz="8" w:space="0" w:color="4F81BD"/>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lang w:val="hy-AM"/>
              </w:rPr>
              <w:t>8-13 տոկոս</w:t>
            </w:r>
          </w:p>
        </w:tc>
        <w:tc>
          <w:tcPr>
            <w:tcW w:w="1757"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b/>
                <w:bCs/>
                <w:i/>
                <w:iCs/>
                <w:color w:val="000000"/>
                <w:u w:val="single"/>
              </w:rPr>
            </w:pPr>
            <w:r w:rsidRPr="001D3687">
              <w:rPr>
                <w:rFonts w:ascii="GHEA Grapalat" w:eastAsia="Times New Roman" w:hAnsi="GHEA Grapalat" w:cs="Calibri"/>
                <w:b/>
                <w:bCs/>
                <w:i/>
                <w:iCs/>
                <w:color w:val="000000"/>
                <w:u w:val="single"/>
              </w:rPr>
              <w:t>0.43</w:t>
            </w:r>
          </w:p>
        </w:tc>
        <w:tc>
          <w:tcPr>
            <w:tcW w:w="2674"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b/>
                <w:bCs/>
                <w:i/>
                <w:iCs/>
                <w:color w:val="000000"/>
                <w:u w:val="single"/>
              </w:rPr>
            </w:pPr>
            <w:r w:rsidRPr="001D3687">
              <w:rPr>
                <w:rFonts w:ascii="GHEA Grapalat" w:eastAsia="Times New Roman" w:hAnsi="GHEA Grapalat" w:cs="Calibri"/>
                <w:b/>
                <w:bCs/>
                <w:i/>
                <w:iCs/>
                <w:color w:val="000000"/>
                <w:u w:val="single"/>
              </w:rPr>
              <w:t>0.38</w:t>
            </w:r>
          </w:p>
        </w:tc>
        <w:tc>
          <w:tcPr>
            <w:tcW w:w="2032"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b/>
                <w:bCs/>
                <w:i/>
                <w:iCs/>
                <w:color w:val="000000"/>
                <w:u w:val="single"/>
              </w:rPr>
            </w:pPr>
            <w:r w:rsidRPr="001D3687">
              <w:rPr>
                <w:rFonts w:ascii="GHEA Grapalat" w:eastAsia="Times New Roman" w:hAnsi="GHEA Grapalat" w:cs="Calibri"/>
                <w:b/>
                <w:bCs/>
                <w:i/>
                <w:iCs/>
                <w:color w:val="000000"/>
                <w:u w:val="single"/>
              </w:rPr>
              <w:t>0.37</w:t>
            </w:r>
          </w:p>
        </w:tc>
      </w:tr>
      <w:tr w:rsidR="001D3687" w:rsidRPr="001D3687" w:rsidTr="00C42AB8">
        <w:trPr>
          <w:trHeight w:val="179"/>
        </w:trPr>
        <w:tc>
          <w:tcPr>
            <w:tcW w:w="2702" w:type="dxa"/>
            <w:tcBorders>
              <w:top w:val="nil"/>
              <w:left w:val="single" w:sz="8" w:space="0" w:color="4F81BD"/>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lang w:val="hy-AM"/>
              </w:rPr>
              <w:t>13-18 տոկոս</w:t>
            </w:r>
          </w:p>
        </w:tc>
        <w:tc>
          <w:tcPr>
            <w:tcW w:w="1757"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rPr>
              <w:t>0.17</w:t>
            </w:r>
          </w:p>
        </w:tc>
        <w:tc>
          <w:tcPr>
            <w:tcW w:w="2674"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rPr>
              <w:t>0.19</w:t>
            </w:r>
          </w:p>
        </w:tc>
        <w:tc>
          <w:tcPr>
            <w:tcW w:w="2032" w:type="dxa"/>
            <w:tcBorders>
              <w:top w:val="nil"/>
              <w:left w:val="nil"/>
              <w:bottom w:val="single" w:sz="8" w:space="0" w:color="4F81BD"/>
              <w:right w:val="single" w:sz="8"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Calibri"/>
                <w:color w:val="000000"/>
              </w:rPr>
            </w:pPr>
            <w:r w:rsidRPr="001D3687">
              <w:rPr>
                <w:rFonts w:ascii="GHEA Grapalat" w:eastAsia="Times New Roman" w:hAnsi="GHEA Grapalat" w:cs="Calibri"/>
                <w:color w:val="000000"/>
              </w:rPr>
              <w:t>0.06</w:t>
            </w:r>
          </w:p>
        </w:tc>
      </w:tr>
    </w:tbl>
    <w:p w:rsidR="001D3687" w:rsidRPr="001D3687" w:rsidRDefault="001D3687" w:rsidP="001D3687">
      <w:pPr>
        <w:tabs>
          <w:tab w:val="left" w:pos="0"/>
          <w:tab w:val="left" w:pos="795"/>
        </w:tabs>
        <w:spacing w:before="120" w:after="0" w:line="276" w:lineRule="auto"/>
        <w:jc w:val="both"/>
        <w:rPr>
          <w:rFonts w:ascii="GHEA Grapalat" w:eastAsia="Calibri" w:hAnsi="GHEA Grapalat" w:cs="Sylfaen"/>
          <w:bCs/>
          <w:sz w:val="18"/>
          <w:szCs w:val="18"/>
          <w:lang w:val="hy-AM"/>
        </w:rPr>
      </w:pPr>
    </w:p>
    <w:p w:rsidR="001D3687" w:rsidRPr="001D3687" w:rsidRDefault="001D3687" w:rsidP="001D3687">
      <w:pPr>
        <w:tabs>
          <w:tab w:val="left" w:pos="142"/>
        </w:tabs>
        <w:spacing w:before="120" w:after="0" w:line="276" w:lineRule="auto"/>
        <w:ind w:left="567" w:hanging="567"/>
        <w:jc w:val="both"/>
        <w:rPr>
          <w:rFonts w:ascii="GHEA Grapalat" w:eastAsia="Calibri" w:hAnsi="GHEA Grapalat" w:cs="Sylfaen"/>
          <w:bCs/>
          <w:sz w:val="18"/>
          <w:szCs w:val="18"/>
          <w:lang w:val="hy-AM"/>
        </w:rPr>
      </w:pPr>
      <w:r w:rsidRPr="001D3687">
        <w:rPr>
          <w:rFonts w:ascii="GHEA Grapalat" w:eastAsia="Calibri" w:hAnsi="GHEA Grapalat" w:cs="Sylfaen"/>
          <w:bCs/>
          <w:sz w:val="18"/>
          <w:szCs w:val="18"/>
          <w:lang w:val="hy-AM"/>
        </w:rPr>
        <w:t xml:space="preserve"> </w:t>
      </w: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Աղյուսակ 3.1.3-ի առաջին սյունը ներկայացնում է հարկային եկամուտների աճի միջակայքերը, իսկ 2-ից 4-րդ սյուները` նշված միջակայքերից յուրաքանչյուրում այդ աճի ձևավորվելու հավանականությունները` ըստ միջնաժամկետ կանխատեսումների: Համաձայն գնահատականների, 2025-2027 թվականներին հարկային եկամուտների աճի տեմպի՝ 8-13% միջակայքում գտնվելու հավանականությունն ամենաբարձրն է (Գծապատկեր 3.1-ում այն մուգ կարմիր է, իսկ Աղյուսակ 3.1.3-ում՝ հոծ նշումով): </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b/>
          <w:color w:val="44546A"/>
          <w:sz w:val="24"/>
          <w:szCs w:val="24"/>
          <w:lang w:val="hy-AM" w:eastAsia="ru-RU"/>
        </w:rPr>
      </w:pPr>
    </w:p>
    <w:p w:rsidR="001D3687" w:rsidRPr="00AF1262" w:rsidRDefault="001D3687" w:rsidP="00AF1262">
      <w:pPr>
        <w:keepNext/>
        <w:keepLines/>
        <w:spacing w:before="240" w:after="60" w:line="276" w:lineRule="auto"/>
        <w:ind w:left="709" w:hanging="425"/>
        <w:contextualSpacing/>
        <w:jc w:val="both"/>
        <w:outlineLvl w:val="2"/>
        <w:rPr>
          <w:rFonts w:ascii="GHEA Grapalat" w:eastAsia="Times New Roman" w:hAnsi="GHEA Grapalat"/>
          <w:b/>
          <w:caps/>
          <w:color w:val="1F4E79" w:themeColor="accent1" w:themeShade="80"/>
          <w:sz w:val="24"/>
          <w:lang w:val="hy-AM"/>
        </w:rPr>
      </w:pPr>
      <w:bookmarkStart w:id="23" w:name="_Toc170750604"/>
      <w:bookmarkStart w:id="24" w:name="_Toc172016331"/>
      <w:r w:rsidRPr="00AF1262">
        <w:rPr>
          <w:rFonts w:ascii="GHEA Grapalat" w:eastAsia="Times New Roman" w:hAnsi="GHEA Grapalat"/>
          <w:b/>
          <w:caps/>
          <w:color w:val="1F4E79" w:themeColor="accent1" w:themeShade="80"/>
          <w:sz w:val="24"/>
          <w:lang w:val="hy-AM"/>
        </w:rPr>
        <w:lastRenderedPageBreak/>
        <w:t>3.1.2. 2025-2027 թվականներին ՄԺԾԾ մակրոտնտեսական ցուցանիշների կանխատեսվածից շեղման ռիսկերի ազդեցության ընդհանուր գնահատականը եվ դրանց մեղմման հնարավորությունները</w:t>
      </w:r>
      <w:bookmarkEnd w:id="23"/>
      <w:bookmarkEnd w:id="24"/>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Կանխատեսումներում մեծ ուշադրություն է դարձվում նաև պետական բյուջեի ծախսերի պլանավորված մակարդակների ապահովումը խաթարող ռիսկերին, որոնք կարող են հանգեցնել լրացուցիչ ֆինանսավորման պահանջի առաջացման:</w:t>
      </w: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p>
    <w:p w:rsidR="001D3687" w:rsidRPr="001D3687" w:rsidRDefault="001D3687" w:rsidP="001D3687">
      <w:pPr>
        <w:tabs>
          <w:tab w:val="left" w:pos="0"/>
        </w:tabs>
        <w:spacing w:before="120" w:after="0" w:line="276" w:lineRule="auto"/>
        <w:jc w:val="both"/>
        <w:rPr>
          <w:rFonts w:ascii="GHEA Grapalat" w:eastAsia="Calibri" w:hAnsi="GHEA Grapalat" w:cs="Sylfaen"/>
          <w:b/>
          <w:bCs/>
          <w:lang w:val="hy-AM"/>
        </w:rPr>
      </w:pPr>
      <w:r w:rsidRPr="001D3687">
        <w:rPr>
          <w:rFonts w:ascii="GHEA Grapalat" w:eastAsia="Calibri" w:hAnsi="GHEA Grapalat" w:cs="Sylfaen"/>
          <w:b/>
          <w:bCs/>
          <w:lang w:val="hy-AM"/>
        </w:rPr>
        <w:t xml:space="preserve">Աղյուսակ 3.2.1 </w:t>
      </w:r>
      <w:r w:rsidRPr="001D3687">
        <w:rPr>
          <w:rFonts w:ascii="GHEA Grapalat" w:eastAsia="Calibri" w:hAnsi="GHEA Grapalat" w:cs="Sylfaen"/>
          <w:bCs/>
          <w:lang w:val="hy-AM"/>
        </w:rPr>
        <w:t>ՀՀ պետական բյուջեի հարկային եկամուտների և ծախսերի, ինչպես նաև այլ հոսքերի գծով ռիսկերի ընդհանուր ազդեցությունը</w:t>
      </w:r>
      <w:r w:rsidRPr="001D3687">
        <w:rPr>
          <w:rFonts w:ascii="GHEA Grapalat" w:eastAsia="Calibri" w:hAnsi="GHEA Grapalat" w:cs="Sylfaen"/>
          <w:bCs/>
          <w:vertAlign w:val="superscript"/>
          <w:lang w:val="hy-AM"/>
        </w:rPr>
        <w:footnoteReference w:id="3"/>
      </w:r>
      <w:r w:rsidRPr="001D3687">
        <w:rPr>
          <w:rFonts w:ascii="GHEA Grapalat" w:eastAsia="Calibri" w:hAnsi="GHEA Grapalat" w:cs="Sylfaen"/>
          <w:bCs/>
          <w:lang w:val="hy-AM"/>
        </w:rPr>
        <w:t>. (ֆինանսավորման պահանջ` - պահանջի մեծացում, + պահանջի նվազում), մլրդ ՀՀ դրամ</w:t>
      </w:r>
      <w:r w:rsidRPr="001D3687">
        <w:rPr>
          <w:rFonts w:ascii="GHEA Grapalat" w:eastAsia="Calibri" w:hAnsi="GHEA Grapalat" w:cs="Sylfaen"/>
          <w:b/>
          <w:bCs/>
          <w:lang w:val="hy-AM"/>
        </w:rPr>
        <w:t xml:space="preserve"> </w:t>
      </w:r>
    </w:p>
    <w:p w:rsidR="001D3687" w:rsidRPr="001D3687" w:rsidRDefault="001D3687" w:rsidP="001D3687">
      <w:pPr>
        <w:tabs>
          <w:tab w:val="left" w:pos="0"/>
        </w:tabs>
        <w:spacing w:before="120" w:after="0" w:line="276" w:lineRule="auto"/>
        <w:jc w:val="both"/>
        <w:rPr>
          <w:rFonts w:ascii="GHEA Grapalat" w:eastAsia="Calibri" w:hAnsi="GHEA Grapalat" w:cs="Sylfaen"/>
          <w:b/>
          <w:bCs/>
          <w:sz w:val="20"/>
          <w:szCs w:val="20"/>
          <w:lang w:val="hy-AM"/>
        </w:rPr>
      </w:pPr>
    </w:p>
    <w:tbl>
      <w:tblPr>
        <w:tblW w:w="9721" w:type="dxa"/>
        <w:tblInd w:w="-5" w:type="dxa"/>
        <w:tblLook w:val="04A0" w:firstRow="1" w:lastRow="0" w:firstColumn="1" w:lastColumn="0" w:noHBand="0" w:noVBand="1"/>
      </w:tblPr>
      <w:tblGrid>
        <w:gridCol w:w="4810"/>
        <w:gridCol w:w="1446"/>
        <w:gridCol w:w="1529"/>
        <w:gridCol w:w="1936"/>
      </w:tblGrid>
      <w:tr w:rsidR="001D3687" w:rsidRPr="001D3687" w:rsidTr="00C42AB8">
        <w:trPr>
          <w:trHeight w:val="705"/>
        </w:trPr>
        <w:tc>
          <w:tcPr>
            <w:tcW w:w="4810" w:type="dxa"/>
            <w:vMerge w:val="restart"/>
            <w:tcBorders>
              <w:top w:val="single" w:sz="4" w:space="0" w:color="4F81BD"/>
              <w:left w:val="single" w:sz="4" w:space="0" w:color="4F81BD"/>
              <w:bottom w:val="nil"/>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Մակրոտնտեսական ցուցանիշների կանխատեսվող ռիսկեր</w:t>
            </w:r>
          </w:p>
        </w:tc>
        <w:tc>
          <w:tcPr>
            <w:tcW w:w="1446" w:type="dxa"/>
            <w:vMerge w:val="restart"/>
            <w:tcBorders>
              <w:top w:val="single" w:sz="4" w:space="0" w:color="4F81BD"/>
              <w:left w:val="single" w:sz="4" w:space="0" w:color="4F81BD"/>
              <w:bottom w:val="single" w:sz="4" w:space="0" w:color="333399"/>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2025</w:t>
            </w:r>
          </w:p>
        </w:tc>
        <w:tc>
          <w:tcPr>
            <w:tcW w:w="1529" w:type="dxa"/>
            <w:vMerge w:val="restart"/>
            <w:tcBorders>
              <w:top w:val="single" w:sz="4" w:space="0" w:color="4F81BD"/>
              <w:left w:val="single" w:sz="4" w:space="0" w:color="4F81BD"/>
              <w:bottom w:val="single" w:sz="4" w:space="0" w:color="333399"/>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2026</w:t>
            </w:r>
          </w:p>
        </w:tc>
        <w:tc>
          <w:tcPr>
            <w:tcW w:w="1936" w:type="dxa"/>
            <w:vMerge w:val="restart"/>
            <w:tcBorders>
              <w:top w:val="single" w:sz="4" w:space="0" w:color="4F81BD"/>
              <w:left w:val="single" w:sz="4" w:space="0" w:color="4F81BD"/>
              <w:bottom w:val="single" w:sz="4" w:space="0" w:color="333399"/>
              <w:right w:val="single" w:sz="4" w:space="0" w:color="4F81BD"/>
            </w:tcBorders>
            <w:shd w:val="clear" w:color="000000" w:fill="95B3D7"/>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FFFFFF"/>
              </w:rPr>
            </w:pPr>
            <w:r w:rsidRPr="001D3687">
              <w:rPr>
                <w:rFonts w:ascii="GHEA Grapalat" w:eastAsia="Times New Roman" w:hAnsi="GHEA Grapalat" w:cs="Times New Roman"/>
                <w:b/>
                <w:bCs/>
                <w:color w:val="FFFFFF"/>
              </w:rPr>
              <w:t>2027</w:t>
            </w:r>
          </w:p>
        </w:tc>
      </w:tr>
      <w:tr w:rsidR="001D3687" w:rsidRPr="001D3687" w:rsidTr="00C42AB8">
        <w:trPr>
          <w:trHeight w:val="479"/>
        </w:trPr>
        <w:tc>
          <w:tcPr>
            <w:tcW w:w="4810" w:type="dxa"/>
            <w:vMerge/>
            <w:tcBorders>
              <w:top w:val="single" w:sz="4" w:space="0" w:color="4F81BD"/>
              <w:left w:val="single" w:sz="4" w:space="0" w:color="4F81BD"/>
              <w:bottom w:val="nil"/>
              <w:right w:val="single" w:sz="4" w:space="0" w:color="4F81BD"/>
            </w:tcBorders>
            <w:vAlign w:val="center"/>
            <w:hideMark/>
          </w:tcPr>
          <w:p w:rsidR="001D3687" w:rsidRPr="001D3687" w:rsidRDefault="001D3687" w:rsidP="001D3687">
            <w:pPr>
              <w:spacing w:after="0" w:line="240" w:lineRule="auto"/>
              <w:rPr>
                <w:rFonts w:ascii="GHEA Grapalat" w:eastAsia="Times New Roman" w:hAnsi="GHEA Grapalat" w:cs="Times New Roman"/>
                <w:b/>
                <w:bCs/>
                <w:color w:val="FFFFFF"/>
              </w:rPr>
            </w:pPr>
          </w:p>
        </w:tc>
        <w:tc>
          <w:tcPr>
            <w:tcW w:w="1446" w:type="dxa"/>
            <w:vMerge/>
            <w:tcBorders>
              <w:top w:val="single" w:sz="4" w:space="0" w:color="4F81BD"/>
              <w:left w:val="single" w:sz="4" w:space="0" w:color="4F81BD"/>
              <w:bottom w:val="single" w:sz="4" w:space="0" w:color="333399"/>
              <w:right w:val="single" w:sz="4" w:space="0" w:color="4F81BD"/>
            </w:tcBorders>
            <w:vAlign w:val="center"/>
            <w:hideMark/>
          </w:tcPr>
          <w:p w:rsidR="001D3687" w:rsidRPr="001D3687" w:rsidRDefault="001D3687" w:rsidP="001D3687">
            <w:pPr>
              <w:spacing w:after="0" w:line="240" w:lineRule="auto"/>
              <w:rPr>
                <w:rFonts w:ascii="GHEA Grapalat" w:eastAsia="Times New Roman" w:hAnsi="GHEA Grapalat" w:cs="Times New Roman"/>
                <w:b/>
                <w:bCs/>
                <w:color w:val="FFFFFF"/>
              </w:rPr>
            </w:pPr>
          </w:p>
        </w:tc>
        <w:tc>
          <w:tcPr>
            <w:tcW w:w="1529" w:type="dxa"/>
            <w:vMerge/>
            <w:tcBorders>
              <w:top w:val="single" w:sz="4" w:space="0" w:color="4F81BD"/>
              <w:left w:val="single" w:sz="4" w:space="0" w:color="4F81BD"/>
              <w:bottom w:val="single" w:sz="4" w:space="0" w:color="333399"/>
              <w:right w:val="single" w:sz="4" w:space="0" w:color="4F81BD"/>
            </w:tcBorders>
            <w:vAlign w:val="center"/>
            <w:hideMark/>
          </w:tcPr>
          <w:p w:rsidR="001D3687" w:rsidRPr="001D3687" w:rsidRDefault="001D3687" w:rsidP="001D3687">
            <w:pPr>
              <w:spacing w:after="0" w:line="240" w:lineRule="auto"/>
              <w:rPr>
                <w:rFonts w:ascii="GHEA Grapalat" w:eastAsia="Times New Roman" w:hAnsi="GHEA Grapalat" w:cs="Times New Roman"/>
                <w:b/>
                <w:bCs/>
                <w:color w:val="FFFFFF"/>
              </w:rPr>
            </w:pPr>
          </w:p>
        </w:tc>
        <w:tc>
          <w:tcPr>
            <w:tcW w:w="1936" w:type="dxa"/>
            <w:vMerge/>
            <w:tcBorders>
              <w:top w:val="single" w:sz="4" w:space="0" w:color="4F81BD"/>
              <w:left w:val="single" w:sz="4" w:space="0" w:color="4F81BD"/>
              <w:bottom w:val="single" w:sz="4" w:space="0" w:color="333399"/>
              <w:right w:val="single" w:sz="4" w:space="0" w:color="4F81BD"/>
            </w:tcBorders>
            <w:vAlign w:val="center"/>
            <w:hideMark/>
          </w:tcPr>
          <w:p w:rsidR="001D3687" w:rsidRPr="001D3687" w:rsidRDefault="001D3687" w:rsidP="001D3687">
            <w:pPr>
              <w:spacing w:after="0" w:line="240" w:lineRule="auto"/>
              <w:rPr>
                <w:rFonts w:ascii="GHEA Grapalat" w:eastAsia="Times New Roman" w:hAnsi="GHEA Grapalat" w:cs="Times New Roman"/>
                <w:b/>
                <w:bCs/>
                <w:color w:val="FFFFFF"/>
              </w:rPr>
            </w:pPr>
          </w:p>
        </w:tc>
      </w:tr>
      <w:tr w:rsidR="001D3687" w:rsidRPr="001D3687" w:rsidTr="00C42AB8">
        <w:trPr>
          <w:trHeight w:val="660"/>
        </w:trPr>
        <w:tc>
          <w:tcPr>
            <w:tcW w:w="4810" w:type="dxa"/>
            <w:tcBorders>
              <w:top w:val="single" w:sz="4" w:space="0" w:color="333399"/>
              <w:left w:val="single" w:sz="4" w:space="0" w:color="333399"/>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1. Կանխատեսվածից ավելի ցածր իրական ՀՆԱ-ի աճ, 3.3-4.1 տոկոսային կետ</w:t>
            </w:r>
          </w:p>
        </w:tc>
        <w:tc>
          <w:tcPr>
            <w:tcW w:w="144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-53.1</w:t>
            </w:r>
          </w:p>
        </w:tc>
        <w:tc>
          <w:tcPr>
            <w:tcW w:w="1529"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-77.6</w:t>
            </w:r>
          </w:p>
        </w:tc>
        <w:tc>
          <w:tcPr>
            <w:tcW w:w="193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-84.3</w:t>
            </w:r>
          </w:p>
        </w:tc>
      </w:tr>
      <w:tr w:rsidR="001D3687" w:rsidRPr="001D3687" w:rsidTr="00C42AB8">
        <w:trPr>
          <w:trHeight w:val="660"/>
        </w:trPr>
        <w:tc>
          <w:tcPr>
            <w:tcW w:w="4810" w:type="dxa"/>
            <w:tcBorders>
              <w:top w:val="nil"/>
              <w:left w:val="single" w:sz="4" w:space="0" w:color="333399"/>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 xml:space="preserve">2. Ավելի ցածր գնաճի ռիսկ, 2.6 տոկոսային կետ </w:t>
            </w:r>
          </w:p>
        </w:tc>
        <w:tc>
          <w:tcPr>
            <w:tcW w:w="144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heme="minorEastAsia" w:hAnsi="GHEA Grapalat"/>
                <w:color w:val="000000"/>
              </w:rPr>
              <w:t>-19.5</w:t>
            </w:r>
          </w:p>
        </w:tc>
        <w:tc>
          <w:tcPr>
            <w:tcW w:w="1529"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heme="minorEastAsia" w:hAnsi="GHEA Grapalat"/>
                <w:color w:val="000000"/>
              </w:rPr>
              <w:t>-20.0</w:t>
            </w:r>
          </w:p>
        </w:tc>
        <w:tc>
          <w:tcPr>
            <w:tcW w:w="193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heme="minorEastAsia" w:hAnsi="GHEA Grapalat"/>
                <w:color w:val="000000"/>
              </w:rPr>
              <w:t>-21.8</w:t>
            </w:r>
          </w:p>
        </w:tc>
      </w:tr>
      <w:tr w:rsidR="001D3687" w:rsidRPr="001D3687" w:rsidTr="00C42AB8">
        <w:trPr>
          <w:trHeight w:val="330"/>
        </w:trPr>
        <w:tc>
          <w:tcPr>
            <w:tcW w:w="4810" w:type="dxa"/>
            <w:tcBorders>
              <w:top w:val="nil"/>
              <w:left w:val="single" w:sz="4" w:space="0" w:color="333399"/>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3. Փոխարժեքի 6.3 տոկոս արժեզրկման ռիսկ</w:t>
            </w:r>
          </w:p>
        </w:tc>
        <w:tc>
          <w:tcPr>
            <w:tcW w:w="144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7.5</w:t>
            </w:r>
          </w:p>
        </w:tc>
        <w:tc>
          <w:tcPr>
            <w:tcW w:w="1529"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8.2</w:t>
            </w:r>
          </w:p>
        </w:tc>
        <w:tc>
          <w:tcPr>
            <w:tcW w:w="193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7.8</w:t>
            </w:r>
          </w:p>
        </w:tc>
      </w:tr>
      <w:tr w:rsidR="001D3687" w:rsidRPr="001D3687" w:rsidTr="00C42AB8">
        <w:trPr>
          <w:trHeight w:val="660"/>
        </w:trPr>
        <w:tc>
          <w:tcPr>
            <w:tcW w:w="4810" w:type="dxa"/>
            <w:tcBorders>
              <w:top w:val="nil"/>
              <w:left w:val="single" w:sz="4" w:space="0" w:color="333399"/>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4. Ներմուծման  նվազման ռիսկ, 7.3-14.3 տոկոսային կետ</w:t>
            </w:r>
          </w:p>
        </w:tc>
        <w:tc>
          <w:tcPr>
            <w:tcW w:w="144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-25.7</w:t>
            </w:r>
          </w:p>
        </w:tc>
        <w:tc>
          <w:tcPr>
            <w:tcW w:w="1529"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-47.5</w:t>
            </w:r>
          </w:p>
        </w:tc>
        <w:tc>
          <w:tcPr>
            <w:tcW w:w="193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-62.2</w:t>
            </w:r>
          </w:p>
        </w:tc>
      </w:tr>
      <w:tr w:rsidR="001D3687" w:rsidRPr="001D3687" w:rsidTr="00C42AB8">
        <w:trPr>
          <w:trHeight w:val="660"/>
        </w:trPr>
        <w:tc>
          <w:tcPr>
            <w:tcW w:w="4810" w:type="dxa"/>
            <w:tcBorders>
              <w:top w:val="nil"/>
              <w:left w:val="single" w:sz="4" w:space="0" w:color="333399"/>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color w:val="000000"/>
              </w:rPr>
            </w:pPr>
            <w:r w:rsidRPr="001D3687">
              <w:rPr>
                <w:rFonts w:ascii="GHEA Grapalat" w:eastAsia="Times New Roman" w:hAnsi="GHEA Grapalat" w:cs="Times New Roman"/>
                <w:color w:val="000000"/>
              </w:rPr>
              <w:t>Հարկային եկամուտների վարչարարության ռիսկ, 0.3 տոկոսային կետ</w:t>
            </w:r>
          </w:p>
        </w:tc>
        <w:tc>
          <w:tcPr>
            <w:tcW w:w="1446" w:type="dxa"/>
            <w:tcBorders>
              <w:top w:val="single" w:sz="4" w:space="0" w:color="4F81BD"/>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-33.6</w:t>
            </w:r>
          </w:p>
        </w:tc>
        <w:tc>
          <w:tcPr>
            <w:tcW w:w="1529" w:type="dxa"/>
            <w:tcBorders>
              <w:top w:val="single" w:sz="4" w:space="0" w:color="4F81BD"/>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-36.9</w:t>
            </w:r>
          </w:p>
        </w:tc>
        <w:tc>
          <w:tcPr>
            <w:tcW w:w="1936" w:type="dxa"/>
            <w:tcBorders>
              <w:top w:val="single" w:sz="4" w:space="0" w:color="4F81BD"/>
              <w:left w:val="nil"/>
              <w:bottom w:val="single" w:sz="4" w:space="0" w:color="4F81BD"/>
              <w:right w:val="single" w:sz="4" w:space="0" w:color="4F81BD"/>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color w:val="000000"/>
              </w:rPr>
            </w:pPr>
            <w:r w:rsidRPr="001D3687">
              <w:rPr>
                <w:rFonts w:ascii="GHEA Grapalat" w:eastAsia="Times New Roman" w:hAnsi="GHEA Grapalat" w:cs="Times New Roman"/>
                <w:color w:val="000000"/>
              </w:rPr>
              <w:t>-40.5</w:t>
            </w:r>
          </w:p>
        </w:tc>
      </w:tr>
      <w:tr w:rsidR="001D3687" w:rsidRPr="001D3687" w:rsidTr="00C42AB8">
        <w:trPr>
          <w:trHeight w:val="330"/>
        </w:trPr>
        <w:tc>
          <w:tcPr>
            <w:tcW w:w="4810" w:type="dxa"/>
            <w:tcBorders>
              <w:top w:val="nil"/>
              <w:left w:val="single" w:sz="4" w:space="0" w:color="333399"/>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rPr>
                <w:rFonts w:ascii="GHEA Grapalat" w:eastAsia="Times New Roman" w:hAnsi="GHEA Grapalat" w:cs="Times New Roman"/>
                <w:b/>
                <w:bCs/>
                <w:color w:val="000000"/>
              </w:rPr>
            </w:pPr>
            <w:r w:rsidRPr="001D3687">
              <w:rPr>
                <w:rFonts w:ascii="GHEA Grapalat" w:eastAsia="Times New Roman" w:hAnsi="GHEA Grapalat" w:cs="Times New Roman"/>
                <w:b/>
                <w:bCs/>
                <w:color w:val="000000"/>
              </w:rPr>
              <w:t>Ընդամենը</w:t>
            </w:r>
          </w:p>
        </w:tc>
        <w:tc>
          <w:tcPr>
            <w:tcW w:w="144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heme="minorEastAsia" w:hAnsi="GHEA Grapalat"/>
                <w:b/>
                <w:bCs/>
                <w:color w:val="000000"/>
              </w:rPr>
              <w:t>-124.5</w:t>
            </w:r>
          </w:p>
        </w:tc>
        <w:tc>
          <w:tcPr>
            <w:tcW w:w="1529"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heme="minorEastAsia" w:hAnsi="GHEA Grapalat"/>
                <w:b/>
                <w:bCs/>
                <w:color w:val="000000"/>
              </w:rPr>
              <w:t>-173.8</w:t>
            </w:r>
          </w:p>
        </w:tc>
        <w:tc>
          <w:tcPr>
            <w:tcW w:w="1936" w:type="dxa"/>
            <w:tcBorders>
              <w:top w:val="nil"/>
              <w:left w:val="nil"/>
              <w:bottom w:val="single" w:sz="4" w:space="0" w:color="333399"/>
              <w:right w:val="single" w:sz="4" w:space="0" w:color="333399"/>
            </w:tcBorders>
            <w:shd w:val="clear" w:color="auto" w:fill="auto"/>
            <w:vAlign w:val="center"/>
            <w:hideMark/>
          </w:tcPr>
          <w:p w:rsidR="001D3687" w:rsidRPr="001D3687" w:rsidRDefault="001D3687" w:rsidP="001D3687">
            <w:pPr>
              <w:spacing w:after="0" w:line="240" w:lineRule="auto"/>
              <w:jc w:val="center"/>
              <w:rPr>
                <w:rFonts w:ascii="GHEA Grapalat" w:eastAsia="Times New Roman" w:hAnsi="GHEA Grapalat" w:cs="Times New Roman"/>
                <w:b/>
                <w:bCs/>
                <w:color w:val="000000"/>
              </w:rPr>
            </w:pPr>
            <w:r w:rsidRPr="001D3687">
              <w:rPr>
                <w:rFonts w:ascii="GHEA Grapalat" w:eastAsiaTheme="minorEastAsia" w:hAnsi="GHEA Grapalat"/>
                <w:b/>
                <w:bCs/>
                <w:color w:val="000000"/>
              </w:rPr>
              <w:t>-201.0</w:t>
            </w:r>
          </w:p>
        </w:tc>
      </w:tr>
    </w:tbl>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t xml:space="preserve">Աղյուսակ 3.2.1-ում ցույց են տրված գնահատված լրացուցիչ ռիսկերը, որոնք կհանգեցնեն լրացուցիչ ֆինանսավորման պահանջի առաջացման: Ակնհայտորեն երևում է, որ գնաճի տատանումների հետևանքով կնվազի նախատեսված ֆինանսավորման պահանջը և համապատասխանաբար կփոփոխվեն նաև պետական բյուջեի ծախսերը` նվազման ուղղությամբ: </w:t>
      </w:r>
    </w:p>
    <w:p w:rsidR="001D3687" w:rsidRPr="001D3687" w:rsidRDefault="001D3687" w:rsidP="001D3687">
      <w:pPr>
        <w:tabs>
          <w:tab w:val="left" w:pos="0"/>
        </w:tabs>
        <w:spacing w:before="120" w:after="0" w:line="276" w:lineRule="auto"/>
        <w:jc w:val="both"/>
        <w:rPr>
          <w:rFonts w:ascii="GHEA Grapalat" w:eastAsia="Times New Roman" w:hAnsi="GHEA Grapalat" w:cs="Sylfaen"/>
          <w:lang w:val="hy-AM"/>
        </w:rPr>
      </w:pPr>
      <w:r w:rsidRPr="001D3687">
        <w:rPr>
          <w:rFonts w:ascii="GHEA Grapalat" w:eastAsia="Times New Roman" w:hAnsi="GHEA Grapalat" w:cs="Sylfaen"/>
          <w:lang w:val="hy-AM"/>
        </w:rPr>
        <w:lastRenderedPageBreak/>
        <w:t xml:space="preserve">Հաշվի առնելով մակրոտնտեսական ցուցանիշների կանխատեսվող մակարդակից վերոնշյալ հնարավոր շեղումների ռիսկերի գնահատականները` ՀՀ պետական բյուջեի եկամուտների հավաքագրման և ծախսերի կատարման տեսանկյունից 2025-2027 թվականներին ՀՀ պետական բյուջեի պակասուրդի լրացուցիչ ֆինանսավորման պահանջը կկազմի շուրջ 124.5–201.0 մլրդ ՀՀ դրամ կամ ՀՆԱ-ի 1.1-1.5%-ը: Պետք է նշել, որ գնահատված ռիսկի չափը, առարկայացման դեպքում ամբողջությամբ կարող է կլանվել ՀՀ կառավարության կողմից ապահովվող՝ նվազագույնը ՀՆԱ 1%-ի չափով իրացվելիության «բարձիկի» միջոցով։ </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color w:val="44546A"/>
          <w:sz w:val="28"/>
          <w:szCs w:val="28"/>
          <w:lang w:val="hy-AM"/>
        </w:rPr>
      </w:pPr>
      <w:r w:rsidRPr="001D3687">
        <w:rPr>
          <w:rFonts w:ascii="GHEA Grapalat" w:eastAsia="Times New Roman" w:hAnsi="GHEA Grapalat" w:cs="Sylfaen"/>
          <w:lang w:val="hy-AM"/>
        </w:rPr>
        <w:t xml:space="preserve"> </w:t>
      </w:r>
    </w:p>
    <w:p w:rsidR="001D3687" w:rsidRPr="00AF1262" w:rsidRDefault="001D3687" w:rsidP="00AF1262">
      <w:pPr>
        <w:pStyle w:val="Heading2"/>
        <w:tabs>
          <w:tab w:val="left" w:pos="0"/>
        </w:tabs>
        <w:spacing w:before="120" w:after="0" w:line="276" w:lineRule="auto"/>
        <w:jc w:val="both"/>
        <w:rPr>
          <w:color w:val="1F4E79" w:themeColor="accent1" w:themeShade="80"/>
          <w:sz w:val="24"/>
          <w:szCs w:val="24"/>
        </w:rPr>
      </w:pPr>
      <w:bookmarkStart w:id="25" w:name="_Toc138956243"/>
      <w:bookmarkStart w:id="26" w:name="_Toc170750605"/>
      <w:bookmarkStart w:id="27" w:name="_Toc172016332"/>
      <w:r w:rsidRPr="00AF1262">
        <w:rPr>
          <w:color w:val="1F4E79" w:themeColor="accent1" w:themeShade="80"/>
          <w:sz w:val="24"/>
          <w:szCs w:val="24"/>
        </w:rPr>
        <w:t xml:space="preserve">3.2. </w:t>
      </w:r>
      <w:bookmarkStart w:id="28" w:name="_Toc77837911"/>
      <w:r w:rsidRPr="00AF1262">
        <w:rPr>
          <w:color w:val="1F4E79" w:themeColor="accent1" w:themeShade="80"/>
          <w:sz w:val="24"/>
          <w:szCs w:val="24"/>
        </w:rPr>
        <w:t>ՀՀ ԿԱՌԱՎԱՐՈՒԹՅԱՆ ՊԱՐՏՔԻ ԿԱՅՈՒՆՈՒԹՅԱՆ ՎԵՐԼՈՒԾՈՒԹՅՈՒՆ</w:t>
      </w:r>
      <w:bookmarkEnd w:id="25"/>
      <w:bookmarkEnd w:id="26"/>
      <w:bookmarkEnd w:id="28"/>
      <w:bookmarkEnd w:id="27"/>
    </w:p>
    <w:p w:rsidR="001D3687" w:rsidRPr="001D3687" w:rsidRDefault="001D3687" w:rsidP="001D3687">
      <w:pPr>
        <w:tabs>
          <w:tab w:val="left" w:pos="0"/>
        </w:tabs>
        <w:spacing w:before="120" w:after="0" w:line="276" w:lineRule="auto"/>
        <w:jc w:val="both"/>
        <w:rPr>
          <w:rFonts w:ascii="GHEA Grapalat" w:eastAsia="Times New Roman" w:hAnsi="GHEA Grapalat" w:cs="Times New Roman"/>
          <w:lang w:val="hy-AM"/>
        </w:rPr>
      </w:pPr>
      <w:r w:rsidRPr="001D3687">
        <w:rPr>
          <w:rFonts w:ascii="GHEA Grapalat" w:eastAsia="Times New Roman" w:hAnsi="GHEA Grapalat" w:cs="Times New Roman"/>
          <w:lang w:val="hy-AM"/>
        </w:rPr>
        <w:t>Միջնաժամկետ հատվածում ՀՀ կառավարության պարտքը գնահատվում է կայուն և կառավարելի, ինչը խարսխված է 2020 թ</w:t>
      </w:r>
      <w:r w:rsidRPr="001D3687">
        <w:rPr>
          <w:rFonts w:ascii="Cambria Math" w:eastAsia="Times New Roman" w:hAnsi="Cambria Math" w:cs="Cambria Math"/>
          <w:lang w:val="hy-AM"/>
        </w:rPr>
        <w:t>․</w:t>
      </w:r>
      <w:r w:rsidRPr="001D3687">
        <w:rPr>
          <w:rFonts w:ascii="GHEA Grapalat" w:eastAsia="Times New Roman" w:hAnsi="GHEA Grapalat" w:cs="Times New Roman"/>
          <w:lang w:val="hy-AM"/>
        </w:rPr>
        <w:t xml:space="preserve"> երկակի շոկերի պայմաներում պարտքի բեռի բարձր մակարդակի գրանցումից հետո 2021-2022 թթ</w:t>
      </w:r>
      <w:r w:rsidRPr="001D3687">
        <w:rPr>
          <w:rFonts w:ascii="Cambria Math" w:eastAsia="Times New Roman" w:hAnsi="Cambria Math" w:cs="Cambria Math"/>
          <w:lang w:val="hy-AM"/>
        </w:rPr>
        <w:t>․</w:t>
      </w:r>
      <w:r w:rsidRPr="001D3687">
        <w:rPr>
          <w:rFonts w:ascii="GHEA Grapalat" w:eastAsia="Times New Roman" w:hAnsi="GHEA Grapalat" w:cs="Times New Roman"/>
          <w:lang w:val="hy-AM"/>
        </w:rPr>
        <w:t xml:space="preserve"> մինչև հարկաբյուջետային կանոններով ընդունելի մակարդակի նվազման և 2023թ</w:t>
      </w:r>
      <w:r w:rsidRPr="001D3687">
        <w:rPr>
          <w:rFonts w:ascii="Cambria Math" w:eastAsia="Times New Roman" w:hAnsi="Cambria Math" w:cs="Cambria Math"/>
          <w:lang w:val="hy-AM"/>
        </w:rPr>
        <w:t>․</w:t>
      </w:r>
      <w:r w:rsidRPr="001D3687">
        <w:rPr>
          <w:rFonts w:ascii="GHEA Grapalat" w:eastAsia="Times New Roman" w:hAnsi="GHEA Grapalat" w:cs="Times New Roman"/>
          <w:lang w:val="hy-AM"/>
        </w:rPr>
        <w:t>-</w:t>
      </w:r>
      <w:r w:rsidRPr="001D3687">
        <w:rPr>
          <w:rFonts w:ascii="GHEA Grapalat" w:eastAsia="Times New Roman" w:hAnsi="GHEA Grapalat" w:cs="GHEA Grapalat"/>
          <w:lang w:val="hy-AM"/>
        </w:rPr>
        <w:t>ին</w:t>
      </w:r>
      <w:r w:rsidRPr="001D3687">
        <w:rPr>
          <w:rFonts w:ascii="GHEA Grapalat" w:eastAsia="Times New Roman" w:hAnsi="GHEA Grapalat" w:cs="Times New Roman"/>
          <w:lang w:val="hy-AM"/>
        </w:rPr>
        <w:t xml:space="preserve"> </w:t>
      </w:r>
      <w:r w:rsidRPr="001D3687">
        <w:rPr>
          <w:rFonts w:ascii="GHEA Grapalat" w:eastAsia="Times New Roman" w:hAnsi="GHEA Grapalat" w:cs="GHEA Grapalat"/>
          <w:lang w:val="hy-AM"/>
        </w:rPr>
        <w:t>այդ</w:t>
      </w:r>
      <w:r w:rsidRPr="001D3687">
        <w:rPr>
          <w:rFonts w:ascii="GHEA Grapalat" w:eastAsia="Times New Roman" w:hAnsi="GHEA Grapalat" w:cs="Times New Roman"/>
          <w:lang w:val="hy-AM"/>
        </w:rPr>
        <w:t xml:space="preserve"> </w:t>
      </w:r>
      <w:r w:rsidRPr="001D3687">
        <w:rPr>
          <w:rFonts w:ascii="GHEA Grapalat" w:eastAsia="Times New Roman" w:hAnsi="GHEA Grapalat" w:cs="GHEA Grapalat"/>
          <w:lang w:val="hy-AM"/>
        </w:rPr>
        <w:t>մակարդակում</w:t>
      </w:r>
      <w:r w:rsidRPr="001D3687">
        <w:rPr>
          <w:rFonts w:ascii="GHEA Grapalat" w:eastAsia="Times New Roman" w:hAnsi="GHEA Grapalat" w:cs="Times New Roman"/>
          <w:lang w:val="hy-AM"/>
        </w:rPr>
        <w:t xml:space="preserve"> </w:t>
      </w:r>
      <w:r w:rsidRPr="001D3687">
        <w:rPr>
          <w:rFonts w:ascii="GHEA Grapalat" w:eastAsia="Times New Roman" w:hAnsi="GHEA Grapalat" w:cs="GHEA Grapalat"/>
          <w:lang w:val="hy-AM"/>
        </w:rPr>
        <w:t>պահպանման</w:t>
      </w:r>
      <w:r w:rsidRPr="001D3687">
        <w:rPr>
          <w:rFonts w:ascii="GHEA Grapalat" w:eastAsia="Times New Roman" w:hAnsi="GHEA Grapalat" w:cs="Times New Roman"/>
          <w:lang w:val="hy-AM"/>
        </w:rPr>
        <w:t>, պարտքի կառուցվածքի զգալի բարելավման, ինչպես նաև միջնաժամկետ հատվածում պարտքի բեռի չափավոր կայուն մակարդակ ապահովելու հանձնառության վրա։ Այնուամենայնիվ, պարտքը շարունակում է զգայուն մնալ հատկապես տնտեսական աճի ցնցումների նկատմամբ, պարտքի կառուցվածքը գնահատվում է միջին կամ բարձր խոցելի, իսկ պատմությանը և ապագային նայող գնահատումները ուրվագծում են էական անորոշություններ։ Այս առումով, կարևոր է առկա անորոշությունների պայմաններում պարտքի բեռի պահպանումը կառավարելի մակարդակում, հարկաբյուջետային «բարձիկների» պահպանումը անհրաժեշտ մակարդակում, ինչպես նաև, պարտքի կառավարման 2025-2027 թթ</w:t>
      </w:r>
      <w:r w:rsidRPr="001D3687">
        <w:rPr>
          <w:rFonts w:ascii="Cambria Math" w:eastAsia="Times New Roman" w:hAnsi="Cambria Math" w:cs="Times New Roman"/>
          <w:lang w:val="hy-AM"/>
        </w:rPr>
        <w:t>․</w:t>
      </w:r>
      <w:r w:rsidRPr="001D3687">
        <w:rPr>
          <w:rFonts w:ascii="GHEA Grapalat" w:eastAsia="Times New Roman" w:hAnsi="GHEA Grapalat" w:cs="Times New Roman"/>
          <w:lang w:val="hy-AM"/>
        </w:rPr>
        <w:t xml:space="preserve"> ռազմավարությանը համահունչ,  պարտքի կառուցվածքի շարունակական, միաժամանակ՝ լրացուցիչ ռիսկեր չստեղծող բարելավումը։  </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szCs w:val="24"/>
          <w:lang w:val="hy-AM"/>
        </w:rPr>
      </w:pPr>
      <w:r w:rsidRPr="001D3687">
        <w:rPr>
          <w:rFonts w:ascii="GHEA Grapalat" w:eastAsia="Times New Roman" w:hAnsi="GHEA Grapalat" w:cs="Times New Roman"/>
          <w:b/>
          <w:szCs w:val="24"/>
          <w:lang w:val="hy-AM"/>
        </w:rPr>
        <w:t>2021-2022 թթ</w:t>
      </w:r>
      <w:r w:rsidRPr="001D3687">
        <w:rPr>
          <w:rFonts w:ascii="Cambria Math" w:eastAsia="Times New Roman" w:hAnsi="Cambria Math" w:cs="Cambria Math"/>
          <w:b/>
          <w:szCs w:val="24"/>
          <w:lang w:val="hy-AM"/>
        </w:rPr>
        <w:t>․</w:t>
      </w:r>
      <w:r w:rsidRPr="001D3687">
        <w:rPr>
          <w:rFonts w:ascii="GHEA Grapalat" w:eastAsia="Times New Roman" w:hAnsi="GHEA Grapalat" w:cs="Times New Roman"/>
          <w:b/>
          <w:szCs w:val="24"/>
          <w:lang w:val="hy-AM"/>
        </w:rPr>
        <w:t xml:space="preserve"> ՀՀ կառավարության պարտք/ՀՆԱ հարաբերակցությունը էապես նվազել  է 2020 թ</w:t>
      </w:r>
      <w:r w:rsidRPr="001D3687">
        <w:rPr>
          <w:rFonts w:ascii="Cambria Math" w:eastAsia="Times New Roman" w:hAnsi="Cambria Math" w:cs="Cambria Math"/>
          <w:b/>
          <w:szCs w:val="24"/>
          <w:lang w:val="hy-AM"/>
        </w:rPr>
        <w:t>․</w:t>
      </w:r>
      <w:r w:rsidRPr="001D3687">
        <w:rPr>
          <w:rFonts w:ascii="GHEA Grapalat" w:eastAsia="Times New Roman" w:hAnsi="GHEA Grapalat" w:cs="Times New Roman"/>
          <w:b/>
          <w:szCs w:val="24"/>
          <w:lang w:val="hy-AM"/>
        </w:rPr>
        <w:t xml:space="preserve"> գրանցված 60%-ը գերազանցող մակարդակից և կայունացել այդ մակարդակում 2023-24 թվականներին՝ առաջանցիկ կերպով ապահովելով հարկաբյուջետային կանոններով պահանջված պարտքի բեռի նվազեցումը և հնարավորություն տալով ստեղծել բարձիկ ապագա հնարավոր շոկերին դիմակայելու համար ու բարձրացնել հարկաբյուջետային քաղաքականության ճկունության աստիճանը</w:t>
      </w:r>
      <w:r w:rsidRPr="001D3687">
        <w:rPr>
          <w:rFonts w:ascii="GHEA Grapalat" w:eastAsia="Times New Roman" w:hAnsi="GHEA Grapalat" w:cs="Times New Roman"/>
          <w:b/>
          <w:sz w:val="24"/>
          <w:szCs w:val="24"/>
          <w:lang w:val="hy-AM"/>
        </w:rPr>
        <w:t xml:space="preserve">։ </w:t>
      </w:r>
      <w:r w:rsidRPr="001D3687">
        <w:rPr>
          <w:rFonts w:ascii="GHEA Grapalat" w:eastAsia="Times New Roman" w:hAnsi="GHEA Grapalat" w:cs="Times New Roman"/>
          <w:szCs w:val="24"/>
          <w:lang w:val="hy-AM"/>
        </w:rPr>
        <w:t xml:space="preserve">2020 թվականին տնտեսական շոկի և պատերազմական իրավիճակի գործոններով պայմանավորված, հարկաբյուջետային կանոնի՝ «բացառիկ դեպքի» կարգավորումների շրջանակում գրանցված պարտքի բեռը աճել էր մինչև ՀՆԱ 63.5%-ը, ինչը զուգորդվել է պարտքի սպասարկման բեռի բարձրացմամբ։ Սակայն «բացառիկ դեպքի» ճանաչման գործոնների չեզոքացման հետ ՀՀ կառավարությունը պետք է հարկաբյուջետային քաղաքականությունը վերադարձներ բնականոն իրավիճակների համար սահմանված կանոնների համապատասխանության </w:t>
      </w:r>
      <w:r w:rsidRPr="001D3687">
        <w:rPr>
          <w:rFonts w:ascii="GHEA Grapalat" w:eastAsia="Times New Roman" w:hAnsi="GHEA Grapalat" w:cs="Times New Roman"/>
          <w:szCs w:val="24"/>
          <w:lang w:val="hy-AM"/>
        </w:rPr>
        <w:lastRenderedPageBreak/>
        <w:t>տիրույթ, և, ի թիվս կանոնների համակարգով պահանջվող այլ միջոցառումների, առաջիկա 5 տարվա ընթացքում ապահովեր պարտքի բեռի նվազեցում 60%-ից ներքև, որի հանձնառությունը սահմանվել էր ՀՀ կառավարության պարտքի բեռի նվազեցման 2022-2026 թթ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 xml:space="preserve"> ծրագրով։ Սակայն, պայմանավորված իրականացվող հարկաբյուջետային կոնսոլիդացիայի քաղաքականությամբ, սպասվածից ավելի դրական տնտեսական զարգացումներով և ՀՀ դրամի փոխարժեքի արժևորմամբ, հարկաբյուջետային կոնսոլիդացիայի ընթացքը առաջանցիկ եղավ նախանշված ուղեգծից, և ՀՀ կառավարությունը նախ 2021 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 xml:space="preserve"> գրանցեց 60.3%, ապա 2022թ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-ին՝ 50%-ից ցածր՝ 46.7% ՀՀ կառավարության պարտք/ՀՆԱ ցուցանիշ, իսկ 2023 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-ին այն պահպանվեց 50%-ից ցածր մակարդակում՝ փոքր-ինչ աճելով և կազմելով 48</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 xml:space="preserve">1%։ Պարտքի բեռի պահպանումը ընդունելի ցածր մակարդակում հնարավորություն է տալիս կառավարելիության տիրույթում պահել պարտքի բեռից բխող ռիսկերը և տոկոսավճարների աճը, ինչպես նաև քաղաքականության «բարձիկ» ստեղծել հետագա հնարավոր ցնցումներին դիմակայելու համար։ </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lang w:val="hy-AM"/>
        </w:rPr>
      </w:pPr>
      <w:r w:rsidRPr="001D3687">
        <w:rPr>
          <w:rFonts w:ascii="GHEA Grapalat" w:eastAsia="Times New Roman" w:hAnsi="GHEA Grapalat" w:cs="Times New Roman"/>
          <w:b/>
          <w:lang w:val="hy-AM"/>
        </w:rPr>
        <w:t xml:space="preserve">Միջնաժամկետ հատվածի համար նախանշած՝ պարտքի հիմնականսցենարի վրա հիմնված պարտքի ռիսկերի գնահատումը ցույց է տվել, որ ինչպես ՀՀ կառավարության պարտքի, այնպես էլ պարտքի </w:t>
      </w:r>
      <w:r w:rsidRPr="001D3687">
        <w:rPr>
          <w:rFonts w:ascii="GHEA Grapalat" w:eastAsia="Times New Roman" w:hAnsi="GHEA Grapalat" w:cs="Times New Roman"/>
          <w:b/>
          <w:szCs w:val="24"/>
          <w:lang w:val="hy-AM"/>
        </w:rPr>
        <w:t xml:space="preserve">սպասարկման ռիսկերը գնահատվում են ցածր, թեպետ նաև տեսանելի է, որ նոր հնարավոր շոկերը </w:t>
      </w:r>
      <w:r w:rsidRPr="001D3687">
        <w:rPr>
          <w:rFonts w:ascii="GHEA Grapalat" w:eastAsia="Times New Roman" w:hAnsi="GHEA Grapalat" w:cs="Times New Roman"/>
          <w:b/>
          <w:lang w:val="hy-AM"/>
        </w:rPr>
        <w:t xml:space="preserve">(հատկապես՝ մի քանի շոկերի համադրությունը) կարող են վտանգել պարտքի կայունությունը։ </w:t>
      </w:r>
      <w:r w:rsidRPr="001D3687">
        <w:rPr>
          <w:rFonts w:ascii="GHEA Grapalat" w:eastAsia="Times New Roman" w:hAnsi="GHEA Grapalat" w:cs="Times New Roman"/>
          <w:lang w:val="hy-AM"/>
        </w:rPr>
        <w:t>Սթրես</w:t>
      </w:r>
      <w:r w:rsidRPr="001D3687">
        <w:rPr>
          <w:rFonts w:ascii="GHEA Grapalat" w:eastAsia="Times New Roman" w:hAnsi="GHEA Grapalat" w:cs="Times New Roman"/>
          <w:sz w:val="20"/>
          <w:lang w:val="hy-AM"/>
        </w:rPr>
        <w:t xml:space="preserve"> </w:t>
      </w:r>
      <w:r w:rsidRPr="001D3687">
        <w:rPr>
          <w:rFonts w:ascii="GHEA Grapalat" w:eastAsia="Times New Roman" w:hAnsi="GHEA Grapalat" w:cs="Times New Roman"/>
          <w:lang w:val="hy-AM"/>
        </w:rPr>
        <w:t>թեստերի շրջանակներում ՀՀ կառավարության պարտքը ամենաշատը զգայուն է տնտեսական աճի, և համեմատաբար զգայույն է՝  փոխարժեքի շոկի նկատմամբ։ Տնտեսական աճի շոկի ի հայտ գալու պարագայում 2025թ</w:t>
      </w:r>
      <w:r w:rsidRPr="001D3687">
        <w:rPr>
          <w:rFonts w:ascii="Cambria Math" w:eastAsia="Times New Roman" w:hAnsi="Cambria Math" w:cs="Cambria Math"/>
          <w:lang w:val="hy-AM"/>
        </w:rPr>
        <w:t>․</w:t>
      </w:r>
      <w:r w:rsidRPr="001D3687">
        <w:rPr>
          <w:rFonts w:ascii="GHEA Grapalat" w:eastAsia="Times New Roman" w:hAnsi="GHEA Grapalat" w:cs="Times New Roman"/>
          <w:lang w:val="hy-AM"/>
        </w:rPr>
        <w:t xml:space="preserve"> ՀՀ կառավարության պարտք/ՀՆԱ հարաբերակցությունը հասնում է 67</w:t>
      </w:r>
      <w:r w:rsidRPr="001D3687">
        <w:rPr>
          <w:rFonts w:ascii="Cambria Math" w:eastAsia="Times New Roman" w:hAnsi="Cambria Math" w:cs="Cambria Math"/>
          <w:lang w:val="hy-AM"/>
        </w:rPr>
        <w:t>․</w:t>
      </w:r>
      <w:r w:rsidRPr="001D3687">
        <w:rPr>
          <w:rFonts w:ascii="GHEA Grapalat" w:eastAsia="Times New Roman" w:hAnsi="GHEA Grapalat" w:cs="Times New Roman"/>
          <w:lang w:val="hy-AM"/>
        </w:rPr>
        <w:t xml:space="preserve">4% մակարդակին, և պահպանվում 60%-ը գերազանցող մակարդակում ամբողջ կանխատեսման հորիզոնում։ Փոխարժեքի շոկի ազդեցությունն անհամեմատ ավելի մեղմ է, և դրա ազդեցության ներքո պարտք/ՀՆԱ հարաբերակցությունը ցածր է մնում 60% մակարդակից։  ՀՀ պետական բյուջեի համախառն ֆինանսավորման կարիքը կանխատեսվող ժամակահատվածում իրականացված սթրես թեստերից ոչ մեկի, և անգամ՝ դրանց համակցման դեպքում չի գերազանցում զարգացող երկրների համար ռիսկայնության համար ընդունված 15% սահմանաչափը։ </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b/>
          <w:sz w:val="20"/>
          <w:lang w:val="hy-AM"/>
        </w:rPr>
      </w:pPr>
      <w:r w:rsidRPr="001D3687">
        <w:rPr>
          <w:rFonts w:ascii="GHEA Grapalat" w:eastAsia="Times New Roman" w:hAnsi="GHEA Grapalat" w:cs="Times New Roman"/>
          <w:b/>
          <w:szCs w:val="24"/>
          <w:lang w:val="hy-AM"/>
        </w:rPr>
        <w:t>ՀՀ կառավարության պարտքի պորտֆելից բխող ռիսկերը զգալիորեն մեղմվել են</w:t>
      </w:r>
      <w:r w:rsidRPr="001D3687">
        <w:rPr>
          <w:rFonts w:ascii="GHEA Grapalat" w:eastAsia="Times New Roman" w:hAnsi="GHEA Grapalat" w:cs="Times New Roman"/>
          <w:bCs/>
          <w:szCs w:val="24"/>
          <w:lang w:val="hy-AM"/>
        </w:rPr>
        <w:t>։ ՀՀ երկրի ռիսկի հավելավճարը,</w:t>
      </w:r>
      <w:r w:rsidRPr="001D3687">
        <w:rPr>
          <w:rFonts w:ascii="GHEA Grapalat" w:eastAsia="Times New Roman" w:hAnsi="GHEA Grapalat" w:cs="Times New Roman"/>
          <w:b/>
          <w:szCs w:val="24"/>
          <w:lang w:val="hy-AM"/>
        </w:rPr>
        <w:t xml:space="preserve"> </w:t>
      </w:r>
      <w:r w:rsidRPr="001D3687">
        <w:rPr>
          <w:rFonts w:ascii="GHEA Grapalat" w:eastAsia="Times New Roman" w:hAnsi="GHEA Grapalat" w:cs="Times New Roman"/>
          <w:bCs/>
          <w:szCs w:val="24"/>
          <w:lang w:val="hy-AM"/>
        </w:rPr>
        <w:t>պայմանավորված</w:t>
      </w:r>
      <w:r w:rsidRPr="001D3687">
        <w:rPr>
          <w:rFonts w:ascii="GHEA Grapalat" w:eastAsia="Times New Roman" w:hAnsi="GHEA Grapalat" w:cs="Times New Roman"/>
          <w:b/>
          <w:szCs w:val="24"/>
          <w:lang w:val="hy-AM"/>
        </w:rPr>
        <w:t xml:space="preserve"> </w:t>
      </w:r>
      <w:r w:rsidRPr="001D3687">
        <w:rPr>
          <w:rFonts w:ascii="GHEA Grapalat" w:eastAsia="Times New Roman" w:hAnsi="GHEA Grapalat" w:cs="Times New Roman"/>
          <w:szCs w:val="24"/>
          <w:lang w:val="hy-AM"/>
        </w:rPr>
        <w:t>ռուս-ուկրաինական հակամարտության ազդեցությունների ներքո տարածաշրջանի երկրների ռիսկի հավելավճարների բարձրացմամբ, ինչպես նաև ԱՄՆ-ում և եվրոգոտում տոկոսադրույքների բարձրացմամբ և զարգացող երկրներից ավելի շարժուն կապիտալի արտահոսքով դեպի այս երկրներ, որոշակիորեն բարձրացել էր, սակայն 2023 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-ի ընթացքում և 2024թ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 xml:space="preserve">-ի ընթացիկ ամիսներին զգալիորեն նվազել է և մայիսին կազմել 271 բազիսային կետ, ինչը միջին ռիսկայնության միջակայքի ստորին հատվածում է գտնվում։ Այս գործընթացին  նպաստել է ՀՀ ֆինանսական </w:t>
      </w:r>
      <w:r w:rsidRPr="001D3687">
        <w:rPr>
          <w:rFonts w:ascii="GHEA Grapalat" w:eastAsia="Times New Roman" w:hAnsi="GHEA Grapalat" w:cs="Times New Roman"/>
          <w:szCs w:val="24"/>
          <w:lang w:val="hy-AM"/>
        </w:rPr>
        <w:lastRenderedPageBreak/>
        <w:t>համակարգում կուտակված լրացուցիչ իրացվելիությունը, որը նպաստել է ՀՀ եվրոբոնդերի շուկայի իրացվելիությանը ևս։ Միաժամանակ, ներքին և դրամային պարտքի կշիռների զգալի բարելավմամբ, դրամային պարտքի կշիռը ներկայումս գնահատվում է միջին ռիսկային, իսկ արտաքին պարտքի կշիռը կտրուկ մոտեցել է միջին ռիսկայնության շեմին։  Ներքին ու դրամային պարտքի մասնաբաժնի բարելավման քաղաքականության շարունակումը առաջիկա հեռանկարում կարող է ապահովել պարտքի պորտֆելի էլ ավելի չափավոր ռիսկերի մակարդակ։</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szCs w:val="24"/>
          <w:lang w:val="hy-AM"/>
        </w:rPr>
      </w:pPr>
      <w:r w:rsidRPr="001D3687">
        <w:rPr>
          <w:rFonts w:ascii="GHEA Grapalat" w:eastAsia="Times New Roman" w:hAnsi="GHEA Grapalat" w:cs="Times New Roman"/>
          <w:b/>
          <w:szCs w:val="24"/>
          <w:lang w:val="hy-AM"/>
        </w:rPr>
        <w:t xml:space="preserve">Չնայած նրան, որ ՀՀ կառավարության պարտքի  ռիսկերը ստանդարտ սթրես սցենարների շրջանակում ազդանշում են ցածր ռիսկեր, գնահատվող անորոշությունների մակարդակը բարձր է։ </w:t>
      </w:r>
      <w:r w:rsidRPr="001D3687">
        <w:rPr>
          <w:rFonts w:ascii="GHEA Grapalat" w:eastAsia="Times New Roman" w:hAnsi="GHEA Grapalat" w:cs="Times New Roman"/>
          <w:szCs w:val="24"/>
          <w:lang w:val="hy-AM"/>
        </w:rPr>
        <w:t xml:space="preserve">Հավանականությունների բաշխման գրաֆիկի վրա հիմնվող (այսինքն, ըստ էության, </w:t>
      </w:r>
      <w:r w:rsidRPr="001D3687">
        <w:rPr>
          <w:rFonts w:ascii="GHEA Grapalat" w:eastAsia="Times New Roman" w:hAnsi="GHEA Grapalat" w:cs="Times New Roman"/>
          <w:bCs/>
          <w:szCs w:val="24"/>
          <w:lang w:val="hy-AM"/>
        </w:rPr>
        <w:t xml:space="preserve">«պատմությանը նայող») գնահատումը ցույց է տալիս, որ պարտքի կանխատեսումները ընդհանրապես անորոշության էական աստիճան են պարունակում, քանի որ պարտք ձևավորող գործոնները պատմականորեն բարձր տատանողականություն են ունեցել։  Այս նկարագիրը բացահայտվում է Գծապատկեր 6-ում </w:t>
      </w:r>
      <w:r w:rsidRPr="001D3687">
        <w:rPr>
          <w:rFonts w:ascii="GHEA Grapalat" w:eastAsia="Times New Roman" w:hAnsi="GHEA Grapalat" w:cs="Times New Roman"/>
          <w:szCs w:val="24"/>
          <w:lang w:val="hy-AM"/>
        </w:rPr>
        <w:t>ներկայացված հավանականությունների բաշխման գրաֆիկում, ըստ որի՝ 2026 թ</w:t>
      </w:r>
      <w:r w:rsidRPr="001D3687">
        <w:rPr>
          <w:rFonts w:ascii="Cambria Math" w:eastAsia="Times New Roman" w:hAnsi="Cambria Math" w:cs="Cambria Math"/>
          <w:szCs w:val="24"/>
          <w:lang w:val="hy-AM"/>
        </w:rPr>
        <w:t>․</w:t>
      </w:r>
      <w:r w:rsidRPr="001D3687">
        <w:rPr>
          <w:rFonts w:ascii="GHEA Grapalat" w:eastAsia="Times New Roman" w:hAnsi="GHEA Grapalat" w:cs="Times New Roman"/>
          <w:szCs w:val="24"/>
          <w:lang w:val="hy-AM"/>
        </w:rPr>
        <w:t xml:space="preserve"> համար 10-ից 90% հավանականային միջակայքում ուրվագծում է ՀՆԱ-ում 44</w:t>
      </w:r>
      <w:r w:rsidRPr="001D3687">
        <w:rPr>
          <w:rFonts w:ascii="Cambria Math" w:eastAsia="Times New Roman" w:hAnsi="Cambria Math" w:cs="Times New Roman"/>
          <w:szCs w:val="24"/>
          <w:lang w:val="hy-AM"/>
        </w:rPr>
        <w:t>․</w:t>
      </w:r>
      <w:r w:rsidRPr="001D3687">
        <w:rPr>
          <w:rFonts w:ascii="GHEA Grapalat" w:eastAsia="Times New Roman" w:hAnsi="GHEA Grapalat" w:cs="Times New Roman"/>
          <w:szCs w:val="24"/>
          <w:lang w:val="hy-AM"/>
        </w:rPr>
        <w:t xml:space="preserve">5%-ից 64.7% միջակայք։   </w:t>
      </w:r>
    </w:p>
    <w:p w:rsidR="001D3687" w:rsidRPr="001D3687" w:rsidRDefault="001D3687" w:rsidP="001D3687">
      <w:pPr>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iCs/>
          <w:szCs w:val="24"/>
          <w:lang w:val="hy-AM"/>
        </w:rPr>
        <w:t xml:space="preserve">Ոչ թե պատմությանը, այլ՝ ապագային նայող ռիսկերի գնահատման նպատակով փորձագիտական դատողությունների հիման վրա կառուցվել են այլընտրանքային զարգացումների սցենարներ, որոնք արտահայտում են ինչպես վերջին տարիներին ՀՀ տնտեսությունում կուտակված ռիսկերի համաժամանակյա նյութականացման, այնպես էլ արտաքին հատվածում անբարենպաստ զարգացումների փոխանցման հնարավորությունը։ Այլընտրանքային զարգացումների սցենարները և դրանց ենթադրությունները հետևյալն են։ </w:t>
      </w:r>
    </w:p>
    <w:p w:rsidR="001D3687" w:rsidRPr="001D3687" w:rsidRDefault="001D3687" w:rsidP="001D3687">
      <w:pPr>
        <w:numPr>
          <w:ilvl w:val="0"/>
          <w:numId w:val="1"/>
        </w:numPr>
        <w:tabs>
          <w:tab w:val="left" w:pos="284"/>
        </w:tabs>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b/>
          <w:bCs/>
          <w:iCs/>
          <w:szCs w:val="24"/>
          <w:lang w:val="hy-AM"/>
        </w:rPr>
        <w:t xml:space="preserve">Տնտեսական աճի ռիսկերի նյութականացման սցենար։ </w:t>
      </w:r>
      <w:r w:rsidRPr="001D3687">
        <w:rPr>
          <w:rFonts w:ascii="GHEA Grapalat" w:eastAsia="Calibri" w:hAnsi="GHEA Grapalat" w:cs="Sylfaen"/>
          <w:bCs/>
          <w:iCs/>
          <w:szCs w:val="24"/>
          <w:lang w:val="hy-AM"/>
        </w:rPr>
        <w:t>Այս սցենարը ենթադրում է 2022-2023թթ. ռուս-ուկրաինական պատերազմի արդյունքում առաջացած դրական շոկի (ՌԴ-ից տուրիստական հոսքեր, արտահանման շուկայի ընդլայնում, դրամական փոխանցումներ, ՏՏ ընկերությունների և աշխատակիցների տեղափոխում դեպի ՀՀ, վերաարտահանման հնարավորություններ) աստիճանական շրջադարձ, որի արդյունքում տնտեսական աճի տեմպերը դանդաղում են 2024թ</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-ին մինչև 3</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5, իսկ 2025թ</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-ին՝ 2</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4 տոկոսի, որից հետո սկսում աստիճանաբար արագանալ՝ 2026 թ</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-ին կազմելով 3</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3%, իսկ 2027թ</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 xml:space="preserve">-ին՝ 3.9 տոկոս։ </w:t>
      </w:r>
      <w:r w:rsidRPr="001D3687">
        <w:rPr>
          <w:rFonts w:ascii="Cambria Math" w:eastAsia="Calibri" w:hAnsi="Cambria Math" w:cs="Sylfaen"/>
          <w:bCs/>
          <w:iCs/>
          <w:szCs w:val="24"/>
          <w:lang w:val="hy-AM"/>
        </w:rPr>
        <w:t xml:space="preserve">  </w:t>
      </w:r>
      <w:r w:rsidRPr="001D3687">
        <w:rPr>
          <w:rFonts w:ascii="GHEA Grapalat" w:eastAsia="Calibri" w:hAnsi="GHEA Grapalat" w:cs="Sylfaen"/>
          <w:bCs/>
          <w:iCs/>
          <w:szCs w:val="24"/>
          <w:lang w:val="hy-AM"/>
        </w:rPr>
        <w:t xml:space="preserve"> </w:t>
      </w:r>
    </w:p>
    <w:p w:rsidR="001D3687" w:rsidRPr="001D3687" w:rsidRDefault="001D3687" w:rsidP="001D3687">
      <w:pPr>
        <w:numPr>
          <w:ilvl w:val="0"/>
          <w:numId w:val="1"/>
        </w:numPr>
        <w:tabs>
          <w:tab w:val="left" w:pos="284"/>
        </w:tabs>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b/>
          <w:bCs/>
          <w:iCs/>
          <w:szCs w:val="24"/>
          <w:lang w:val="hy-AM"/>
        </w:rPr>
        <w:t xml:space="preserve">Փոխարժեքի՝ դեպի նախկին մակարդակներ վերադարձի սցենար։ </w:t>
      </w:r>
      <w:r w:rsidRPr="001D3687">
        <w:rPr>
          <w:rFonts w:ascii="GHEA Grapalat" w:eastAsia="Calibri" w:hAnsi="GHEA Grapalat" w:cs="Sylfaen"/>
          <w:iCs/>
          <w:szCs w:val="24"/>
          <w:lang w:val="hy-AM"/>
        </w:rPr>
        <w:t>Ե</w:t>
      </w:r>
      <w:r w:rsidRPr="001D3687">
        <w:rPr>
          <w:rFonts w:ascii="GHEA Grapalat" w:eastAsia="Calibri" w:hAnsi="GHEA Grapalat" w:cs="Sylfaen"/>
          <w:bCs/>
          <w:iCs/>
          <w:szCs w:val="24"/>
          <w:lang w:val="hy-AM"/>
        </w:rPr>
        <w:t>նթադրվում է, որ 2022 թ</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 xml:space="preserve"> ընթացքում դեպի ՀՀ մարդկանց և կապիտալի ներհոսքի արագացման պայմաններում արժևորված փոխարժեքը հետ կգնա նախկին մակարդակին, և</w:t>
      </w:r>
      <w:r w:rsidRPr="001D3687">
        <w:rPr>
          <w:rFonts w:ascii="GHEA Grapalat" w:eastAsia="Calibri" w:hAnsi="GHEA Grapalat" w:cs="Sylfaen"/>
          <w:iCs/>
          <w:szCs w:val="24"/>
          <w:lang w:val="hy-AM"/>
        </w:rPr>
        <w:t xml:space="preserve"> 2024 թ</w:t>
      </w:r>
      <w:r w:rsidRPr="001D3687">
        <w:rPr>
          <w:rFonts w:ascii="Cambria Math" w:eastAsia="Calibri" w:hAnsi="Cambria Math" w:cs="Cambria Math"/>
          <w:iCs/>
          <w:szCs w:val="24"/>
          <w:lang w:val="hy-AM"/>
        </w:rPr>
        <w:t>․</w:t>
      </w:r>
      <w:r w:rsidRPr="001D3687">
        <w:rPr>
          <w:rFonts w:ascii="GHEA Grapalat" w:eastAsia="Calibri" w:hAnsi="GHEA Grapalat" w:cs="Sylfaen"/>
          <w:iCs/>
          <w:szCs w:val="24"/>
          <w:lang w:val="hy-AM"/>
        </w:rPr>
        <w:t xml:space="preserve"> վերջի դրությամբ դոլար/դրամ փոխարժեքը կկազմի 480 դրամ՝ 2021թ</w:t>
      </w:r>
      <w:r w:rsidRPr="001D3687">
        <w:rPr>
          <w:rFonts w:ascii="Cambria Math" w:eastAsia="Calibri" w:hAnsi="Cambria Math" w:cs="Cambria Math"/>
          <w:iCs/>
          <w:szCs w:val="24"/>
          <w:lang w:val="hy-AM"/>
        </w:rPr>
        <w:t>․</w:t>
      </w:r>
      <w:r w:rsidRPr="001D3687">
        <w:rPr>
          <w:rFonts w:ascii="GHEA Grapalat" w:eastAsia="Calibri" w:hAnsi="GHEA Grapalat" w:cs="Sylfaen"/>
          <w:iCs/>
          <w:szCs w:val="24"/>
          <w:lang w:val="hy-AM"/>
        </w:rPr>
        <w:t xml:space="preserve">-ի վերջի մակարդակին համապատախան, իսկ </w:t>
      </w:r>
      <w:r w:rsidRPr="001D3687">
        <w:rPr>
          <w:rFonts w:ascii="GHEA Grapalat" w:eastAsia="Calibri" w:hAnsi="GHEA Grapalat" w:cs="Sylfaen"/>
          <w:iCs/>
          <w:szCs w:val="24"/>
          <w:lang w:val="hy-AM"/>
        </w:rPr>
        <w:lastRenderedPageBreak/>
        <w:t>հաջորդ տարիներին կթուլանա տարեկան 1.6% տեմպով, պայմանավորված գնային մրցունակության պահպանման անհրաժեշտությամբ (հիմք ընդունելով ՀՀ և զարգացած երկրներում գնաճերի տեմպերի տարբերությունը՝ «PPP կանոն»), ինչպես նաև ֆինանսական շուկայի սպասումներով (ՀՀ դրամային պարտատոմսերի և եվրոբոնդերի տոկոսադրույքների տարբերություն` «UIP» կանոն)։</w:t>
      </w:r>
    </w:p>
    <w:p w:rsidR="001D3687" w:rsidRPr="001D3687" w:rsidRDefault="001D3687" w:rsidP="001D3687">
      <w:pPr>
        <w:numPr>
          <w:ilvl w:val="0"/>
          <w:numId w:val="1"/>
        </w:numPr>
        <w:tabs>
          <w:tab w:val="left" w:pos="284"/>
        </w:tabs>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b/>
          <w:iCs/>
          <w:szCs w:val="24"/>
          <w:lang w:val="hy-AM"/>
        </w:rPr>
        <w:t xml:space="preserve">Բյուջեի պակասուրդի ռիսկերի սցենար հարկեր/ՀՆԱ ցուցանիշի ավելի դանդաղ բարելավման ազդեցությամբ։ </w:t>
      </w:r>
      <w:r w:rsidRPr="001D3687">
        <w:rPr>
          <w:rFonts w:ascii="GHEA Grapalat" w:eastAsia="Calibri" w:hAnsi="GHEA Grapalat" w:cs="Sylfaen"/>
          <w:bCs/>
          <w:iCs/>
          <w:szCs w:val="24"/>
          <w:lang w:val="hy-AM"/>
        </w:rPr>
        <w:t>Այս սցենարում</w:t>
      </w:r>
      <w:r w:rsidRPr="001D3687">
        <w:rPr>
          <w:rFonts w:ascii="GHEA Grapalat" w:eastAsia="Calibri" w:hAnsi="GHEA Grapalat" w:cs="Sylfaen"/>
          <w:b/>
          <w:bCs/>
          <w:iCs/>
          <w:szCs w:val="24"/>
          <w:lang w:val="hy-AM"/>
        </w:rPr>
        <w:t xml:space="preserve"> </w:t>
      </w:r>
      <w:r w:rsidRPr="001D3687">
        <w:rPr>
          <w:rFonts w:ascii="GHEA Grapalat" w:eastAsia="Calibri" w:hAnsi="GHEA Grapalat" w:cs="Sylfaen"/>
          <w:bCs/>
          <w:iCs/>
          <w:szCs w:val="24"/>
          <w:lang w:val="hy-AM"/>
        </w:rPr>
        <w:t>ենթադրվում է, որ միջնաժամկետ հատվածի համար թիրախավորված՝ միջինում տարեկան 0.6% հարկեր/ՀՆԱ ցուցանիշի բարելավումը կապահովվի միայն մասնակի, և հարկեր/ՀՆԱ ցուցանիշը կբարելավվի տարեկան 0</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3%-ային կետով (հարկային վարչարարության 0</w:t>
      </w:r>
      <w:r w:rsidRPr="001D3687">
        <w:rPr>
          <w:rFonts w:ascii="Cambria Math" w:eastAsia="Calibri" w:hAnsi="Cambria Math" w:cs="Cambria Math"/>
          <w:bCs/>
          <w:iCs/>
          <w:szCs w:val="24"/>
          <w:lang w:val="hy-AM"/>
        </w:rPr>
        <w:t>․</w:t>
      </w:r>
      <w:r w:rsidRPr="001D3687">
        <w:rPr>
          <w:rFonts w:ascii="GHEA Grapalat" w:eastAsia="Calibri" w:hAnsi="GHEA Grapalat" w:cs="Sylfaen"/>
          <w:bCs/>
          <w:iCs/>
          <w:szCs w:val="24"/>
          <w:lang w:val="hy-AM"/>
        </w:rPr>
        <w:t xml:space="preserve">3% ազդեցության ռիսկի նյութականացում)։ </w:t>
      </w:r>
    </w:p>
    <w:p w:rsidR="001D3687" w:rsidRPr="001D3687" w:rsidRDefault="001D3687" w:rsidP="001D3687">
      <w:pPr>
        <w:tabs>
          <w:tab w:val="left" w:pos="284"/>
        </w:tabs>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iCs/>
          <w:szCs w:val="24"/>
          <w:lang w:val="hy-AM"/>
        </w:rPr>
        <w:t xml:space="preserve">Նախ, մինչ վերջնական սցենարը կառուցելը, առանձին սցենարները ու դրանց բաղադրիչների ազդեցությունները գնահատվում են առանձին-առանձին։ Սցենարներից ամենաբարձր ազդեցությունը, ինչպես և պարտքի կայունության վերլուծության ստանդարտացված սթրես թեստերի դեպքում, տնտեսական աճի ռիսկերի նյութականացման սցենարն է, որի դեպքում ՀՀ կառավարության պարտք/ՀՆԱ ցուցանիշը 2027 թվականին հասնում է 60.1%-ի։ Պակասուրդի ռիսկի նյութականացման դեպքում կառավարության պարտք/ՀՆԱ ցուցանիշը հասնում է 57.9%-ի, իսկ փոխարժեքի ռիսկի դեպքում՝ 56.8%-ի։ </w:t>
      </w:r>
    </w:p>
    <w:p w:rsidR="001D3687" w:rsidRPr="001D3687" w:rsidRDefault="001D3687" w:rsidP="001D3687">
      <w:pPr>
        <w:tabs>
          <w:tab w:val="left" w:pos="567"/>
        </w:tabs>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iCs/>
          <w:szCs w:val="24"/>
          <w:lang w:val="hy-AM"/>
        </w:rPr>
        <w:t>3 սցենարների համակցման, այսինքն՝ բոլոր ռիսկերի նյութականացման դեպքում պարտքի բեռը արդեն 2025թ</w:t>
      </w:r>
      <w:r w:rsidRPr="001D3687">
        <w:rPr>
          <w:rFonts w:ascii="Cambria Math" w:eastAsia="Calibri" w:hAnsi="Cambria Math" w:cs="Cambria Math"/>
          <w:iCs/>
          <w:szCs w:val="24"/>
          <w:lang w:val="hy-AM"/>
        </w:rPr>
        <w:t>․</w:t>
      </w:r>
      <w:r w:rsidRPr="001D3687">
        <w:rPr>
          <w:rFonts w:ascii="GHEA Grapalat" w:eastAsia="Calibri" w:hAnsi="GHEA Grapalat" w:cs="Sylfaen"/>
          <w:iCs/>
          <w:szCs w:val="24"/>
          <w:lang w:val="hy-AM"/>
        </w:rPr>
        <w:t>-ին գերազանցում է հարկաբյուջետային կանոնի 60% շեմից, և 2027թ</w:t>
      </w:r>
      <w:r w:rsidRPr="001D3687">
        <w:rPr>
          <w:rFonts w:ascii="Cambria Math" w:eastAsia="Calibri" w:hAnsi="Cambria Math" w:cs="Cambria Math"/>
          <w:iCs/>
          <w:szCs w:val="24"/>
          <w:lang w:val="hy-AM"/>
        </w:rPr>
        <w:t>․</w:t>
      </w:r>
      <w:r w:rsidRPr="001D3687">
        <w:rPr>
          <w:rFonts w:ascii="GHEA Grapalat" w:eastAsia="Calibri" w:hAnsi="GHEA Grapalat" w:cs="Sylfaen"/>
          <w:iCs/>
          <w:szCs w:val="24"/>
          <w:lang w:val="hy-AM"/>
        </w:rPr>
        <w:t>-ին հասնում 65.1%-ի։  Այս սցենարներում, ընդհանուր առմամբ, պարտքի հետագիծը անկայուն է, որը ՀՀ կառավարության համար հղի է հեղինակության ռիսկերով և ֆինանսական շուկաների ռիսկի ընկալումների էական վատթարացմամբ, որի դեպքում պարտքի կայունությունը բարձր խոցելի կարող է դառնալ:</w:t>
      </w:r>
    </w:p>
    <w:p w:rsidR="001D3687" w:rsidRPr="001D3687" w:rsidRDefault="001D3687" w:rsidP="001D3687">
      <w:pPr>
        <w:tabs>
          <w:tab w:val="left" w:pos="567"/>
        </w:tabs>
        <w:spacing w:before="120" w:after="0" w:line="276" w:lineRule="auto"/>
        <w:jc w:val="both"/>
        <w:rPr>
          <w:rFonts w:ascii="GHEA Grapalat" w:eastAsia="Calibri" w:hAnsi="GHEA Grapalat" w:cs="Sylfaen"/>
          <w:iCs/>
          <w:szCs w:val="24"/>
          <w:lang w:val="hy-AM"/>
        </w:rPr>
      </w:pPr>
      <w:r w:rsidRPr="001D3687">
        <w:rPr>
          <w:rFonts w:ascii="GHEA Grapalat" w:eastAsia="Calibri" w:hAnsi="GHEA Grapalat" w:cs="Sylfaen"/>
          <w:iCs/>
          <w:szCs w:val="24"/>
          <w:lang w:val="hy-AM"/>
        </w:rPr>
        <w:t>Կատարված փորձագիտական սցենարային վերլուծության արդյունքները, ընդհանուր առմամբ, համահունչ են և լրացնում են ԱՄՀ և ՀԲ մեթոդաբանությամբ իրականացված պարտքի սթրես թեստերի արդյունքներին և ազդանշում են պարտքի կայունության համար առկա վտանգների վերաբերյալ։ Վերլուծությունը արտացոլում է պարտքի բեռը կառավարելի մակարդակում պահպանելու, ինչպես նաև պարտքի կառուցվածքի հետագա հաշվեկշռված (ֆինանսական շուկայի վրա էական ճնշում չգործադրող և պարտքի սպասարկման ծախսերը կառավարելի մակարդակում պահպանող) բարելավման անհրաժեշտությունը, ինչը ուղենիշ ընդունելով կառուցվել է ՀՀ կառավարության պարտքի կառավարման 2025-2027 թթ</w:t>
      </w:r>
      <w:r w:rsidRPr="001D3687">
        <w:rPr>
          <w:rFonts w:ascii="Cambria Math" w:eastAsia="Calibri" w:hAnsi="Cambria Math" w:cs="Cambria Math"/>
          <w:iCs/>
          <w:szCs w:val="24"/>
          <w:lang w:val="hy-AM"/>
        </w:rPr>
        <w:t xml:space="preserve">․ </w:t>
      </w:r>
      <w:r w:rsidRPr="001D3687">
        <w:rPr>
          <w:rFonts w:ascii="GHEA Grapalat" w:eastAsia="Calibri" w:hAnsi="GHEA Grapalat" w:cs="Sylfaen"/>
          <w:iCs/>
          <w:szCs w:val="24"/>
          <w:lang w:val="hy-AM"/>
        </w:rPr>
        <w:t>ռազմավարությունը։</w:t>
      </w:r>
    </w:p>
    <w:p w:rsidR="001D3687" w:rsidRPr="001D3687" w:rsidRDefault="001D3687" w:rsidP="001D3687">
      <w:pPr>
        <w:keepNext/>
        <w:tabs>
          <w:tab w:val="left" w:pos="0"/>
        </w:tabs>
        <w:spacing w:before="120" w:after="0" w:line="276" w:lineRule="auto"/>
        <w:outlineLvl w:val="4"/>
        <w:rPr>
          <w:rFonts w:ascii="GHEA Grapalat" w:eastAsia="Times New Roman" w:hAnsi="GHEA Grapalat" w:cs="Times Unicode"/>
          <w:bCs/>
          <w:iCs/>
          <w:lang w:val="hy-AM"/>
        </w:rPr>
      </w:pPr>
      <w:r w:rsidRPr="001D3687">
        <w:rPr>
          <w:rFonts w:ascii="GHEA Grapalat" w:eastAsia="Times New Roman" w:hAnsi="GHEA Grapalat" w:cs="Times Unicode"/>
          <w:b/>
          <w:bCs/>
          <w:iCs/>
          <w:lang w:val="hy-AM"/>
        </w:rPr>
        <w:lastRenderedPageBreak/>
        <w:t xml:space="preserve">Գծապատկեր 4.1. </w:t>
      </w:r>
      <w:r w:rsidRPr="001D3687">
        <w:rPr>
          <w:rFonts w:ascii="GHEA Grapalat" w:eastAsia="Times New Roman" w:hAnsi="GHEA Grapalat" w:cs="Times Unicode"/>
          <w:bCs/>
          <w:iCs/>
          <w:lang w:val="hy-AM"/>
        </w:rPr>
        <w:t>ՀՀ Կառավարության պարտքի կանխատեսումների հավանականությունների բաշխման գծապատկերը</w:t>
      </w:r>
    </w:p>
    <w:p w:rsidR="001D3687" w:rsidRPr="001D3687" w:rsidRDefault="001D3687" w:rsidP="001D3687">
      <w:pPr>
        <w:keepNext/>
        <w:tabs>
          <w:tab w:val="left" w:pos="0"/>
        </w:tabs>
        <w:spacing w:before="120" w:after="0" w:line="276" w:lineRule="auto"/>
        <w:outlineLvl w:val="4"/>
        <w:rPr>
          <w:rFonts w:ascii="GHEA Grapalat" w:eastAsia="Times New Roman" w:hAnsi="GHEA Grapalat" w:cs="Times Unicode"/>
          <w:b/>
          <w:bCs/>
          <w:iCs/>
          <w:lang w:val="hy-AM"/>
        </w:rPr>
      </w:pPr>
      <w:r w:rsidRPr="001D3687">
        <w:rPr>
          <w:rFonts w:ascii="GHEA Grapalat" w:eastAsiaTheme="minorEastAsia" w:hAnsi="GHEA Grapalat"/>
          <w:noProof/>
        </w:rPr>
        <w:drawing>
          <wp:inline distT="0" distB="0" distL="0" distR="0" wp14:anchorId="2E6FF26A" wp14:editId="17B3A42D">
            <wp:extent cx="6105525" cy="2647950"/>
            <wp:effectExtent l="0" t="0" r="9525" b="0"/>
            <wp:docPr id="2" name="Chart 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3687" w:rsidRPr="001D3687" w:rsidRDefault="001D3687" w:rsidP="001D3687">
      <w:pPr>
        <w:keepNext/>
        <w:tabs>
          <w:tab w:val="left" w:pos="0"/>
        </w:tabs>
        <w:spacing w:before="120" w:after="0" w:line="276" w:lineRule="auto"/>
        <w:outlineLvl w:val="4"/>
        <w:rPr>
          <w:rFonts w:ascii="GHEA Grapalat" w:eastAsia="Times New Roman" w:hAnsi="GHEA Grapalat" w:cs="Times Unicode"/>
          <w:b/>
          <w:bCs/>
          <w:i/>
          <w:iCs/>
          <w:sz w:val="24"/>
          <w:szCs w:val="26"/>
          <w:lang w:val="hy-AM"/>
        </w:rPr>
      </w:pPr>
    </w:p>
    <w:p w:rsidR="001D3687" w:rsidRPr="001D3687" w:rsidRDefault="001D3687" w:rsidP="001D3687">
      <w:pPr>
        <w:keepNext/>
        <w:tabs>
          <w:tab w:val="left" w:pos="0"/>
        </w:tabs>
        <w:spacing w:before="120" w:after="0" w:line="276" w:lineRule="auto"/>
        <w:outlineLvl w:val="4"/>
        <w:rPr>
          <w:rFonts w:ascii="GHEA Grapalat" w:eastAsia="Times New Roman" w:hAnsi="GHEA Grapalat" w:cs="Times Unicode"/>
          <w:b/>
          <w:bCs/>
          <w:iCs/>
          <w:lang w:val="hy-AM"/>
        </w:rPr>
      </w:pPr>
      <w:r w:rsidRPr="001D3687">
        <w:rPr>
          <w:rFonts w:ascii="GHEA Grapalat" w:eastAsia="Times New Roman" w:hAnsi="GHEA Grapalat" w:cs="Times Unicode"/>
          <w:b/>
          <w:bCs/>
          <w:iCs/>
          <w:lang w:val="hy-AM"/>
        </w:rPr>
        <w:t xml:space="preserve">Գծապատկեր 4.2. </w:t>
      </w:r>
      <w:r w:rsidRPr="001D3687">
        <w:rPr>
          <w:rFonts w:ascii="GHEA Grapalat" w:eastAsia="Times New Roman" w:hAnsi="GHEA Grapalat" w:cs="Times Unicode"/>
          <w:bCs/>
          <w:iCs/>
          <w:lang w:val="hy-AM"/>
        </w:rPr>
        <w:t>ՀՀ Կառավարության պարտքի և համախառն ֆինանսավորման կարիքի սթրես թեստեր*</w:t>
      </w:r>
    </w:p>
    <w:p w:rsidR="001D3687" w:rsidRPr="001D3687" w:rsidRDefault="001D3687" w:rsidP="001D3687">
      <w:pPr>
        <w:tabs>
          <w:tab w:val="left" w:pos="0"/>
        </w:tabs>
        <w:spacing w:before="120" w:after="0" w:line="276" w:lineRule="auto"/>
        <w:jc w:val="both"/>
        <w:rPr>
          <w:rFonts w:ascii="GHEA Grapalat" w:eastAsia="Times New Roman" w:hAnsi="GHEA Grapalat" w:cs="Times New Roman"/>
        </w:rPr>
      </w:pPr>
      <w:r w:rsidRPr="001D3687">
        <w:rPr>
          <w:rFonts w:ascii="GHEA Grapalat" w:eastAsia="Times New Roman" w:hAnsi="GHEA Grapalat" w:cs="Times New Roman"/>
          <w:b/>
          <w:noProof/>
        </w:rPr>
        <mc:AlternateContent>
          <mc:Choice Requires="wps">
            <w:drawing>
              <wp:anchor distT="0" distB="0" distL="114300" distR="114300" simplePos="0" relativeHeight="251659264" behindDoc="0" locked="0" layoutInCell="1" allowOverlap="1" wp14:anchorId="61AE19C1" wp14:editId="6F1EDEEC">
                <wp:simplePos x="0" y="0"/>
                <wp:positionH relativeFrom="column">
                  <wp:posOffset>62865</wp:posOffset>
                </wp:positionH>
                <wp:positionV relativeFrom="paragraph">
                  <wp:posOffset>915035</wp:posOffset>
                </wp:positionV>
                <wp:extent cx="1495425" cy="3143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495425" cy="314325"/>
                        </a:xfrm>
                        <a:prstGeom prst="rect">
                          <a:avLst/>
                        </a:prstGeom>
                        <a:solidFill>
                          <a:sysClr val="window" lastClr="FFFFFF">
                            <a:alpha val="0"/>
                          </a:sysClr>
                        </a:solidFill>
                        <a:ln w="6350">
                          <a:noFill/>
                        </a:ln>
                      </wps:spPr>
                      <wps:txbx>
                        <w:txbxContent>
                          <w:p w:rsidR="001D3687" w:rsidRPr="00E908CF" w:rsidRDefault="001D3687" w:rsidP="001D3687">
                            <w:pPr>
                              <w:rPr>
                                <w:sz w:val="18"/>
                                <w:lang w:val="hy-AM"/>
                              </w:rPr>
                            </w:pPr>
                            <w:r>
                              <w:rPr>
                                <w:sz w:val="18"/>
                                <w:lang w:val="hy-AM"/>
                              </w:rPr>
                              <w:t>«</w:t>
                            </w:r>
                            <w:r w:rsidRPr="00E908CF">
                              <w:rPr>
                                <w:sz w:val="18"/>
                              </w:rPr>
                              <w:t>MAC DSA</w:t>
                            </w:r>
                            <w:r>
                              <w:rPr>
                                <w:sz w:val="18"/>
                                <w:lang w:val="hy-AM"/>
                              </w:rPr>
                              <w:t>»</w:t>
                            </w:r>
                            <w:r w:rsidRPr="00E908CF">
                              <w:rPr>
                                <w:sz w:val="18"/>
                              </w:rPr>
                              <w:t xml:space="preserve"> </w:t>
                            </w:r>
                            <w:r w:rsidRPr="00E908CF">
                              <w:rPr>
                                <w:sz w:val="18"/>
                                <w:lang w:val="hy-AM"/>
                              </w:rPr>
                              <w:t>շեմ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E19C1" id="_x0000_t202" coordsize="21600,21600" o:spt="202" path="m,l,21600r21600,l21600,xe">
                <v:stroke joinstyle="miter"/>
                <v:path gradientshapeok="t" o:connecttype="rect"/>
              </v:shapetype>
              <v:shape id="Text Box 38" o:spid="_x0000_s1026" type="#_x0000_t202" style="position:absolute;left:0;text-align:left;margin-left:4.95pt;margin-top:72.05pt;width:11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" fillcolor="window" stroked="f" strokeweight=".5pt">
                <v:fill opacity="0"/>
                <v:textbox>
                  <w:txbxContent>
                    <w:p w:rsidR="001D3687" w:rsidRPr="00E908CF" w:rsidRDefault="001D3687" w:rsidP="001D3687">
                      <w:pPr>
                        <w:rPr>
                          <w:sz w:val="18"/>
                          <w:lang w:val="hy-AM"/>
                        </w:rPr>
                      </w:pPr>
                      <w:r>
                        <w:rPr>
                          <w:sz w:val="18"/>
                          <w:lang w:val="hy-AM"/>
                        </w:rPr>
                        <w:t>«</w:t>
                      </w:r>
                      <w:r w:rsidRPr="00E908CF">
                        <w:rPr>
                          <w:sz w:val="18"/>
                        </w:rPr>
                        <w:t>MAC DSA</w:t>
                      </w:r>
                      <w:r>
                        <w:rPr>
                          <w:sz w:val="18"/>
                          <w:lang w:val="hy-AM"/>
                        </w:rPr>
                        <w:t>»</w:t>
                      </w:r>
                      <w:r w:rsidRPr="00E908CF">
                        <w:rPr>
                          <w:sz w:val="18"/>
                        </w:rPr>
                        <w:t xml:space="preserve"> </w:t>
                      </w:r>
                      <w:r w:rsidRPr="00E908CF">
                        <w:rPr>
                          <w:sz w:val="18"/>
                          <w:lang w:val="hy-AM"/>
                        </w:rPr>
                        <w:t>շեմ</w:t>
                      </w:r>
                    </w:p>
                  </w:txbxContent>
                </v:textbox>
              </v:shape>
            </w:pict>
          </mc:Fallback>
        </mc:AlternateContent>
      </w:r>
      <w:r w:rsidRPr="001D3687">
        <w:rPr>
          <w:rFonts w:ascii="GHEA Grapalat" w:eastAsia="Times New Roman" w:hAnsi="GHEA Grapalat" w:cs="Times New Roman"/>
          <w:b/>
          <w:noProof/>
        </w:rPr>
        <w:drawing>
          <wp:inline distT="0" distB="0" distL="0" distR="0" wp14:anchorId="0E5AED76" wp14:editId="515486BB">
            <wp:extent cx="2914650" cy="30765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D3687">
        <w:rPr>
          <w:rFonts w:ascii="GHEA Grapalat" w:eastAsia="Times New Roman" w:hAnsi="GHEA Grapalat" w:cs="Times New Roman"/>
          <w:b/>
          <w:noProof/>
        </w:rPr>
        <w:drawing>
          <wp:inline distT="0" distB="0" distL="0" distR="0" wp14:anchorId="32C19CFC" wp14:editId="48B03C59">
            <wp:extent cx="3009900" cy="30956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3687">
        <w:rPr>
          <w:rFonts w:ascii="GHEA Grapalat" w:eastAsia="Times New Roman" w:hAnsi="GHEA Grapalat" w:cs="Times New Roman"/>
          <w:b/>
          <w:noProof/>
        </w:rPr>
        <w:drawing>
          <wp:inline distT="0" distB="0" distL="0" distR="0" wp14:anchorId="2C080324" wp14:editId="4A6D49A1">
            <wp:extent cx="5924550" cy="6572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3687" w:rsidRPr="001D3687" w:rsidRDefault="001D3687" w:rsidP="001D3687">
      <w:pPr>
        <w:tabs>
          <w:tab w:val="left" w:pos="0"/>
        </w:tabs>
        <w:spacing w:before="120" w:after="0" w:line="276" w:lineRule="auto"/>
        <w:contextualSpacing/>
        <w:rPr>
          <w:rFonts w:ascii="GHEA Grapalat" w:eastAsia="Calibri" w:hAnsi="GHEA Grapalat" w:cs="Times New Roman"/>
          <w:i/>
          <w:sz w:val="18"/>
          <w:szCs w:val="16"/>
          <w:lang w:val="hy-AM"/>
        </w:rPr>
      </w:pPr>
      <w:r w:rsidRPr="001D3687">
        <w:rPr>
          <w:rFonts w:ascii="GHEA Grapalat" w:eastAsia="Calibri" w:hAnsi="GHEA Grapalat" w:cs="Times New Roman"/>
          <w:i/>
          <w:sz w:val="18"/>
          <w:szCs w:val="16"/>
          <w:lang w:val="hy-AM"/>
        </w:rPr>
        <w:lastRenderedPageBreak/>
        <w:t>* 202</w:t>
      </w:r>
      <w:r w:rsidRPr="001D3687">
        <w:rPr>
          <w:rFonts w:ascii="GHEA Grapalat" w:eastAsia="Calibri" w:hAnsi="GHEA Grapalat" w:cs="Times New Roman"/>
          <w:i/>
          <w:sz w:val="18"/>
          <w:szCs w:val="16"/>
        </w:rPr>
        <w:t>8</w:t>
      </w:r>
      <w:r w:rsidRPr="001D3687">
        <w:rPr>
          <w:rFonts w:ascii="GHEA Grapalat" w:eastAsia="Calibri" w:hAnsi="GHEA Grapalat" w:cs="Times New Roman"/>
          <w:i/>
          <w:sz w:val="18"/>
          <w:szCs w:val="16"/>
          <w:lang w:val="hy-AM"/>
        </w:rPr>
        <w:t>-202</w:t>
      </w:r>
      <w:r w:rsidRPr="001D3687">
        <w:rPr>
          <w:rFonts w:ascii="GHEA Grapalat" w:eastAsia="Calibri" w:hAnsi="GHEA Grapalat" w:cs="Times New Roman"/>
          <w:i/>
          <w:sz w:val="18"/>
          <w:szCs w:val="16"/>
        </w:rPr>
        <w:t>9</w:t>
      </w:r>
      <w:r w:rsidRPr="001D3687">
        <w:rPr>
          <w:rFonts w:ascii="GHEA Grapalat" w:eastAsia="Calibri" w:hAnsi="GHEA Grapalat" w:cs="Times New Roman"/>
          <w:i/>
          <w:sz w:val="18"/>
          <w:szCs w:val="16"/>
          <w:lang w:val="hy-AM"/>
        </w:rPr>
        <w:t xml:space="preserve"> թվականների համար բերված ցուցանիշները ՀՀ ՖՆ կանխատեսումն են՝ ՄԺԾԾ մշակման համար կիրառված հիմնական դատողությունների անփոփոխության ենթադրությամբ։</w:t>
      </w:r>
    </w:p>
    <w:p w:rsidR="001D3687" w:rsidRPr="001D3687" w:rsidRDefault="001D3687" w:rsidP="001D3687">
      <w:pPr>
        <w:tabs>
          <w:tab w:val="left" w:pos="0"/>
        </w:tabs>
        <w:spacing w:before="120" w:after="0" w:line="276" w:lineRule="auto"/>
        <w:jc w:val="both"/>
        <w:rPr>
          <w:rFonts w:ascii="GHEA Grapalat" w:eastAsia="Calibri" w:hAnsi="GHEA Grapalat" w:cs="Sylfaen"/>
          <w:b/>
          <w:bCs/>
          <w:i/>
          <w:lang w:val="hy-AM"/>
        </w:rPr>
      </w:pPr>
    </w:p>
    <w:p w:rsidR="001D3687" w:rsidRPr="001D3687" w:rsidRDefault="001D3687" w:rsidP="001D3687">
      <w:pPr>
        <w:tabs>
          <w:tab w:val="left" w:pos="0"/>
        </w:tabs>
        <w:spacing w:before="120" w:after="0" w:line="276" w:lineRule="auto"/>
        <w:jc w:val="both"/>
        <w:rPr>
          <w:rFonts w:ascii="GHEA Grapalat" w:eastAsia="Calibri" w:hAnsi="GHEA Grapalat" w:cs="Sylfaen"/>
          <w:b/>
          <w:bCs/>
          <w:i/>
          <w:lang w:val="hy-AM"/>
        </w:rPr>
      </w:pPr>
    </w:p>
    <w:p w:rsidR="001D3687" w:rsidRPr="001D3687" w:rsidRDefault="001D3687" w:rsidP="001D3687">
      <w:pPr>
        <w:tabs>
          <w:tab w:val="left" w:pos="0"/>
        </w:tabs>
        <w:spacing w:before="120" w:after="0" w:line="276" w:lineRule="auto"/>
        <w:jc w:val="both"/>
        <w:rPr>
          <w:rFonts w:ascii="GHEA Grapalat" w:eastAsia="Calibri" w:hAnsi="GHEA Grapalat" w:cs="Sylfaen"/>
          <w:b/>
          <w:bCs/>
          <w:i/>
          <w:lang w:val="hy-AM"/>
        </w:rPr>
      </w:pPr>
    </w:p>
    <w:p w:rsidR="001D3687" w:rsidRPr="001D3687" w:rsidRDefault="001D3687" w:rsidP="001D3687">
      <w:pPr>
        <w:tabs>
          <w:tab w:val="left" w:pos="0"/>
        </w:tabs>
        <w:spacing w:before="120" w:after="0" w:line="276" w:lineRule="auto"/>
        <w:jc w:val="both"/>
        <w:rPr>
          <w:rFonts w:ascii="GHEA Grapalat" w:eastAsia="Calibri" w:hAnsi="GHEA Grapalat" w:cs="Sylfaen"/>
          <w:b/>
          <w:bCs/>
          <w:i/>
          <w:lang w:val="hy-AM"/>
        </w:rPr>
      </w:pPr>
    </w:p>
    <w:p w:rsidR="001D3687" w:rsidRPr="001D3687" w:rsidRDefault="001D3687" w:rsidP="001D3687">
      <w:pPr>
        <w:tabs>
          <w:tab w:val="left" w:pos="0"/>
        </w:tabs>
        <w:spacing w:before="120" w:after="0" w:line="276" w:lineRule="auto"/>
        <w:jc w:val="both"/>
        <w:rPr>
          <w:rFonts w:ascii="GHEA Grapalat" w:eastAsia="Calibri" w:hAnsi="GHEA Grapalat" w:cs="Sylfaen"/>
          <w:b/>
          <w:bCs/>
          <w:i/>
          <w:lang w:val="hy-AM"/>
        </w:rPr>
      </w:pPr>
      <w:r w:rsidRPr="001D3687">
        <w:rPr>
          <w:rFonts w:ascii="GHEA Grapalat" w:eastAsia="Calibri" w:hAnsi="GHEA Grapalat" w:cs="Sylfaen"/>
          <w:b/>
          <w:bCs/>
          <w:i/>
          <w:lang w:val="hy-AM"/>
        </w:rPr>
        <w:t xml:space="preserve">Աղյուսակ 4.1. </w:t>
      </w:r>
      <w:r w:rsidRPr="001D3687">
        <w:rPr>
          <w:rFonts w:ascii="GHEA Grapalat" w:eastAsia="Calibri" w:hAnsi="GHEA Grapalat" w:cs="Sylfaen"/>
          <w:bCs/>
          <w:lang w:val="hy-AM"/>
        </w:rPr>
        <w:t>ՀՀ կառավարության պարտքի պորտֆելի ռիսկայնության ցուցանիշներ</w:t>
      </w:r>
    </w:p>
    <w:tbl>
      <w:tblPr>
        <w:tblStyle w:val="GridTable1Light-Accent115"/>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1541"/>
        <w:gridCol w:w="963"/>
        <w:gridCol w:w="1170"/>
        <w:gridCol w:w="1232"/>
        <w:gridCol w:w="1233"/>
      </w:tblGrid>
      <w:tr w:rsidR="001D3687" w:rsidRPr="001D3687" w:rsidTr="00C42AB8">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076" w:type="dxa"/>
            <w:vMerge w:val="restart"/>
            <w:tcBorders>
              <w:bottom w:val="none" w:sz="0" w:space="0" w:color="auto"/>
            </w:tcBorders>
            <w:shd w:val="clear" w:color="auto" w:fill="auto"/>
            <w:noWrap/>
            <w:hideMark/>
          </w:tcPr>
          <w:p w:rsidR="001D3687" w:rsidRPr="001D3687" w:rsidRDefault="001D3687" w:rsidP="001D3687">
            <w:pPr>
              <w:tabs>
                <w:tab w:val="left" w:pos="0"/>
              </w:tabs>
              <w:spacing w:before="120"/>
              <w:jc w:val="both"/>
              <w:rPr>
                <w:rFonts w:ascii="GHEA Grapalat" w:eastAsia="Times New Roman" w:hAnsi="GHEA Grapalat" w:cs="Calibri"/>
                <w:color w:val="000000" w:themeColor="text1"/>
                <w:sz w:val="18"/>
                <w:szCs w:val="18"/>
                <w:lang w:val="hy-AM"/>
              </w:rPr>
            </w:pPr>
            <w:r w:rsidRPr="001D3687">
              <w:rPr>
                <w:rFonts w:ascii="Calibri" w:eastAsia="Times New Roman" w:hAnsi="Calibri" w:cs="Calibri"/>
                <w:color w:val="000000" w:themeColor="text1"/>
                <w:sz w:val="18"/>
                <w:szCs w:val="18"/>
                <w:lang w:val="hy-AM"/>
              </w:rPr>
              <w:t> </w:t>
            </w:r>
          </w:p>
        </w:tc>
        <w:tc>
          <w:tcPr>
            <w:tcW w:w="3674" w:type="dxa"/>
            <w:gridSpan w:val="3"/>
            <w:tcBorders>
              <w:bottom w:val="single" w:sz="4" w:space="0" w:color="auto"/>
            </w:tcBorders>
            <w:shd w:val="clear" w:color="auto" w:fill="auto"/>
            <w:noWrap/>
            <w:vAlign w:val="center"/>
            <w:hideMark/>
          </w:tcPr>
          <w:p w:rsidR="001D3687" w:rsidRPr="001D3687" w:rsidRDefault="001D3687" w:rsidP="001D3687">
            <w:pPr>
              <w:tabs>
                <w:tab w:val="left" w:pos="0"/>
              </w:tabs>
              <w:spacing w:before="120"/>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rPr>
            </w:pPr>
            <w:r w:rsidRPr="001D3687">
              <w:rPr>
                <w:rFonts w:ascii="GHEA Grapalat" w:eastAsia="Times New Roman" w:hAnsi="GHEA Grapalat" w:cs="Calibri"/>
                <w:color w:val="000000" w:themeColor="text1"/>
                <w:sz w:val="18"/>
                <w:szCs w:val="18"/>
              </w:rPr>
              <w:t>Շեմեր</w:t>
            </w:r>
          </w:p>
        </w:tc>
        <w:tc>
          <w:tcPr>
            <w:tcW w:w="2465" w:type="dxa"/>
            <w:gridSpan w:val="2"/>
            <w:tcBorders>
              <w:bottom w:val="single" w:sz="4" w:space="0" w:color="auto"/>
            </w:tcBorders>
            <w:shd w:val="clear" w:color="auto" w:fill="auto"/>
          </w:tcPr>
          <w:p w:rsidR="001D3687" w:rsidRPr="001D3687" w:rsidRDefault="001D3687" w:rsidP="001D3687">
            <w:pPr>
              <w:tabs>
                <w:tab w:val="left" w:pos="0"/>
              </w:tabs>
              <w:spacing w:before="120"/>
              <w:jc w:val="center"/>
              <w:cnfStyle w:val="100000000000" w:firstRow="1"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lang w:val="hy-AM"/>
              </w:rPr>
            </w:pPr>
            <w:r w:rsidRPr="001D3687">
              <w:rPr>
                <w:rFonts w:ascii="GHEA Grapalat" w:eastAsia="Times New Roman" w:hAnsi="GHEA Grapalat" w:cs="Calibri"/>
                <w:color w:val="000000" w:themeColor="text1"/>
                <w:sz w:val="18"/>
                <w:szCs w:val="18"/>
                <w:lang w:val="hy-AM"/>
              </w:rPr>
              <w:t>ՀՀ ցուցանիշ</w:t>
            </w:r>
          </w:p>
        </w:tc>
      </w:tr>
      <w:tr w:rsidR="001D3687" w:rsidRPr="001D3687" w:rsidTr="00C42AB8">
        <w:trPr>
          <w:trHeight w:val="322"/>
        </w:trPr>
        <w:tc>
          <w:tcPr>
            <w:cnfStyle w:val="001000000000" w:firstRow="0" w:lastRow="0" w:firstColumn="1" w:lastColumn="0" w:oddVBand="0" w:evenVBand="0" w:oddHBand="0" w:evenHBand="0" w:firstRowFirstColumn="0" w:firstRowLastColumn="0" w:lastRowFirstColumn="0" w:lastRowLastColumn="0"/>
            <w:tcW w:w="3076" w:type="dxa"/>
            <w:vMerge/>
            <w:shd w:val="clear" w:color="auto" w:fill="auto"/>
            <w:hideMark/>
          </w:tcPr>
          <w:p w:rsidR="001D3687" w:rsidRPr="001D3687" w:rsidRDefault="001D3687" w:rsidP="001D3687">
            <w:pPr>
              <w:tabs>
                <w:tab w:val="left" w:pos="0"/>
              </w:tabs>
              <w:spacing w:before="120"/>
              <w:jc w:val="both"/>
              <w:rPr>
                <w:rFonts w:ascii="GHEA Grapalat" w:eastAsia="Times New Roman" w:hAnsi="GHEA Grapalat" w:cs="Calibri"/>
                <w:color w:val="000000" w:themeColor="text1"/>
                <w:sz w:val="18"/>
                <w:szCs w:val="18"/>
              </w:rPr>
            </w:pPr>
          </w:p>
        </w:tc>
        <w:tc>
          <w:tcPr>
            <w:tcW w:w="1541" w:type="dxa"/>
            <w:tcBorders>
              <w:top w:val="single" w:sz="4" w:space="0" w:color="auto"/>
              <w:bottom w:val="single" w:sz="4" w:space="0" w:color="auto"/>
            </w:tcBorders>
            <w:shd w:val="clear" w:color="auto" w:fill="auto"/>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rPr>
            </w:pPr>
            <w:r w:rsidRPr="001D3687">
              <w:rPr>
                <w:rFonts w:ascii="GHEA Grapalat" w:eastAsia="Times New Roman" w:hAnsi="GHEA Grapalat" w:cs="Calibri"/>
                <w:color w:val="000000" w:themeColor="text1"/>
                <w:sz w:val="18"/>
                <w:szCs w:val="18"/>
              </w:rPr>
              <w:t>Ցածր</w:t>
            </w:r>
          </w:p>
        </w:tc>
        <w:tc>
          <w:tcPr>
            <w:tcW w:w="963" w:type="dxa"/>
            <w:tcBorders>
              <w:top w:val="single" w:sz="4" w:space="0" w:color="auto"/>
              <w:bottom w:val="single" w:sz="4" w:space="0" w:color="auto"/>
            </w:tcBorders>
            <w:shd w:val="clear" w:color="auto" w:fill="auto"/>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rPr>
            </w:pPr>
            <w:r w:rsidRPr="001D3687">
              <w:rPr>
                <w:rFonts w:ascii="GHEA Grapalat" w:eastAsia="Times New Roman" w:hAnsi="GHEA Grapalat" w:cs="Calibri"/>
                <w:color w:val="000000" w:themeColor="text1"/>
                <w:sz w:val="18"/>
                <w:szCs w:val="18"/>
              </w:rPr>
              <w:t>Միջին</w:t>
            </w:r>
          </w:p>
        </w:tc>
        <w:tc>
          <w:tcPr>
            <w:tcW w:w="1170" w:type="dxa"/>
            <w:tcBorders>
              <w:top w:val="single" w:sz="4" w:space="0" w:color="auto"/>
              <w:bottom w:val="single" w:sz="4" w:space="0" w:color="auto"/>
            </w:tcBorders>
            <w:shd w:val="clear" w:color="auto" w:fill="auto"/>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rPr>
            </w:pPr>
            <w:r w:rsidRPr="001D3687">
              <w:rPr>
                <w:rFonts w:ascii="GHEA Grapalat" w:eastAsia="Times New Roman" w:hAnsi="GHEA Grapalat" w:cs="Calibri"/>
                <w:color w:val="000000" w:themeColor="text1"/>
                <w:sz w:val="18"/>
                <w:szCs w:val="18"/>
              </w:rPr>
              <w:t>Բարձր</w:t>
            </w:r>
          </w:p>
        </w:tc>
        <w:tc>
          <w:tcPr>
            <w:tcW w:w="1232" w:type="dxa"/>
            <w:tcBorders>
              <w:top w:val="single" w:sz="4" w:space="0" w:color="auto"/>
              <w:left w:val="nil"/>
              <w:bottom w:val="single" w:sz="4" w:space="0" w:color="auto"/>
            </w:tcBorders>
            <w:shd w:val="clear" w:color="auto" w:fill="auto"/>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lang w:val="hy-AM"/>
              </w:rPr>
            </w:pPr>
            <w:r w:rsidRPr="001D3687">
              <w:rPr>
                <w:rFonts w:ascii="GHEA Grapalat" w:eastAsia="Times New Roman" w:hAnsi="GHEA Grapalat" w:cs="Calibri"/>
                <w:color w:val="000000" w:themeColor="text1"/>
                <w:sz w:val="18"/>
                <w:szCs w:val="18"/>
                <w:lang w:val="hy-AM"/>
              </w:rPr>
              <w:t>2023թ</w:t>
            </w:r>
            <w:r w:rsidRPr="001D3687">
              <w:rPr>
                <w:rFonts w:ascii="Cambria Math" w:eastAsia="Times New Roman" w:hAnsi="Cambria Math" w:cs="Cambria Math"/>
                <w:color w:val="000000" w:themeColor="text1"/>
                <w:sz w:val="18"/>
                <w:szCs w:val="18"/>
                <w:lang w:val="hy-AM"/>
              </w:rPr>
              <w:t>․</w:t>
            </w:r>
            <w:r w:rsidRPr="001D3687">
              <w:rPr>
                <w:rFonts w:ascii="GHEA Grapalat" w:eastAsia="Times New Roman" w:hAnsi="GHEA Grapalat" w:cs="Calibri"/>
                <w:color w:val="000000" w:themeColor="text1"/>
                <w:sz w:val="18"/>
                <w:szCs w:val="18"/>
                <w:lang w:val="hy-AM"/>
              </w:rPr>
              <w:t xml:space="preserve"> </w:t>
            </w:r>
            <w:r w:rsidRPr="001D3687">
              <w:rPr>
                <w:rFonts w:ascii="GHEA Grapalat" w:eastAsia="Times New Roman" w:hAnsi="GHEA Grapalat" w:cs="GHEA Grapalat"/>
                <w:color w:val="000000" w:themeColor="text1"/>
                <w:sz w:val="18"/>
                <w:szCs w:val="18"/>
                <w:lang w:val="hy-AM"/>
              </w:rPr>
              <w:t>մայիս</w:t>
            </w:r>
          </w:p>
        </w:tc>
        <w:tc>
          <w:tcPr>
            <w:tcW w:w="1233" w:type="dxa"/>
            <w:tcBorders>
              <w:top w:val="single" w:sz="4" w:space="0" w:color="auto"/>
              <w:bottom w:val="single" w:sz="4" w:space="0" w:color="auto"/>
            </w:tcBorders>
            <w:shd w:val="clear" w:color="auto" w:fill="auto"/>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themeColor="text1"/>
                <w:sz w:val="18"/>
                <w:szCs w:val="18"/>
              </w:rPr>
            </w:pPr>
            <w:r w:rsidRPr="001D3687">
              <w:rPr>
                <w:rFonts w:ascii="GHEA Grapalat" w:eastAsia="Times New Roman" w:hAnsi="GHEA Grapalat" w:cs="Calibri"/>
                <w:color w:val="000000" w:themeColor="text1"/>
                <w:sz w:val="18"/>
                <w:szCs w:val="18"/>
                <w:lang w:val="hy-AM"/>
              </w:rPr>
              <w:t>2024թ</w:t>
            </w:r>
            <w:r w:rsidRPr="001D3687">
              <w:rPr>
                <w:rFonts w:ascii="Cambria Math" w:eastAsia="Times New Roman" w:hAnsi="Cambria Math" w:cs="Cambria Math"/>
                <w:color w:val="000000" w:themeColor="text1"/>
                <w:sz w:val="18"/>
                <w:szCs w:val="18"/>
                <w:lang w:val="hy-AM"/>
              </w:rPr>
              <w:t>․</w:t>
            </w:r>
            <w:r w:rsidRPr="001D3687">
              <w:rPr>
                <w:rFonts w:ascii="GHEA Grapalat" w:eastAsia="Times New Roman" w:hAnsi="GHEA Grapalat" w:cs="Calibri"/>
                <w:color w:val="000000" w:themeColor="text1"/>
                <w:sz w:val="18"/>
                <w:szCs w:val="18"/>
                <w:lang w:val="hy-AM"/>
              </w:rPr>
              <w:t xml:space="preserve"> </w:t>
            </w:r>
            <w:r w:rsidRPr="001D3687">
              <w:rPr>
                <w:rFonts w:ascii="GHEA Grapalat" w:eastAsia="Times New Roman" w:hAnsi="GHEA Grapalat" w:cs="GHEA Grapalat"/>
                <w:color w:val="000000" w:themeColor="text1"/>
                <w:sz w:val="18"/>
                <w:szCs w:val="18"/>
                <w:lang w:val="hy-AM"/>
              </w:rPr>
              <w:t>մայիս</w:t>
            </w:r>
          </w:p>
        </w:tc>
      </w:tr>
      <w:tr w:rsidR="001D3687" w:rsidRPr="001D3687" w:rsidTr="00C42AB8">
        <w:trPr>
          <w:trHeight w:val="578"/>
        </w:trPr>
        <w:tc>
          <w:tcPr>
            <w:cnfStyle w:val="001000000000" w:firstRow="0" w:lastRow="0" w:firstColumn="1" w:lastColumn="0" w:oddVBand="0" w:evenVBand="0" w:oddHBand="0" w:evenHBand="0" w:firstRowFirstColumn="0" w:firstRowLastColumn="0" w:lastRowFirstColumn="0" w:lastRowLastColumn="0"/>
            <w:tcW w:w="3076" w:type="dxa"/>
            <w:tcBorders>
              <w:bottom w:val="single" w:sz="4" w:space="0" w:color="auto"/>
            </w:tcBorders>
            <w:hideMark/>
          </w:tcPr>
          <w:p w:rsidR="001D3687" w:rsidRPr="001D3687" w:rsidRDefault="001D3687" w:rsidP="001D3687">
            <w:pPr>
              <w:tabs>
                <w:tab w:val="left" w:pos="0"/>
              </w:tabs>
              <w:spacing w:before="120"/>
              <w:jc w:val="both"/>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ՀՀ երկրի ռիսկի հավելավճար, բազիսային կետ</w:t>
            </w:r>
          </w:p>
        </w:tc>
        <w:tc>
          <w:tcPr>
            <w:tcW w:w="1541"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&lt;200</w:t>
            </w:r>
          </w:p>
        </w:tc>
        <w:tc>
          <w:tcPr>
            <w:tcW w:w="963"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200-600</w:t>
            </w:r>
          </w:p>
        </w:tc>
        <w:tc>
          <w:tcPr>
            <w:tcW w:w="1170"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GHEA Grapalat" w:eastAsia="Times New Roman" w:hAnsi="GHEA Grapalat" w:cs="Calibri"/>
                <w:sz w:val="18"/>
                <w:szCs w:val="18"/>
              </w:rPr>
              <w:t>&gt;600</w:t>
            </w:r>
          </w:p>
        </w:tc>
        <w:tc>
          <w:tcPr>
            <w:tcW w:w="1232" w:type="dxa"/>
            <w:tcBorders>
              <w:top w:val="single" w:sz="4" w:space="0" w:color="auto"/>
              <w:bottom w:val="single" w:sz="4" w:space="0" w:color="auto"/>
            </w:tcBorders>
            <w:vAlign w:val="center"/>
          </w:tcPr>
          <w:p w:rsidR="001D3687" w:rsidRPr="001D3687" w:rsidRDefault="001D3687" w:rsidP="001D3687">
            <w:pPr>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Calibri" w:eastAsiaTheme="minorEastAsia" w:hAnsi="Calibri"/>
                <w:color w:val="000000"/>
              </w:rPr>
              <w:t>371.4</w:t>
            </w:r>
          </w:p>
        </w:tc>
        <w:tc>
          <w:tcPr>
            <w:tcW w:w="1233" w:type="dxa"/>
            <w:tcBorders>
              <w:top w:val="single" w:sz="4" w:space="0" w:color="auto"/>
              <w:bottom w:val="single" w:sz="4" w:space="0" w:color="auto"/>
            </w:tcBorders>
            <w:vAlign w:val="center"/>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GHEA Grapalat" w:eastAsia="Times New Roman" w:hAnsi="GHEA Grapalat" w:cs="Calibri"/>
                <w:sz w:val="18"/>
                <w:szCs w:val="18"/>
              </w:rPr>
              <w:t>271.0</w:t>
            </w:r>
          </w:p>
        </w:tc>
      </w:tr>
      <w:tr w:rsidR="001D3687" w:rsidRPr="001D3687" w:rsidTr="00C42AB8">
        <w:trPr>
          <w:trHeight w:val="835"/>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auto"/>
              <w:bottom w:val="single" w:sz="4" w:space="0" w:color="auto"/>
            </w:tcBorders>
            <w:hideMark/>
          </w:tcPr>
          <w:p w:rsidR="001D3687" w:rsidRPr="001D3687" w:rsidRDefault="001D3687" w:rsidP="001D3687">
            <w:pPr>
              <w:tabs>
                <w:tab w:val="left" w:pos="0"/>
              </w:tabs>
              <w:spacing w:before="120"/>
              <w:jc w:val="both"/>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Ոչ ռեզիդենտների նկատմամբ պարտքի կշիռ, % ընդհանուր պարտքում</w:t>
            </w:r>
          </w:p>
        </w:tc>
        <w:tc>
          <w:tcPr>
            <w:tcW w:w="1541"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&lt;15</w:t>
            </w:r>
          </w:p>
        </w:tc>
        <w:tc>
          <w:tcPr>
            <w:tcW w:w="963"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15-45</w:t>
            </w:r>
          </w:p>
        </w:tc>
        <w:tc>
          <w:tcPr>
            <w:tcW w:w="1170"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&gt;45</w:t>
            </w:r>
          </w:p>
        </w:tc>
        <w:tc>
          <w:tcPr>
            <w:tcW w:w="1232" w:type="dxa"/>
            <w:tcBorders>
              <w:top w:val="single" w:sz="4" w:space="0" w:color="auto"/>
              <w:bottom w:val="single" w:sz="4" w:space="0" w:color="auto"/>
            </w:tcBorders>
            <w:vAlign w:val="center"/>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GHEA Grapalat" w:eastAsia="Times New Roman" w:hAnsi="GHEA Grapalat" w:cs="Calibri"/>
                <w:sz w:val="18"/>
                <w:szCs w:val="18"/>
              </w:rPr>
              <w:t>55.9</w:t>
            </w:r>
          </w:p>
        </w:tc>
        <w:tc>
          <w:tcPr>
            <w:tcW w:w="1233" w:type="dxa"/>
            <w:tcBorders>
              <w:top w:val="single" w:sz="4" w:space="0" w:color="auto"/>
              <w:bottom w:val="single" w:sz="4" w:space="0" w:color="auto"/>
            </w:tcBorders>
            <w:vAlign w:val="center"/>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GHEA Grapalat" w:eastAsia="Times New Roman" w:hAnsi="GHEA Grapalat" w:cs="Calibri"/>
                <w:sz w:val="18"/>
                <w:szCs w:val="18"/>
              </w:rPr>
              <w:t>49.8</w:t>
            </w:r>
          </w:p>
        </w:tc>
      </w:tr>
      <w:tr w:rsidR="001D3687" w:rsidRPr="001D3687" w:rsidTr="00C42AB8">
        <w:trPr>
          <w:trHeight w:val="681"/>
        </w:trPr>
        <w:tc>
          <w:tcPr>
            <w:cnfStyle w:val="001000000000" w:firstRow="0" w:lastRow="0" w:firstColumn="1" w:lastColumn="0" w:oddVBand="0" w:evenVBand="0" w:oddHBand="0" w:evenHBand="0" w:firstRowFirstColumn="0" w:firstRowLastColumn="0" w:lastRowFirstColumn="0" w:lastRowLastColumn="0"/>
            <w:tcW w:w="3076" w:type="dxa"/>
            <w:tcBorders>
              <w:top w:val="single" w:sz="4" w:space="0" w:color="auto"/>
              <w:bottom w:val="single" w:sz="4" w:space="0" w:color="auto"/>
            </w:tcBorders>
            <w:hideMark/>
          </w:tcPr>
          <w:p w:rsidR="001D3687" w:rsidRPr="001D3687" w:rsidRDefault="001D3687" w:rsidP="001D3687">
            <w:pPr>
              <w:tabs>
                <w:tab w:val="left" w:pos="0"/>
              </w:tabs>
              <w:spacing w:before="120"/>
              <w:jc w:val="both"/>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Արտարժութային պարտքի կշիռ, % ընդհանուր պարտքում</w:t>
            </w:r>
          </w:p>
        </w:tc>
        <w:tc>
          <w:tcPr>
            <w:tcW w:w="1541"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&lt;20</w:t>
            </w:r>
          </w:p>
        </w:tc>
        <w:tc>
          <w:tcPr>
            <w:tcW w:w="963"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20-60</w:t>
            </w:r>
          </w:p>
        </w:tc>
        <w:tc>
          <w:tcPr>
            <w:tcW w:w="1170" w:type="dxa"/>
            <w:tcBorders>
              <w:top w:val="single" w:sz="4" w:space="0" w:color="auto"/>
              <w:bottom w:val="single" w:sz="4" w:space="0" w:color="auto"/>
            </w:tcBorders>
            <w:noWrap/>
            <w:vAlign w:val="center"/>
            <w:hideMark/>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color w:val="000000"/>
                <w:sz w:val="18"/>
                <w:szCs w:val="18"/>
              </w:rPr>
            </w:pPr>
            <w:r w:rsidRPr="001D3687">
              <w:rPr>
                <w:rFonts w:ascii="GHEA Grapalat" w:eastAsia="Times New Roman" w:hAnsi="GHEA Grapalat" w:cs="Calibri"/>
                <w:color w:val="000000"/>
                <w:sz w:val="18"/>
                <w:szCs w:val="18"/>
              </w:rPr>
              <w:t>&gt;60</w:t>
            </w:r>
          </w:p>
        </w:tc>
        <w:tc>
          <w:tcPr>
            <w:tcW w:w="1232" w:type="dxa"/>
            <w:tcBorders>
              <w:top w:val="single" w:sz="4" w:space="0" w:color="auto"/>
              <w:bottom w:val="single" w:sz="4" w:space="0" w:color="auto"/>
            </w:tcBorders>
            <w:vAlign w:val="center"/>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GHEA Grapalat" w:eastAsia="Times New Roman" w:hAnsi="GHEA Grapalat" w:cs="Calibri"/>
                <w:sz w:val="18"/>
                <w:szCs w:val="18"/>
              </w:rPr>
              <w:t>59.2</w:t>
            </w:r>
          </w:p>
        </w:tc>
        <w:tc>
          <w:tcPr>
            <w:tcW w:w="1233" w:type="dxa"/>
            <w:tcBorders>
              <w:top w:val="single" w:sz="4" w:space="0" w:color="auto"/>
              <w:bottom w:val="single" w:sz="4" w:space="0" w:color="auto"/>
            </w:tcBorders>
            <w:vAlign w:val="center"/>
          </w:tcPr>
          <w:p w:rsidR="001D3687" w:rsidRPr="001D3687" w:rsidRDefault="001D3687" w:rsidP="001D3687">
            <w:pPr>
              <w:tabs>
                <w:tab w:val="left" w:pos="0"/>
              </w:tabs>
              <w:spacing w:before="120"/>
              <w:jc w:val="center"/>
              <w:cnfStyle w:val="000000000000" w:firstRow="0" w:lastRow="0" w:firstColumn="0" w:lastColumn="0" w:oddVBand="0" w:evenVBand="0" w:oddHBand="0" w:evenHBand="0" w:firstRowFirstColumn="0" w:firstRowLastColumn="0" w:lastRowFirstColumn="0" w:lastRowLastColumn="0"/>
              <w:rPr>
                <w:rFonts w:ascii="GHEA Grapalat" w:eastAsia="Times New Roman" w:hAnsi="GHEA Grapalat" w:cs="Calibri"/>
                <w:sz w:val="18"/>
                <w:szCs w:val="18"/>
              </w:rPr>
            </w:pPr>
            <w:r w:rsidRPr="001D3687">
              <w:rPr>
                <w:rFonts w:ascii="GHEA Grapalat" w:eastAsia="Times New Roman" w:hAnsi="GHEA Grapalat" w:cs="Calibri"/>
                <w:sz w:val="18"/>
                <w:szCs w:val="18"/>
              </w:rPr>
              <w:t>51.0</w:t>
            </w:r>
          </w:p>
        </w:tc>
      </w:tr>
    </w:tbl>
    <w:p w:rsidR="001D3687" w:rsidRPr="001D3687" w:rsidRDefault="001D3687" w:rsidP="001D3687">
      <w:pPr>
        <w:tabs>
          <w:tab w:val="left" w:pos="0"/>
        </w:tabs>
        <w:spacing w:before="120" w:after="0" w:line="276" w:lineRule="auto"/>
        <w:jc w:val="both"/>
        <w:rPr>
          <w:rFonts w:ascii="GHEA Grapalat" w:eastAsia="Times New Roman" w:hAnsi="GHEA Grapalat" w:cs="Times New Roman"/>
          <w:lang w:val="hy-AM"/>
        </w:rPr>
      </w:pPr>
    </w:p>
    <w:p w:rsidR="001D3687" w:rsidRPr="001D3687" w:rsidRDefault="001D3687" w:rsidP="001D3687">
      <w:pPr>
        <w:tabs>
          <w:tab w:val="left" w:pos="0"/>
        </w:tabs>
        <w:spacing w:before="120" w:after="0" w:line="276" w:lineRule="auto"/>
        <w:jc w:val="both"/>
        <w:rPr>
          <w:rFonts w:ascii="GHEA Grapalat" w:eastAsia="Times New Roman" w:hAnsi="GHEA Grapalat" w:cs="Times New Roman"/>
          <w:lang w:val="hy-AM"/>
        </w:rPr>
      </w:pPr>
      <w:r w:rsidRPr="001D3687">
        <w:rPr>
          <w:rFonts w:ascii="GHEA Grapalat" w:eastAsiaTheme="minorEastAsia" w:hAnsi="GHEA Grapalat" w:cs="Sylfaen"/>
          <w:b/>
          <w:bCs/>
          <w:i/>
          <w:lang w:val="hy-AM"/>
        </w:rPr>
        <w:t xml:space="preserve">Գծապատկեր 4.3. </w:t>
      </w:r>
      <w:r w:rsidRPr="001D3687">
        <w:rPr>
          <w:rFonts w:ascii="GHEA Grapalat" w:eastAsiaTheme="minorEastAsia" w:hAnsi="GHEA Grapalat" w:cs="Sylfaen"/>
          <w:bCs/>
          <w:i/>
          <w:lang w:val="hy-AM"/>
        </w:rPr>
        <w:t>ՀՀ կառավարության պարտքը տարբեր սցենարների դեպքում</w:t>
      </w:r>
    </w:p>
    <w:p w:rsidR="001D3687" w:rsidRPr="001D3687" w:rsidRDefault="001D3687" w:rsidP="00AF1262">
      <w:pPr>
        <w:tabs>
          <w:tab w:val="left" w:pos="0"/>
        </w:tabs>
        <w:spacing w:before="120" w:after="0" w:line="276" w:lineRule="auto"/>
        <w:jc w:val="both"/>
        <w:rPr>
          <w:rFonts w:ascii="GHEA Grapalat" w:eastAsia="Calibri" w:hAnsi="GHEA Grapalat" w:cs="Times New Roman"/>
          <w:i/>
          <w:sz w:val="18"/>
          <w:szCs w:val="16"/>
          <w:lang w:val="hy-AM"/>
        </w:rPr>
      </w:pPr>
      <w:r w:rsidRPr="001D3687">
        <w:rPr>
          <w:rFonts w:ascii="GHEA Grapalat" w:eastAsia="Times New Roman" w:hAnsi="GHEA Grapalat" w:cs="Times New Roman"/>
          <w:noProof/>
        </w:rPr>
        <w:drawing>
          <wp:inline distT="0" distB="0" distL="0" distR="0" wp14:anchorId="5DAE7F40" wp14:editId="0A54AB52">
            <wp:extent cx="6067425" cy="29241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16"/>
    <w:p w:rsidR="003B68FF" w:rsidRDefault="00775D4D"/>
    <w:sectPr w:rsidR="003B6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87" w:rsidRDefault="001D3687" w:rsidP="001D3687">
      <w:pPr>
        <w:spacing w:after="0" w:line="240" w:lineRule="auto"/>
      </w:pPr>
      <w:r>
        <w:separator/>
      </w:r>
    </w:p>
  </w:endnote>
  <w:endnote w:type="continuationSeparator" w:id="0">
    <w:p w:rsidR="001D3687" w:rsidRDefault="001D3687" w:rsidP="001D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Unicode">
    <w:panose1 w:val="020206030504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87" w:rsidRDefault="001D3687" w:rsidP="001D3687">
      <w:pPr>
        <w:spacing w:after="0" w:line="240" w:lineRule="auto"/>
      </w:pPr>
      <w:r>
        <w:separator/>
      </w:r>
    </w:p>
  </w:footnote>
  <w:footnote w:type="continuationSeparator" w:id="0">
    <w:p w:rsidR="001D3687" w:rsidRDefault="001D3687" w:rsidP="001D3687">
      <w:pPr>
        <w:spacing w:after="0" w:line="240" w:lineRule="auto"/>
      </w:pPr>
      <w:r>
        <w:continuationSeparator/>
      </w:r>
    </w:p>
  </w:footnote>
  <w:footnote w:id="1">
    <w:p w:rsidR="001D3687" w:rsidRPr="00F772B5" w:rsidRDefault="001D3687" w:rsidP="001D3687">
      <w:pPr>
        <w:pStyle w:val="FootnoteText"/>
      </w:pPr>
      <w:r>
        <w:rPr>
          <w:rStyle w:val="FootnoteReference"/>
        </w:rPr>
        <w:footnoteRef/>
      </w:r>
      <w:r>
        <w:t xml:space="preserve"> </w:t>
      </w:r>
      <w:r>
        <w:rPr>
          <w:lang w:val="hy-AM"/>
        </w:rPr>
        <w:t xml:space="preserve">Տե՛ս </w:t>
      </w:r>
      <w:r w:rsidRPr="00175B39">
        <w:rPr>
          <w:lang w:val="hy-AM"/>
        </w:rPr>
        <w:t>Babajanyan, V., Baksa, D., Fukac, M. M., Hakobyan, E., Harutyunyan, A., Karapetyan, N., ... &amp; Zanna, L. F. (2022). The ararat fiscal strategy model: a structural framework for fiscal policy analysis in Armenia. International Monetary Fund.</w:t>
      </w:r>
      <w:r>
        <w:t xml:space="preserve"> </w:t>
      </w:r>
      <w:hyperlink r:id="rId1" w:history="1">
        <w:r w:rsidRPr="0022219E">
          <w:rPr>
            <w:rStyle w:val="Hyperlink"/>
          </w:rPr>
          <w:t>https://www.imf.org/en/Publications/WP/Issues/2022/06/10/The-Ararat-Fiscal-Strategy-Model-A-Structural-Framework-for-Fiscal-Policy-Analysis-in-519522</w:t>
        </w:r>
      </w:hyperlink>
      <w:r>
        <w:t xml:space="preserve"> </w:t>
      </w:r>
    </w:p>
  </w:footnote>
  <w:footnote w:id="2">
    <w:p w:rsidR="001D3687" w:rsidRPr="009E37B9" w:rsidRDefault="001D3687" w:rsidP="001D3687">
      <w:pPr>
        <w:pStyle w:val="FootnoteText"/>
        <w:spacing w:line="276" w:lineRule="auto"/>
        <w:rPr>
          <w:szCs w:val="16"/>
          <w:lang w:val="ro-RO"/>
        </w:rPr>
      </w:pPr>
      <w:r w:rsidRPr="009E37B9">
        <w:rPr>
          <w:rStyle w:val="FootnoteReference"/>
          <w:rFonts w:eastAsia="Times New Roman"/>
          <w:szCs w:val="16"/>
        </w:rPr>
        <w:footnoteRef/>
      </w:r>
      <w:r w:rsidRPr="009E37B9">
        <w:rPr>
          <w:szCs w:val="16"/>
          <w:lang w:val="hy-AM"/>
        </w:rPr>
        <w:t>ՀՆԱ</w:t>
      </w:r>
      <w:r w:rsidRPr="009E37B9">
        <w:rPr>
          <w:szCs w:val="16"/>
          <w:lang w:val="ro-RO"/>
        </w:rPr>
        <w:t xml:space="preserve">, </w:t>
      </w:r>
      <w:r w:rsidRPr="009E37B9">
        <w:rPr>
          <w:szCs w:val="16"/>
          <w:lang w:val="hy-AM"/>
        </w:rPr>
        <w:t>ներմուծման</w:t>
      </w:r>
      <w:r w:rsidRPr="009E37B9">
        <w:rPr>
          <w:szCs w:val="16"/>
          <w:lang w:val="ro-RO"/>
        </w:rPr>
        <w:t xml:space="preserve">, </w:t>
      </w:r>
      <w:r w:rsidRPr="009E37B9">
        <w:rPr>
          <w:szCs w:val="16"/>
          <w:lang w:val="hy-AM"/>
        </w:rPr>
        <w:t>փոխարժեքի</w:t>
      </w:r>
      <w:r w:rsidRPr="009E37B9">
        <w:rPr>
          <w:szCs w:val="16"/>
          <w:lang w:val="sk-SK"/>
        </w:rPr>
        <w:t xml:space="preserve"> </w:t>
      </w:r>
      <w:r w:rsidRPr="009E37B9">
        <w:rPr>
          <w:szCs w:val="16"/>
          <w:lang w:val="hy-AM"/>
        </w:rPr>
        <w:t>և</w:t>
      </w:r>
      <w:r w:rsidRPr="009E37B9">
        <w:rPr>
          <w:szCs w:val="16"/>
          <w:lang w:val="sk-SK"/>
        </w:rPr>
        <w:t xml:space="preserve"> </w:t>
      </w:r>
      <w:r w:rsidRPr="009E37B9">
        <w:rPr>
          <w:szCs w:val="16"/>
          <w:lang w:val="hy-AM"/>
        </w:rPr>
        <w:t>գների</w:t>
      </w:r>
      <w:r w:rsidRPr="009E37B9">
        <w:rPr>
          <w:szCs w:val="16"/>
          <w:lang w:val="sk-SK"/>
        </w:rPr>
        <w:t xml:space="preserve"> </w:t>
      </w:r>
      <w:r w:rsidRPr="009E37B9">
        <w:rPr>
          <w:szCs w:val="16"/>
          <w:lang w:val="hy-AM"/>
        </w:rPr>
        <w:t>գծով</w:t>
      </w:r>
      <w:r w:rsidRPr="009E37B9">
        <w:rPr>
          <w:szCs w:val="16"/>
          <w:lang w:val="sk-SK"/>
        </w:rPr>
        <w:t xml:space="preserve"> </w:t>
      </w:r>
      <w:r w:rsidRPr="009E37B9">
        <w:rPr>
          <w:szCs w:val="16"/>
          <w:lang w:val="hy-AM"/>
        </w:rPr>
        <w:t>հավանական</w:t>
      </w:r>
      <w:r w:rsidRPr="009E37B9">
        <w:rPr>
          <w:szCs w:val="16"/>
          <w:lang w:val="sk-SK"/>
        </w:rPr>
        <w:t xml:space="preserve"> </w:t>
      </w:r>
      <w:r w:rsidRPr="009E37B9">
        <w:rPr>
          <w:szCs w:val="16"/>
          <w:lang w:val="hy-AM"/>
        </w:rPr>
        <w:t>ռիսկերի</w:t>
      </w:r>
      <w:r w:rsidRPr="009E37B9">
        <w:rPr>
          <w:szCs w:val="16"/>
          <w:lang w:val="sk-SK"/>
        </w:rPr>
        <w:t xml:space="preserve"> </w:t>
      </w:r>
      <w:r w:rsidRPr="009E37B9">
        <w:rPr>
          <w:szCs w:val="16"/>
          <w:lang w:val="hy-AM"/>
        </w:rPr>
        <w:t>քանակային</w:t>
      </w:r>
      <w:r w:rsidRPr="009E37B9">
        <w:rPr>
          <w:szCs w:val="16"/>
          <w:lang w:val="sk-SK"/>
        </w:rPr>
        <w:t xml:space="preserve"> </w:t>
      </w:r>
      <w:r w:rsidRPr="009E37B9">
        <w:rPr>
          <w:szCs w:val="16"/>
          <w:lang w:val="hy-AM"/>
        </w:rPr>
        <w:t>գնահատականը</w:t>
      </w:r>
      <w:r w:rsidRPr="009E37B9">
        <w:rPr>
          <w:szCs w:val="16"/>
          <w:lang w:val="sk-SK"/>
        </w:rPr>
        <w:t xml:space="preserve"> </w:t>
      </w:r>
      <w:r w:rsidRPr="009E37B9">
        <w:rPr>
          <w:szCs w:val="16"/>
          <w:lang w:val="hy-AM"/>
        </w:rPr>
        <w:t>ստացվել</w:t>
      </w:r>
      <w:r w:rsidRPr="009E37B9">
        <w:rPr>
          <w:szCs w:val="16"/>
          <w:lang w:val="sk-SK"/>
        </w:rPr>
        <w:t xml:space="preserve"> </w:t>
      </w:r>
      <w:r w:rsidRPr="009E37B9">
        <w:rPr>
          <w:szCs w:val="16"/>
          <w:lang w:val="hy-AM"/>
        </w:rPr>
        <w:t>է</w:t>
      </w:r>
      <w:r w:rsidRPr="009E37B9">
        <w:rPr>
          <w:szCs w:val="16"/>
          <w:lang w:val="sk-SK"/>
        </w:rPr>
        <w:t xml:space="preserve">` </w:t>
      </w:r>
      <w:r w:rsidRPr="009E37B9">
        <w:rPr>
          <w:szCs w:val="16"/>
          <w:lang w:val="hy-AM"/>
        </w:rPr>
        <w:t>հիմք</w:t>
      </w:r>
      <w:r w:rsidRPr="009E37B9">
        <w:rPr>
          <w:szCs w:val="16"/>
          <w:lang w:val="sk-SK"/>
        </w:rPr>
        <w:t xml:space="preserve"> ըն</w:t>
      </w:r>
      <w:r w:rsidRPr="009E37B9">
        <w:rPr>
          <w:szCs w:val="16"/>
          <w:lang w:val="hy-AM"/>
        </w:rPr>
        <w:t>դունելով</w:t>
      </w:r>
      <w:r w:rsidRPr="009E37B9">
        <w:rPr>
          <w:szCs w:val="16"/>
          <w:lang w:val="sk-SK"/>
        </w:rPr>
        <w:t xml:space="preserve"> </w:t>
      </w:r>
      <w:r w:rsidRPr="009E37B9">
        <w:rPr>
          <w:szCs w:val="16"/>
          <w:lang w:val="hy-AM"/>
        </w:rPr>
        <w:t>այս</w:t>
      </w:r>
      <w:r w:rsidRPr="009E37B9">
        <w:rPr>
          <w:szCs w:val="16"/>
          <w:lang w:val="sk-SK"/>
        </w:rPr>
        <w:t xml:space="preserve"> </w:t>
      </w:r>
      <w:r w:rsidRPr="009E37B9">
        <w:rPr>
          <w:szCs w:val="16"/>
          <w:lang w:val="hy-AM"/>
        </w:rPr>
        <w:t>գործոնների</w:t>
      </w:r>
      <w:r w:rsidRPr="009E37B9">
        <w:rPr>
          <w:szCs w:val="16"/>
          <w:lang w:val="sk-SK"/>
        </w:rPr>
        <w:t xml:space="preserve"> </w:t>
      </w:r>
      <w:r w:rsidRPr="009E37B9">
        <w:rPr>
          <w:szCs w:val="16"/>
          <w:lang w:val="hy-AM"/>
        </w:rPr>
        <w:t>պատմական</w:t>
      </w:r>
      <w:r w:rsidRPr="009E37B9">
        <w:rPr>
          <w:szCs w:val="16"/>
          <w:lang w:val="sk-SK"/>
        </w:rPr>
        <w:t xml:space="preserve"> </w:t>
      </w:r>
      <w:r w:rsidRPr="009E37B9">
        <w:rPr>
          <w:szCs w:val="16"/>
          <w:lang w:val="hy-AM"/>
        </w:rPr>
        <w:t>շարժի</w:t>
      </w:r>
      <w:r w:rsidRPr="009E37B9">
        <w:rPr>
          <w:szCs w:val="16"/>
          <w:lang w:val="sk-SK"/>
        </w:rPr>
        <w:t xml:space="preserve"> </w:t>
      </w:r>
      <w:r w:rsidRPr="009E37B9">
        <w:rPr>
          <w:szCs w:val="16"/>
          <w:lang w:val="hy-AM"/>
        </w:rPr>
        <w:t>բացարձակ</w:t>
      </w:r>
      <w:r w:rsidRPr="009E37B9">
        <w:rPr>
          <w:szCs w:val="16"/>
          <w:lang w:val="sk-SK"/>
        </w:rPr>
        <w:t xml:space="preserve"> </w:t>
      </w:r>
      <w:r w:rsidRPr="009E37B9">
        <w:rPr>
          <w:szCs w:val="16"/>
          <w:lang w:val="hy-AM"/>
        </w:rPr>
        <w:t>միջին</w:t>
      </w:r>
      <w:r w:rsidRPr="009E37B9">
        <w:rPr>
          <w:szCs w:val="16"/>
          <w:lang w:val="sk-SK"/>
        </w:rPr>
        <w:t xml:space="preserve"> </w:t>
      </w:r>
      <w:r w:rsidRPr="009E37B9">
        <w:rPr>
          <w:szCs w:val="16"/>
          <w:lang w:val="hy-AM"/>
        </w:rPr>
        <w:t>սխալը</w:t>
      </w:r>
      <w:r w:rsidRPr="009E37B9">
        <w:rPr>
          <w:szCs w:val="16"/>
          <w:lang w:val="ro-RO"/>
        </w:rPr>
        <w:t>:</w:t>
      </w:r>
    </w:p>
  </w:footnote>
  <w:footnote w:id="3">
    <w:p w:rsidR="001D3687" w:rsidRPr="009E37B9" w:rsidRDefault="001D3687" w:rsidP="001D3687">
      <w:pPr>
        <w:pStyle w:val="FootnoteText"/>
        <w:spacing w:line="276" w:lineRule="auto"/>
        <w:rPr>
          <w:szCs w:val="16"/>
          <w:lang w:val="ro-RO"/>
        </w:rPr>
      </w:pPr>
      <w:r w:rsidRPr="009E37B9">
        <w:rPr>
          <w:rStyle w:val="FootnoteReference"/>
          <w:szCs w:val="16"/>
        </w:rPr>
        <w:footnoteRef/>
      </w:r>
      <w:r w:rsidRPr="009E37B9">
        <w:rPr>
          <w:szCs w:val="16"/>
          <w:lang w:val="ro-RO"/>
        </w:rPr>
        <w:t xml:space="preserve"> Ընդհանուր ազդեցության գնահատականը հիմնված է մակրոտնտեսական ռիսկերի առանձին հանդես գալու ենթադրության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10CF4"/>
    <w:multiLevelType w:val="hybridMultilevel"/>
    <w:tmpl w:val="DCBE01B6"/>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79"/>
    <w:rsid w:val="000A1B79"/>
    <w:rsid w:val="001D3687"/>
    <w:rsid w:val="002A57DB"/>
    <w:rsid w:val="00775D4D"/>
    <w:rsid w:val="00AF1262"/>
    <w:rsid w:val="00BA5435"/>
    <w:rsid w:val="00D1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D2CC0-B092-4084-A050-508408F1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1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Paranum,Text,Body"/>
    <w:basedOn w:val="ListParagraph"/>
    <w:next w:val="Normal"/>
    <w:link w:val="Heading2Char"/>
    <w:unhideWhenUsed/>
    <w:qFormat/>
    <w:rsid w:val="00AF1262"/>
    <w:pPr>
      <w:keepNext/>
      <w:keepLines/>
      <w:spacing w:before="40" w:after="240" w:line="288" w:lineRule="auto"/>
      <w:ind w:left="0"/>
      <w:outlineLvl w:val="1"/>
    </w:pPr>
    <w:rPr>
      <w:rFonts w:ascii="GHEA Grapalat" w:eastAsiaTheme="majorEastAsia" w:hAnsi="GHEA Grapalat" w:cstheme="majorBidi"/>
      <w:b/>
      <w:bCs/>
      <w:caps/>
      <w:color w:val="44546A" w:themeColor="text2"/>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3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3687"/>
    <w:rPr>
      <w:sz w:val="20"/>
      <w:szCs w:val="20"/>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BVI fnr Char Char Char"/>
    <w:link w:val="BVIfnr1"/>
    <w:uiPriority w:val="99"/>
    <w:qFormat/>
    <w:rsid w:val="001D3687"/>
    <w:rPr>
      <w:vertAlign w:val="superscript"/>
    </w:rPr>
  </w:style>
  <w:style w:type="character" w:styleId="Hyperlink">
    <w:name w:val="Hyperlink"/>
    <w:uiPriority w:val="99"/>
    <w:rsid w:val="001D3687"/>
    <w:rPr>
      <w:color w:val="0000FF"/>
      <w:u w:val="single"/>
    </w:rPr>
  </w:style>
  <w:style w:type="paragraph" w:customStyle="1" w:styleId="BVIfnr1">
    <w:name w:val="BVI fnr1"/>
    <w:aliases w:val="BVI fnr Char,Appel note de bas de p..BVI fnr Car Car Car Car,BVI fnr Car Car,BVI fnr Car,BVI fnr Car Car Car Car,BVI fnr Car Car Car Car Char,Appel note de bas de p..BVI fnr Car Car Car Car1,BVI fnr, BVI fnr Char, BVI fnr Car Car, BVI fnr"/>
    <w:basedOn w:val="Normal"/>
    <w:link w:val="FootnoteReference"/>
    <w:uiPriority w:val="99"/>
    <w:rsid w:val="001D3687"/>
    <w:pPr>
      <w:spacing w:line="240" w:lineRule="exact"/>
    </w:pPr>
    <w:rPr>
      <w:vertAlign w:val="superscript"/>
    </w:rPr>
  </w:style>
  <w:style w:type="table" w:customStyle="1" w:styleId="GridTable1Light-Accent115">
    <w:name w:val="Grid Table 1 Light - Accent 115"/>
    <w:basedOn w:val="TableNormal"/>
    <w:uiPriority w:val="46"/>
    <w:rsid w:val="001D3687"/>
    <w:pPr>
      <w:spacing w:after="0" w:line="240" w:lineRule="auto"/>
    </w:pPr>
    <w:rPr>
      <w:sz w:val="20"/>
      <w:szCs w:val="20"/>
    </w:r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OC1">
    <w:name w:val="toc 1"/>
    <w:basedOn w:val="Normal"/>
    <w:next w:val="Normal"/>
    <w:uiPriority w:val="39"/>
    <w:qFormat/>
    <w:rsid w:val="00AF1262"/>
    <w:pPr>
      <w:spacing w:before="120" w:after="0" w:line="312" w:lineRule="auto"/>
      <w:ind w:firstLine="567"/>
    </w:pPr>
    <w:rPr>
      <w:rFonts w:eastAsiaTheme="minorEastAsia" w:cstheme="minorHAnsi"/>
      <w:b/>
      <w:bCs/>
      <w:i/>
      <w:iCs/>
      <w:sz w:val="24"/>
      <w:szCs w:val="24"/>
    </w:rPr>
  </w:style>
  <w:style w:type="paragraph" w:styleId="TOC2">
    <w:name w:val="toc 2"/>
    <w:basedOn w:val="Normal"/>
    <w:next w:val="Normal"/>
    <w:uiPriority w:val="39"/>
    <w:qFormat/>
    <w:rsid w:val="00AF1262"/>
    <w:pPr>
      <w:spacing w:before="120" w:after="0" w:line="312" w:lineRule="auto"/>
      <w:ind w:left="220" w:firstLine="567"/>
    </w:pPr>
    <w:rPr>
      <w:rFonts w:eastAsiaTheme="minorEastAsia" w:cstheme="minorHAnsi"/>
      <w:b/>
      <w:bCs/>
    </w:rPr>
  </w:style>
  <w:style w:type="paragraph" w:styleId="TOC3">
    <w:name w:val="toc 3"/>
    <w:basedOn w:val="Normal"/>
    <w:next w:val="Normal"/>
    <w:uiPriority w:val="39"/>
    <w:qFormat/>
    <w:rsid w:val="00AF1262"/>
    <w:pPr>
      <w:spacing w:after="0" w:line="312" w:lineRule="auto"/>
      <w:ind w:left="440" w:firstLine="567"/>
    </w:pPr>
    <w:rPr>
      <w:rFonts w:eastAsiaTheme="minorEastAsia" w:cstheme="minorHAnsi"/>
      <w:sz w:val="20"/>
      <w:szCs w:val="20"/>
    </w:rPr>
  </w:style>
  <w:style w:type="paragraph" w:customStyle="1" w:styleId="mechtex">
    <w:name w:val="mechtex"/>
    <w:basedOn w:val="Normal"/>
    <w:link w:val="mechtexChar"/>
    <w:rsid w:val="00AF1262"/>
    <w:pPr>
      <w:spacing w:before="40" w:after="60" w:line="312" w:lineRule="auto"/>
      <w:ind w:firstLine="567"/>
      <w:jc w:val="center"/>
    </w:pPr>
    <w:rPr>
      <w:rFonts w:ascii="GHEA Grapalat" w:eastAsiaTheme="minorEastAsia" w:hAnsi="GHEA Grapalat"/>
    </w:rPr>
  </w:style>
  <w:style w:type="character" w:customStyle="1" w:styleId="mechtexChar">
    <w:name w:val="mechtex Char"/>
    <w:link w:val="mechtex"/>
    <w:locked/>
    <w:rsid w:val="00AF1262"/>
    <w:rPr>
      <w:rFonts w:ascii="GHEA Grapalat" w:eastAsiaTheme="minorEastAsia" w:hAnsi="GHEA Grapalat"/>
    </w:rPr>
  </w:style>
  <w:style w:type="character" w:customStyle="1" w:styleId="Heading1Char">
    <w:name w:val="Heading 1 Char"/>
    <w:basedOn w:val="DefaultParagraphFont"/>
    <w:link w:val="Heading1"/>
    <w:uiPriority w:val="9"/>
    <w:rsid w:val="00AF126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F1262"/>
    <w:pPr>
      <w:outlineLvl w:val="9"/>
    </w:pPr>
  </w:style>
  <w:style w:type="character" w:customStyle="1" w:styleId="Heading2Char">
    <w:name w:val="Heading 2 Char"/>
    <w:aliases w:val="(Chapter) Char,Paranum Char,Text Char,Body Char"/>
    <w:basedOn w:val="DefaultParagraphFont"/>
    <w:link w:val="Heading2"/>
    <w:uiPriority w:val="9"/>
    <w:rsid w:val="00AF1262"/>
    <w:rPr>
      <w:rFonts w:ascii="GHEA Grapalat" w:eastAsiaTheme="majorEastAsia" w:hAnsi="GHEA Grapalat" w:cstheme="majorBidi"/>
      <w:b/>
      <w:bCs/>
      <w:caps/>
      <w:color w:val="44546A" w:themeColor="text2"/>
      <w:sz w:val="26"/>
      <w:szCs w:val="26"/>
      <w:lang w:val="es-ES"/>
    </w:rPr>
  </w:style>
  <w:style w:type="paragraph" w:styleId="ListParagraph">
    <w:name w:val="List Paragraph"/>
    <w:basedOn w:val="Normal"/>
    <w:uiPriority w:val="34"/>
    <w:qFormat/>
    <w:rsid w:val="00AF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Publications/WP/Issues/2022/06/10/The-Ararat-Fiscal-Strategy-Model-A-Structural-Framework-for-Fiscal-Policy-Analysis-in-519522"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areaChart>
        <c:grouping val="stacked"/>
        <c:varyColors val="0"/>
        <c:ser>
          <c:idx val="0"/>
          <c:order val="0"/>
          <c:tx>
            <c:strRef>
              <c:f>'[Risks_for_MTEF_2024-2027_01.07.24.xlsx]Sheet9'!$B$3</c:f>
              <c:strCache>
                <c:ptCount val="1"/>
              </c:strCache>
            </c:strRef>
          </c:tx>
          <c:spPr>
            <a:no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'[Risks_for_MTEF_2024-2027_01.07.24.xlsx]Sheet9'!$B$4:$B$107</c:f>
              <c:numCache>
                <c:formatCode>General</c:formatCode>
                <c:ptCount val="7"/>
                <c:pt idx="0">
                  <c:v>16.202441463996365</c:v>
                </c:pt>
                <c:pt idx="1">
                  <c:v>21.919592453534747</c:v>
                </c:pt>
                <c:pt idx="2">
                  <c:v>15.867840863060877</c:v>
                </c:pt>
                <c:pt idx="3">
                  <c:v>-0.4470433979029238</c:v>
                </c:pt>
                <c:pt idx="4">
                  <c:v>1.2566299541738761</c:v>
                </c:pt>
                <c:pt idx="5">
                  <c:v>-0.10772832906490137</c:v>
                </c:pt>
                <c:pt idx="6">
                  <c:v>-2.219253762912361</c:v>
                </c:pt>
              </c:numCache>
            </c:numRef>
          </c:val>
          <c:extLst>
            <c:ext xmlns:c16="http://schemas.microsoft.com/office/drawing/2014/chart" uri="{C3380CC4-5D6E-409C-BE32-E72D297353CC}">
              <c16:uniqueId val="{00000000-0C4D-4DC9-8978-8D46512DB7FE}"/>
            </c:ext>
          </c:extLst>
        </c:ser>
        <c:ser>
          <c:idx val="1"/>
          <c:order val="1"/>
          <c:tx>
            <c:strRef>
              <c:f>'[Risks_for_MTEF_2024-2027_01.07.24.xlsx]Sheet9'!$C$3</c:f>
              <c:strCache>
                <c:ptCount val="1"/>
              </c:strCache>
            </c:strRef>
          </c:tx>
          <c:spPr>
            <a:solidFill>
              <a:srgbClr val="FF0000">
                <a:alpha val="2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'[Risks_for_MTEF_2024-2027_01.07.24.xlsx]Sheet9'!$C$4:$C$107</c:f>
              <c:numCache>
                <c:formatCode>General</c:formatCode>
                <c:ptCount val="7"/>
                <c:pt idx="3">
                  <c:v>2.264963298568615</c:v>
                </c:pt>
                <c:pt idx="4">
                  <c:v>2.512310542430086</c:v>
                </c:pt>
                <c:pt idx="5">
                  <c:v>2.9273906779625669</c:v>
                </c:pt>
                <c:pt idx="6">
                  <c:v>2.9837731482231593</c:v>
                </c:pt>
              </c:numCache>
            </c:numRef>
          </c:val>
          <c:extLst>
            <c:ext xmlns:c16="http://schemas.microsoft.com/office/drawing/2014/chart" uri="{C3380CC4-5D6E-409C-BE32-E72D297353CC}">
              <c16:uniqueId val="{00000001-0C4D-4DC9-8978-8D46512DB7FE}"/>
            </c:ext>
          </c:extLst>
        </c:ser>
        <c:ser>
          <c:idx val="2"/>
          <c:order val="2"/>
          <c:tx>
            <c:strRef>
              <c:f>'[Risks_for_MTEF_2024-2027_01.07.24.xlsx]Sheet9'!$D$3</c:f>
              <c:strCache>
                <c:ptCount val="1"/>
              </c:strCache>
            </c:strRef>
          </c:tx>
          <c:spPr>
            <a:solidFill>
              <a:srgbClr val="FF0000">
                <a:alpha val="3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'[Risks_for_MTEF_2024-2027_01.07.24.xlsx]Sheet9'!$D$4:$D$107</c:f>
              <c:numCache>
                <c:formatCode>General</c:formatCode>
                <c:ptCount val="7"/>
                <c:pt idx="3">
                  <c:v>1.5281599846068668</c:v>
                </c:pt>
                <c:pt idx="4">
                  <c:v>1.695043995756528</c:v>
                </c:pt>
                <c:pt idx="5">
                  <c:v>1.9750965926029291</c:v>
                </c:pt>
                <c:pt idx="6">
                  <c:v>2.0131375776113707</c:v>
                </c:pt>
              </c:numCache>
            </c:numRef>
          </c:val>
          <c:extLst>
            <c:ext xmlns:c16="http://schemas.microsoft.com/office/drawing/2014/chart" uri="{C3380CC4-5D6E-409C-BE32-E72D297353CC}">
              <c16:uniqueId val="{00000002-0C4D-4DC9-8978-8D46512DB7FE}"/>
            </c:ext>
          </c:extLst>
        </c:ser>
        <c:ser>
          <c:idx val="3"/>
          <c:order val="3"/>
          <c:tx>
            <c:strRef>
              <c:f>'[Risks_for_MTEF_2024-2027_01.07.24.xlsx]Sheet9'!$E$3</c:f>
              <c:strCache>
                <c:ptCount val="1"/>
              </c:strCache>
            </c:strRef>
          </c:tx>
          <c:spPr>
            <a:solidFill>
              <a:srgbClr val="FF0000">
                <a:alpha val="4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'[Risks_for_MTEF_2024-2027_01.07.24.xlsx]Sheet9'!$E$4:$E$107</c:f>
              <c:numCache>
                <c:formatCode>General</c:formatCode>
                <c:ptCount val="7"/>
                <c:pt idx="3">
                  <c:v>1.2145331121081906</c:v>
                </c:pt>
                <c:pt idx="4">
                  <c:v>1.3471672338391274</c:v>
                </c:pt>
                <c:pt idx="5">
                  <c:v>1.5697441599646638</c:v>
                </c:pt>
                <c:pt idx="6">
                  <c:v>1.5999779289256075</c:v>
                </c:pt>
              </c:numCache>
            </c:numRef>
          </c:val>
          <c:extLst>
            <c:ext xmlns:c16="http://schemas.microsoft.com/office/drawing/2014/chart" uri="{C3380CC4-5D6E-409C-BE32-E72D297353CC}">
              <c16:uniqueId val="{00000003-0C4D-4DC9-8978-8D46512DB7FE}"/>
            </c:ext>
          </c:extLst>
        </c:ser>
        <c:ser>
          <c:idx val="4"/>
          <c:order val="4"/>
          <c:tx>
            <c:strRef>
              <c:f>'[Risks_for_MTEF_2024-2027_01.07.24.xlsx]Sheet9'!$F$3</c:f>
              <c:strCache>
                <c:ptCount val="1"/>
              </c:strCache>
            </c:strRef>
          </c:tx>
          <c:spPr>
            <a:solidFill>
              <a:srgbClr val="FF0000">
                <a:alpha val="5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'[Risks_for_MTEF_2024-2027_01.07.24.xlsx]Sheet9'!$F$4:$F$107</c:f>
              <c:numCache>
                <c:formatCode>General</c:formatCode>
                <c:ptCount val="7"/>
                <c:pt idx="3">
                  <c:v>1.0419612661099418</c:v>
                </c:pt>
                <c:pt idx="4">
                  <c:v>1.1557495325889526</c:v>
                </c:pt>
                <c:pt idx="5">
                  <c:v>1.3467007165793659</c:v>
                </c:pt>
                <c:pt idx="6">
                  <c:v>1.3726385982820224</c:v>
                </c:pt>
              </c:numCache>
            </c:numRef>
          </c:val>
          <c:extLst>
            <c:ext xmlns:c16="http://schemas.microsoft.com/office/drawing/2014/chart" uri="{C3380CC4-5D6E-409C-BE32-E72D297353CC}">
              <c16:uniqueId val="{00000004-0C4D-4DC9-8978-8D46512DB7FE}"/>
            </c:ext>
          </c:extLst>
        </c:ser>
        <c:ser>
          <c:idx val="5"/>
          <c:order val="5"/>
          <c:tx>
            <c:strRef>
              <c:f>'[Risks_for_MTEF_2024-2027_01.07.24.xlsx]Sheet9'!$G$3</c:f>
              <c:strCache>
                <c:ptCount val="1"/>
              </c:strCache>
            </c:strRef>
          </c:tx>
          <c:spPr>
            <a:solidFill>
              <a:srgbClr val="FF0000">
                <a:alpha val="6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'[Risks_for_MTEF_2024-2027_01.07.24.xlsx]Sheet9'!$G$4:$G$107</c:f>
              <c:numCache>
                <c:formatCode>General</c:formatCode>
                <c:ptCount val="7"/>
                <c:pt idx="3">
                  <c:v>0.93571342013346204</c:v>
                </c:pt>
                <c:pt idx="4">
                  <c:v>1.0378988002058316</c:v>
                </c:pt>
                <c:pt idx="5">
                  <c:v>1.2093788650236652</c:v>
                </c:pt>
                <c:pt idx="6">
                  <c:v>1.232671884436586</c:v>
                </c:pt>
              </c:numCache>
            </c:numRef>
          </c:val>
          <c:extLst>
            <c:ext xmlns:c16="http://schemas.microsoft.com/office/drawing/2014/chart" uri="{C3380CC4-5D6E-409C-BE32-E72D297353CC}">
              <c16:uniqueId val="{00000005-0C4D-4DC9-8978-8D46512DB7FE}"/>
            </c:ext>
          </c:extLst>
        </c:ser>
        <c:ser>
          <c:idx val="6"/>
          <c:order val="6"/>
          <c:tx>
            <c:strRef>
              <c:f>'[Risks_for_MTEF_2024-2027_01.07.24.xlsx]Sheet9'!$H$3</c:f>
              <c:strCache>
                <c:ptCount val="1"/>
              </c:strCache>
            </c:strRef>
          </c:tx>
          <c:spPr>
            <a:solidFill>
              <a:srgbClr val="FF0000">
                <a:alpha val="7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'[Risks_for_MTEF_2024-2027_01.07.24.xlsx]Sheet9'!$H$4:$H$107</c:f>
              <c:numCache>
                <c:formatCode>General</c:formatCode>
                <c:ptCount val="7"/>
                <c:pt idx="3">
                  <c:v>0.86707793292976998</c:v>
                </c:pt>
                <c:pt idx="4">
                  <c:v>0.96176791623273061</c:v>
                </c:pt>
                <c:pt idx="5">
                  <c:v>1.1206697519247992</c:v>
                </c:pt>
                <c:pt idx="6">
                  <c:v>1.1422542057646998</c:v>
                </c:pt>
              </c:numCache>
            </c:numRef>
          </c:val>
          <c:extLst>
            <c:ext xmlns:c16="http://schemas.microsoft.com/office/drawing/2014/chart" uri="{C3380CC4-5D6E-409C-BE32-E72D297353CC}">
              <c16:uniqueId val="{00000006-0C4D-4DC9-8978-8D46512DB7FE}"/>
            </c:ext>
          </c:extLst>
        </c:ser>
        <c:ser>
          <c:idx val="7"/>
          <c:order val="7"/>
          <c:tx>
            <c:strRef>
              <c:f>'[Risks_for_MTEF_2024-2027_01.07.24.xlsx]Sheet9'!$I$3</c:f>
              <c:strCache>
                <c:ptCount val="1"/>
              </c:strCache>
            </c:strRef>
          </c:tx>
          <c:spPr>
            <a:solidFill>
              <a:srgbClr val="FF0000">
                <a:alpha val="8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'[Risks_for_MTEF_2024-2027_01.07.24.xlsx]Sheet9'!$I$4:$I$107</c:f>
              <c:numCache>
                <c:formatCode>General</c:formatCode>
                <c:ptCount val="7"/>
                <c:pt idx="3">
                  <c:v>0.82277216661442232</c:v>
                </c:pt>
                <c:pt idx="4">
                  <c:v>0.91262370101527779</c:v>
                </c:pt>
                <c:pt idx="5">
                  <c:v>1.0634060040426565</c:v>
                </c:pt>
                <c:pt idx="6">
                  <c:v>1.0838875399883818</c:v>
                </c:pt>
              </c:numCache>
            </c:numRef>
          </c:val>
          <c:extLst>
            <c:ext xmlns:c16="http://schemas.microsoft.com/office/drawing/2014/chart" uri="{C3380CC4-5D6E-409C-BE32-E72D297353CC}">
              <c16:uniqueId val="{00000007-0C4D-4DC9-8978-8D46512DB7FE}"/>
            </c:ext>
          </c:extLst>
        </c:ser>
        <c:ser>
          <c:idx val="8"/>
          <c:order val="8"/>
          <c:tx>
            <c:strRef>
              <c:f>'[Risks_for_MTEF_2024-2027_01.07.24.xlsx]Sheet9'!$J$3</c:f>
              <c:strCache>
                <c:ptCount val="1"/>
              </c:strCache>
            </c:strRef>
          </c:tx>
          <c:spPr>
            <a:solidFill>
              <a:srgbClr val="FF0000">
                <a:alpha val="9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'[Risks_for_MTEF_2024-2027_01.07.24.xlsx]Sheet9'!$J$4:$J$107</c:f>
              <c:numCache>
                <c:formatCode>General</c:formatCode>
                <c:ptCount val="7"/>
                <c:pt idx="3">
                  <c:v>0.796041593064162</c:v>
                </c:pt>
                <c:pt idx="4">
                  <c:v>0.88297399244032171</c:v>
                </c:pt>
                <c:pt idx="5">
                  <c:v>1.0288576156086879</c:v>
                </c:pt>
                <c:pt idx="6">
                  <c:v>1.0486737386670608</c:v>
                </c:pt>
              </c:numCache>
            </c:numRef>
          </c:val>
          <c:extLst>
            <c:ext xmlns:c16="http://schemas.microsoft.com/office/drawing/2014/chart" uri="{C3380CC4-5D6E-409C-BE32-E72D297353CC}">
              <c16:uniqueId val="{00000008-0C4D-4DC9-8978-8D46512DB7FE}"/>
            </c:ext>
          </c:extLst>
        </c:ser>
        <c:ser>
          <c:idx val="9"/>
          <c:order val="9"/>
          <c:tx>
            <c:strRef>
              <c:f>'[Risks_for_MTEF_2024-2027_01.07.24.xlsx]Sheet9'!$K$3</c:f>
              <c:strCache>
                <c:ptCount val="1"/>
              </c:strCache>
            </c:strRef>
          </c:tx>
          <c:spPr>
            <a:solidFill>
              <a:srgbClr val="FF0000"/>
            </a:solidFill>
            <a:ln>
              <a:solidFill>
                <a:srgbClr val="FF0000"/>
              </a:solidFill>
              <a:prstDash val="solid"/>
            </a:ln>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'[Risks_for_MTEF_2024-2027_01.07.24.xlsx]Sheet9'!$K$4:$K$107</c:f>
              <c:numCache>
                <c:formatCode>General</c:formatCode>
                <c:ptCount val="7"/>
                <c:pt idx="3">
                  <c:v>0.98380411782655131</c:v>
                </c:pt>
                <c:pt idx="4">
                  <c:v>1.0893851039248865</c:v>
                </c:pt>
                <c:pt idx="5">
                  <c:v>1.2333078744229713</c:v>
                </c:pt>
                <c:pt idx="6">
                  <c:v>1.252854955706864</c:v>
                </c:pt>
              </c:numCache>
            </c:numRef>
          </c:val>
          <c:extLst>
            <c:ext xmlns:c16="http://schemas.microsoft.com/office/drawing/2014/chart" uri="{C3380CC4-5D6E-409C-BE32-E72D297353CC}">
              <c16:uniqueId val="{00000009-0C4D-4DC9-8978-8D46512DB7FE}"/>
            </c:ext>
          </c:extLst>
        </c:ser>
        <c:ser>
          <c:idx val="10"/>
          <c:order val="10"/>
          <c:tx>
            <c:strRef>
              <c:f>'[Risks_for_MTEF_2024-2027_01.07.24.xlsx]Sheet9'!$L$3</c:f>
              <c:strCache>
                <c:ptCount val="1"/>
              </c:strCache>
            </c:strRef>
          </c:tx>
          <c:spPr>
            <a:solidFill>
              <a:srgbClr val="FF0000">
                <a:alpha val="9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'[Risks_for_MTEF_2024-2027_01.07.24.xlsx]Sheet9'!$L$4:$L$107</c:f>
              <c:numCache>
                <c:formatCode>General</c:formatCode>
                <c:ptCount val="7"/>
                <c:pt idx="3">
                  <c:v>0.20361164924630515</c:v>
                </c:pt>
                <c:pt idx="4">
                  <c:v>0.22396114996293015</c:v>
                </c:pt>
                <c:pt idx="5">
                  <c:v>0.22431889899837465</c:v>
                </c:pt>
                <c:pt idx="6">
                  <c:v>0.22436476150102891</c:v>
                </c:pt>
              </c:numCache>
            </c:numRef>
          </c:val>
          <c:extLst>
            <c:ext xmlns:c16="http://schemas.microsoft.com/office/drawing/2014/chart" uri="{C3380CC4-5D6E-409C-BE32-E72D297353CC}">
              <c16:uniqueId val="{0000000A-0C4D-4DC9-8978-8D46512DB7FE}"/>
            </c:ext>
          </c:extLst>
        </c:ser>
        <c:ser>
          <c:idx val="11"/>
          <c:order val="11"/>
          <c:tx>
            <c:strRef>
              <c:f>'[Risks_for_MTEF_2024-2027_01.07.24.xlsx]Sheet9'!$M$3</c:f>
              <c:strCache>
                <c:ptCount val="1"/>
              </c:strCache>
            </c:strRef>
          </c:tx>
          <c:spPr>
            <a:solidFill>
              <a:srgbClr val="FF0000">
                <a:alpha val="8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'[Risks_for_MTEF_2024-2027_01.07.24.xlsx]Sheet9'!$M$4:$M$107</c:f>
              <c:numCache>
                <c:formatCode>General</c:formatCode>
                <c:ptCount val="7"/>
                <c:pt idx="3">
                  <c:v>0.2104487997335287</c:v>
                </c:pt>
                <c:pt idx="4">
                  <c:v>0.23148162382213933</c:v>
                </c:pt>
                <c:pt idx="5">
                  <c:v>0.23185138584407561</c:v>
                </c:pt>
                <c:pt idx="6">
                  <c:v>0.23189878838058142</c:v>
                </c:pt>
              </c:numCache>
            </c:numRef>
          </c:val>
          <c:extLst>
            <c:ext xmlns:c16="http://schemas.microsoft.com/office/drawing/2014/chart" uri="{C3380CC4-5D6E-409C-BE32-E72D297353CC}">
              <c16:uniqueId val="{0000000B-0C4D-4DC9-8978-8D46512DB7FE}"/>
            </c:ext>
          </c:extLst>
        </c:ser>
        <c:ser>
          <c:idx val="12"/>
          <c:order val="12"/>
          <c:tx>
            <c:strRef>
              <c:f>'[Risks_for_MTEF_2024-2027_01.07.24.xlsx]Sheet9'!$N$3</c:f>
              <c:strCache>
                <c:ptCount val="1"/>
              </c:strCache>
            </c:strRef>
          </c:tx>
          <c:spPr>
            <a:solidFill>
              <a:srgbClr val="FF0000">
                <a:alpha val="7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'[Risks_for_MTEF_2024-2027_01.07.24.xlsx]Sheet9'!$N$4:$N$107</c:f>
              <c:numCache>
                <c:formatCode>General</c:formatCode>
                <c:ptCount val="7"/>
                <c:pt idx="3">
                  <c:v>0.22178133590901261</c:v>
                </c:pt>
                <c:pt idx="4">
                  <c:v>0.24394676441332486</c:v>
                </c:pt>
                <c:pt idx="5">
                  <c:v>0.24433643788876047</c:v>
                </c:pt>
                <c:pt idx="6">
                  <c:v>0.24438639302219478</c:v>
                </c:pt>
              </c:numCache>
            </c:numRef>
          </c:val>
          <c:extLst>
            <c:ext xmlns:c16="http://schemas.microsoft.com/office/drawing/2014/chart" uri="{C3380CC4-5D6E-409C-BE32-E72D297353CC}">
              <c16:uniqueId val="{0000000C-0C4D-4DC9-8978-8D46512DB7FE}"/>
            </c:ext>
          </c:extLst>
        </c:ser>
        <c:ser>
          <c:idx val="13"/>
          <c:order val="13"/>
          <c:tx>
            <c:strRef>
              <c:f>'[Risks_for_MTEF_2024-2027_01.07.24.xlsx]Sheet9'!$O$3</c:f>
              <c:strCache>
                <c:ptCount val="1"/>
              </c:strCache>
            </c:strRef>
          </c:tx>
          <c:spPr>
            <a:solidFill>
              <a:srgbClr val="FF0000">
                <a:alpha val="6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'[Risks_for_MTEF_2024-2027_01.07.24.xlsx]Sheet9'!$O$4:$O$107</c:f>
              <c:numCache>
                <c:formatCode>General</c:formatCode>
                <c:ptCount val="7"/>
                <c:pt idx="3">
                  <c:v>0.23933693208404883</c:v>
                </c:pt>
                <c:pt idx="4">
                  <c:v>0.26325691450640676</c:v>
                </c:pt>
                <c:pt idx="5">
                  <c:v>0.26367743345468853</c:v>
                </c:pt>
                <c:pt idx="6">
                  <c:v>0.26373134289810096</c:v>
                </c:pt>
              </c:numCache>
            </c:numRef>
          </c:val>
          <c:extLst>
            <c:ext xmlns:c16="http://schemas.microsoft.com/office/drawing/2014/chart" uri="{C3380CC4-5D6E-409C-BE32-E72D297353CC}">
              <c16:uniqueId val="{0000000D-0C4D-4DC9-8978-8D46512DB7FE}"/>
            </c:ext>
          </c:extLst>
        </c:ser>
        <c:ser>
          <c:idx val="14"/>
          <c:order val="14"/>
          <c:tx>
            <c:strRef>
              <c:f>'[Risks_for_MTEF_2024-2027_01.07.24.xlsx]Sheet9'!$P$3</c:f>
              <c:strCache>
                <c:ptCount val="1"/>
              </c:strCache>
            </c:strRef>
          </c:tx>
          <c:spPr>
            <a:solidFill>
              <a:srgbClr val="FF0000">
                <a:alpha val="5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'[Risks_for_MTEF_2024-2027_01.07.24.xlsx]Sheet9'!$P$4:$P$107</c:f>
              <c:numCache>
                <c:formatCode>General</c:formatCode>
                <c:ptCount val="7"/>
                <c:pt idx="3">
                  <c:v>0.26651302355543471</c:v>
                </c:pt>
                <c:pt idx="4">
                  <c:v>0.29314905830052851</c:v>
                </c:pt>
                <c:pt idx="5">
                  <c:v>0.29361732609101843</c:v>
                </c:pt>
                <c:pt idx="6">
                  <c:v>0.29367735681271512</c:v>
                </c:pt>
              </c:numCache>
            </c:numRef>
          </c:val>
          <c:extLst>
            <c:ext xmlns:c16="http://schemas.microsoft.com/office/drawing/2014/chart" uri="{C3380CC4-5D6E-409C-BE32-E72D297353CC}">
              <c16:uniqueId val="{0000000E-0C4D-4DC9-8978-8D46512DB7FE}"/>
            </c:ext>
          </c:extLst>
        </c:ser>
        <c:ser>
          <c:idx val="15"/>
          <c:order val="15"/>
          <c:tx>
            <c:strRef>
              <c:f>'[Risks_for_MTEF_2024-2027_01.07.24.xlsx]Sheet9'!$Q$3</c:f>
              <c:strCache>
                <c:ptCount val="1"/>
              </c:strCache>
            </c:strRef>
          </c:tx>
          <c:spPr>
            <a:solidFill>
              <a:srgbClr val="FF0000">
                <a:alpha val="4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'[Risks_for_MTEF_2024-2027_01.07.24.xlsx]Sheet9'!$Q$4:$Q$107</c:f>
              <c:numCache>
                <c:formatCode>General</c:formatCode>
                <c:ptCount val="7"/>
                <c:pt idx="3">
                  <c:v>0.31065347863131798</c:v>
                </c:pt>
                <c:pt idx="4">
                  <c:v>0.34170103022981202</c:v>
                </c:pt>
                <c:pt idx="5">
                  <c:v>0.34224685352994832</c:v>
                </c:pt>
                <c:pt idx="6">
                  <c:v>0.34231682666773722</c:v>
                </c:pt>
              </c:numCache>
            </c:numRef>
          </c:val>
          <c:extLst>
            <c:ext xmlns:c16="http://schemas.microsoft.com/office/drawing/2014/chart" uri="{C3380CC4-5D6E-409C-BE32-E72D297353CC}">
              <c16:uniqueId val="{0000000F-0C4D-4DC9-8978-8D46512DB7FE}"/>
            </c:ext>
          </c:extLst>
        </c:ser>
        <c:ser>
          <c:idx val="16"/>
          <c:order val="16"/>
          <c:tx>
            <c:strRef>
              <c:f>'[Risks_for_MTEF_2024-2027_01.07.24.xlsx]Sheet9'!$R$3</c:f>
              <c:strCache>
                <c:ptCount val="1"/>
              </c:strCache>
            </c:strRef>
          </c:tx>
          <c:spPr>
            <a:solidFill>
              <a:srgbClr val="FF0000">
                <a:alpha val="3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'[Risks_for_MTEF_2024-2027_01.07.24.xlsx]Sheet9'!$R$4:$R$107</c:f>
              <c:numCache>
                <c:formatCode>General</c:formatCode>
                <c:ptCount val="7"/>
                <c:pt idx="3">
                  <c:v>0.39087301152231824</c:v>
                </c:pt>
                <c:pt idx="4">
                  <c:v>0.42993792090999428</c:v>
                </c:pt>
                <c:pt idx="5">
                  <c:v>0.43062469125624325</c:v>
                </c:pt>
                <c:pt idx="6">
                  <c:v>0.43071273344142824</c:v>
                </c:pt>
              </c:numCache>
            </c:numRef>
          </c:val>
          <c:extLst>
            <c:ext xmlns:c16="http://schemas.microsoft.com/office/drawing/2014/chart" uri="{C3380CC4-5D6E-409C-BE32-E72D297353CC}">
              <c16:uniqueId val="{00000010-0C4D-4DC9-8978-8D46512DB7FE}"/>
            </c:ext>
          </c:extLst>
        </c:ser>
        <c:ser>
          <c:idx val="17"/>
          <c:order val="17"/>
          <c:tx>
            <c:strRef>
              <c:f>'[Risks_for_MTEF_2024-2027_01.07.24.xlsx]Sheet9'!$S$3</c:f>
              <c:strCache>
                <c:ptCount val="1"/>
              </c:strCache>
            </c:strRef>
          </c:tx>
          <c:spPr>
            <a:solidFill>
              <a:srgbClr val="FF0000">
                <a:alpha val="20000"/>
              </a:srgbClr>
            </a:solidFill>
          </c:spP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'[Risks_for_MTEF_2024-2027_01.07.24.xlsx]Sheet9'!$S$4:$S$107</c:f>
              <c:numCache>
                <c:formatCode>General</c:formatCode>
                <c:ptCount val="7"/>
                <c:pt idx="3">
                  <c:v>0.57933268402313232</c:v>
                </c:pt>
                <c:pt idx="4">
                  <c:v>0.63723276445728239</c:v>
                </c:pt>
                <c:pt idx="5">
                  <c:v>0.63825066156522325</c:v>
                </c:pt>
                <c:pt idx="6">
                  <c:v>0.63838115334630352</c:v>
                </c:pt>
              </c:numCache>
            </c:numRef>
          </c:val>
          <c:extLst>
            <c:ext xmlns:c16="http://schemas.microsoft.com/office/drawing/2014/chart" uri="{C3380CC4-5D6E-409C-BE32-E72D297353CC}">
              <c16:uniqueId val="{00000011-0C4D-4DC9-8978-8D46512DB7FE}"/>
            </c:ext>
          </c:extLst>
        </c:ser>
        <c:dLbls>
          <c:showLegendKey val="0"/>
          <c:showVal val="0"/>
          <c:showCatName val="0"/>
          <c:showSerName val="0"/>
          <c:showPercent val="0"/>
          <c:showBubbleSize val="0"/>
        </c:dLbls>
        <c:axId val="603176352"/>
        <c:axId val="603168808"/>
      </c:areaChart>
      <c:lineChart>
        <c:grouping val="standard"/>
        <c:varyColors val="0"/>
        <c:ser>
          <c:idx val="18"/>
          <c:order val="18"/>
          <c:tx>
            <c:strRef>
              <c:f>'[Risks_for_MTEF_2024-2027_01.07.24.xlsx]Sheet9'!$U$3</c:f>
              <c:strCache>
                <c:ptCount val="1"/>
              </c:strCache>
            </c:strRef>
          </c:tx>
          <c:marker>
            <c:symbol val="none"/>
          </c:marker>
          <c:cat>
            <c:strRef>
              <c:f>'[Risks_for_MTEF_2024-2027_01.07.24.xlsx]Sheet9'!$A$4:$A$107</c:f>
              <c:strCache>
                <c:ptCount val="7"/>
                <c:pt idx="0">
                  <c:v>2021</c:v>
                </c:pt>
                <c:pt idx="1">
                  <c:v>2022</c:v>
                </c:pt>
                <c:pt idx="2">
                  <c:v>2023</c:v>
                </c:pt>
                <c:pt idx="3">
                  <c:v>2024</c:v>
                </c:pt>
                <c:pt idx="4">
                  <c:v>2025*</c:v>
                </c:pt>
                <c:pt idx="5">
                  <c:v>2026*</c:v>
                </c:pt>
                <c:pt idx="6">
                  <c:v>2027*</c:v>
                </c:pt>
              </c:strCache>
            </c:strRef>
          </c:cat>
          <c:val>
            <c:numRef>
              <c:f>'[Risks_for_MTEF_2024-2027_01.07.24.xlsx]Sheet9'!$U$4:$U$107</c:f>
              <c:numCache>
                <c:formatCode>0.0</c:formatCode>
                <c:ptCount val="7"/>
                <c:pt idx="0">
                  <c:v>16.202441463996365</c:v>
                </c:pt>
                <c:pt idx="1">
                  <c:v>21.919592453534747</c:v>
                </c:pt>
                <c:pt idx="2">
                  <c:v>15.867840863060877</c:v>
                </c:pt>
                <c:pt idx="3">
                  <c:v>9.8076000305862721</c:v>
                </c:pt>
                <c:pt idx="4">
                  <c:v>12.631140442063952</c:v>
                </c:pt>
                <c:pt idx="5">
                  <c:v>13.146061521464091</c:v>
                </c:pt>
                <c:pt idx="6">
                  <c:v>11.289808271720077</c:v>
                </c:pt>
              </c:numCache>
            </c:numRef>
          </c:val>
          <c:smooth val="0"/>
          <c:extLst>
            <c:ext xmlns:c16="http://schemas.microsoft.com/office/drawing/2014/chart" uri="{C3380CC4-5D6E-409C-BE32-E72D297353CC}">
              <c16:uniqueId val="{00000012-0C4D-4DC9-8978-8D46512DB7FE}"/>
            </c:ext>
          </c:extLst>
        </c:ser>
        <c:dLbls>
          <c:showLegendKey val="0"/>
          <c:showVal val="0"/>
          <c:showCatName val="0"/>
          <c:showSerName val="0"/>
          <c:showPercent val="0"/>
          <c:showBubbleSize val="0"/>
        </c:dLbls>
        <c:marker val="1"/>
        <c:smooth val="0"/>
        <c:axId val="603176352"/>
        <c:axId val="603168808"/>
      </c:lineChart>
      <c:catAx>
        <c:axId val="603176352"/>
        <c:scaling>
          <c:orientation val="minMax"/>
        </c:scaling>
        <c:delete val="0"/>
        <c:axPos val="b"/>
        <c:numFmt formatCode="General" sourceLinked="1"/>
        <c:majorTickMark val="out"/>
        <c:minorTickMark val="none"/>
        <c:tickLblPos val="nextTo"/>
        <c:crossAx val="603168808"/>
        <c:crosses val="autoZero"/>
        <c:auto val="1"/>
        <c:lblAlgn val="ctr"/>
        <c:lblOffset val="100"/>
        <c:noMultiLvlLbl val="0"/>
      </c:catAx>
      <c:valAx>
        <c:axId val="603168808"/>
        <c:scaling>
          <c:orientation val="minMax"/>
        </c:scaling>
        <c:delete val="0"/>
        <c:axPos val="l"/>
        <c:majorGridlines/>
        <c:numFmt formatCode="General" sourceLinked="1"/>
        <c:majorTickMark val="out"/>
        <c:minorTickMark val="none"/>
        <c:tickLblPos val="nextTo"/>
        <c:crossAx val="603176352"/>
        <c:crosses val="autoZero"/>
        <c:crossBetween val="between"/>
      </c:valAx>
    </c:plotArea>
    <c:plotVisOnly val="1"/>
    <c:dispBlanksAs val="gap"/>
    <c:showDLblsOverMax val="0"/>
    <c:extLst>
      <c:ext xmlns:c16r3="http://schemas.microsoft.com/office/drawing/2017/03/chart" uri="{56B9EC1D-385E-4148-901F-78D8002777C0}">
        <c16r3:dataDisplayOptions16>
          <c16r3:dispNaAsBlank val="1"/>
        </c16r3:dataDisplayOptions16>
      </c:ext>
    </c:extLst>
  </c:chart>
  <c:txPr>
    <a:bodyPr/>
    <a:lstStyle/>
    <a:p>
      <a:pPr>
        <a:defRPr>
          <a:latin typeface="GHEA Grapalat" panose="02000506050000020003" pitchFamily="50"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476609328318144E-2"/>
          <c:y val="8.3521534294981728E-2"/>
          <c:w val="0.84467857745457919"/>
          <c:h val="0.57759964563513544"/>
        </c:manualLayout>
      </c:layout>
      <c:areaChart>
        <c:grouping val="stacked"/>
        <c:varyColors val="0"/>
        <c:ser>
          <c:idx val="0"/>
          <c:order val="0"/>
          <c:tx>
            <c:v/>
          </c:tx>
          <c:spPr>
            <a:noFill/>
            <a:ln w="25400">
              <a:noFill/>
            </a:ln>
          </c:spPr>
          <c:cat>
            <c:numRef>
              <c:f>'[DSA_2024.xlsm]Fan Chart'!$AE$41:$AL$41</c:f>
              <c:numCache>
                <c:formatCode>General</c:formatCode>
                <c:ptCount val="8"/>
                <c:pt idx="0">
                  <c:v>2022</c:v>
                </c:pt>
                <c:pt idx="1">
                  <c:v>2023</c:v>
                </c:pt>
                <c:pt idx="2">
                  <c:v>2024</c:v>
                </c:pt>
                <c:pt idx="3">
                  <c:v>2025</c:v>
                </c:pt>
                <c:pt idx="4">
                  <c:v>2026</c:v>
                </c:pt>
                <c:pt idx="5">
                  <c:v>2027</c:v>
                </c:pt>
                <c:pt idx="6">
                  <c:v>2028</c:v>
                </c:pt>
                <c:pt idx="7">
                  <c:v>2029</c:v>
                </c:pt>
              </c:numCache>
            </c:numRef>
          </c:cat>
          <c:val>
            <c:numRef>
              <c:f>'[DSA_2024.xlsm]Fan Chart'!$AE$42:$AL$42</c:f>
              <c:numCache>
                <c:formatCode>0.0</c:formatCode>
                <c:ptCount val="8"/>
                <c:pt idx="0">
                  <c:v>63.476258231461017</c:v>
                </c:pt>
                <c:pt idx="1">
                  <c:v>48.099386823578513</c:v>
                </c:pt>
                <c:pt idx="2">
                  <c:v>45.625537271940352</c:v>
                </c:pt>
                <c:pt idx="3">
                  <c:v>46.165261555493821</c:v>
                </c:pt>
                <c:pt idx="4">
                  <c:v>45.593161588022731</c:v>
                </c:pt>
                <c:pt idx="5">
                  <c:v>44.451293568740745</c:v>
                </c:pt>
                <c:pt idx="6">
                  <c:v>42.604944888398236</c:v>
                </c:pt>
                <c:pt idx="7">
                  <c:v>40.392537571043789</c:v>
                </c:pt>
              </c:numCache>
            </c:numRef>
          </c:val>
          <c:extLst>
            <c:ext xmlns:c16="http://schemas.microsoft.com/office/drawing/2014/chart" uri="{C3380CC4-5D6E-409C-BE32-E72D297353CC}">
              <c16:uniqueId val="{00000000-28E1-4163-80C2-2801EC300962}"/>
            </c:ext>
          </c:extLst>
        </c:ser>
        <c:ser>
          <c:idx val="2"/>
          <c:order val="1"/>
          <c:tx>
            <c:strRef>
              <c:f>'[DSA_2024.xlsm]Fan Chart'!$Z$43</c:f>
              <c:strCache>
                <c:ptCount val="1"/>
                <c:pt idx="0">
                  <c:v>10-25%</c:v>
                </c:pt>
              </c:strCache>
            </c:strRef>
          </c:tx>
          <c:spPr>
            <a:solidFill>
              <a:schemeClr val="accent5">
                <a:lumMod val="40000"/>
                <a:lumOff val="60000"/>
              </a:schemeClr>
            </a:solidFill>
            <a:ln w="12700">
              <a:noFill/>
              <a:prstDash val="solid"/>
            </a:ln>
          </c:spPr>
          <c:cat>
            <c:numRef>
              <c:f>'[DSA_2024.xlsm]Fan Chart'!$AE$41:$AL$41</c:f>
              <c:numCache>
                <c:formatCode>General</c:formatCode>
                <c:ptCount val="8"/>
                <c:pt idx="0">
                  <c:v>2022</c:v>
                </c:pt>
                <c:pt idx="1">
                  <c:v>2023</c:v>
                </c:pt>
                <c:pt idx="2">
                  <c:v>2024</c:v>
                </c:pt>
                <c:pt idx="3">
                  <c:v>2025</c:v>
                </c:pt>
                <c:pt idx="4">
                  <c:v>2026</c:v>
                </c:pt>
                <c:pt idx="5">
                  <c:v>2027</c:v>
                </c:pt>
                <c:pt idx="6">
                  <c:v>2028</c:v>
                </c:pt>
                <c:pt idx="7">
                  <c:v>2029</c:v>
                </c:pt>
              </c:numCache>
            </c:numRef>
          </c:cat>
          <c:val>
            <c:numRef>
              <c:f>'[DSA_2024.xlsm]Fan Chart'!$AE$43:$AL$43</c:f>
              <c:numCache>
                <c:formatCode>0.0</c:formatCode>
                <c:ptCount val="8"/>
                <c:pt idx="0">
                  <c:v>0</c:v>
                </c:pt>
                <c:pt idx="1">
                  <c:v>0</c:v>
                </c:pt>
                <c:pt idx="2">
                  <c:v>2.3188299933125043</c:v>
                </c:pt>
                <c:pt idx="3">
                  <c:v>3.5127912569873301</c:v>
                </c:pt>
                <c:pt idx="4">
                  <c:v>4.0790200485789079</c:v>
                </c:pt>
                <c:pt idx="5">
                  <c:v>4.5645520183042301</c:v>
                </c:pt>
                <c:pt idx="6">
                  <c:v>5.2627272089222412</c:v>
                </c:pt>
                <c:pt idx="7">
                  <c:v>5.5807861713485956</c:v>
                </c:pt>
              </c:numCache>
            </c:numRef>
          </c:val>
          <c:extLst>
            <c:ext xmlns:c16="http://schemas.microsoft.com/office/drawing/2014/chart" uri="{C3380CC4-5D6E-409C-BE32-E72D297353CC}">
              <c16:uniqueId val="{00000001-28E1-4163-80C2-2801EC300962}"/>
            </c:ext>
          </c:extLst>
        </c:ser>
        <c:ser>
          <c:idx val="3"/>
          <c:order val="2"/>
          <c:tx>
            <c:strRef>
              <c:f>'[DSA_2024.xlsm]Fan Chart'!$Z$44</c:f>
              <c:strCache>
                <c:ptCount val="1"/>
                <c:pt idx="0">
                  <c:v>25-50%</c:v>
                </c:pt>
              </c:strCache>
            </c:strRef>
          </c:tx>
          <c:spPr>
            <a:solidFill>
              <a:srgbClr val="57B7FF"/>
            </a:solidFill>
            <a:ln w="12700">
              <a:noFill/>
              <a:prstDash val="solid"/>
            </a:ln>
          </c:spPr>
          <c:cat>
            <c:numRef>
              <c:f>'[DSA_2024.xlsm]Fan Chart'!$AE$41:$AL$41</c:f>
              <c:numCache>
                <c:formatCode>General</c:formatCode>
                <c:ptCount val="8"/>
                <c:pt idx="0">
                  <c:v>2022</c:v>
                </c:pt>
                <c:pt idx="1">
                  <c:v>2023</c:v>
                </c:pt>
                <c:pt idx="2">
                  <c:v>2024</c:v>
                </c:pt>
                <c:pt idx="3">
                  <c:v>2025</c:v>
                </c:pt>
                <c:pt idx="4">
                  <c:v>2026</c:v>
                </c:pt>
                <c:pt idx="5">
                  <c:v>2027</c:v>
                </c:pt>
                <c:pt idx="6">
                  <c:v>2028</c:v>
                </c:pt>
                <c:pt idx="7">
                  <c:v>2029</c:v>
                </c:pt>
              </c:numCache>
            </c:numRef>
          </c:cat>
          <c:val>
            <c:numRef>
              <c:f>'[DSA_2024.xlsm]Fan Chart'!$AE$44:$AL$44</c:f>
              <c:numCache>
                <c:formatCode>0.0</c:formatCode>
                <c:ptCount val="8"/>
                <c:pt idx="0">
                  <c:v>0</c:v>
                </c:pt>
                <c:pt idx="1">
                  <c:v>0</c:v>
                </c:pt>
                <c:pt idx="2">
                  <c:v>2.3692707663816872</c:v>
                </c:pt>
                <c:pt idx="3">
                  <c:v>3.6857488564010668</c:v>
                </c:pt>
                <c:pt idx="4">
                  <c:v>5.2612319800318943</c:v>
                </c:pt>
                <c:pt idx="5">
                  <c:v>5.9408141608094098</c:v>
                </c:pt>
                <c:pt idx="6">
                  <c:v>6.0732238868151045</c:v>
                </c:pt>
                <c:pt idx="7">
                  <c:v>7.28208624860775</c:v>
                </c:pt>
              </c:numCache>
            </c:numRef>
          </c:val>
          <c:extLst>
            <c:ext xmlns:c16="http://schemas.microsoft.com/office/drawing/2014/chart" uri="{C3380CC4-5D6E-409C-BE32-E72D297353CC}">
              <c16:uniqueId val="{00000002-28E1-4163-80C2-2801EC300962}"/>
            </c:ext>
          </c:extLst>
        </c:ser>
        <c:ser>
          <c:idx val="4"/>
          <c:order val="3"/>
          <c:tx>
            <c:strRef>
              <c:f>'[DSA_2024.xlsm]Fan Chart'!$Z$45</c:f>
              <c:strCache>
                <c:ptCount val="1"/>
                <c:pt idx="0">
                  <c:v>50-75%</c:v>
                </c:pt>
              </c:strCache>
            </c:strRef>
          </c:tx>
          <c:spPr>
            <a:solidFill>
              <a:schemeClr val="accent2">
                <a:lumMod val="60000"/>
                <a:lumOff val="40000"/>
              </a:schemeClr>
            </a:solidFill>
            <a:ln w="12700">
              <a:noFill/>
              <a:prstDash val="solid"/>
            </a:ln>
          </c:spPr>
          <c:cat>
            <c:numRef>
              <c:f>'[DSA_2024.xlsm]Fan Chart'!$AE$41:$AL$41</c:f>
              <c:numCache>
                <c:formatCode>General</c:formatCode>
                <c:ptCount val="8"/>
                <c:pt idx="0">
                  <c:v>2022</c:v>
                </c:pt>
                <c:pt idx="1">
                  <c:v>2023</c:v>
                </c:pt>
                <c:pt idx="2">
                  <c:v>2024</c:v>
                </c:pt>
                <c:pt idx="3">
                  <c:v>2025</c:v>
                </c:pt>
                <c:pt idx="4">
                  <c:v>2026</c:v>
                </c:pt>
                <c:pt idx="5">
                  <c:v>2027</c:v>
                </c:pt>
                <c:pt idx="6">
                  <c:v>2028</c:v>
                </c:pt>
                <c:pt idx="7">
                  <c:v>2029</c:v>
                </c:pt>
              </c:numCache>
            </c:numRef>
          </c:cat>
          <c:val>
            <c:numRef>
              <c:f>'[DSA_2024.xlsm]Fan Chart'!$AE$45:$AL$45</c:f>
              <c:numCache>
                <c:formatCode>0.0</c:formatCode>
                <c:ptCount val="8"/>
                <c:pt idx="0">
                  <c:v>0</c:v>
                </c:pt>
                <c:pt idx="1">
                  <c:v>0</c:v>
                </c:pt>
                <c:pt idx="2">
                  <c:v>2.88944218572601</c:v>
                </c:pt>
                <c:pt idx="3">
                  <c:v>4.2068066669676547</c:v>
                </c:pt>
                <c:pt idx="4">
                  <c:v>5.3465719170431196</c:v>
                </c:pt>
                <c:pt idx="5">
                  <c:v>5.8678571421305286</c:v>
                </c:pt>
                <c:pt idx="6">
                  <c:v>6.7341902030574774</c:v>
                </c:pt>
                <c:pt idx="7">
                  <c:v>7.4403415016031982</c:v>
                </c:pt>
              </c:numCache>
            </c:numRef>
          </c:val>
          <c:extLst>
            <c:ext xmlns:c16="http://schemas.microsoft.com/office/drawing/2014/chart" uri="{C3380CC4-5D6E-409C-BE32-E72D297353CC}">
              <c16:uniqueId val="{00000003-28E1-4163-80C2-2801EC300962}"/>
            </c:ext>
          </c:extLst>
        </c:ser>
        <c:ser>
          <c:idx val="5"/>
          <c:order val="4"/>
          <c:tx>
            <c:strRef>
              <c:f>'[DSA_2024.xlsm]Fan Chart'!$Z$46</c:f>
              <c:strCache>
                <c:ptCount val="1"/>
                <c:pt idx="0">
                  <c:v>75-90%</c:v>
                </c:pt>
              </c:strCache>
            </c:strRef>
          </c:tx>
          <c:spPr>
            <a:solidFill>
              <a:schemeClr val="accent4">
                <a:lumMod val="40000"/>
                <a:lumOff val="60000"/>
              </a:schemeClr>
            </a:solidFill>
            <a:ln w="12700">
              <a:noFill/>
              <a:prstDash val="solid"/>
            </a:ln>
          </c:spPr>
          <c:cat>
            <c:numRef>
              <c:f>'[DSA_2024.xlsm]Fan Chart'!$AE$41:$AL$41</c:f>
              <c:numCache>
                <c:formatCode>General</c:formatCode>
                <c:ptCount val="8"/>
                <c:pt idx="0">
                  <c:v>2022</c:v>
                </c:pt>
                <c:pt idx="1">
                  <c:v>2023</c:v>
                </c:pt>
                <c:pt idx="2">
                  <c:v>2024</c:v>
                </c:pt>
                <c:pt idx="3">
                  <c:v>2025</c:v>
                </c:pt>
                <c:pt idx="4">
                  <c:v>2026</c:v>
                </c:pt>
                <c:pt idx="5">
                  <c:v>2027</c:v>
                </c:pt>
                <c:pt idx="6">
                  <c:v>2028</c:v>
                </c:pt>
                <c:pt idx="7">
                  <c:v>2029</c:v>
                </c:pt>
              </c:numCache>
            </c:numRef>
          </c:cat>
          <c:val>
            <c:numRef>
              <c:f>'[DSA_2024.xlsm]Fan Chart'!$AE$46:$AL$46</c:f>
              <c:numCache>
                <c:formatCode>0.0</c:formatCode>
                <c:ptCount val="8"/>
                <c:pt idx="0">
                  <c:v>0</c:v>
                </c:pt>
                <c:pt idx="1">
                  <c:v>0</c:v>
                </c:pt>
                <c:pt idx="2">
                  <c:v>2.5141740095679821</c:v>
                </c:pt>
                <c:pt idx="3">
                  <c:v>4.3881227243444449</c:v>
                </c:pt>
                <c:pt idx="4">
                  <c:v>4.8159757733790665</c:v>
                </c:pt>
                <c:pt idx="5">
                  <c:v>5.8326784242249241</c:v>
                </c:pt>
                <c:pt idx="6">
                  <c:v>6.4459553067451214</c:v>
                </c:pt>
                <c:pt idx="7">
                  <c:v>6.7657223028787854</c:v>
                </c:pt>
              </c:numCache>
            </c:numRef>
          </c:val>
          <c:extLst>
            <c:ext xmlns:c16="http://schemas.microsoft.com/office/drawing/2014/chart" uri="{C3380CC4-5D6E-409C-BE32-E72D297353CC}">
              <c16:uniqueId val="{00000004-28E1-4163-80C2-2801EC300962}"/>
            </c:ext>
          </c:extLst>
        </c:ser>
        <c:dLbls>
          <c:showLegendKey val="0"/>
          <c:showVal val="0"/>
          <c:showCatName val="0"/>
          <c:showSerName val="0"/>
          <c:showPercent val="0"/>
          <c:showBubbleSize val="0"/>
        </c:dLbls>
        <c:axId val="660882944"/>
        <c:axId val="660884480"/>
      </c:areaChart>
      <c:lineChart>
        <c:grouping val="standard"/>
        <c:varyColors val="0"/>
        <c:ser>
          <c:idx val="1"/>
          <c:order val="5"/>
          <c:tx>
            <c:v>MTEF 2024-26</c:v>
          </c:tx>
          <c:spPr>
            <a:ln>
              <a:solidFill>
                <a:srgbClr val="000000"/>
              </a:solidFill>
            </a:ln>
          </c:spPr>
          <c:marker>
            <c:symbol val="none"/>
          </c:marker>
          <c:cat>
            <c:numRef>
              <c:f>'[DSA_2024.xlsm]Fan Chart'!$R$52:$Y$52</c:f>
              <c:numCache>
                <c:formatCode>General</c:formatCode>
                <c:ptCount val="8"/>
                <c:pt idx="0">
                  <c:v>2022</c:v>
                </c:pt>
                <c:pt idx="1">
                  <c:v>2023</c:v>
                </c:pt>
                <c:pt idx="2">
                  <c:v>2024</c:v>
                </c:pt>
                <c:pt idx="3">
                  <c:v>2025</c:v>
                </c:pt>
                <c:pt idx="4">
                  <c:v>2026</c:v>
                </c:pt>
                <c:pt idx="5">
                  <c:v>2027</c:v>
                </c:pt>
                <c:pt idx="6">
                  <c:v>2028</c:v>
                </c:pt>
                <c:pt idx="7">
                  <c:v>2029</c:v>
                </c:pt>
              </c:numCache>
            </c:numRef>
          </c:cat>
          <c:val>
            <c:numRef>
              <c:f>'[DSA_2024.xlsm]Fan Chart'!$R$53:$Y$53</c:f>
              <c:numCache>
                <c:formatCode>0.0</c:formatCode>
                <c:ptCount val="8"/>
                <c:pt idx="0">
                  <c:v>63.476258231461017</c:v>
                </c:pt>
                <c:pt idx="1">
                  <c:v>48.099386823578513</c:v>
                </c:pt>
                <c:pt idx="2">
                  <c:v>50.530504301264337</c:v>
                </c:pt>
                <c:pt idx="3">
                  <c:v>53.667608174994875</c:v>
                </c:pt>
                <c:pt idx="4">
                  <c:v>55.039596747783804</c:v>
                </c:pt>
                <c:pt idx="5">
                  <c:v>54.957432524270743</c:v>
                </c:pt>
                <c:pt idx="6">
                  <c:v>54.094952930536721</c:v>
                </c:pt>
                <c:pt idx="7">
                  <c:v>53.291470252984766</c:v>
                </c:pt>
              </c:numCache>
            </c:numRef>
          </c:val>
          <c:smooth val="0"/>
          <c:extLst>
            <c:ext xmlns:c16="http://schemas.microsoft.com/office/drawing/2014/chart" uri="{C3380CC4-5D6E-409C-BE32-E72D297353CC}">
              <c16:uniqueId val="{00000005-28E1-4163-80C2-2801EC300962}"/>
            </c:ext>
          </c:extLst>
        </c:ser>
        <c:ser>
          <c:idx val="6"/>
          <c:order val="6"/>
          <c:tx>
            <c:strRef>
              <c:f>'[DSA_2024.xlsm]Fan Chart'!$Z$48</c:f>
              <c:strCache>
                <c:ptCount val="1"/>
                <c:pt idx="0">
                  <c:v>Կանոնի շեմ</c:v>
                </c:pt>
              </c:strCache>
            </c:strRef>
          </c:tx>
          <c:spPr>
            <a:ln>
              <a:solidFill>
                <a:srgbClr val="FFC000"/>
              </a:solidFill>
              <a:prstDash val="dash"/>
            </a:ln>
          </c:spPr>
          <c:marker>
            <c:symbol val="none"/>
          </c:marker>
          <c:val>
            <c:numRef>
              <c:f>'[DSA_2024.xlsm]Fan Chart'!$AE$48:$AL$48</c:f>
              <c:numCache>
                <c:formatCode>General</c:formatCode>
                <c:ptCount val="8"/>
                <c:pt idx="0">
                  <c:v>60</c:v>
                </c:pt>
                <c:pt idx="1">
                  <c:v>60</c:v>
                </c:pt>
                <c:pt idx="2">
                  <c:v>60</c:v>
                </c:pt>
                <c:pt idx="3">
                  <c:v>60</c:v>
                </c:pt>
                <c:pt idx="4">
                  <c:v>60</c:v>
                </c:pt>
                <c:pt idx="5">
                  <c:v>60</c:v>
                </c:pt>
                <c:pt idx="6">
                  <c:v>60</c:v>
                </c:pt>
                <c:pt idx="7">
                  <c:v>60</c:v>
                </c:pt>
              </c:numCache>
            </c:numRef>
          </c:val>
          <c:smooth val="0"/>
          <c:extLst>
            <c:ext xmlns:c16="http://schemas.microsoft.com/office/drawing/2014/chart" uri="{C3380CC4-5D6E-409C-BE32-E72D297353CC}">
              <c16:uniqueId val="{00000006-28E1-4163-80C2-2801EC300962}"/>
            </c:ext>
          </c:extLst>
        </c:ser>
        <c:ser>
          <c:idx val="7"/>
          <c:order val="7"/>
          <c:tx>
            <c:strRef>
              <c:f>'[DSA_2024.xlsm]Fan Chart'!$Z$49</c:f>
              <c:strCache>
                <c:ptCount val="1"/>
                <c:pt idx="0">
                  <c:v>ԱՄՀ շեմ</c:v>
                </c:pt>
              </c:strCache>
            </c:strRef>
          </c:tx>
          <c:spPr>
            <a:ln w="25400">
              <a:solidFill>
                <a:srgbClr val="FF0000"/>
              </a:solidFill>
              <a:prstDash val="dash"/>
            </a:ln>
          </c:spPr>
          <c:marker>
            <c:symbol val="none"/>
          </c:marker>
          <c:val>
            <c:numRef>
              <c:f>'[DSA_2024.xlsm]Fan Chart'!$AE$49:$AL$49</c:f>
              <c:numCache>
                <c:formatCode>General</c:formatCode>
                <c:ptCount val="8"/>
                <c:pt idx="0">
                  <c:v>70</c:v>
                </c:pt>
                <c:pt idx="1">
                  <c:v>70</c:v>
                </c:pt>
                <c:pt idx="2">
                  <c:v>70</c:v>
                </c:pt>
                <c:pt idx="3">
                  <c:v>70</c:v>
                </c:pt>
                <c:pt idx="4">
                  <c:v>70</c:v>
                </c:pt>
                <c:pt idx="5">
                  <c:v>70</c:v>
                </c:pt>
                <c:pt idx="6">
                  <c:v>70</c:v>
                </c:pt>
                <c:pt idx="7">
                  <c:v>70</c:v>
                </c:pt>
              </c:numCache>
            </c:numRef>
          </c:val>
          <c:smooth val="0"/>
          <c:extLst>
            <c:ext xmlns:c16="http://schemas.microsoft.com/office/drawing/2014/chart" uri="{C3380CC4-5D6E-409C-BE32-E72D297353CC}">
              <c16:uniqueId val="{00000007-28E1-4163-80C2-2801EC300962}"/>
            </c:ext>
          </c:extLst>
        </c:ser>
        <c:dLbls>
          <c:showLegendKey val="0"/>
          <c:showVal val="0"/>
          <c:showCatName val="0"/>
          <c:showSerName val="0"/>
          <c:showPercent val="0"/>
          <c:showBubbleSize val="0"/>
        </c:dLbls>
        <c:marker val="1"/>
        <c:smooth val="0"/>
        <c:axId val="660882944"/>
        <c:axId val="660884480"/>
      </c:lineChart>
      <c:catAx>
        <c:axId val="660882944"/>
        <c:scaling>
          <c:orientation val="minMax"/>
        </c:scaling>
        <c:delete val="0"/>
        <c:axPos val="b"/>
        <c:numFmt formatCode="General" sourceLinked="1"/>
        <c:majorTickMark val="in"/>
        <c:minorTickMark val="none"/>
        <c:tickLblPos val="low"/>
        <c:spPr>
          <a:ln w="3175">
            <a:solidFill>
              <a:srgbClr val="7F7F7F"/>
            </a:solidFill>
            <a:prstDash val="solid"/>
          </a:ln>
        </c:spPr>
        <c:txPr>
          <a:bodyPr rot="0" vert="horz"/>
          <a:lstStyle/>
          <a:p>
            <a:pPr>
              <a:defRPr/>
            </a:pPr>
            <a:endParaRPr lang="en-US"/>
          </a:p>
        </c:txPr>
        <c:crossAx val="660884480"/>
        <c:crosses val="autoZero"/>
        <c:auto val="1"/>
        <c:lblAlgn val="ctr"/>
        <c:lblOffset val="100"/>
        <c:tickLblSkip val="1"/>
        <c:tickMarkSkip val="1"/>
        <c:noMultiLvlLbl val="0"/>
      </c:catAx>
      <c:valAx>
        <c:axId val="660884480"/>
        <c:scaling>
          <c:orientation val="minMax"/>
          <c:max val="75"/>
          <c:min val="20"/>
        </c:scaling>
        <c:delete val="0"/>
        <c:axPos val="l"/>
        <c:numFmt formatCode="0" sourceLinked="0"/>
        <c:majorTickMark val="in"/>
        <c:minorTickMark val="none"/>
        <c:tickLblPos val="nextTo"/>
        <c:spPr>
          <a:ln>
            <a:solidFill>
              <a:srgbClr val="7F7F7F"/>
            </a:solidFill>
          </a:ln>
        </c:spPr>
        <c:txPr>
          <a:bodyPr rot="0" vert="horz"/>
          <a:lstStyle/>
          <a:p>
            <a:pPr>
              <a:defRPr/>
            </a:pPr>
            <a:endParaRPr lang="en-US"/>
          </a:p>
        </c:txPr>
        <c:crossAx val="660882944"/>
        <c:crosses val="autoZero"/>
        <c:crossBetween val="midCat"/>
      </c:valAx>
      <c:spPr>
        <a:noFill/>
        <a:ln w="0">
          <a:solidFill>
            <a:srgbClr val="7F7F7F"/>
          </a:solidFill>
          <a:prstDash val="solid"/>
        </a:ln>
      </c:spPr>
    </c:plotArea>
    <c:legend>
      <c:legendPos val="b"/>
      <c:layout>
        <c:manualLayout>
          <c:xMode val="edge"/>
          <c:yMode val="edge"/>
          <c:x val="5.78811575199623E-3"/>
          <c:y val="0.74471903084628499"/>
          <c:w val="0.94590922832254265"/>
          <c:h val="0.25528071775979866"/>
        </c:manualLayout>
      </c:layout>
      <c:overlay val="0"/>
    </c:legend>
    <c:plotVisOnly val="1"/>
    <c:dispBlanksAs val="zero"/>
    <c:showDLblsOverMax val="0"/>
  </c:chart>
  <c:spPr>
    <a:solidFill>
      <a:srgbClr val="FFFFFF"/>
    </a:solidFill>
    <a:ln w="9525">
      <a:solidFill>
        <a:schemeClr val="tx1"/>
      </a:solidFill>
    </a:ln>
  </c:spPr>
  <c:txPr>
    <a:bodyPr/>
    <a:lstStyle/>
    <a:p>
      <a:pPr>
        <a:defRPr sz="1050" b="0" i="0" u="none" strike="noStrike" baseline="0">
          <a:solidFill>
            <a:srgbClr val="000000"/>
          </a:solidFill>
          <a:latin typeface="GHEA Grapalat" panose="02000506050000020003" pitchFamily="50" charset="0"/>
          <a:ea typeface="Times New Roman"/>
          <a:cs typeface="Times New Roman"/>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080" b="0" i="0" u="none" strike="noStrike" kern="1200" spc="0" baseline="0">
                <a:solidFill>
                  <a:schemeClr val="tx1">
                    <a:lumMod val="65000"/>
                    <a:lumOff val="35000"/>
                  </a:schemeClr>
                </a:solidFill>
                <a:latin typeface="GHEA Grapalat" panose="02000506050000020003" pitchFamily="50" charset="0"/>
                <a:ea typeface="+mn-ea"/>
                <a:cs typeface="+mn-cs"/>
              </a:defRPr>
            </a:pPr>
            <a:r>
              <a:rPr lang="en-US" b="1">
                <a:solidFill>
                  <a:schemeClr val="tx2"/>
                </a:solidFill>
              </a:rPr>
              <a:t>ՀՀ կ</a:t>
            </a:r>
            <a:r>
              <a:rPr lang="hy-AM" b="1">
                <a:solidFill>
                  <a:schemeClr val="tx2"/>
                </a:solidFill>
              </a:rPr>
              <a:t>առավարության պարտք</a:t>
            </a:r>
            <a:r>
              <a:rPr lang="en-US" b="1">
                <a:solidFill>
                  <a:schemeClr val="tx2"/>
                </a:solidFill>
              </a:rPr>
              <a:t>/</a:t>
            </a:r>
            <a:r>
              <a:rPr lang="hy-AM" b="1">
                <a:solidFill>
                  <a:schemeClr val="tx2"/>
                </a:solidFill>
              </a:rPr>
              <a:t>ՀՆԱ</a:t>
            </a:r>
            <a:r>
              <a:rPr lang="en-US" b="1">
                <a:solidFill>
                  <a:schemeClr val="tx2"/>
                </a:solidFill>
              </a:rPr>
              <a:t>, %</a:t>
            </a:r>
          </a:p>
        </c:rich>
      </c:tx>
      <c:layout>
        <c:manualLayout>
          <c:xMode val="edge"/>
          <c:yMode val="edge"/>
          <c:x val="1.0514079258611196E-2"/>
          <c:y val="2.8791129369698357E-2"/>
        </c:manualLayout>
      </c:layout>
      <c:overlay val="0"/>
      <c:spPr>
        <a:noFill/>
        <a:ln>
          <a:noFill/>
        </a:ln>
        <a:effectLst/>
      </c:spPr>
      <c:txPr>
        <a:bodyPr rot="0" spcFirstLastPara="1" vertOverflow="ellipsis" vert="horz" wrap="square" anchor="ctr" anchorCtr="1"/>
        <a:lstStyle/>
        <a:p>
          <a:pPr algn="l">
            <a:defRPr sz="1080" b="0" i="0" u="none" strike="noStrike" kern="1200" spc="0" baseline="0">
              <a:solidFill>
                <a:schemeClr val="tx1">
                  <a:lumMod val="65000"/>
                  <a:lumOff val="35000"/>
                </a:schemeClr>
              </a:solidFill>
              <a:latin typeface="GHEA Grapalat" panose="02000506050000020003" pitchFamily="50" charset="0"/>
              <a:ea typeface="+mn-ea"/>
              <a:cs typeface="+mn-cs"/>
            </a:defRPr>
          </a:pPr>
          <a:endParaRPr lang="en-US"/>
        </a:p>
      </c:txPr>
    </c:title>
    <c:autoTitleDeleted val="0"/>
    <c:plotArea>
      <c:layout>
        <c:manualLayout>
          <c:layoutTarget val="inner"/>
          <c:xMode val="edge"/>
          <c:yMode val="edge"/>
          <c:x val="8.3574385837753548E-2"/>
          <c:y val="0.20717258639883637"/>
          <c:w val="0.87807136032682109"/>
          <c:h val="0.68886602796941399"/>
        </c:manualLayout>
      </c:layout>
      <c:lineChart>
        <c:grouping val="standard"/>
        <c:varyColors val="0"/>
        <c:ser>
          <c:idx val="0"/>
          <c:order val="0"/>
          <c:tx>
            <c:strRef>
              <c:f>Sheet1!$B$1</c:f>
              <c:strCache>
                <c:ptCount val="1"/>
                <c:pt idx="0">
                  <c:v>Բազային սցենար</c:v>
                </c:pt>
              </c:strCache>
            </c:strRef>
          </c:tx>
          <c:spPr>
            <a:ln w="41275" cap="rnd">
              <a:solidFill>
                <a:schemeClr val="tx1"/>
              </a:solidFill>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Sheet1!$B$2:$B$8</c:f>
              <c:numCache>
                <c:formatCode>0.0</c:formatCode>
                <c:ptCount val="6"/>
                <c:pt idx="0">
                  <c:v>50.530504301264337</c:v>
                </c:pt>
                <c:pt idx="1">
                  <c:v>53.667608174994875</c:v>
                </c:pt>
                <c:pt idx="2">
                  <c:v>55.039596747783804</c:v>
                </c:pt>
                <c:pt idx="3">
                  <c:v>54.957432524270743</c:v>
                </c:pt>
                <c:pt idx="4">
                  <c:v>54.094952930536721</c:v>
                </c:pt>
                <c:pt idx="5">
                  <c:v>53.291470252984766</c:v>
                </c:pt>
              </c:numCache>
            </c:numRef>
          </c:val>
          <c:smooth val="0"/>
          <c:extLst>
            <c:ext xmlns:c16="http://schemas.microsoft.com/office/drawing/2014/chart" uri="{C3380CC4-5D6E-409C-BE32-E72D297353CC}">
              <c16:uniqueId val="{00000000-B67B-4D97-9EB8-FEE52747E853}"/>
            </c:ext>
          </c:extLst>
        </c:ser>
        <c:ser>
          <c:idx val="1"/>
          <c:order val="1"/>
          <c:tx>
            <c:strRef>
              <c:f>Sheet1!$C$1</c:f>
              <c:strCache>
                <c:ptCount val="1"/>
                <c:pt idx="0">
                  <c:v>Փոխարժեքի շոկ</c:v>
                </c:pt>
              </c:strCache>
            </c:strRef>
          </c:tx>
          <c:spPr>
            <a:ln w="41275" cap="rnd">
              <a:solidFill>
                <a:schemeClr val="accent2">
                  <a:lumMod val="50000"/>
                </a:schemeClr>
              </a:solidFill>
              <a:prstDash val="sysDash"/>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Sheet1!$C$2:$C$8</c:f>
              <c:numCache>
                <c:formatCode>0.0</c:formatCode>
                <c:ptCount val="6"/>
                <c:pt idx="0">
                  <c:v>50.761843527140272</c:v>
                </c:pt>
                <c:pt idx="1">
                  <c:v>57.226888878028923</c:v>
                </c:pt>
                <c:pt idx="2">
                  <c:v>58.530302603160109</c:v>
                </c:pt>
                <c:pt idx="3">
                  <c:v>58.299352074376984</c:v>
                </c:pt>
                <c:pt idx="4">
                  <c:v>57.244393350442969</c:v>
                </c:pt>
                <c:pt idx="5">
                  <c:v>56.269966041831331</c:v>
                </c:pt>
              </c:numCache>
            </c:numRef>
          </c:val>
          <c:smooth val="0"/>
          <c:extLst>
            <c:ext xmlns:c16="http://schemas.microsoft.com/office/drawing/2014/chart" uri="{C3380CC4-5D6E-409C-BE32-E72D297353CC}">
              <c16:uniqueId val="{00000001-B67B-4D97-9EB8-FEE52747E853}"/>
            </c:ext>
          </c:extLst>
        </c:ser>
        <c:ser>
          <c:idx val="2"/>
          <c:order val="2"/>
          <c:tx>
            <c:strRef>
              <c:f>Sheet1!$D$1</c:f>
              <c:strCache>
                <c:ptCount val="1"/>
                <c:pt idx="0">
                  <c:v>Տնտեսական աճի շոկ</c:v>
                </c:pt>
              </c:strCache>
            </c:strRef>
          </c:tx>
          <c:spPr>
            <a:ln w="28575" cap="rnd">
              <a:solidFill>
                <a:schemeClr val="accent3"/>
              </a:solidFill>
              <a:prstDash val="dashDot"/>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Sheet1!$D$2:$D$8</c:f>
              <c:numCache>
                <c:formatCode>0.0</c:formatCode>
                <c:ptCount val="6"/>
                <c:pt idx="0">
                  <c:v>50.761843527140272</c:v>
                </c:pt>
                <c:pt idx="1">
                  <c:v>58.806369956247508</c:v>
                </c:pt>
                <c:pt idx="2">
                  <c:v>67.370163679072988</c:v>
                </c:pt>
                <c:pt idx="3">
                  <c:v>67.375630871744136</c:v>
                </c:pt>
                <c:pt idx="4">
                  <c:v>66.428943484287416</c:v>
                </c:pt>
                <c:pt idx="5">
                  <c:v>65.532021168684977</c:v>
                </c:pt>
              </c:numCache>
            </c:numRef>
          </c:val>
          <c:smooth val="0"/>
          <c:extLst>
            <c:ext xmlns:c16="http://schemas.microsoft.com/office/drawing/2014/chart" uri="{C3380CC4-5D6E-409C-BE32-E72D297353CC}">
              <c16:uniqueId val="{00000002-B67B-4D97-9EB8-FEE52747E853}"/>
            </c:ext>
          </c:extLst>
        </c:ser>
        <c:ser>
          <c:idx val="3"/>
          <c:order val="3"/>
          <c:tx>
            <c:strRef>
              <c:f>Sheet1!$E$1</c:f>
              <c:strCache>
                <c:ptCount val="1"/>
                <c:pt idx="0">
                  <c:v>Առաջնային հաշվեկշռի շոկ</c:v>
                </c:pt>
              </c:strCache>
            </c:strRef>
          </c:tx>
          <c:spPr>
            <a:ln w="28575" cap="rnd">
              <a:solidFill>
                <a:schemeClr val="accent4"/>
              </a:solidFill>
              <a:prstDash val="sysDot"/>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Sheet1!$E$2:$E$8</c:f>
              <c:numCache>
                <c:formatCode>0.0</c:formatCode>
                <c:ptCount val="6"/>
                <c:pt idx="0">
                  <c:v>50.761843527140272</c:v>
                </c:pt>
                <c:pt idx="1">
                  <c:v>54.889736918271026</c:v>
                </c:pt>
                <c:pt idx="2">
                  <c:v>57.309009784096453</c:v>
                </c:pt>
                <c:pt idx="3">
                  <c:v>57.235782719559637</c:v>
                </c:pt>
                <c:pt idx="4">
                  <c:v>56.353493281102814</c:v>
                </c:pt>
                <c:pt idx="5">
                  <c:v>55.526980675258429</c:v>
                </c:pt>
              </c:numCache>
            </c:numRef>
          </c:val>
          <c:smooth val="0"/>
          <c:extLst>
            <c:ext xmlns:c16="http://schemas.microsoft.com/office/drawing/2014/chart" uri="{C3380CC4-5D6E-409C-BE32-E72D297353CC}">
              <c16:uniqueId val="{00000003-B67B-4D97-9EB8-FEE52747E853}"/>
            </c:ext>
          </c:extLst>
        </c:ser>
        <c:ser>
          <c:idx val="4"/>
          <c:order val="4"/>
          <c:tx>
            <c:strRef>
              <c:f>Sheet1!$F$1</c:f>
              <c:strCache>
                <c:ptCount val="1"/>
                <c:pt idx="0">
                  <c:v>Իրական տոկոսադրույքի շոկ</c:v>
                </c:pt>
              </c:strCache>
            </c:strRef>
          </c:tx>
          <c:spPr>
            <a:ln w="28575" cap="rnd">
              <a:solidFill>
                <a:schemeClr val="accent5"/>
              </a:solidFill>
              <a:prstDash val="dash"/>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Sheet1!$F$2:$F$8</c:f>
              <c:numCache>
                <c:formatCode>0.0</c:formatCode>
                <c:ptCount val="6"/>
                <c:pt idx="0">
                  <c:v>50.761843527140272</c:v>
                </c:pt>
                <c:pt idx="1">
                  <c:v>53.953621860753273</c:v>
                </c:pt>
                <c:pt idx="2">
                  <c:v>55.646994947772214</c:v>
                </c:pt>
                <c:pt idx="3">
                  <c:v>55.929058836108105</c:v>
                </c:pt>
                <c:pt idx="4">
                  <c:v>55.509623499663142</c:v>
                </c:pt>
                <c:pt idx="5">
                  <c:v>55.212867181616467</c:v>
                </c:pt>
              </c:numCache>
            </c:numRef>
          </c:val>
          <c:smooth val="0"/>
          <c:extLst>
            <c:ext xmlns:c16="http://schemas.microsoft.com/office/drawing/2014/chart" uri="{C3380CC4-5D6E-409C-BE32-E72D297353CC}">
              <c16:uniqueId val="{00000004-B67B-4D97-9EB8-FEE52747E853}"/>
            </c:ext>
          </c:extLst>
        </c:ser>
        <c:ser>
          <c:idx val="5"/>
          <c:order val="5"/>
          <c:tx>
            <c:strRef>
              <c:f>Sheet1!$G$1</c:f>
              <c:strCache>
                <c:ptCount val="1"/>
                <c:pt idx="0">
                  <c:v>Համակցված շոկ</c:v>
                </c:pt>
              </c:strCache>
            </c:strRef>
          </c:tx>
          <c:spPr>
            <a:ln w="41275" cap="rnd">
              <a:solidFill>
                <a:schemeClr val="accent6"/>
              </a:solidFill>
              <a:prstDash val="dash"/>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Sheet1!$G$2:$G$8</c:f>
              <c:numCache>
                <c:formatCode>0.0</c:formatCode>
                <c:ptCount val="6"/>
                <c:pt idx="0">
                  <c:v>50.761843527140272</c:v>
                </c:pt>
                <c:pt idx="1">
                  <c:v>65.492669773043389</c:v>
                </c:pt>
                <c:pt idx="2">
                  <c:v>74.509300270340873</c:v>
                </c:pt>
                <c:pt idx="3">
                  <c:v>74.711334191487197</c:v>
                </c:pt>
                <c:pt idx="4">
                  <c:v>73.99698427985895</c:v>
                </c:pt>
                <c:pt idx="5">
                  <c:v>73.457378268785604</c:v>
                </c:pt>
              </c:numCache>
            </c:numRef>
          </c:val>
          <c:smooth val="0"/>
          <c:extLst>
            <c:ext xmlns:c16="http://schemas.microsoft.com/office/drawing/2014/chart" uri="{C3380CC4-5D6E-409C-BE32-E72D297353CC}">
              <c16:uniqueId val="{00000005-B67B-4D97-9EB8-FEE52747E853}"/>
            </c:ext>
          </c:extLst>
        </c:ser>
        <c:ser>
          <c:idx val="6"/>
          <c:order val="6"/>
          <c:tx>
            <c:strRef>
              <c:f>Sheet1!$H$1</c:f>
              <c:strCache>
                <c:ptCount val="1"/>
                <c:pt idx="0">
                  <c:v>Շեմ 1</c:v>
                </c:pt>
              </c:strCache>
            </c:strRef>
          </c:tx>
          <c:spPr>
            <a:ln w="12700" cap="rnd">
              <a:solidFill>
                <a:schemeClr val="bg1"/>
              </a:solidFill>
              <a:prstDash val="dash"/>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Sheet1!$H$2:$H$8</c:f>
              <c:numCache>
                <c:formatCode>0</c:formatCode>
                <c:ptCount val="6"/>
                <c:pt idx="0">
                  <c:v>50</c:v>
                </c:pt>
                <c:pt idx="1">
                  <c:v>50</c:v>
                </c:pt>
                <c:pt idx="2">
                  <c:v>50</c:v>
                </c:pt>
                <c:pt idx="3">
                  <c:v>50</c:v>
                </c:pt>
                <c:pt idx="4">
                  <c:v>50</c:v>
                </c:pt>
                <c:pt idx="5">
                  <c:v>50</c:v>
                </c:pt>
              </c:numCache>
            </c:numRef>
          </c:val>
          <c:smooth val="0"/>
          <c:extLst>
            <c:ext xmlns:c16="http://schemas.microsoft.com/office/drawing/2014/chart" uri="{C3380CC4-5D6E-409C-BE32-E72D297353CC}">
              <c16:uniqueId val="{00000006-B67B-4D97-9EB8-FEE52747E853}"/>
            </c:ext>
          </c:extLst>
        </c:ser>
        <c:ser>
          <c:idx val="7"/>
          <c:order val="7"/>
          <c:tx>
            <c:strRef>
              <c:f>Sheet1!$I$1</c:f>
              <c:strCache>
                <c:ptCount val="1"/>
                <c:pt idx="0">
                  <c:v>Շեմ 2</c:v>
                </c:pt>
              </c:strCache>
            </c:strRef>
          </c:tx>
          <c:spPr>
            <a:ln w="22225" cap="rnd">
              <a:solidFill>
                <a:srgbClr val="C00000"/>
              </a:solidFill>
              <a:prstDash val="dash"/>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Sheet1!$I$2:$I$8</c:f>
              <c:numCache>
                <c:formatCode>0</c:formatCode>
                <c:ptCount val="6"/>
                <c:pt idx="0">
                  <c:v>60</c:v>
                </c:pt>
                <c:pt idx="1">
                  <c:v>60</c:v>
                </c:pt>
                <c:pt idx="2">
                  <c:v>60</c:v>
                </c:pt>
                <c:pt idx="3">
                  <c:v>60</c:v>
                </c:pt>
                <c:pt idx="4">
                  <c:v>60</c:v>
                </c:pt>
                <c:pt idx="5">
                  <c:v>60</c:v>
                </c:pt>
              </c:numCache>
            </c:numRef>
          </c:val>
          <c:smooth val="0"/>
          <c:extLst>
            <c:ext xmlns:c16="http://schemas.microsoft.com/office/drawing/2014/chart" uri="{C3380CC4-5D6E-409C-BE32-E72D297353CC}">
              <c16:uniqueId val="{00000007-B67B-4D97-9EB8-FEE52747E853}"/>
            </c:ext>
          </c:extLst>
        </c:ser>
        <c:ser>
          <c:idx val="8"/>
          <c:order val="8"/>
          <c:tx>
            <c:strRef>
              <c:f>Sheet1!$J$1</c:f>
              <c:strCache>
                <c:ptCount val="1"/>
                <c:pt idx="0">
                  <c:v>Շեմ 3</c:v>
                </c:pt>
              </c:strCache>
            </c:strRef>
          </c:tx>
          <c:spPr>
            <a:ln w="22225" cap="rnd">
              <a:solidFill>
                <a:srgbClr val="C00000"/>
              </a:solidFill>
              <a:round/>
            </a:ln>
            <a:effectLst/>
          </c:spPr>
          <c:marker>
            <c:symbol val="none"/>
          </c:marker>
          <c:cat>
            <c:numRef>
              <c:f>Sheet1!$A$2:$A$8</c:f>
              <c:numCache>
                <c:formatCode>General</c:formatCode>
                <c:ptCount val="6"/>
                <c:pt idx="0">
                  <c:v>2024</c:v>
                </c:pt>
                <c:pt idx="1">
                  <c:v>2025</c:v>
                </c:pt>
                <c:pt idx="2">
                  <c:v>2026</c:v>
                </c:pt>
                <c:pt idx="3">
                  <c:v>2027</c:v>
                </c:pt>
                <c:pt idx="4">
                  <c:v>2028</c:v>
                </c:pt>
                <c:pt idx="5">
                  <c:v>2029</c:v>
                </c:pt>
              </c:numCache>
            </c:numRef>
          </c:cat>
          <c:val>
            <c:numRef>
              <c:f>Sheet1!$J$2:$J$8</c:f>
              <c:numCache>
                <c:formatCode>0</c:formatCode>
                <c:ptCount val="6"/>
                <c:pt idx="0">
                  <c:v>70</c:v>
                </c:pt>
                <c:pt idx="1">
                  <c:v>70</c:v>
                </c:pt>
                <c:pt idx="2">
                  <c:v>70</c:v>
                </c:pt>
                <c:pt idx="3">
                  <c:v>70</c:v>
                </c:pt>
                <c:pt idx="4">
                  <c:v>70</c:v>
                </c:pt>
                <c:pt idx="5">
                  <c:v>70</c:v>
                </c:pt>
              </c:numCache>
            </c:numRef>
          </c:val>
          <c:smooth val="0"/>
          <c:extLst>
            <c:ext xmlns:c16="http://schemas.microsoft.com/office/drawing/2014/chart" uri="{C3380CC4-5D6E-409C-BE32-E72D297353CC}">
              <c16:uniqueId val="{00000008-B67B-4D97-9EB8-FEE52747E853}"/>
            </c:ext>
          </c:extLst>
        </c:ser>
        <c:dLbls>
          <c:showLegendKey val="0"/>
          <c:showVal val="0"/>
          <c:showCatName val="0"/>
          <c:showSerName val="0"/>
          <c:showPercent val="0"/>
          <c:showBubbleSize val="0"/>
        </c:dLbls>
        <c:smooth val="0"/>
        <c:axId val="155614208"/>
        <c:axId val="155632384"/>
      </c:lineChart>
      <c:catAx>
        <c:axId val="15561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155632384"/>
        <c:crosses val="autoZero"/>
        <c:auto val="1"/>
        <c:lblAlgn val="ctr"/>
        <c:lblOffset val="100"/>
        <c:noMultiLvlLbl val="0"/>
      </c:catAx>
      <c:valAx>
        <c:axId val="155632384"/>
        <c:scaling>
          <c:orientation val="minMax"/>
          <c:min val="45"/>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1556142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GHEA Grapalat" panose="02000506050000020003" pitchFamily="50" charset="0"/>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080" b="0" i="0" u="none" strike="noStrike" kern="1200" spc="0" baseline="0">
                <a:solidFill>
                  <a:schemeClr val="tx1">
                    <a:lumMod val="65000"/>
                    <a:lumOff val="35000"/>
                  </a:schemeClr>
                </a:solidFill>
                <a:latin typeface="GHEA Grapalat" panose="02000506050000020003" pitchFamily="50" charset="0"/>
                <a:ea typeface="+mn-ea"/>
                <a:cs typeface="+mn-cs"/>
              </a:defRPr>
            </a:pPr>
            <a:r>
              <a:rPr lang="hy-AM" b="1">
                <a:solidFill>
                  <a:schemeClr val="tx2"/>
                </a:solidFill>
              </a:rPr>
              <a:t>Բյուջեի համախառն ֆինանսավորման պահանջ</a:t>
            </a:r>
            <a:r>
              <a:rPr lang="en-US" b="1">
                <a:solidFill>
                  <a:schemeClr val="tx2"/>
                </a:solidFill>
              </a:rPr>
              <a:t>/</a:t>
            </a:r>
            <a:r>
              <a:rPr lang="hy-AM" b="1">
                <a:solidFill>
                  <a:schemeClr val="tx2"/>
                </a:solidFill>
              </a:rPr>
              <a:t>ՀՆԱ</a:t>
            </a:r>
            <a:r>
              <a:rPr lang="en-US" b="1">
                <a:solidFill>
                  <a:schemeClr val="tx2"/>
                </a:solidFill>
              </a:rPr>
              <a:t>, %</a:t>
            </a:r>
          </a:p>
        </c:rich>
      </c:tx>
      <c:layout>
        <c:manualLayout>
          <c:xMode val="edge"/>
          <c:yMode val="edge"/>
          <c:x val="2.4152885797250806E-2"/>
          <c:y val="9.467457872113812E-3"/>
        </c:manualLayout>
      </c:layout>
      <c:overlay val="0"/>
      <c:spPr>
        <a:noFill/>
        <a:ln>
          <a:noFill/>
        </a:ln>
        <a:effectLst/>
      </c:spPr>
      <c:txPr>
        <a:bodyPr rot="0" spcFirstLastPara="1" vertOverflow="ellipsis" vert="horz" wrap="square" anchor="ctr" anchorCtr="1"/>
        <a:lstStyle/>
        <a:p>
          <a:pPr algn="l">
            <a:defRPr sz="1080" b="0" i="0" u="none" strike="noStrike" kern="1200" spc="0" baseline="0">
              <a:solidFill>
                <a:schemeClr val="tx1">
                  <a:lumMod val="65000"/>
                  <a:lumOff val="35000"/>
                </a:schemeClr>
              </a:solidFill>
              <a:latin typeface="GHEA Grapalat" panose="02000506050000020003" pitchFamily="50" charset="0"/>
              <a:ea typeface="+mn-ea"/>
              <a:cs typeface="+mn-cs"/>
            </a:defRPr>
          </a:pPr>
          <a:endParaRPr lang="en-US"/>
        </a:p>
      </c:txPr>
    </c:title>
    <c:autoTitleDeleted val="0"/>
    <c:plotArea>
      <c:layout>
        <c:manualLayout>
          <c:layoutTarget val="inner"/>
          <c:xMode val="edge"/>
          <c:yMode val="edge"/>
          <c:x val="8.3574385837753548E-2"/>
          <c:y val="0.21190195840904502"/>
          <c:w val="0.87807136032682109"/>
          <c:h val="0.6841368059761761"/>
        </c:manualLayout>
      </c:layout>
      <c:lineChart>
        <c:grouping val="standard"/>
        <c:varyColors val="0"/>
        <c:ser>
          <c:idx val="0"/>
          <c:order val="0"/>
          <c:tx>
            <c:strRef>
              <c:f>Sheet1!$B$1</c:f>
              <c:strCache>
                <c:ptCount val="1"/>
                <c:pt idx="0">
                  <c:v>Բազային սցենար</c:v>
                </c:pt>
              </c:strCache>
            </c:strRef>
          </c:tx>
          <c:spPr>
            <a:ln w="41275" cap="rnd">
              <a:solidFill>
                <a:schemeClr val="tx1"/>
              </a:solidFill>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Sheet1!$B$2:$B$7</c:f>
              <c:numCache>
                <c:formatCode>0.0</c:formatCode>
                <c:ptCount val="6"/>
                <c:pt idx="0">
                  <c:v>8.4833447997485987</c:v>
                </c:pt>
                <c:pt idx="1">
                  <c:v>10.699470513091887</c:v>
                </c:pt>
                <c:pt idx="2">
                  <c:v>8.6763803441174243</c:v>
                </c:pt>
                <c:pt idx="3">
                  <c:v>6.9884355435209669</c:v>
                </c:pt>
                <c:pt idx="4">
                  <c:v>6.5197441480424594</c:v>
                </c:pt>
                <c:pt idx="5">
                  <c:v>8.2326086999819772</c:v>
                </c:pt>
              </c:numCache>
            </c:numRef>
          </c:val>
          <c:smooth val="0"/>
          <c:extLst>
            <c:ext xmlns:c16="http://schemas.microsoft.com/office/drawing/2014/chart" uri="{C3380CC4-5D6E-409C-BE32-E72D297353CC}">
              <c16:uniqueId val="{00000000-43CF-4296-B545-096AFDCED16A}"/>
            </c:ext>
          </c:extLst>
        </c:ser>
        <c:ser>
          <c:idx val="1"/>
          <c:order val="1"/>
          <c:tx>
            <c:strRef>
              <c:f>Sheet1!$C$1</c:f>
              <c:strCache>
                <c:ptCount val="1"/>
                <c:pt idx="0">
                  <c:v>Փոխարժեքի շոկ</c:v>
                </c:pt>
              </c:strCache>
            </c:strRef>
          </c:tx>
          <c:spPr>
            <a:ln w="41275" cap="rnd">
              <a:solidFill>
                <a:schemeClr val="accent2">
                  <a:lumMod val="50000"/>
                </a:schemeClr>
              </a:solidFill>
              <a:prstDash val="sysDash"/>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Sheet1!$C$2:$C$7</c:f>
              <c:numCache>
                <c:formatCode>0.0</c:formatCode>
                <c:ptCount val="6"/>
                <c:pt idx="0">
                  <c:v>8.5160583549379254</c:v>
                </c:pt>
                <c:pt idx="1">
                  <c:v>11.097451391804389</c:v>
                </c:pt>
                <c:pt idx="2">
                  <c:v>8.9332750757124391</c:v>
                </c:pt>
                <c:pt idx="3">
                  <c:v>7.1994616984208131</c:v>
                </c:pt>
                <c:pt idx="4">
                  <c:v>6.7365724286832656</c:v>
                </c:pt>
                <c:pt idx="5">
                  <c:v>8.6983228784388444</c:v>
                </c:pt>
              </c:numCache>
            </c:numRef>
          </c:val>
          <c:smooth val="0"/>
          <c:extLst>
            <c:ext xmlns:c16="http://schemas.microsoft.com/office/drawing/2014/chart" uri="{C3380CC4-5D6E-409C-BE32-E72D297353CC}">
              <c16:uniqueId val="{00000001-43CF-4296-B545-096AFDCED16A}"/>
            </c:ext>
          </c:extLst>
        </c:ser>
        <c:ser>
          <c:idx val="2"/>
          <c:order val="2"/>
          <c:tx>
            <c:strRef>
              <c:f>Sheet1!$D$1</c:f>
              <c:strCache>
                <c:ptCount val="1"/>
                <c:pt idx="0">
                  <c:v>Տնտեսական աճի շոկ</c:v>
                </c:pt>
              </c:strCache>
            </c:strRef>
          </c:tx>
          <c:spPr>
            <a:ln w="28575" cap="rnd">
              <a:solidFill>
                <a:schemeClr val="accent3"/>
              </a:solidFill>
              <a:prstDash val="dashDot"/>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Sheet1!$D$2:$D$7</c:f>
              <c:numCache>
                <c:formatCode>0.0</c:formatCode>
                <c:ptCount val="6"/>
                <c:pt idx="0">
                  <c:v>8.5160583549379254</c:v>
                </c:pt>
                <c:pt idx="1">
                  <c:v>13.056521377336963</c:v>
                </c:pt>
                <c:pt idx="2">
                  <c:v>13.478041806267868</c:v>
                </c:pt>
                <c:pt idx="3">
                  <c:v>8.7297124345796409</c:v>
                </c:pt>
                <c:pt idx="4">
                  <c:v>8.1118791408183863</c:v>
                </c:pt>
                <c:pt idx="5">
                  <c:v>10.028603103770182</c:v>
                </c:pt>
              </c:numCache>
            </c:numRef>
          </c:val>
          <c:smooth val="0"/>
          <c:extLst>
            <c:ext xmlns:c16="http://schemas.microsoft.com/office/drawing/2014/chart" uri="{C3380CC4-5D6E-409C-BE32-E72D297353CC}">
              <c16:uniqueId val="{00000002-43CF-4296-B545-096AFDCED16A}"/>
            </c:ext>
          </c:extLst>
        </c:ser>
        <c:ser>
          <c:idx val="3"/>
          <c:order val="3"/>
          <c:tx>
            <c:strRef>
              <c:f>Sheet1!$E$1</c:f>
              <c:strCache>
                <c:ptCount val="1"/>
                <c:pt idx="0">
                  <c:v>Առաջնային հաշվեկշռի շոկ</c:v>
                </c:pt>
              </c:strCache>
            </c:strRef>
          </c:tx>
          <c:spPr>
            <a:ln w="28575" cap="rnd">
              <a:solidFill>
                <a:schemeClr val="accent4"/>
              </a:solidFill>
              <a:prstDash val="sysDot"/>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Sheet1!$E$2:$E$7</c:f>
              <c:numCache>
                <c:formatCode>0.0</c:formatCode>
                <c:ptCount val="6"/>
                <c:pt idx="0">
                  <c:v>8.5160583549379254</c:v>
                </c:pt>
                <c:pt idx="1">
                  <c:v>11.674179665084349</c:v>
                </c:pt>
                <c:pt idx="2">
                  <c:v>9.798048749526675</c:v>
                </c:pt>
                <c:pt idx="3">
                  <c:v>7.3053717066367065</c:v>
                </c:pt>
                <c:pt idx="4">
                  <c:v>6.8067604054104445</c:v>
                </c:pt>
                <c:pt idx="5">
                  <c:v>8.5261839490336584</c:v>
                </c:pt>
              </c:numCache>
            </c:numRef>
          </c:val>
          <c:smooth val="0"/>
          <c:extLst>
            <c:ext xmlns:c16="http://schemas.microsoft.com/office/drawing/2014/chart" uri="{C3380CC4-5D6E-409C-BE32-E72D297353CC}">
              <c16:uniqueId val="{00000003-43CF-4296-B545-096AFDCED16A}"/>
            </c:ext>
          </c:extLst>
        </c:ser>
        <c:ser>
          <c:idx val="4"/>
          <c:order val="4"/>
          <c:tx>
            <c:strRef>
              <c:f>Sheet1!$F$1</c:f>
              <c:strCache>
                <c:ptCount val="1"/>
                <c:pt idx="0">
                  <c:v>Իրական տոկոսադրույքի շոկ</c:v>
                </c:pt>
              </c:strCache>
            </c:strRef>
          </c:tx>
          <c:spPr>
            <a:ln w="28575" cap="rnd">
              <a:solidFill>
                <a:schemeClr val="accent5"/>
              </a:solidFill>
              <a:prstDash val="dash"/>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Sheet1!$F$2:$F$7</c:f>
              <c:numCache>
                <c:formatCode>0.0</c:formatCode>
                <c:ptCount val="6"/>
                <c:pt idx="0">
                  <c:v>8.5160583549379254</c:v>
                </c:pt>
                <c:pt idx="1">
                  <c:v>10.748150913666599</c:v>
                </c:pt>
                <c:pt idx="2">
                  <c:v>8.946828854556129</c:v>
                </c:pt>
                <c:pt idx="3">
                  <c:v>7.432774613107858</c:v>
                </c:pt>
                <c:pt idx="4">
                  <c:v>7.0973869149321134</c:v>
                </c:pt>
                <c:pt idx="5">
                  <c:v>8.9464902751276867</c:v>
                </c:pt>
              </c:numCache>
            </c:numRef>
          </c:val>
          <c:smooth val="0"/>
          <c:extLst>
            <c:ext xmlns:c16="http://schemas.microsoft.com/office/drawing/2014/chart" uri="{C3380CC4-5D6E-409C-BE32-E72D297353CC}">
              <c16:uniqueId val="{00000004-43CF-4296-B545-096AFDCED16A}"/>
            </c:ext>
          </c:extLst>
        </c:ser>
        <c:ser>
          <c:idx val="5"/>
          <c:order val="5"/>
          <c:tx>
            <c:strRef>
              <c:f>Sheet1!$G$1</c:f>
              <c:strCache>
                <c:ptCount val="1"/>
                <c:pt idx="0">
                  <c:v>Համակցված շոկ</c:v>
                </c:pt>
              </c:strCache>
            </c:strRef>
          </c:tx>
          <c:spPr>
            <a:ln w="41275" cap="rnd">
              <a:solidFill>
                <a:schemeClr val="accent6"/>
              </a:solidFill>
              <a:prstDash val="dash"/>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Sheet1!$G$2:$G$7</c:f>
              <c:numCache>
                <c:formatCode>0.0</c:formatCode>
                <c:ptCount val="6"/>
                <c:pt idx="0">
                  <c:v>8.5160583549379254</c:v>
                </c:pt>
                <c:pt idx="1">
                  <c:v>13.958889582979586</c:v>
                </c:pt>
                <c:pt idx="2">
                  <c:v>14.412343386581256</c:v>
                </c:pt>
                <c:pt idx="3">
                  <c:v>9.740569472190284</c:v>
                </c:pt>
                <c:pt idx="4">
                  <c:v>9.2868520050538983</c:v>
                </c:pt>
                <c:pt idx="5">
                  <c:v>11.753372865671686</c:v>
                </c:pt>
              </c:numCache>
            </c:numRef>
          </c:val>
          <c:smooth val="0"/>
          <c:extLst>
            <c:ext xmlns:c16="http://schemas.microsoft.com/office/drawing/2014/chart" uri="{C3380CC4-5D6E-409C-BE32-E72D297353CC}">
              <c16:uniqueId val="{00000005-43CF-4296-B545-096AFDCED16A}"/>
            </c:ext>
          </c:extLst>
        </c:ser>
        <c:ser>
          <c:idx val="6"/>
          <c:order val="6"/>
          <c:tx>
            <c:strRef>
              <c:f>Sheet1!$H$1</c:f>
              <c:strCache>
                <c:ptCount val="1"/>
                <c:pt idx="0">
                  <c:v>Շեմ</c:v>
                </c:pt>
              </c:strCache>
            </c:strRef>
          </c:tx>
          <c:spPr>
            <a:ln w="22225" cap="rnd">
              <a:solidFill>
                <a:srgbClr val="C00000"/>
              </a:solidFill>
              <a:round/>
            </a:ln>
            <a:effectLst/>
          </c:spPr>
          <c:marker>
            <c:symbol val="none"/>
          </c:marker>
          <c:cat>
            <c:numRef>
              <c:f>Sheet1!$A$2:$A$7</c:f>
              <c:numCache>
                <c:formatCode>General</c:formatCode>
                <c:ptCount val="6"/>
                <c:pt idx="0">
                  <c:v>2024</c:v>
                </c:pt>
                <c:pt idx="1">
                  <c:v>2025</c:v>
                </c:pt>
                <c:pt idx="2">
                  <c:v>2026</c:v>
                </c:pt>
                <c:pt idx="3">
                  <c:v>2027</c:v>
                </c:pt>
                <c:pt idx="4">
                  <c:v>2028</c:v>
                </c:pt>
                <c:pt idx="5">
                  <c:v>2029</c:v>
                </c:pt>
              </c:numCache>
            </c:numRef>
          </c:cat>
          <c:val>
            <c:numRef>
              <c:f>Sheet1!$H$2:$H$7</c:f>
              <c:numCache>
                <c:formatCode>0</c:formatCode>
                <c:ptCount val="6"/>
                <c:pt idx="0">
                  <c:v>15</c:v>
                </c:pt>
                <c:pt idx="1">
                  <c:v>15</c:v>
                </c:pt>
                <c:pt idx="2">
                  <c:v>15</c:v>
                </c:pt>
                <c:pt idx="3">
                  <c:v>15</c:v>
                </c:pt>
                <c:pt idx="4">
                  <c:v>15</c:v>
                </c:pt>
                <c:pt idx="5">
                  <c:v>15</c:v>
                </c:pt>
              </c:numCache>
            </c:numRef>
          </c:val>
          <c:smooth val="0"/>
          <c:extLst>
            <c:ext xmlns:c16="http://schemas.microsoft.com/office/drawing/2014/chart" uri="{C3380CC4-5D6E-409C-BE32-E72D297353CC}">
              <c16:uniqueId val="{00000006-43CF-4296-B545-096AFDCED16A}"/>
            </c:ext>
          </c:extLst>
        </c:ser>
        <c:dLbls>
          <c:showLegendKey val="0"/>
          <c:showVal val="0"/>
          <c:showCatName val="0"/>
          <c:showSerName val="0"/>
          <c:showPercent val="0"/>
          <c:showBubbleSize val="0"/>
        </c:dLbls>
        <c:smooth val="0"/>
        <c:axId val="155614208"/>
        <c:axId val="155632384"/>
      </c:lineChart>
      <c:catAx>
        <c:axId val="15561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155632384"/>
        <c:crosses val="autoZero"/>
        <c:auto val="1"/>
        <c:lblAlgn val="ctr"/>
        <c:lblOffset val="100"/>
        <c:noMultiLvlLbl val="0"/>
      </c:catAx>
      <c:valAx>
        <c:axId val="155632384"/>
        <c:scaling>
          <c:orientation val="minMax"/>
          <c:max val="16"/>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15561420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latin typeface="GHEA Grapalat" panose="02000506050000020003" pitchFamily="50" charset="0"/>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574385837753548E-2"/>
          <c:y val="0.14718253968253969"/>
          <c:w val="0.87807136032682109"/>
          <c:h val="0.74885608048993879"/>
        </c:manualLayout>
      </c:layout>
      <c:lineChart>
        <c:grouping val="standard"/>
        <c:varyColors val="0"/>
        <c:ser>
          <c:idx val="0"/>
          <c:order val="0"/>
          <c:tx>
            <c:strRef>
              <c:f>Sheet1!$B$1</c:f>
              <c:strCache>
                <c:ptCount val="1"/>
                <c:pt idx="0">
                  <c:v>Բազային սցենար</c:v>
                </c:pt>
              </c:strCache>
            </c:strRef>
          </c:tx>
          <c:spPr>
            <a:ln w="41275" cap="rnd">
              <a:solidFill>
                <a:schemeClr val="tx1"/>
              </a:solidFill>
              <a:round/>
            </a:ln>
            <a:effectLst/>
          </c:spPr>
          <c:marker>
            <c:symbol val="none"/>
          </c:marker>
          <c:cat>
            <c:numRef>
              <c:f>Sheet1!$A$2:$A$7</c:f>
              <c:numCache>
                <c:formatCode>General</c:formatCode>
                <c:ptCount val="6"/>
              </c:numCache>
            </c:numRef>
          </c:cat>
          <c:val>
            <c:numRef>
              <c:f>Sheet1!$B$2:$B$7</c:f>
              <c:numCache>
                <c:formatCode>General</c:formatCode>
                <c:ptCount val="6"/>
              </c:numCache>
            </c:numRef>
          </c:val>
          <c:smooth val="0"/>
          <c:extLst>
            <c:ext xmlns:c16="http://schemas.microsoft.com/office/drawing/2014/chart" uri="{C3380CC4-5D6E-409C-BE32-E72D297353CC}">
              <c16:uniqueId val="{00000000-D907-47D9-BA63-3E82B327A862}"/>
            </c:ext>
          </c:extLst>
        </c:ser>
        <c:ser>
          <c:idx val="1"/>
          <c:order val="1"/>
          <c:tx>
            <c:strRef>
              <c:f>Sheet1!$C$1</c:f>
              <c:strCache>
                <c:ptCount val="1"/>
                <c:pt idx="0">
                  <c:v>Փոխարժեքի շոկ</c:v>
                </c:pt>
              </c:strCache>
            </c:strRef>
          </c:tx>
          <c:spPr>
            <a:ln w="41275" cap="rnd">
              <a:solidFill>
                <a:schemeClr val="accent2">
                  <a:lumMod val="50000"/>
                </a:schemeClr>
              </a:solidFill>
              <a:prstDash val="sysDash"/>
              <a:round/>
            </a:ln>
            <a:effectLst/>
          </c:spPr>
          <c:marker>
            <c:symbol val="none"/>
          </c:marker>
          <c:cat>
            <c:numRef>
              <c:f>Sheet1!$A$2:$A$7</c:f>
              <c:numCache>
                <c:formatCode>General</c:formatCode>
                <c:ptCount val="6"/>
              </c:numCache>
            </c:numRef>
          </c:cat>
          <c:val>
            <c:numRef>
              <c:f>Sheet1!$C$2:$C$7</c:f>
              <c:numCache>
                <c:formatCode>General</c:formatCode>
                <c:ptCount val="6"/>
              </c:numCache>
            </c:numRef>
          </c:val>
          <c:smooth val="0"/>
          <c:extLst>
            <c:ext xmlns:c16="http://schemas.microsoft.com/office/drawing/2014/chart" uri="{C3380CC4-5D6E-409C-BE32-E72D297353CC}">
              <c16:uniqueId val="{00000001-D907-47D9-BA63-3E82B327A862}"/>
            </c:ext>
          </c:extLst>
        </c:ser>
        <c:ser>
          <c:idx val="2"/>
          <c:order val="2"/>
          <c:tx>
            <c:strRef>
              <c:f>Sheet1!$D$1</c:f>
              <c:strCache>
                <c:ptCount val="1"/>
                <c:pt idx="0">
                  <c:v>Տնտեսական աճի շոկ</c:v>
                </c:pt>
              </c:strCache>
            </c:strRef>
          </c:tx>
          <c:spPr>
            <a:ln w="28575" cap="rnd">
              <a:solidFill>
                <a:schemeClr val="accent3"/>
              </a:solidFill>
              <a:prstDash val="dashDot"/>
              <a:round/>
            </a:ln>
            <a:effectLst/>
          </c:spPr>
          <c:marker>
            <c:symbol val="none"/>
          </c:marker>
          <c:cat>
            <c:numRef>
              <c:f>Sheet1!$A$2:$A$7</c:f>
              <c:numCache>
                <c:formatCode>General</c:formatCode>
                <c:ptCount val="6"/>
              </c:numCache>
            </c:numRef>
          </c:cat>
          <c:val>
            <c:numRef>
              <c:f>Sheet1!$D$2:$D$7</c:f>
              <c:numCache>
                <c:formatCode>General</c:formatCode>
                <c:ptCount val="6"/>
              </c:numCache>
            </c:numRef>
          </c:val>
          <c:smooth val="0"/>
          <c:extLst>
            <c:ext xmlns:c16="http://schemas.microsoft.com/office/drawing/2014/chart" uri="{C3380CC4-5D6E-409C-BE32-E72D297353CC}">
              <c16:uniqueId val="{00000002-D907-47D9-BA63-3E82B327A862}"/>
            </c:ext>
          </c:extLst>
        </c:ser>
        <c:ser>
          <c:idx val="3"/>
          <c:order val="3"/>
          <c:tx>
            <c:strRef>
              <c:f>Sheet1!$E$1</c:f>
              <c:strCache>
                <c:ptCount val="1"/>
                <c:pt idx="0">
                  <c:v>Առաջնային հաշվեկշռի շոկ</c:v>
                </c:pt>
              </c:strCache>
            </c:strRef>
          </c:tx>
          <c:spPr>
            <a:ln w="28575" cap="rnd">
              <a:solidFill>
                <a:schemeClr val="accent4"/>
              </a:solidFill>
              <a:prstDash val="sysDot"/>
              <a:round/>
            </a:ln>
            <a:effectLst/>
          </c:spPr>
          <c:marker>
            <c:symbol val="none"/>
          </c:marker>
          <c:cat>
            <c:numRef>
              <c:f>Sheet1!$A$2:$A$7</c:f>
              <c:numCache>
                <c:formatCode>General</c:formatCode>
                <c:ptCount val="6"/>
              </c:numCache>
            </c:numRef>
          </c:cat>
          <c:val>
            <c:numRef>
              <c:f>Sheet1!$E$2:$E$7</c:f>
              <c:numCache>
                <c:formatCode>General</c:formatCode>
                <c:ptCount val="6"/>
              </c:numCache>
            </c:numRef>
          </c:val>
          <c:smooth val="0"/>
          <c:extLst>
            <c:ext xmlns:c16="http://schemas.microsoft.com/office/drawing/2014/chart" uri="{C3380CC4-5D6E-409C-BE32-E72D297353CC}">
              <c16:uniqueId val="{00000003-D907-47D9-BA63-3E82B327A862}"/>
            </c:ext>
          </c:extLst>
        </c:ser>
        <c:ser>
          <c:idx val="4"/>
          <c:order val="4"/>
          <c:tx>
            <c:strRef>
              <c:f>Sheet1!$F$1</c:f>
              <c:strCache>
                <c:ptCount val="1"/>
                <c:pt idx="0">
                  <c:v>Իրական տոկոսադրույքի շոկ</c:v>
                </c:pt>
              </c:strCache>
            </c:strRef>
          </c:tx>
          <c:spPr>
            <a:ln w="28575" cap="rnd">
              <a:solidFill>
                <a:schemeClr val="accent5"/>
              </a:solidFill>
              <a:prstDash val="dash"/>
              <a:round/>
            </a:ln>
            <a:effectLst/>
          </c:spPr>
          <c:marker>
            <c:symbol val="none"/>
          </c:marker>
          <c:cat>
            <c:numRef>
              <c:f>Sheet1!$A$2:$A$7</c:f>
              <c:numCache>
                <c:formatCode>General</c:formatCode>
                <c:ptCount val="6"/>
              </c:numCache>
            </c:numRef>
          </c:cat>
          <c:val>
            <c:numRef>
              <c:f>Sheet1!$F$2:$F$7</c:f>
              <c:numCache>
                <c:formatCode>General</c:formatCode>
                <c:ptCount val="6"/>
              </c:numCache>
            </c:numRef>
          </c:val>
          <c:smooth val="0"/>
          <c:extLst>
            <c:ext xmlns:c16="http://schemas.microsoft.com/office/drawing/2014/chart" uri="{C3380CC4-5D6E-409C-BE32-E72D297353CC}">
              <c16:uniqueId val="{00000004-D907-47D9-BA63-3E82B327A862}"/>
            </c:ext>
          </c:extLst>
        </c:ser>
        <c:ser>
          <c:idx val="5"/>
          <c:order val="5"/>
          <c:tx>
            <c:strRef>
              <c:f>Sheet1!$G$1</c:f>
              <c:strCache>
                <c:ptCount val="1"/>
                <c:pt idx="0">
                  <c:v>Համակցված շոկ</c:v>
                </c:pt>
              </c:strCache>
            </c:strRef>
          </c:tx>
          <c:spPr>
            <a:ln w="41275" cap="rnd">
              <a:solidFill>
                <a:schemeClr val="accent6"/>
              </a:solidFill>
              <a:prstDash val="dash"/>
              <a:round/>
            </a:ln>
            <a:effectLst/>
          </c:spPr>
          <c:marker>
            <c:symbol val="none"/>
          </c:marker>
          <c:cat>
            <c:numRef>
              <c:f>Sheet1!$A$2:$A$7</c:f>
              <c:numCache>
                <c:formatCode>General</c:formatCode>
                <c:ptCount val="6"/>
              </c:numCache>
            </c:numRef>
          </c:cat>
          <c:val>
            <c:numRef>
              <c:f>Sheet1!$G$2:$G$7</c:f>
              <c:numCache>
                <c:formatCode>General</c:formatCode>
                <c:ptCount val="6"/>
              </c:numCache>
            </c:numRef>
          </c:val>
          <c:smooth val="0"/>
          <c:extLst>
            <c:ext xmlns:c16="http://schemas.microsoft.com/office/drawing/2014/chart" uri="{C3380CC4-5D6E-409C-BE32-E72D297353CC}">
              <c16:uniqueId val="{00000005-D907-47D9-BA63-3E82B327A862}"/>
            </c:ext>
          </c:extLst>
        </c:ser>
        <c:dLbls>
          <c:showLegendKey val="0"/>
          <c:showVal val="0"/>
          <c:showCatName val="0"/>
          <c:showSerName val="0"/>
          <c:showPercent val="0"/>
          <c:showBubbleSize val="0"/>
        </c:dLbls>
        <c:smooth val="0"/>
        <c:axId val="155614208"/>
        <c:axId val="155632384"/>
      </c:lineChart>
      <c:catAx>
        <c:axId val="155614208"/>
        <c:scaling>
          <c:orientation val="minMax"/>
        </c:scaling>
        <c:delete val="1"/>
        <c:axPos val="b"/>
        <c:numFmt formatCode="General" sourceLinked="1"/>
        <c:majorTickMark val="none"/>
        <c:minorTickMark val="none"/>
        <c:tickLblPos val="nextTo"/>
        <c:crossAx val="155632384"/>
        <c:crosses val="autoZero"/>
        <c:auto val="1"/>
        <c:lblAlgn val="ctr"/>
        <c:lblOffset val="100"/>
        <c:noMultiLvlLbl val="0"/>
      </c:catAx>
      <c:valAx>
        <c:axId val="155632384"/>
        <c:scaling>
          <c:orientation val="minMax"/>
          <c:max val="16"/>
          <c:min val="0"/>
        </c:scaling>
        <c:delete val="1"/>
        <c:axPos val="l"/>
        <c:numFmt formatCode="General" sourceLinked="1"/>
        <c:majorTickMark val="none"/>
        <c:minorTickMark val="none"/>
        <c:tickLblPos val="nextTo"/>
        <c:crossAx val="155614208"/>
        <c:crosses val="autoZero"/>
        <c:crossBetween val="between"/>
      </c:valAx>
      <c:spPr>
        <a:noFill/>
        <a:ln>
          <a:noFill/>
        </a:ln>
        <a:effectLst/>
      </c:spPr>
    </c:plotArea>
    <c:legend>
      <c:legendPos val="b"/>
      <c:layout>
        <c:manualLayout>
          <c:xMode val="edge"/>
          <c:yMode val="edge"/>
          <c:x val="1.3811023622047256E-2"/>
          <c:y val="6.2493973967539772E-2"/>
          <c:w val="0.97904461942257237"/>
          <c:h val="0.835465209705929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428013571474307E-2"/>
          <c:y val="4.3650793650793648E-2"/>
          <c:w val="0.90482866470959411"/>
          <c:h val="0.56637178143100375"/>
        </c:manualLayout>
      </c:layout>
      <c:lineChart>
        <c:grouping val="standard"/>
        <c:varyColors val="0"/>
        <c:ser>
          <c:idx val="0"/>
          <c:order val="0"/>
          <c:tx>
            <c:strRef>
              <c:f>Sheet1!$B$1</c:f>
              <c:strCache>
                <c:ptCount val="1"/>
                <c:pt idx="0">
                  <c:v>Փաստացի</c:v>
                </c:pt>
              </c:strCache>
            </c:strRef>
          </c:tx>
          <c:spPr>
            <a:ln w="28575" cap="rnd">
              <a:solidFill>
                <a:schemeClr val="tx1"/>
              </a:solidFill>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Sheet1!$B$2:$B$10</c:f>
              <c:numCache>
                <c:formatCode>0.0</c:formatCode>
                <c:ptCount val="7"/>
                <c:pt idx="0">
                  <c:v>60.287276473798691</c:v>
                </c:pt>
                <c:pt idx="1">
                  <c:v>46.719899727856948</c:v>
                </c:pt>
                <c:pt idx="2">
                  <c:v>48.099386823578513</c:v>
                </c:pt>
              </c:numCache>
            </c:numRef>
          </c:val>
          <c:smooth val="0"/>
          <c:extLst>
            <c:ext xmlns:c16="http://schemas.microsoft.com/office/drawing/2014/chart" uri="{C3380CC4-5D6E-409C-BE32-E72D297353CC}">
              <c16:uniqueId val="{00000000-41A4-45E7-A73B-806B6B372422}"/>
            </c:ext>
          </c:extLst>
        </c:ser>
        <c:ser>
          <c:idx val="1"/>
          <c:order val="1"/>
          <c:tx>
            <c:strRef>
              <c:f>Sheet1!$C$1</c:f>
              <c:strCache>
                <c:ptCount val="1"/>
                <c:pt idx="0">
                  <c:v>ՄԺԾԾ սցենար</c:v>
                </c:pt>
              </c:strCache>
            </c:strRef>
          </c:tx>
          <c:spPr>
            <a:ln w="38100" cap="rnd">
              <a:solidFill>
                <a:schemeClr val="accent1"/>
              </a:solidFill>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Sheet1!$C$2:$C$10</c:f>
              <c:numCache>
                <c:formatCode>General</c:formatCode>
                <c:ptCount val="7"/>
                <c:pt idx="2" formatCode="0.0">
                  <c:v>48.099386823578513</c:v>
                </c:pt>
                <c:pt idx="3" formatCode="0.0">
                  <c:v>50.539872040733968</c:v>
                </c:pt>
                <c:pt idx="4" formatCode="0.0">
                  <c:v>53.741423263673262</c:v>
                </c:pt>
                <c:pt idx="5" formatCode="0.0">
                  <c:v>55.040310801451064</c:v>
                </c:pt>
                <c:pt idx="6" formatCode="0.0">
                  <c:v>54.953003273929014</c:v>
                </c:pt>
              </c:numCache>
            </c:numRef>
          </c:val>
          <c:smooth val="0"/>
          <c:extLst>
            <c:ext xmlns:c16="http://schemas.microsoft.com/office/drawing/2014/chart" uri="{C3380CC4-5D6E-409C-BE32-E72D297353CC}">
              <c16:uniqueId val="{00000001-41A4-45E7-A73B-806B6B372422}"/>
            </c:ext>
          </c:extLst>
        </c:ser>
        <c:ser>
          <c:idx val="2"/>
          <c:order val="2"/>
          <c:tx>
            <c:strRef>
              <c:f>Sheet1!$D$1</c:f>
              <c:strCache>
                <c:ptCount val="1"/>
                <c:pt idx="0">
                  <c:v>Տնտեսական աճի ռիսկ</c:v>
                </c:pt>
              </c:strCache>
            </c:strRef>
          </c:tx>
          <c:spPr>
            <a:ln w="22225" cap="rnd">
              <a:solidFill>
                <a:srgbClr val="FF0000"/>
              </a:solidFill>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Sheet1!$D$2:$D$10</c:f>
              <c:numCache>
                <c:formatCode>General</c:formatCode>
                <c:ptCount val="7"/>
                <c:pt idx="2" formatCode="0.0">
                  <c:v>48.099386823578513</c:v>
                </c:pt>
                <c:pt idx="3" formatCode="0.0">
                  <c:v>51.779576855259037</c:v>
                </c:pt>
                <c:pt idx="4" formatCode="0.0">
                  <c:v>56.756077900235013</c:v>
                </c:pt>
                <c:pt idx="5" formatCode="0.0">
                  <c:v>59.296031238268775</c:v>
                </c:pt>
                <c:pt idx="6" formatCode="0.0">
                  <c:v>60.143582091643431</c:v>
                </c:pt>
              </c:numCache>
            </c:numRef>
          </c:val>
          <c:smooth val="0"/>
          <c:extLst>
            <c:ext xmlns:c16="http://schemas.microsoft.com/office/drawing/2014/chart" uri="{C3380CC4-5D6E-409C-BE32-E72D297353CC}">
              <c16:uniqueId val="{00000002-41A4-45E7-A73B-806B6B372422}"/>
            </c:ext>
          </c:extLst>
        </c:ser>
        <c:ser>
          <c:idx val="3"/>
          <c:order val="3"/>
          <c:tx>
            <c:strRef>
              <c:f>Sheet1!$E$1</c:f>
              <c:strCache>
                <c:ptCount val="1"/>
                <c:pt idx="0">
                  <c:v>Պակասուրդի ռիսկ</c:v>
                </c:pt>
              </c:strCache>
            </c:strRef>
          </c:tx>
          <c:spPr>
            <a:ln w="22225" cap="rnd">
              <a:solidFill>
                <a:srgbClr val="A5A5A5">
                  <a:lumMod val="75000"/>
                </a:srgbClr>
              </a:solidFill>
              <a:prstDash val="solid"/>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Sheet1!$E$2:$E$10</c:f>
              <c:numCache>
                <c:formatCode>General</c:formatCode>
                <c:ptCount val="7"/>
                <c:pt idx="2" formatCode="0.0">
                  <c:v>48.099386823578513</c:v>
                </c:pt>
                <c:pt idx="3" formatCode="0.0">
                  <c:v>50.75961507866834</c:v>
                </c:pt>
                <c:pt idx="4" formatCode="0.0">
                  <c:v>54.593649365306106</c:v>
                </c:pt>
                <c:pt idx="5" formatCode="0.0">
                  <c:v>56.747413102199204</c:v>
                </c:pt>
                <c:pt idx="6" formatCode="0.0">
                  <c:v>57.949185084092257</c:v>
                </c:pt>
              </c:numCache>
            </c:numRef>
          </c:val>
          <c:smooth val="0"/>
          <c:extLst>
            <c:ext xmlns:c16="http://schemas.microsoft.com/office/drawing/2014/chart" uri="{C3380CC4-5D6E-409C-BE32-E72D297353CC}">
              <c16:uniqueId val="{00000003-41A4-45E7-A73B-806B6B372422}"/>
            </c:ext>
          </c:extLst>
        </c:ser>
        <c:ser>
          <c:idx val="4"/>
          <c:order val="4"/>
          <c:tx>
            <c:strRef>
              <c:f>Sheet1!$F$1</c:f>
              <c:strCache>
                <c:ptCount val="1"/>
                <c:pt idx="0">
                  <c:v>Փոխարժեքի ռիսկ</c:v>
                </c:pt>
              </c:strCache>
            </c:strRef>
          </c:tx>
          <c:spPr>
            <a:ln w="22225" cap="rnd">
              <a:solidFill>
                <a:srgbClr val="ED7D31"/>
              </a:solidFill>
              <a:prstDash val="solid"/>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Sheet1!$F$2:$F$10</c:f>
              <c:numCache>
                <c:formatCode>General</c:formatCode>
                <c:ptCount val="7"/>
                <c:pt idx="2" formatCode="0.0">
                  <c:v>48.099386823578513</c:v>
                </c:pt>
                <c:pt idx="3" formatCode="0.0">
                  <c:v>53.81163615759138</c:v>
                </c:pt>
                <c:pt idx="4" formatCode="0.0">
                  <c:v>56.261014248678421</c:v>
                </c:pt>
                <c:pt idx="5" formatCode="0.0">
                  <c:v>56.950080299117602</c:v>
                </c:pt>
                <c:pt idx="6" formatCode="0.0">
                  <c:v>56.770723669416789</c:v>
                </c:pt>
              </c:numCache>
            </c:numRef>
          </c:val>
          <c:smooth val="0"/>
          <c:extLst>
            <c:ext xmlns:c16="http://schemas.microsoft.com/office/drawing/2014/chart" uri="{C3380CC4-5D6E-409C-BE32-E72D297353CC}">
              <c16:uniqueId val="{00000004-41A4-45E7-A73B-806B6B372422}"/>
            </c:ext>
          </c:extLst>
        </c:ser>
        <c:ser>
          <c:idx val="5"/>
          <c:order val="5"/>
          <c:tx>
            <c:strRef>
              <c:f>Sheet1!$G$1</c:f>
              <c:strCache>
                <c:ptCount val="1"/>
                <c:pt idx="0">
                  <c:v>Բոլոր ռիսկերի նյութականացում</c:v>
                </c:pt>
              </c:strCache>
            </c:strRef>
          </c:tx>
          <c:spPr>
            <a:ln w="22225" cap="rnd">
              <a:solidFill>
                <a:srgbClr val="FFC000">
                  <a:lumMod val="75000"/>
                </a:srgbClr>
              </a:solidFill>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Sheet1!$G$2:$G$10</c:f>
              <c:numCache>
                <c:formatCode>General</c:formatCode>
                <c:ptCount val="7"/>
                <c:pt idx="2" formatCode="0.0">
                  <c:v>48.099386823578513</c:v>
                </c:pt>
                <c:pt idx="3" formatCode="0.0">
                  <c:v>55.52153042353801</c:v>
                </c:pt>
                <c:pt idx="4" formatCode="0.0">
                  <c:v>60.388468115165495</c:v>
                </c:pt>
                <c:pt idx="5" formatCode="0.0">
                  <c:v>63.279427096578864</c:v>
                </c:pt>
                <c:pt idx="6" formatCode="0.0">
                  <c:v>65.139129966864459</c:v>
                </c:pt>
              </c:numCache>
            </c:numRef>
          </c:val>
          <c:smooth val="0"/>
          <c:extLst>
            <c:ext xmlns:c16="http://schemas.microsoft.com/office/drawing/2014/chart" uri="{C3380CC4-5D6E-409C-BE32-E72D297353CC}">
              <c16:uniqueId val="{00000005-41A4-45E7-A73B-806B6B372422}"/>
            </c:ext>
          </c:extLst>
        </c:ser>
        <c:ser>
          <c:idx val="6"/>
          <c:order val="6"/>
          <c:tx>
            <c:strRef>
              <c:f>Sheet1!$H$1</c:f>
              <c:strCache>
                <c:ptCount val="1"/>
                <c:pt idx="0">
                  <c:v>Շեմ 1</c:v>
                </c:pt>
              </c:strCache>
            </c:strRef>
          </c:tx>
          <c:spPr>
            <a:ln w="19050" cap="rnd">
              <a:solidFill>
                <a:srgbClr val="ED7D31"/>
              </a:solidFill>
              <a:prstDash val="sysDot"/>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Sheet1!$H$2:$H$10</c:f>
              <c:numCache>
                <c:formatCode>0</c:formatCode>
                <c:ptCount val="7"/>
                <c:pt idx="0">
                  <c:v>50</c:v>
                </c:pt>
                <c:pt idx="1">
                  <c:v>50</c:v>
                </c:pt>
                <c:pt idx="2">
                  <c:v>50</c:v>
                </c:pt>
                <c:pt idx="3">
                  <c:v>50</c:v>
                </c:pt>
                <c:pt idx="4">
                  <c:v>50</c:v>
                </c:pt>
                <c:pt idx="5">
                  <c:v>50</c:v>
                </c:pt>
                <c:pt idx="6">
                  <c:v>50</c:v>
                </c:pt>
              </c:numCache>
            </c:numRef>
          </c:val>
          <c:smooth val="0"/>
          <c:extLst>
            <c:ext xmlns:c16="http://schemas.microsoft.com/office/drawing/2014/chart" uri="{C3380CC4-5D6E-409C-BE32-E72D297353CC}">
              <c16:uniqueId val="{00000006-41A4-45E7-A73B-806B6B372422}"/>
            </c:ext>
          </c:extLst>
        </c:ser>
        <c:ser>
          <c:idx val="7"/>
          <c:order val="7"/>
          <c:tx>
            <c:strRef>
              <c:f>Sheet1!$I$1</c:f>
              <c:strCache>
                <c:ptCount val="1"/>
                <c:pt idx="0">
                  <c:v>Շեմ 2</c:v>
                </c:pt>
              </c:strCache>
            </c:strRef>
          </c:tx>
          <c:spPr>
            <a:ln w="19050" cap="rnd">
              <a:solidFill>
                <a:srgbClr val="C00000"/>
              </a:solidFill>
              <a:prstDash val="sysDot"/>
              <a:round/>
            </a:ln>
            <a:effectLst/>
          </c:spPr>
          <c:marker>
            <c:symbol val="none"/>
          </c:marker>
          <c:cat>
            <c:numRef>
              <c:f>Sheet1!$A$2:$A$10</c:f>
              <c:numCache>
                <c:formatCode>General</c:formatCode>
                <c:ptCount val="7"/>
                <c:pt idx="0">
                  <c:v>2021</c:v>
                </c:pt>
                <c:pt idx="1">
                  <c:v>2022</c:v>
                </c:pt>
                <c:pt idx="2">
                  <c:v>2023</c:v>
                </c:pt>
                <c:pt idx="3">
                  <c:v>2024</c:v>
                </c:pt>
                <c:pt idx="4">
                  <c:v>2025</c:v>
                </c:pt>
                <c:pt idx="5">
                  <c:v>2026</c:v>
                </c:pt>
                <c:pt idx="6">
                  <c:v>2027</c:v>
                </c:pt>
              </c:numCache>
            </c:numRef>
          </c:cat>
          <c:val>
            <c:numRef>
              <c:f>Sheet1!$I$2:$I$10</c:f>
              <c:numCache>
                <c:formatCode>0</c:formatCode>
                <c:ptCount val="7"/>
                <c:pt idx="0">
                  <c:v>60</c:v>
                </c:pt>
                <c:pt idx="1">
                  <c:v>60</c:v>
                </c:pt>
                <c:pt idx="2">
                  <c:v>60</c:v>
                </c:pt>
                <c:pt idx="3">
                  <c:v>60</c:v>
                </c:pt>
                <c:pt idx="4">
                  <c:v>60</c:v>
                </c:pt>
                <c:pt idx="5">
                  <c:v>60</c:v>
                </c:pt>
                <c:pt idx="6">
                  <c:v>60</c:v>
                </c:pt>
              </c:numCache>
            </c:numRef>
          </c:val>
          <c:smooth val="0"/>
          <c:extLst>
            <c:ext xmlns:c16="http://schemas.microsoft.com/office/drawing/2014/chart" uri="{C3380CC4-5D6E-409C-BE32-E72D297353CC}">
              <c16:uniqueId val="{00000007-41A4-45E7-A73B-806B6B372422}"/>
            </c:ext>
          </c:extLst>
        </c:ser>
        <c:dLbls>
          <c:showLegendKey val="0"/>
          <c:showVal val="0"/>
          <c:showCatName val="0"/>
          <c:showSerName val="0"/>
          <c:showPercent val="0"/>
          <c:showBubbleSize val="0"/>
        </c:dLbls>
        <c:smooth val="0"/>
        <c:axId val="614427968"/>
        <c:axId val="614428296"/>
      </c:lineChart>
      <c:catAx>
        <c:axId val="61442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614428296"/>
        <c:crosses val="autoZero"/>
        <c:auto val="1"/>
        <c:lblAlgn val="ctr"/>
        <c:lblOffset val="100"/>
        <c:noMultiLvlLbl val="0"/>
      </c:catAx>
      <c:valAx>
        <c:axId val="614428296"/>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crossAx val="614427968"/>
        <c:crosses val="autoZero"/>
        <c:crossBetween val="between"/>
      </c:valAx>
      <c:spPr>
        <a:noFill/>
        <a:ln>
          <a:noFill/>
        </a:ln>
        <a:effectLst/>
      </c:spPr>
    </c:plotArea>
    <c:legend>
      <c:legendPos val="b"/>
      <c:legendEntry>
        <c:idx val="6"/>
        <c:delete val="1"/>
      </c:legendEntry>
      <c:legendEntry>
        <c:idx val="7"/>
        <c:delete val="1"/>
      </c:legendEntry>
      <c:layout>
        <c:manualLayout>
          <c:xMode val="edge"/>
          <c:yMode val="edge"/>
          <c:x val="1.5954508529650677E-2"/>
          <c:y val="0.71526071988876749"/>
          <c:w val="0.98404559845981376"/>
          <c:h val="0.284739280111232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HEA Grapalat" panose="02000506050000020003" pitchFamily="50"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GHEA Grapalat" panose="02000506050000020003" pitchFamily="50"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0.16059</cdr:x>
      <cdr:y>0.20176</cdr:y>
    </cdr:from>
    <cdr:to>
      <cdr:x>0.44928</cdr:x>
      <cdr:y>0.26792</cdr:y>
    </cdr:to>
    <cdr:sp macro="" textlink="">
      <cdr:nvSpPr>
        <cdr:cNvPr id="5" name="Text Box 4"/>
        <cdr:cNvSpPr txBox="1"/>
      </cdr:nvSpPr>
      <cdr:spPr>
        <a:xfrm xmlns:a="http://schemas.openxmlformats.org/drawingml/2006/main">
          <a:off x="508635" y="581025"/>
          <a:ext cx="914400"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0.15468</cdr:x>
      <cdr:y>0.44025</cdr:y>
    </cdr:from>
    <cdr:to>
      <cdr:x>0.66993</cdr:x>
      <cdr:y>0.54241</cdr:y>
    </cdr:to>
    <cdr:sp macro="" textlink="">
      <cdr:nvSpPr>
        <cdr:cNvPr id="3" name="Text Box 4"/>
        <cdr:cNvSpPr txBox="1"/>
      </cdr:nvSpPr>
      <cdr:spPr>
        <a:xfrm xmlns:a="http://schemas.openxmlformats.org/drawingml/2006/main">
          <a:off x="450826" y="1354456"/>
          <a:ext cx="1501774" cy="314303"/>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30000"/>
            </a:lnSpc>
            <a:spcBef>
              <a:spcPts val="200"/>
            </a:spcBef>
            <a:spcAft>
              <a:spcPts val="300"/>
            </a:spcAft>
          </a:pPr>
          <a:r>
            <a:rPr lang="hy-AM" sz="900">
              <a:effectLst/>
              <a:latin typeface="GHEA Grapalat" panose="02000506050000020003" pitchFamily="50" charset="0"/>
              <a:ea typeface="Times New Roman" panose="02020603050405020304" pitchFamily="18" charset="0"/>
              <a:cs typeface="Times New Roman" panose="02020603050405020304" pitchFamily="18" charset="0"/>
            </a:rPr>
            <a:t>Հարկաբյուջետային կանոնի շեմ</a:t>
          </a:r>
          <a:endParaRPr lang="en-US" sz="1100">
            <a:effectLst/>
            <a:latin typeface="GHEA Grapalat" panose="02000506050000020003" pitchFamily="50"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0.16059</cdr:x>
      <cdr:y>0.20176</cdr:y>
    </cdr:from>
    <cdr:to>
      <cdr:x>0.44928</cdr:x>
      <cdr:y>0.26792</cdr:y>
    </cdr:to>
    <cdr:sp macro="" textlink="">
      <cdr:nvSpPr>
        <cdr:cNvPr id="5" name="Text Box 4"/>
        <cdr:cNvSpPr txBox="1"/>
      </cdr:nvSpPr>
      <cdr:spPr>
        <a:xfrm xmlns:a="http://schemas.openxmlformats.org/drawingml/2006/main">
          <a:off x="508635" y="581025"/>
          <a:ext cx="914400"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0.18038</cdr:x>
      <cdr:y>0.13079</cdr:y>
    </cdr:from>
    <cdr:to>
      <cdr:x>0.69304</cdr:x>
      <cdr:y>0.23324</cdr:y>
    </cdr:to>
    <cdr:sp macro="" textlink="">
      <cdr:nvSpPr>
        <cdr:cNvPr id="3" name="Text Box 4"/>
        <cdr:cNvSpPr txBox="1"/>
      </cdr:nvSpPr>
      <cdr:spPr>
        <a:xfrm xmlns:a="http://schemas.openxmlformats.org/drawingml/2006/main">
          <a:off x="542925" y="401320"/>
          <a:ext cx="1543050" cy="314325"/>
        </a:xfrm>
        <a:prstGeom xmlns:a="http://schemas.openxmlformats.org/drawingml/2006/main" prst="rect">
          <a:avLst/>
        </a:prstGeom>
        <a:solidFill xmlns:a="http://schemas.openxmlformats.org/drawingml/2006/main">
          <a:schemeClr val="lt1">
            <a:alpha val="0"/>
          </a:schemeClr>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l">
            <a:lnSpc>
              <a:spcPct val="130000"/>
            </a:lnSpc>
            <a:spcBef>
              <a:spcPts val="200"/>
            </a:spcBef>
            <a:spcAft>
              <a:spcPts val="300"/>
            </a:spcAft>
          </a:pPr>
          <a:r>
            <a:rPr lang="en-US" sz="1100">
              <a:effectLst/>
              <a:latin typeface="GHEA Grapalat" panose="02000506050000020003" pitchFamily="50" charset="0"/>
              <a:ea typeface="Times New Roman" panose="02020603050405020304" pitchFamily="18" charset="0"/>
              <a:cs typeface="Times New Roman" panose="02020603050405020304" pitchFamily="18" charset="0"/>
            </a:rPr>
            <a:t>MAC DSA </a:t>
          </a:r>
          <a:r>
            <a:rPr lang="hy-AM" sz="1100">
              <a:effectLst/>
              <a:latin typeface="GHEA Grapalat" panose="02000506050000020003" pitchFamily="50" charset="0"/>
              <a:ea typeface="Times New Roman" panose="02020603050405020304" pitchFamily="18" charset="0"/>
              <a:cs typeface="Times New Roman" panose="02020603050405020304" pitchFamily="18" charset="0"/>
            </a:rPr>
            <a:t>շեմ</a:t>
          </a:r>
          <a:endParaRPr lang="en-US" sz="1100">
            <a:effectLst/>
            <a:latin typeface="GHEA Grapalat" panose="02000506050000020003" pitchFamily="50" charset="0"/>
            <a:ea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0.16059</cdr:x>
      <cdr:y>0.20176</cdr:y>
    </cdr:from>
    <cdr:to>
      <cdr:x>0.44928</cdr:x>
      <cdr:y>0.26792</cdr:y>
    </cdr:to>
    <cdr:sp macro="" textlink="">
      <cdr:nvSpPr>
        <cdr:cNvPr id="5" name="Text Box 4"/>
        <cdr:cNvSpPr txBox="1"/>
      </cdr:nvSpPr>
      <cdr:spPr>
        <a:xfrm xmlns:a="http://schemas.openxmlformats.org/drawingml/2006/main">
          <a:off x="508635" y="581025"/>
          <a:ext cx="914400"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14</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Arshaluys Harutyunyan</dc:creator>
  <cp:keywords>https://mul2-minfin.gov.am/tasks/850289/oneclick/788e1fb65758977564f217ba863176395e4cdd1dfa6ad7f4377f7798c92077e0.docx?token=3692e46e27a2b272673cb8c146c48d26</cp:keywords>
  <dc:description/>
  <cp:lastModifiedBy>Greta Adamyan</cp:lastModifiedBy>
  <cp:revision>5</cp:revision>
  <dcterms:created xsi:type="dcterms:W3CDTF">2024-07-16T05:21:00Z</dcterms:created>
  <dcterms:modified xsi:type="dcterms:W3CDTF">2024-07-16T07:30:00Z</dcterms:modified>
</cp:coreProperties>
</file>