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361C4" w14:textId="7A8C52BA" w:rsidR="00074E1E" w:rsidRPr="0045418D" w:rsidRDefault="006B32D8" w:rsidP="00BB5D2D">
      <w:pPr>
        <w:spacing w:line="360" w:lineRule="auto"/>
        <w:jc w:val="center"/>
        <w:rPr>
          <w:rFonts w:ascii="GHEA Grapalat" w:hAnsi="GHEA Grapalat" w:cs="GHEA Grapalat"/>
          <w:b/>
        </w:rPr>
      </w:pPr>
      <w:bookmarkStart w:id="0" w:name="OLE_LINK1"/>
      <w:bookmarkStart w:id="1" w:name="_GoBack"/>
      <w:bookmarkEnd w:id="1"/>
      <w:r w:rsidRPr="0045418D">
        <w:rPr>
          <w:rFonts w:ascii="GHEA Grapalat" w:hAnsi="GHEA Grapalat" w:cs="GHEA Grapalat"/>
          <w:b/>
        </w:rPr>
        <w:t>202</w:t>
      </w:r>
      <w:r w:rsidR="00CE0E6D" w:rsidRPr="0045418D">
        <w:rPr>
          <w:rFonts w:ascii="GHEA Grapalat" w:hAnsi="GHEA Grapalat" w:cs="GHEA Grapalat"/>
          <w:b/>
        </w:rPr>
        <w:t>1</w:t>
      </w:r>
      <w:r w:rsidRPr="0045418D">
        <w:rPr>
          <w:rFonts w:ascii="GHEA Grapalat" w:hAnsi="GHEA Grapalat" w:cs="GHEA Grapalat"/>
          <w:b/>
        </w:rPr>
        <w:t xml:space="preserve"> թվականի </w:t>
      </w:r>
      <w:r w:rsidR="0041697E" w:rsidRPr="0045418D">
        <w:rPr>
          <w:rFonts w:ascii="GHEA Grapalat" w:hAnsi="GHEA Grapalat" w:cs="Sylfaen"/>
          <w:b/>
        </w:rPr>
        <w:t xml:space="preserve">ինն ամիսների </w:t>
      </w:r>
      <w:r w:rsidR="00D7516A" w:rsidRPr="0045418D">
        <w:rPr>
          <w:rFonts w:ascii="GHEA Grapalat" w:hAnsi="GHEA Grapalat" w:cs="Sylfaen"/>
          <w:b/>
        </w:rPr>
        <w:t xml:space="preserve">ընթացքում </w:t>
      </w:r>
      <w:r w:rsidR="00BB5D2D" w:rsidRPr="0045418D">
        <w:rPr>
          <w:rFonts w:ascii="GHEA Grapalat" w:hAnsi="GHEA Grapalat" w:cs="GHEA Grapalat"/>
          <w:b/>
        </w:rPr>
        <w:t xml:space="preserve">ՀՀ պետական բյուջեի </w:t>
      </w:r>
    </w:p>
    <w:p w14:paraId="48E007FF" w14:textId="673A967C" w:rsidR="00BB5D2D" w:rsidRPr="0045418D" w:rsidRDefault="00BB5D2D" w:rsidP="00BB5D2D">
      <w:pPr>
        <w:spacing w:line="360" w:lineRule="auto"/>
        <w:jc w:val="center"/>
        <w:rPr>
          <w:rFonts w:ascii="GHEA Grapalat" w:hAnsi="GHEA Grapalat" w:cs="Sylfaen"/>
          <w:b/>
        </w:rPr>
      </w:pPr>
      <w:proofErr w:type="gramStart"/>
      <w:r w:rsidRPr="0045418D">
        <w:rPr>
          <w:rFonts w:ascii="GHEA Grapalat" w:hAnsi="GHEA Grapalat" w:cs="GHEA Grapalat"/>
          <w:b/>
        </w:rPr>
        <w:t>կատարման</w:t>
      </w:r>
      <w:proofErr w:type="gramEnd"/>
      <w:r w:rsidRPr="0045418D">
        <w:rPr>
          <w:rFonts w:ascii="GHEA Grapalat" w:hAnsi="GHEA Grapalat" w:cs="GHEA Grapalat"/>
          <w:b/>
        </w:rPr>
        <w:t xml:space="preserve"> ամփոփ բնութագիրը</w:t>
      </w:r>
    </w:p>
    <w:p w14:paraId="2D985ACC" w14:textId="77777777" w:rsidR="00BB5D2D" w:rsidRPr="0045418D" w:rsidRDefault="00BB5D2D" w:rsidP="00991B5D">
      <w:pPr>
        <w:spacing w:line="360" w:lineRule="auto"/>
        <w:jc w:val="center"/>
        <w:rPr>
          <w:rFonts w:ascii="GHEA Grapalat" w:hAnsi="GHEA Grapalat" w:cs="GHEA Grapalat"/>
          <w:b/>
        </w:rPr>
      </w:pPr>
    </w:p>
    <w:bookmarkEnd w:id="0"/>
    <w:p w14:paraId="5BD54AF7" w14:textId="3245B7D0" w:rsidR="00901957" w:rsidRDefault="00FD61B0" w:rsidP="00F943A8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64252">
        <w:rPr>
          <w:rFonts w:ascii="GHEA Grapalat" w:hAnsi="GHEA Grapalat" w:cs="GHEA Grapalat"/>
          <w:color w:val="000000"/>
        </w:rPr>
        <w:t>202</w:t>
      </w:r>
      <w:r w:rsidRPr="0045418D">
        <w:rPr>
          <w:rFonts w:ascii="GHEA Grapalat" w:hAnsi="GHEA Grapalat" w:cs="GHEA Grapalat"/>
          <w:color w:val="000000"/>
        </w:rPr>
        <w:t>1</w:t>
      </w:r>
      <w:r w:rsidRPr="00264252">
        <w:rPr>
          <w:rFonts w:ascii="GHEA Grapalat" w:hAnsi="GHEA Grapalat" w:cs="GHEA Grapalat"/>
          <w:color w:val="000000"/>
        </w:rPr>
        <w:t xml:space="preserve"> </w:t>
      </w:r>
      <w:r w:rsidRPr="0045418D">
        <w:rPr>
          <w:rFonts w:ascii="GHEA Grapalat" w:hAnsi="GHEA Grapalat" w:cs="GHEA Grapalat"/>
          <w:color w:val="000000"/>
        </w:rPr>
        <w:t xml:space="preserve">թվականի </w:t>
      </w:r>
      <w:r w:rsidRPr="0045418D">
        <w:rPr>
          <w:rFonts w:ascii="GHEA Grapalat" w:hAnsi="GHEA Grapalat" w:cs="GHEA Grapalat"/>
          <w:color w:val="000000"/>
          <w:lang w:val="hy-AM"/>
        </w:rPr>
        <w:t>ինն ամիսների ընթացքում</w:t>
      </w:r>
      <w:r w:rsidRPr="0045418D">
        <w:rPr>
          <w:rFonts w:ascii="GHEA Grapalat" w:hAnsi="GHEA Grapalat" w:cs="GHEA Grapalat"/>
          <w:color w:val="000000"/>
        </w:rPr>
        <w:t xml:space="preserve"> ՀՀ պետական բյուջեի եկամուտները կազմել են 1201.5 մլրդ դրամ, ծախսերը` 1349.1 մլրդ դրամ, պակասուրդը՝ 147.5 մլրդ դրամ: Բյուջեի եկամուտների</w:t>
      </w:r>
      <w:r w:rsidR="00004260">
        <w:rPr>
          <w:rFonts w:ascii="GHEA Grapalat" w:hAnsi="GHEA Grapalat" w:cs="GHEA Grapalat"/>
          <w:color w:val="000000"/>
        </w:rPr>
        <w:t xml:space="preserve"> գծով արձանագրվել է իննամսյա ծրագրային ցուցանիշի գերակատարում, մինչդեռ ծախսերը և պակասուրդը զիջել են ծրագրված ցուցանիշները</w:t>
      </w:r>
      <w:r w:rsidRPr="0045418D">
        <w:rPr>
          <w:rFonts w:ascii="GHEA Grapalat" w:hAnsi="GHEA Grapalat" w:cs="GHEA Grapalat"/>
          <w:color w:val="000000"/>
        </w:rPr>
        <w:t xml:space="preserve">: </w:t>
      </w:r>
      <w:r w:rsidR="004576B0">
        <w:rPr>
          <w:rFonts w:ascii="GHEA Grapalat" w:hAnsi="GHEA Grapalat" w:cs="GHEA Grapalat"/>
          <w:color w:val="000000"/>
        </w:rPr>
        <w:t>Պ</w:t>
      </w:r>
      <w:r w:rsidR="004576B0" w:rsidRPr="00D55B8C">
        <w:rPr>
          <w:rFonts w:ascii="GHEA Grapalat" w:hAnsi="GHEA Grapalat" w:cs="GHEA Grapalat"/>
          <w:color w:val="000000"/>
        </w:rPr>
        <w:t>ետական բյուջեի</w:t>
      </w:r>
      <w:r>
        <w:rPr>
          <w:rFonts w:ascii="GHEA Grapalat" w:hAnsi="GHEA Grapalat" w:cs="GHEA Grapalat"/>
          <w:color w:val="000000"/>
        </w:rPr>
        <w:t xml:space="preserve"> ծրագրային և փաստացի</w:t>
      </w:r>
      <w:r w:rsidR="004576B0" w:rsidRPr="00D55B8C">
        <w:rPr>
          <w:rFonts w:ascii="GHEA Grapalat" w:hAnsi="GHEA Grapalat" w:cs="GHEA Grapalat"/>
          <w:color w:val="000000"/>
        </w:rPr>
        <w:t xml:space="preserve"> ցուցանիշներում</w:t>
      </w:r>
      <w:r w:rsidR="004576B0">
        <w:rPr>
          <w:rFonts w:ascii="GHEA Grapalat" w:hAnsi="GHEA Grapalat" w:cs="GHEA Grapalat"/>
          <w:color w:val="000000"/>
        </w:rPr>
        <w:t>,</w:t>
      </w:r>
      <w:r w:rsidR="004576B0" w:rsidRPr="00D55B8C">
        <w:rPr>
          <w:rFonts w:ascii="GHEA Grapalat" w:hAnsi="GHEA Grapalat" w:cs="GHEA Grapalat"/>
          <w:color w:val="000000"/>
        </w:rPr>
        <w:t xml:space="preserve"> պետության դրամական միջոցների համախմբված հաշվառման նպատակով</w:t>
      </w:r>
      <w:r w:rsidR="004576B0">
        <w:rPr>
          <w:rFonts w:ascii="GHEA Grapalat" w:hAnsi="GHEA Grapalat" w:cs="GHEA Grapalat"/>
          <w:color w:val="000000"/>
        </w:rPr>
        <w:t>,</w:t>
      </w:r>
      <w:r w:rsidR="004576B0" w:rsidRPr="00D55B8C">
        <w:rPr>
          <w:rFonts w:ascii="GHEA Grapalat" w:hAnsi="GHEA Grapalat" w:cs="GHEA Grapalat"/>
          <w:color w:val="000000"/>
        </w:rPr>
        <w:t xml:space="preserve"> ներառվել են առանց սահմանափակման կատարվող վճարումները և վերջիններիս արդյունքում ձևավորված եկամուտները</w:t>
      </w:r>
      <w:r w:rsidR="004576B0">
        <w:rPr>
          <w:rFonts w:ascii="GHEA Grapalat" w:hAnsi="GHEA Grapalat" w:cs="GHEA Grapalat"/>
          <w:color w:val="000000"/>
        </w:rPr>
        <w:t>՝ ելնելով</w:t>
      </w:r>
      <w:r w:rsidR="004576B0" w:rsidRPr="00D55B8C" w:rsidDel="004576B0">
        <w:rPr>
          <w:rFonts w:ascii="GHEA Grapalat" w:hAnsi="GHEA Grapalat" w:cs="GHEA Grapalat"/>
          <w:color w:val="000000"/>
        </w:rPr>
        <w:t xml:space="preserve"> </w:t>
      </w:r>
      <w:r w:rsidR="00901957" w:rsidRPr="00D55B8C">
        <w:rPr>
          <w:rFonts w:ascii="GHEA Grapalat" w:hAnsi="GHEA Grapalat" w:cs="GHEA Grapalat"/>
          <w:color w:val="000000"/>
        </w:rPr>
        <w:t>«Հայաստանի Հանրապետության 2021 թվականի պետ</w:t>
      </w:r>
      <w:r w:rsidR="005C0DFC">
        <w:rPr>
          <w:rFonts w:ascii="GHEA Grapalat" w:hAnsi="GHEA Grapalat" w:cs="GHEA Grapalat"/>
          <w:color w:val="000000"/>
        </w:rPr>
        <w:t>ական բյուջեի մասին» ՀՀ օրենքի 9</w:t>
      </w:r>
      <w:r w:rsidR="005C0DFC">
        <w:rPr>
          <w:rFonts w:ascii="GHEA Grapalat" w:hAnsi="GHEA Grapalat" w:cs="GHEA Grapalat"/>
          <w:color w:val="000000"/>
        </w:rPr>
        <w:noBreakHyphen/>
      </w:r>
      <w:r w:rsidR="00901957" w:rsidRPr="00D55B8C">
        <w:rPr>
          <w:rFonts w:ascii="GHEA Grapalat" w:hAnsi="GHEA Grapalat" w:cs="GHEA Grapalat"/>
          <w:color w:val="000000"/>
        </w:rPr>
        <w:t>րդ հոդվածի 2</w:t>
      </w:r>
      <w:r w:rsidR="00901957" w:rsidRPr="00D55B8C">
        <w:rPr>
          <w:rFonts w:ascii="GHEA Grapalat" w:hAnsi="GHEA Grapalat" w:cs="GHEA Grapalat"/>
          <w:color w:val="000000"/>
        </w:rPr>
        <w:noBreakHyphen/>
        <w:t>րդ կետի և «Հայաստանի Հանրապետության 2021 թվականի պետական բյուջեի կատարումն ապահովող միջոցառումների մա</w:t>
      </w:r>
      <w:r w:rsidR="005C0DFC">
        <w:rPr>
          <w:rFonts w:ascii="GHEA Grapalat" w:hAnsi="GHEA Grapalat" w:cs="GHEA Grapalat"/>
          <w:color w:val="000000"/>
        </w:rPr>
        <w:t>սին» ՀՀ կառավարության որոշման 1</w:t>
      </w:r>
      <w:r w:rsidR="005C0DFC">
        <w:rPr>
          <w:rFonts w:ascii="GHEA Grapalat" w:hAnsi="GHEA Grapalat" w:cs="GHEA Grapalat"/>
          <w:color w:val="000000"/>
        </w:rPr>
        <w:noBreakHyphen/>
      </w:r>
      <w:r w:rsidR="00901957" w:rsidRPr="00D55B8C">
        <w:rPr>
          <w:rFonts w:ascii="GHEA Grapalat" w:hAnsi="GHEA Grapalat" w:cs="GHEA Grapalat"/>
          <w:color w:val="000000"/>
        </w:rPr>
        <w:t>ին կետի 11-րդ ենթակետի պահանջներից:</w:t>
      </w:r>
      <w:r w:rsidR="004576B0">
        <w:rPr>
          <w:rFonts w:ascii="GHEA Grapalat" w:hAnsi="GHEA Grapalat" w:cs="GHEA Grapalat"/>
          <w:color w:val="000000"/>
        </w:rPr>
        <w:t xml:space="preserve"> </w:t>
      </w:r>
      <w:r w:rsidR="004576B0" w:rsidRPr="00D55B8C">
        <w:rPr>
          <w:rFonts w:ascii="GHEA Grapalat" w:hAnsi="GHEA Grapalat" w:cs="GHEA Grapalat"/>
          <w:color w:val="000000"/>
        </w:rPr>
        <w:t>Նշենք, որ հաշվետու ժամանակահատվածում ապահովվել է պետական բյուջեի ծախսային ծրագրերի շրջանակներում պետական մարմինների կողմից սահմանված կարգով ստանձնված պարտավորությունների ամբողջական կատարումը:</w:t>
      </w:r>
    </w:p>
    <w:p w14:paraId="6E47791E" w14:textId="77777777" w:rsidR="004576B0" w:rsidRPr="00D55B8C" w:rsidRDefault="004576B0" w:rsidP="00F943A8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66F4B41F" w14:textId="0BE2B475" w:rsidR="00154F03" w:rsidRPr="00E0092A" w:rsidRDefault="00154F03" w:rsidP="00154F03">
      <w:pPr>
        <w:pStyle w:val="Caption"/>
        <w:keepNext/>
        <w:rPr>
          <w:rFonts w:ascii="GHEA Grapalat" w:hAnsi="GHEA Grapalat"/>
          <w:b/>
          <w:color w:val="auto"/>
        </w:rPr>
      </w:pPr>
      <w:r w:rsidRPr="00E0092A">
        <w:rPr>
          <w:rFonts w:ascii="GHEA Grapalat" w:hAnsi="GHEA Grapalat"/>
          <w:b/>
          <w:color w:val="auto"/>
        </w:rPr>
        <w:t xml:space="preserve">Աղյուսակ </w:t>
      </w:r>
      <w:r w:rsidR="007434FB" w:rsidRPr="00E0092A">
        <w:rPr>
          <w:rFonts w:ascii="GHEA Grapalat" w:hAnsi="GHEA Grapalat"/>
          <w:b/>
          <w:color w:val="auto"/>
        </w:rPr>
        <w:fldChar w:fldCharType="begin"/>
      </w:r>
      <w:r w:rsidR="007434FB" w:rsidRPr="00E0092A">
        <w:rPr>
          <w:rFonts w:ascii="GHEA Grapalat" w:hAnsi="GHEA Grapalat"/>
          <w:b/>
          <w:color w:val="auto"/>
        </w:rPr>
        <w:instrText xml:space="preserve"> SEQ Աղյուսակ \* ARABIC </w:instrText>
      </w:r>
      <w:r w:rsidR="007434FB" w:rsidRPr="00E0092A">
        <w:rPr>
          <w:rFonts w:ascii="GHEA Grapalat" w:hAnsi="GHEA Grapalat"/>
          <w:b/>
          <w:color w:val="auto"/>
        </w:rPr>
        <w:fldChar w:fldCharType="separate"/>
      </w:r>
      <w:r w:rsidR="00A225BE">
        <w:rPr>
          <w:rFonts w:ascii="GHEA Grapalat" w:hAnsi="GHEA Grapalat"/>
          <w:b/>
          <w:noProof/>
          <w:color w:val="auto"/>
        </w:rPr>
        <w:t>1</w:t>
      </w:r>
      <w:r w:rsidR="007434FB" w:rsidRPr="00E0092A">
        <w:rPr>
          <w:rFonts w:ascii="GHEA Grapalat" w:hAnsi="GHEA Grapalat"/>
          <w:b/>
          <w:color w:val="auto"/>
        </w:rPr>
        <w:fldChar w:fldCharType="end"/>
      </w:r>
      <w:r w:rsidR="00B727E5">
        <w:rPr>
          <w:rFonts w:ascii="GHEA Grapalat" w:hAnsi="GHEA Grapalat"/>
          <w:b/>
          <w:color w:val="auto"/>
        </w:rPr>
        <w:t xml:space="preserve">  ՀՀ</w:t>
      </w:r>
      <w:r w:rsidRPr="00E0092A">
        <w:rPr>
          <w:rFonts w:ascii="GHEA Grapalat" w:hAnsi="GHEA Grapalat"/>
          <w:b/>
          <w:color w:val="auto"/>
        </w:rPr>
        <w:t xml:space="preserve"> պետական բյուջեի ցուցանիշները</w:t>
      </w:r>
      <w:r w:rsidR="00E0092A">
        <w:rPr>
          <w:rFonts w:ascii="GHEA Grapalat" w:hAnsi="GHEA Grapalat"/>
          <w:b/>
          <w:color w:val="auto"/>
        </w:rPr>
        <w:t xml:space="preserve"> (մլրդ դրամ</w:t>
      </w:r>
      <w:r w:rsidR="005B064D">
        <w:rPr>
          <w:rFonts w:ascii="GHEA Grapalat" w:hAnsi="GHEA Grapalat"/>
          <w:b/>
          <w:color w:val="auto"/>
        </w:rPr>
        <w:t>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985"/>
        <w:gridCol w:w="1984"/>
      </w:tblGrid>
      <w:tr w:rsidR="00F163D0" w:rsidRPr="00F163D0" w14:paraId="778BE99F" w14:textId="77777777" w:rsidTr="00F163D0">
        <w:trPr>
          <w:trHeight w:val="105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2547F" w14:textId="77777777" w:rsidR="00F163D0" w:rsidRPr="00F163D0" w:rsidRDefault="00F163D0" w:rsidP="00AA669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163D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0DE06" w14:textId="589F92D7" w:rsidR="00F163D0" w:rsidRPr="00F163D0" w:rsidRDefault="00F163D0" w:rsidP="00EF784F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163D0">
              <w:rPr>
                <w:rFonts w:ascii="GHEA Grapalat" w:hAnsi="GHEA Grapalat" w:cs="Calibri"/>
                <w:color w:val="000000"/>
                <w:sz w:val="20"/>
                <w:szCs w:val="20"/>
              </w:rPr>
              <w:br/>
            </w:r>
            <w:r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Ինն ամիսների ճշտված պլան</w:t>
            </w:r>
          </w:p>
          <w:p w14:paraId="7C506BAB" w14:textId="03041F26" w:rsidR="00F163D0" w:rsidRPr="00F163D0" w:rsidRDefault="00F163D0" w:rsidP="00AA669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F6FAA" w14:textId="3BEAB14D" w:rsidR="00F163D0" w:rsidRPr="00F163D0" w:rsidRDefault="00F163D0" w:rsidP="00463FF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Ինն ամիսների  փաստ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BC14" w14:textId="77777777" w:rsidR="00F163D0" w:rsidRPr="00F163D0" w:rsidRDefault="00F163D0" w:rsidP="00F163D0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Կատարողականը </w:t>
            </w:r>
            <w:r w:rsidRPr="00F163D0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ինն</w:t>
            </w:r>
            <w:r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ամսվա ճշտված պլանի նկատմամբ</w:t>
            </w:r>
          </w:p>
          <w:p w14:paraId="00ABA002" w14:textId="79E60DCC" w:rsidR="00F163D0" w:rsidRPr="00F163D0" w:rsidRDefault="00F163D0" w:rsidP="00F163D0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9BFEF" w14:textId="6FDB3C8F" w:rsidR="00F163D0" w:rsidRPr="00F163D0" w:rsidRDefault="00F163D0" w:rsidP="007A7AEF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Կատարողականը տարեկան ճշտված պլանի նկատմամբ</w:t>
            </w:r>
          </w:p>
          <w:p w14:paraId="532618A2" w14:textId="1F44E8CD" w:rsidR="00F163D0" w:rsidRPr="00F163D0" w:rsidRDefault="00F163D0" w:rsidP="002A4689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F163D0" w:rsidRPr="00F163D0" w14:paraId="0C90787F" w14:textId="77777777" w:rsidTr="00F163D0">
        <w:trPr>
          <w:trHeight w:val="36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E7E35" w14:textId="77777777" w:rsidR="00F163D0" w:rsidRPr="00A225BE" w:rsidRDefault="00F163D0" w:rsidP="00AA669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225BE">
              <w:rPr>
                <w:rFonts w:ascii="GHEA Grapalat" w:hAnsi="GHEA Grapalat" w:cs="Calibri"/>
                <w:color w:val="000000"/>
                <w:sz w:val="20"/>
                <w:szCs w:val="20"/>
              </w:rPr>
              <w:t>Եկամուտներ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CA46C" w14:textId="3781CF6F" w:rsidR="00F163D0" w:rsidRPr="00A225BE" w:rsidRDefault="00F163D0" w:rsidP="00B727E5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225B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1,157.2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CB607" w14:textId="77777777" w:rsidR="00F163D0" w:rsidRPr="00A225BE" w:rsidRDefault="00F163D0" w:rsidP="00AA669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225BE">
              <w:rPr>
                <w:rFonts w:ascii="GHEA Grapalat" w:hAnsi="GHEA Grapalat" w:cs="Calibri"/>
                <w:color w:val="000000"/>
                <w:sz w:val="20"/>
                <w:szCs w:val="20"/>
              </w:rPr>
              <w:t>1,201.5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FE882" w14:textId="77777777" w:rsidR="00F163D0" w:rsidRPr="00A225BE" w:rsidRDefault="00F163D0" w:rsidP="00AA669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225BE">
              <w:rPr>
                <w:rFonts w:ascii="GHEA Grapalat" w:hAnsi="GHEA Grapalat" w:cs="Calibri"/>
                <w:color w:val="000000"/>
                <w:sz w:val="20"/>
                <w:szCs w:val="20"/>
              </w:rPr>
              <w:t>103.8%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7A562" w14:textId="77777777" w:rsidR="00F163D0" w:rsidRPr="00A225BE" w:rsidRDefault="00F163D0" w:rsidP="00AA669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225BE">
              <w:rPr>
                <w:rFonts w:ascii="GHEA Grapalat" w:hAnsi="GHEA Grapalat" w:cs="Calibri"/>
                <w:color w:val="000000"/>
                <w:sz w:val="20"/>
                <w:szCs w:val="20"/>
              </w:rPr>
              <w:t>74</w:t>
            </w:r>
            <w:r w:rsidRPr="00A225B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.0</w:t>
            </w:r>
            <w:r w:rsidRPr="00A225BE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</w:tr>
      <w:tr w:rsidR="00F163D0" w:rsidRPr="00F163D0" w14:paraId="72044943" w14:textId="77777777" w:rsidTr="00F163D0">
        <w:trPr>
          <w:trHeight w:val="36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B5616" w14:textId="77777777" w:rsidR="00F163D0" w:rsidRPr="00A225BE" w:rsidRDefault="00F163D0" w:rsidP="00AA669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225BE">
              <w:rPr>
                <w:rFonts w:ascii="GHEA Grapalat" w:hAnsi="GHEA Grapalat" w:cs="Calibri"/>
                <w:color w:val="000000"/>
                <w:sz w:val="20"/>
                <w:szCs w:val="20"/>
              </w:rPr>
              <w:t>Ծախսեր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25B71" w14:textId="678BBD3A" w:rsidR="00F163D0" w:rsidRPr="00A225BE" w:rsidRDefault="00F163D0" w:rsidP="00B727E5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225B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1,503.6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AC289" w14:textId="77777777" w:rsidR="00F163D0" w:rsidRPr="00A225BE" w:rsidRDefault="00F163D0" w:rsidP="00AA669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225BE">
              <w:rPr>
                <w:rFonts w:ascii="GHEA Grapalat" w:hAnsi="GHEA Grapalat" w:cs="Calibri"/>
                <w:color w:val="000000"/>
                <w:sz w:val="20"/>
                <w:szCs w:val="20"/>
              </w:rPr>
              <w:t>1,349.1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5DC5B" w14:textId="77777777" w:rsidR="00F163D0" w:rsidRPr="00A225BE" w:rsidRDefault="00F163D0" w:rsidP="00AA669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225BE">
              <w:rPr>
                <w:rFonts w:ascii="GHEA Grapalat" w:hAnsi="GHEA Grapalat" w:cs="Calibri"/>
                <w:color w:val="000000"/>
                <w:sz w:val="20"/>
                <w:szCs w:val="20"/>
              </w:rPr>
              <w:t>89.7%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3800D" w14:textId="77777777" w:rsidR="00F163D0" w:rsidRPr="00A225BE" w:rsidRDefault="00F163D0" w:rsidP="00AA669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225BE">
              <w:rPr>
                <w:rFonts w:ascii="GHEA Grapalat" w:hAnsi="GHEA Grapalat" w:cs="Calibri"/>
                <w:color w:val="000000"/>
                <w:sz w:val="20"/>
                <w:szCs w:val="20"/>
              </w:rPr>
              <w:t>69.1%</w:t>
            </w:r>
          </w:p>
        </w:tc>
      </w:tr>
      <w:tr w:rsidR="00F163D0" w:rsidRPr="00F163D0" w14:paraId="3C66A28C" w14:textId="77777777" w:rsidTr="00F163D0">
        <w:trPr>
          <w:trHeight w:val="36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87AD" w14:textId="77777777" w:rsidR="00F163D0" w:rsidRPr="00A225BE" w:rsidRDefault="00F163D0" w:rsidP="00AA669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225BE">
              <w:rPr>
                <w:rFonts w:ascii="GHEA Grapalat" w:hAnsi="GHEA Grapalat" w:cs="Calibri"/>
                <w:color w:val="000000"/>
                <w:sz w:val="20"/>
                <w:szCs w:val="20"/>
              </w:rPr>
              <w:t>Պակասուրդ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0C6E7" w14:textId="76E758D9" w:rsidR="00F163D0" w:rsidRPr="00A225BE" w:rsidRDefault="00F163D0" w:rsidP="00B727E5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225B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346.3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B313C" w14:textId="77777777" w:rsidR="00F163D0" w:rsidRPr="00A225BE" w:rsidRDefault="00F163D0" w:rsidP="00AA669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225BE">
              <w:rPr>
                <w:rFonts w:ascii="GHEA Grapalat" w:hAnsi="GHEA Grapalat" w:cs="Calibri"/>
                <w:color w:val="000000"/>
                <w:sz w:val="20"/>
                <w:szCs w:val="20"/>
              </w:rPr>
              <w:t>147.5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C8FD0" w14:textId="77777777" w:rsidR="00F163D0" w:rsidRPr="00A225BE" w:rsidRDefault="00F163D0" w:rsidP="00AA669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225BE">
              <w:rPr>
                <w:rFonts w:ascii="GHEA Grapalat" w:hAnsi="GHEA Grapalat" w:cs="Calibri"/>
                <w:color w:val="000000"/>
                <w:sz w:val="20"/>
                <w:szCs w:val="20"/>
              </w:rPr>
              <w:t>42.6%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5CDD8" w14:textId="77777777" w:rsidR="00F163D0" w:rsidRPr="00A225BE" w:rsidRDefault="00F163D0" w:rsidP="00154F03">
            <w:pPr>
              <w:keepNext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225BE">
              <w:rPr>
                <w:rFonts w:ascii="GHEA Grapalat" w:hAnsi="GHEA Grapalat" w:cs="Calibri"/>
                <w:color w:val="000000"/>
                <w:sz w:val="20"/>
                <w:szCs w:val="20"/>
              </w:rPr>
              <w:t>45</w:t>
            </w:r>
            <w:r w:rsidRPr="00A225B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.0</w:t>
            </w:r>
            <w:r w:rsidRPr="00A225BE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</w:tr>
    </w:tbl>
    <w:p w14:paraId="6A514467" w14:textId="69562879" w:rsidR="00154F03" w:rsidRPr="005C0DFC" w:rsidRDefault="00154F03" w:rsidP="00B727E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2CE4A1AB" w14:textId="77777777" w:rsidR="00901957" w:rsidRPr="0045418D" w:rsidRDefault="00901957" w:rsidP="00901957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</w:rPr>
      </w:pPr>
      <w:r w:rsidRPr="0045418D">
        <w:rPr>
          <w:rFonts w:ascii="GHEA Grapalat" w:hAnsi="GHEA Grapalat" w:cs="GHEA Grapalat"/>
          <w:i/>
          <w:u w:val="single"/>
        </w:rPr>
        <w:t>ՀՀ պետական բյուջեի եկամուտները</w:t>
      </w:r>
    </w:p>
    <w:p w14:paraId="5A1ADD8F" w14:textId="1F2110E3" w:rsidR="00901957" w:rsidRPr="0045418D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45418D">
        <w:rPr>
          <w:rFonts w:ascii="GHEA Grapalat" w:hAnsi="GHEA Grapalat" w:cs="GHEA Grapalat"/>
          <w:color w:val="000000"/>
        </w:rPr>
        <w:t xml:space="preserve">2020 թվականի </w:t>
      </w:r>
      <w:r w:rsidR="002E3E66" w:rsidRPr="0045418D">
        <w:rPr>
          <w:rFonts w:ascii="GHEA Grapalat" w:hAnsi="GHEA Grapalat" w:cs="GHEA Grapalat"/>
          <w:color w:val="000000"/>
          <w:lang w:val="hy-AM"/>
        </w:rPr>
        <w:t>ինն ամիսների</w:t>
      </w:r>
      <w:r w:rsidR="005A7DF9" w:rsidRPr="0045418D">
        <w:rPr>
          <w:rFonts w:ascii="GHEA Grapalat" w:hAnsi="GHEA Grapalat" w:cs="GHEA Grapalat"/>
          <w:color w:val="000000"/>
        </w:rPr>
        <w:t xml:space="preserve"> </w:t>
      </w:r>
      <w:r w:rsidRPr="0045418D">
        <w:rPr>
          <w:rFonts w:ascii="GHEA Grapalat" w:hAnsi="GHEA Grapalat" w:cs="GHEA Grapalat"/>
          <w:color w:val="000000"/>
        </w:rPr>
        <w:t>համեմատ պետական բյուջեի եկամուտներն աճել են 1</w:t>
      </w:r>
      <w:r w:rsidR="00CF6EB0" w:rsidRPr="0045418D">
        <w:rPr>
          <w:rFonts w:ascii="GHEA Grapalat" w:hAnsi="GHEA Grapalat" w:cs="GHEA Grapalat"/>
          <w:color w:val="000000"/>
        </w:rPr>
        <w:t>1</w:t>
      </w:r>
      <w:r w:rsidR="00045336" w:rsidRPr="0045418D">
        <w:rPr>
          <w:rFonts w:ascii="GHEA Grapalat" w:hAnsi="GHEA Grapalat" w:cs="GHEA Grapalat"/>
          <w:color w:val="000000"/>
        </w:rPr>
        <w:t>.</w:t>
      </w:r>
      <w:r w:rsidR="008B7C99" w:rsidRPr="0045418D">
        <w:rPr>
          <w:rFonts w:ascii="GHEA Grapalat" w:hAnsi="GHEA Grapalat" w:cs="GHEA Grapalat"/>
          <w:color w:val="000000"/>
        </w:rPr>
        <w:t>8</w:t>
      </w:r>
      <w:r w:rsidRPr="0045418D">
        <w:rPr>
          <w:rFonts w:ascii="GHEA Grapalat" w:hAnsi="GHEA Grapalat" w:cs="GHEA Grapalat"/>
          <w:color w:val="000000"/>
        </w:rPr>
        <w:t>%</w:t>
      </w:r>
      <w:r w:rsidRPr="0045418D">
        <w:rPr>
          <w:rFonts w:ascii="GHEA Grapalat" w:hAnsi="GHEA Grapalat" w:cs="GHEA Grapalat"/>
          <w:color w:val="000000"/>
        </w:rPr>
        <w:noBreakHyphen/>
        <w:t>ով կամ</w:t>
      </w:r>
      <w:r w:rsidR="00045336" w:rsidRPr="0045418D">
        <w:rPr>
          <w:rFonts w:ascii="GHEA Grapalat" w:hAnsi="GHEA Grapalat" w:cs="GHEA Grapalat"/>
          <w:color w:val="000000"/>
        </w:rPr>
        <w:t xml:space="preserve"> </w:t>
      </w:r>
      <w:r w:rsidR="00CF6EB0" w:rsidRPr="0045418D">
        <w:rPr>
          <w:rFonts w:ascii="GHEA Grapalat" w:hAnsi="GHEA Grapalat" w:cs="GHEA Grapalat"/>
          <w:color w:val="000000"/>
        </w:rPr>
        <w:t>1</w:t>
      </w:r>
      <w:r w:rsidR="00045336" w:rsidRPr="0045418D">
        <w:rPr>
          <w:rFonts w:ascii="GHEA Grapalat" w:hAnsi="GHEA Grapalat" w:cs="GHEA Grapalat"/>
          <w:color w:val="000000"/>
        </w:rPr>
        <w:t>26</w:t>
      </w:r>
      <w:r w:rsidR="00CF6EB0" w:rsidRPr="0045418D">
        <w:rPr>
          <w:rFonts w:ascii="GHEA Grapalat" w:hAnsi="GHEA Grapalat" w:cs="GHEA Grapalat"/>
          <w:color w:val="000000"/>
        </w:rPr>
        <w:t>.</w:t>
      </w:r>
      <w:r w:rsidR="008B7C99" w:rsidRPr="0045418D">
        <w:rPr>
          <w:rFonts w:ascii="GHEA Grapalat" w:hAnsi="GHEA Grapalat" w:cs="GHEA Grapalat"/>
          <w:color w:val="000000"/>
        </w:rPr>
        <w:t>4</w:t>
      </w:r>
      <w:r w:rsidRPr="0045418D">
        <w:rPr>
          <w:rFonts w:ascii="GHEA Grapalat" w:hAnsi="GHEA Grapalat" w:cs="GHEA Grapalat"/>
          <w:color w:val="000000"/>
        </w:rPr>
        <w:t xml:space="preserve"> մլրդ դրամով, որը հիմնականում պայմանավորված է հարկային եկամուտների աճով:</w:t>
      </w:r>
    </w:p>
    <w:p w14:paraId="51F1F72C" w14:textId="1F6BA6C2" w:rsidR="001A4448" w:rsidRPr="00004260" w:rsidRDefault="001A4448" w:rsidP="001A4448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1E341A">
        <w:rPr>
          <w:rFonts w:ascii="GHEA Grapalat" w:hAnsi="GHEA Grapalat" w:cs="GHEA Grapalat"/>
          <w:color w:val="000000"/>
        </w:rPr>
        <w:lastRenderedPageBreak/>
        <w:t xml:space="preserve">2021 թվականի </w:t>
      </w:r>
      <w:r w:rsidRPr="001E341A">
        <w:rPr>
          <w:rFonts w:ascii="GHEA Grapalat" w:hAnsi="GHEA Grapalat" w:cs="GHEA Grapalat"/>
          <w:color w:val="000000"/>
          <w:lang w:val="hy-AM"/>
        </w:rPr>
        <w:t>ինն</w:t>
      </w:r>
      <w:r w:rsidRPr="001E341A">
        <w:rPr>
          <w:rFonts w:ascii="GHEA Grapalat" w:hAnsi="GHEA Grapalat" w:cs="GHEA Grapalat"/>
          <w:color w:val="000000"/>
        </w:rPr>
        <w:t xml:space="preserve"> </w:t>
      </w:r>
      <w:r w:rsidRPr="001E341A">
        <w:rPr>
          <w:rFonts w:ascii="GHEA Grapalat" w:hAnsi="GHEA Grapalat"/>
          <w:color w:val="000000"/>
          <w:lang w:val="hy-AM"/>
        </w:rPr>
        <w:t>ամիսներին</w:t>
      </w:r>
      <w:r w:rsidRPr="001E341A">
        <w:rPr>
          <w:rFonts w:ascii="GHEA Grapalat" w:hAnsi="GHEA Grapalat" w:cs="GHEA Grapalat"/>
          <w:color w:val="000000"/>
          <w:lang w:val="hy-AM"/>
        </w:rPr>
        <w:t xml:space="preserve"> </w:t>
      </w:r>
      <w:r w:rsidRPr="001E341A">
        <w:rPr>
          <w:rFonts w:ascii="GHEA Grapalat" w:hAnsi="GHEA Grapalat" w:cs="GHEA Grapalat"/>
          <w:color w:val="000000"/>
        </w:rPr>
        <w:t>ՀՀ պետական բյուջե են մուտքագրվել շուրջ</w:t>
      </w:r>
      <w:r w:rsidRPr="0045418D">
        <w:rPr>
          <w:rFonts w:ascii="GHEA Grapalat" w:hAnsi="GHEA Grapalat" w:cs="GHEA Grapalat"/>
          <w:color w:val="000000"/>
        </w:rPr>
        <w:t xml:space="preserve"> 1137.3</w:t>
      </w:r>
      <w:r w:rsidRPr="0045418D">
        <w:rPr>
          <w:rFonts w:ascii="Courier New" w:hAnsi="Courier New" w:cs="Courier New"/>
          <w:color w:val="000000"/>
        </w:rPr>
        <w:t> </w:t>
      </w:r>
      <w:r w:rsidRPr="0045418D">
        <w:rPr>
          <w:rFonts w:ascii="GHEA Grapalat" w:hAnsi="GHEA Grapalat" w:cs="GHEA Grapalat"/>
          <w:color w:val="000000"/>
        </w:rPr>
        <w:t xml:space="preserve">մլրդ դրամ </w:t>
      </w:r>
      <w:r w:rsidRPr="007A7AEF">
        <w:rPr>
          <w:rFonts w:ascii="GHEA Grapalat" w:hAnsi="GHEA Grapalat" w:cs="GHEA Grapalat"/>
          <w:i/>
          <w:color w:val="000000"/>
        </w:rPr>
        <w:t>հարկային եկամուտներ և պետական տուրքեր</w:t>
      </w:r>
      <w:r w:rsidRPr="0045418D">
        <w:rPr>
          <w:rFonts w:ascii="GHEA Grapalat" w:hAnsi="GHEA Grapalat" w:cs="GHEA Grapalat"/>
          <w:color w:val="000000"/>
        </w:rPr>
        <w:t xml:space="preserve">, որոնք </w:t>
      </w:r>
      <w:r>
        <w:rPr>
          <w:rFonts w:ascii="GHEA Grapalat" w:hAnsi="GHEA Grapalat" w:cs="GHEA Grapalat"/>
          <w:color w:val="000000"/>
        </w:rPr>
        <w:t>3.5%-ով գերազանց</w:t>
      </w:r>
      <w:r w:rsidRPr="0045418D">
        <w:rPr>
          <w:rFonts w:ascii="GHEA Grapalat" w:hAnsi="GHEA Grapalat" w:cs="GHEA Grapalat"/>
          <w:color w:val="000000"/>
        </w:rPr>
        <w:t>ել են իննամսյա ծրագրային ցուցանիշը: 2020 թվականի նույն ժամանակահատվածի համեմատ հարկային եկամուտներն ու պետական տուրքերն աճել են 11.9%</w:t>
      </w:r>
      <w:r w:rsidRPr="0045418D">
        <w:rPr>
          <w:rFonts w:ascii="GHEA Grapalat" w:hAnsi="GHEA Grapalat" w:cs="GHEA Grapalat"/>
          <w:color w:val="000000"/>
        </w:rPr>
        <w:noBreakHyphen/>
        <w:t>ով կամ 120.5</w:t>
      </w:r>
      <w:r w:rsidRPr="0045418D">
        <w:rPr>
          <w:rFonts w:ascii="Calibri" w:hAnsi="Calibri" w:cs="Calibri"/>
          <w:color w:val="000000"/>
        </w:rPr>
        <w:t> </w:t>
      </w:r>
      <w:r w:rsidRPr="0045418D">
        <w:rPr>
          <w:rFonts w:ascii="GHEA Grapalat" w:hAnsi="GHEA Grapalat" w:cs="GHEA Grapalat"/>
          <w:color w:val="000000"/>
        </w:rPr>
        <w:t xml:space="preserve">մլրդ դրամով, որը հիմնականում պայմանավորված է ավելացված </w:t>
      </w:r>
      <w:r w:rsidRPr="00004260">
        <w:rPr>
          <w:rFonts w:ascii="GHEA Grapalat" w:hAnsi="GHEA Grapalat" w:cs="GHEA Grapalat"/>
          <w:color w:val="000000"/>
        </w:rPr>
        <w:t>արժեքի հարկի, մաքսատուրքի, այլ հարկերի, սոցիալական վճարի, ինչպես նաև պետական տուրքի գծով մուտքերի աճով:</w:t>
      </w:r>
    </w:p>
    <w:p w14:paraId="53B298E1" w14:textId="40D960A6" w:rsidR="00901957" w:rsidRPr="00004260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strike/>
          <w:color w:val="000000"/>
        </w:rPr>
      </w:pPr>
    </w:p>
    <w:p w14:paraId="28D2A0C0" w14:textId="3EA9ADE6" w:rsidR="00154F03" w:rsidRPr="005B064D" w:rsidRDefault="00154F03" w:rsidP="00154F03">
      <w:pPr>
        <w:pStyle w:val="Caption"/>
        <w:keepNext/>
        <w:rPr>
          <w:rFonts w:ascii="GHEA Grapalat" w:hAnsi="GHEA Grapalat"/>
          <w:b/>
          <w:color w:val="auto"/>
        </w:rPr>
      </w:pPr>
      <w:r w:rsidRPr="005B064D">
        <w:rPr>
          <w:rFonts w:ascii="GHEA Grapalat" w:hAnsi="GHEA Grapalat"/>
          <w:b/>
          <w:color w:val="auto"/>
        </w:rPr>
        <w:t xml:space="preserve">Աղյուսակ </w:t>
      </w:r>
      <w:r w:rsidR="007434FB" w:rsidRPr="005B064D">
        <w:rPr>
          <w:rFonts w:ascii="GHEA Grapalat" w:hAnsi="GHEA Grapalat"/>
          <w:b/>
          <w:color w:val="auto"/>
        </w:rPr>
        <w:fldChar w:fldCharType="begin"/>
      </w:r>
      <w:r w:rsidR="007434FB" w:rsidRPr="005B064D">
        <w:rPr>
          <w:rFonts w:ascii="GHEA Grapalat" w:hAnsi="GHEA Grapalat"/>
          <w:b/>
          <w:color w:val="auto"/>
        </w:rPr>
        <w:instrText xml:space="preserve"> SEQ Աղյուսակ \* ARABIC </w:instrText>
      </w:r>
      <w:r w:rsidR="007434FB" w:rsidRPr="005B064D">
        <w:rPr>
          <w:rFonts w:ascii="GHEA Grapalat" w:hAnsi="GHEA Grapalat"/>
          <w:b/>
          <w:color w:val="auto"/>
        </w:rPr>
        <w:fldChar w:fldCharType="separate"/>
      </w:r>
      <w:r w:rsidR="00A225BE">
        <w:rPr>
          <w:rFonts w:ascii="GHEA Grapalat" w:hAnsi="GHEA Grapalat"/>
          <w:b/>
          <w:noProof/>
          <w:color w:val="auto"/>
        </w:rPr>
        <w:t>2</w:t>
      </w:r>
      <w:r w:rsidR="007434FB" w:rsidRPr="005B064D">
        <w:rPr>
          <w:rFonts w:ascii="GHEA Grapalat" w:hAnsi="GHEA Grapalat"/>
          <w:b/>
          <w:noProof/>
          <w:color w:val="auto"/>
        </w:rPr>
        <w:fldChar w:fldCharType="end"/>
      </w:r>
      <w:r w:rsidRPr="005B064D">
        <w:rPr>
          <w:rFonts w:ascii="GHEA Grapalat" w:hAnsi="GHEA Grapalat"/>
          <w:b/>
          <w:color w:val="auto"/>
          <w:lang w:val="hy-AM"/>
        </w:rPr>
        <w:t xml:space="preserve">  </w:t>
      </w:r>
      <w:proofErr w:type="gramStart"/>
      <w:r w:rsidRPr="005B064D">
        <w:rPr>
          <w:rFonts w:ascii="GHEA Grapalat" w:hAnsi="GHEA Grapalat"/>
          <w:b/>
          <w:color w:val="auto"/>
          <w:lang w:val="hy-AM"/>
        </w:rPr>
        <w:t>ՀՀ  պետական</w:t>
      </w:r>
      <w:proofErr w:type="gramEnd"/>
      <w:r w:rsidRPr="005B064D">
        <w:rPr>
          <w:rFonts w:ascii="GHEA Grapalat" w:hAnsi="GHEA Grapalat"/>
          <w:b/>
          <w:color w:val="auto"/>
          <w:lang w:val="hy-AM"/>
        </w:rPr>
        <w:t xml:space="preserve"> բյուջեի եկամուտները</w:t>
      </w:r>
      <w:r w:rsidR="005B064D" w:rsidRPr="005B064D">
        <w:rPr>
          <w:rFonts w:ascii="GHEA Grapalat" w:hAnsi="GHEA Grapalat"/>
          <w:b/>
          <w:color w:val="auto"/>
        </w:rPr>
        <w:t xml:space="preserve"> (մլրդ դրամ) 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4645"/>
        <w:gridCol w:w="1309"/>
        <w:gridCol w:w="1417"/>
        <w:gridCol w:w="1418"/>
        <w:gridCol w:w="1417"/>
      </w:tblGrid>
      <w:tr w:rsidR="002C0C67" w:rsidRPr="00004260" w14:paraId="6AA09D84" w14:textId="77777777" w:rsidTr="002C0C67">
        <w:trPr>
          <w:trHeight w:val="85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B1F1" w14:textId="77777777" w:rsidR="000F131C" w:rsidRPr="00004260" w:rsidRDefault="000F131C" w:rsidP="001A4448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00426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CD928" w14:textId="040B9085" w:rsidR="000F131C" w:rsidRPr="00004260" w:rsidRDefault="000F131C" w:rsidP="000F131C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0</w:t>
            </w: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ինն ամիսների</w:t>
            </w: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F0A9F" w14:textId="3213A178" w:rsidR="000F131C" w:rsidRPr="00004260" w:rsidRDefault="00463FF9" w:rsidP="00463FF9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2021թ. տ</w:t>
            </w:r>
            <w:r w:rsidR="000F131C"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արեկան ճշտված պլան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745B6" w14:textId="77777777" w:rsidR="000F131C" w:rsidRPr="00004260" w:rsidRDefault="000F131C" w:rsidP="001A444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2021թ. ինն ամիսների ճշտված պլան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40B0" w14:textId="77777777" w:rsidR="000F131C" w:rsidRPr="00004260" w:rsidRDefault="000F131C" w:rsidP="001A444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2021թ.ինն ամիսների</w:t>
            </w: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</w:tr>
      <w:tr w:rsidR="002C0C67" w:rsidRPr="00004260" w14:paraId="2027809C" w14:textId="77777777" w:rsidTr="00314699">
        <w:trPr>
          <w:trHeight w:val="293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BB47" w14:textId="570A69C7" w:rsidR="000F131C" w:rsidRPr="00004260" w:rsidRDefault="00004260" w:rsidP="000F131C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Պետական բյուջեի եկամուտներ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D36A" w14:textId="6385AA99" w:rsidR="000F131C" w:rsidRPr="00004260" w:rsidRDefault="000F131C" w:rsidP="00EF469C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>1,075.1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862F7" w14:textId="542A2AF0" w:rsidR="000F131C" w:rsidRPr="00004260" w:rsidRDefault="000F131C" w:rsidP="0000426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1,624.3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8535" w14:textId="508F205B" w:rsidR="000F131C" w:rsidRPr="00004260" w:rsidRDefault="00004260" w:rsidP="000F131C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1,157.2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8162C" w14:textId="7D918C0B" w:rsidR="000F131C" w:rsidRPr="00004260" w:rsidRDefault="000F131C" w:rsidP="000F131C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1,201.5 </w:t>
            </w:r>
          </w:p>
        </w:tc>
      </w:tr>
      <w:tr w:rsidR="00C15B2E" w:rsidRPr="00004260" w14:paraId="05E1FA64" w14:textId="77777777" w:rsidTr="002C0C67">
        <w:trPr>
          <w:trHeight w:val="293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A65B" w14:textId="406D83A4" w:rsidR="00C15B2E" w:rsidRPr="00004260" w:rsidRDefault="00C15B2E" w:rsidP="00C15B2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225BE">
              <w:rPr>
                <w:rFonts w:ascii="GHEA Grapalat" w:hAnsi="GHEA Grapalat" w:cs="Calibri"/>
                <w:sz w:val="20"/>
                <w:szCs w:val="20"/>
              </w:rPr>
              <w:t>Հարկային եկամուտներ և պետական տուրքեր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B11D" w14:textId="19EE975C" w:rsidR="00C15B2E" w:rsidRPr="00004260" w:rsidRDefault="00C15B2E" w:rsidP="00C15B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sz w:val="20"/>
                <w:szCs w:val="20"/>
              </w:rPr>
              <w:t>1,016.8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3C80D" w14:textId="6E8F3EF4" w:rsidR="00C15B2E" w:rsidRPr="00004260" w:rsidRDefault="00C15B2E" w:rsidP="00C15B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sz w:val="20"/>
                <w:szCs w:val="20"/>
              </w:rPr>
              <w:t xml:space="preserve">1,548.3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7024" w14:textId="10DAB5BD" w:rsidR="00C15B2E" w:rsidRPr="00004260" w:rsidRDefault="00C15B2E" w:rsidP="00C15B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1,099.1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F19E" w14:textId="6B794419" w:rsidR="00C15B2E" w:rsidRPr="00004260" w:rsidRDefault="00C15B2E" w:rsidP="00C15B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sz w:val="20"/>
                <w:szCs w:val="20"/>
              </w:rPr>
              <w:t xml:space="preserve">1,137.3 </w:t>
            </w:r>
          </w:p>
        </w:tc>
      </w:tr>
      <w:tr w:rsidR="00C15B2E" w:rsidRPr="00004260" w14:paraId="032B52C2" w14:textId="77777777" w:rsidTr="002C0C67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8673" w14:textId="77777777" w:rsidR="00C15B2E" w:rsidRPr="00004260" w:rsidRDefault="00C15B2E" w:rsidP="00C15B2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sz w:val="20"/>
                <w:szCs w:val="20"/>
              </w:rPr>
              <w:t>Պաշտոնական դրամաշնորհներ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D7F4" w14:textId="0DADE70E" w:rsidR="00C15B2E" w:rsidRPr="00004260" w:rsidRDefault="00C15B2E" w:rsidP="00C15B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C57E" w14:textId="752466A7" w:rsidR="00C15B2E" w:rsidRPr="00004260" w:rsidRDefault="00C15B2E" w:rsidP="00C15B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sz w:val="20"/>
                <w:szCs w:val="20"/>
              </w:rPr>
              <w:t xml:space="preserve">23.9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632D7" w14:textId="590829E3" w:rsidR="00C15B2E" w:rsidRPr="00004260" w:rsidRDefault="00C15B2E" w:rsidP="00C15B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19.4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92132" w14:textId="201E2B28" w:rsidR="00C15B2E" w:rsidRPr="00004260" w:rsidRDefault="00C15B2E" w:rsidP="00C15B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sz w:val="20"/>
                <w:szCs w:val="20"/>
              </w:rPr>
              <w:t xml:space="preserve">5.7 </w:t>
            </w:r>
          </w:p>
        </w:tc>
      </w:tr>
      <w:tr w:rsidR="00C15B2E" w:rsidRPr="00004260" w14:paraId="6909882B" w14:textId="77777777" w:rsidTr="002C0C67">
        <w:trPr>
          <w:trHeight w:val="167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29CEB" w14:textId="77777777" w:rsidR="00C15B2E" w:rsidRPr="00004260" w:rsidRDefault="00C15B2E" w:rsidP="00C15B2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sz w:val="20"/>
                <w:szCs w:val="20"/>
              </w:rPr>
              <w:t>Այլ եկամուտներ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B37F" w14:textId="4A5DDBB9" w:rsidR="00C15B2E" w:rsidRPr="00004260" w:rsidRDefault="00C15B2E" w:rsidP="00C15B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sz w:val="20"/>
                <w:szCs w:val="20"/>
              </w:rPr>
              <w:t xml:space="preserve">53.7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A9EF1" w14:textId="1F03581B" w:rsidR="00C15B2E" w:rsidRPr="00004260" w:rsidRDefault="00C15B2E" w:rsidP="00C15B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sz w:val="20"/>
                <w:szCs w:val="20"/>
              </w:rPr>
              <w:t xml:space="preserve">52.1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5D89" w14:textId="293BCEEB" w:rsidR="00C15B2E" w:rsidRPr="00004260" w:rsidRDefault="00C15B2E" w:rsidP="00C15B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38.7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56BE" w14:textId="0DF417B9" w:rsidR="00C15B2E" w:rsidRPr="00004260" w:rsidRDefault="00C15B2E" w:rsidP="00C15B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sz w:val="20"/>
                <w:szCs w:val="20"/>
              </w:rPr>
              <w:t xml:space="preserve">58.5 </w:t>
            </w:r>
          </w:p>
        </w:tc>
      </w:tr>
      <w:tr w:rsidR="00C15B2E" w:rsidRPr="00004260" w14:paraId="66790C74" w14:textId="77777777" w:rsidTr="002C0C67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CEF6" w14:textId="4EB1B1D9" w:rsidR="00C15B2E" w:rsidRPr="00004260" w:rsidRDefault="00C15B2E" w:rsidP="00C15B2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Կշիռ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ն</w:t>
            </w: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ընդամենը եկամուտների մեջ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C397A" w14:textId="6D26CD97" w:rsidR="00C15B2E" w:rsidRPr="00004260" w:rsidRDefault="00C15B2E" w:rsidP="00C15B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00426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7813" w14:textId="5E9EF650" w:rsidR="00C15B2E" w:rsidRPr="00004260" w:rsidRDefault="00C15B2E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0426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066" w14:textId="77777777" w:rsidR="00C15B2E" w:rsidRPr="00004260" w:rsidRDefault="00C15B2E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0426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E751" w14:textId="77777777" w:rsidR="00C15B2E" w:rsidRPr="00004260" w:rsidRDefault="00C15B2E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0426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C15B2E" w:rsidRPr="00004260" w14:paraId="4E46D682" w14:textId="77777777" w:rsidTr="002C0C67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AC0F" w14:textId="77777777" w:rsidR="00C15B2E" w:rsidRPr="00004260" w:rsidRDefault="00C15B2E" w:rsidP="00C15B2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sz w:val="20"/>
                <w:szCs w:val="20"/>
              </w:rPr>
              <w:t>Հարկեր և տուրքեր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8DC93" w14:textId="04AA0070" w:rsidR="00C15B2E" w:rsidRPr="00004260" w:rsidRDefault="00C15B2E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color w:val="000000"/>
                <w:sz w:val="20"/>
                <w:szCs w:val="20"/>
              </w:rPr>
              <w:t>94.6%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A732" w14:textId="5415ABB3" w:rsidR="00C15B2E" w:rsidRPr="00004260" w:rsidRDefault="00C15B2E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color w:val="000000"/>
                <w:sz w:val="20"/>
                <w:szCs w:val="20"/>
              </w:rPr>
              <w:t>95.3%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0AA6" w14:textId="77777777" w:rsidR="00C15B2E" w:rsidRPr="00004260" w:rsidRDefault="00C15B2E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color w:val="000000"/>
                <w:sz w:val="20"/>
                <w:szCs w:val="20"/>
              </w:rPr>
              <w:t>95.0%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41D9" w14:textId="77777777" w:rsidR="00C15B2E" w:rsidRPr="00004260" w:rsidRDefault="00C15B2E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color w:val="000000"/>
                <w:sz w:val="20"/>
                <w:szCs w:val="20"/>
              </w:rPr>
              <w:t>94.7%</w:t>
            </w:r>
          </w:p>
        </w:tc>
      </w:tr>
      <w:tr w:rsidR="00C15B2E" w:rsidRPr="00004260" w14:paraId="313EBEA3" w14:textId="77777777" w:rsidTr="002C0C67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12CE" w14:textId="77777777" w:rsidR="00C15B2E" w:rsidRPr="00004260" w:rsidRDefault="00C15B2E" w:rsidP="00C15B2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sz w:val="20"/>
                <w:szCs w:val="20"/>
              </w:rPr>
              <w:t>Պաշտոնական դրամաշնորհներ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7C1CC" w14:textId="08DF6F6E" w:rsidR="00C15B2E" w:rsidRPr="00004260" w:rsidRDefault="00C15B2E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1E56" w14:textId="77E2D87A" w:rsidR="00C15B2E" w:rsidRPr="00004260" w:rsidRDefault="00C15B2E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973F" w14:textId="77777777" w:rsidR="00C15B2E" w:rsidRPr="00004260" w:rsidRDefault="00C15B2E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02BC" w14:textId="77777777" w:rsidR="00C15B2E" w:rsidRPr="00004260" w:rsidRDefault="00C15B2E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color w:val="000000"/>
                <w:sz w:val="20"/>
                <w:szCs w:val="20"/>
              </w:rPr>
              <w:t>0.5%</w:t>
            </w:r>
          </w:p>
        </w:tc>
      </w:tr>
      <w:tr w:rsidR="00C15B2E" w:rsidRPr="00004260" w14:paraId="5C5A4F47" w14:textId="77777777" w:rsidTr="002C0C67">
        <w:trPr>
          <w:trHeight w:val="30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52F9" w14:textId="77777777" w:rsidR="00C15B2E" w:rsidRPr="00004260" w:rsidRDefault="00C15B2E" w:rsidP="00C15B2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sz w:val="20"/>
                <w:szCs w:val="20"/>
              </w:rPr>
              <w:t>Այլ եկամուտներ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4AC39" w14:textId="7EC27EE9" w:rsidR="00C15B2E" w:rsidRPr="00004260" w:rsidRDefault="00C15B2E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color w:val="000000"/>
                <w:sz w:val="20"/>
                <w:szCs w:val="20"/>
              </w:rPr>
              <w:t>5.0%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F98B" w14:textId="5CF28427" w:rsidR="00C15B2E" w:rsidRPr="00004260" w:rsidRDefault="00C15B2E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103B" w14:textId="77777777" w:rsidR="00C15B2E" w:rsidRPr="00004260" w:rsidRDefault="00C15B2E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6CE4" w14:textId="77777777" w:rsidR="00C15B2E" w:rsidRPr="00004260" w:rsidRDefault="00C15B2E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color w:val="000000"/>
                <w:sz w:val="20"/>
                <w:szCs w:val="20"/>
              </w:rPr>
              <w:t>4.9%</w:t>
            </w:r>
          </w:p>
        </w:tc>
      </w:tr>
    </w:tbl>
    <w:p w14:paraId="2C44105D" w14:textId="77777777" w:rsidR="002A4689" w:rsidRPr="00004260" w:rsidRDefault="002A4689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6E4C7938" w14:textId="4F8236DB" w:rsidR="005B064D" w:rsidRDefault="00901957" w:rsidP="00B727E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45418D">
        <w:rPr>
          <w:rFonts w:ascii="GHEA Grapalat" w:hAnsi="GHEA Grapalat" w:cs="GHEA Grapalat"/>
          <w:color w:val="000000"/>
        </w:rPr>
        <w:t>Հաշվետու ժամանակահատվածի</w:t>
      </w:r>
      <w:r w:rsidRPr="00B727E5">
        <w:rPr>
          <w:rFonts w:ascii="GHEA Grapalat" w:hAnsi="GHEA Grapalat" w:cs="GHEA Grapalat"/>
          <w:color w:val="000000"/>
        </w:rPr>
        <w:t xml:space="preserve"> </w:t>
      </w:r>
      <w:r w:rsidRPr="0045418D">
        <w:rPr>
          <w:rFonts w:ascii="GHEA Grapalat" w:hAnsi="GHEA Grapalat" w:cs="GHEA Grapalat"/>
          <w:color w:val="000000"/>
        </w:rPr>
        <w:t>հարկային եկամուտների և պետական տուրքերի 3</w:t>
      </w:r>
      <w:r w:rsidR="00386AE5" w:rsidRPr="0045418D">
        <w:rPr>
          <w:rFonts w:ascii="GHEA Grapalat" w:hAnsi="GHEA Grapalat" w:cs="GHEA Grapalat"/>
          <w:color w:val="000000"/>
        </w:rPr>
        <w:t>3.7</w:t>
      </w:r>
      <w:r w:rsidRPr="0045418D">
        <w:rPr>
          <w:rFonts w:ascii="GHEA Grapalat" w:hAnsi="GHEA Grapalat" w:cs="GHEA Grapalat"/>
          <w:color w:val="000000"/>
        </w:rPr>
        <w:t>%</w:t>
      </w:r>
      <w:r w:rsidRPr="0045418D">
        <w:rPr>
          <w:rFonts w:ascii="GHEA Grapalat" w:hAnsi="GHEA Grapalat" w:cs="GHEA Grapalat"/>
          <w:color w:val="000000"/>
        </w:rPr>
        <w:noBreakHyphen/>
        <w:t>ն ապահովվել է ավելացված արժեքի հարկի հաշվին: Նախորդ տարվա նույն ժամանակահատվածի համեմատ ավելացված արժեքի հարկի մուտքեր</w:t>
      </w:r>
      <w:r w:rsidR="00E0092A">
        <w:rPr>
          <w:rFonts w:ascii="GHEA Grapalat" w:hAnsi="GHEA Grapalat" w:cs="GHEA Grapalat"/>
          <w:color w:val="000000"/>
        </w:rPr>
        <w:t>ի</w:t>
      </w:r>
      <w:r w:rsidRPr="0045418D">
        <w:rPr>
          <w:rFonts w:ascii="GHEA Grapalat" w:hAnsi="GHEA Grapalat" w:cs="GHEA Grapalat"/>
          <w:color w:val="000000"/>
        </w:rPr>
        <w:t xml:space="preserve"> աճ</w:t>
      </w:r>
      <w:r w:rsidR="00E0092A">
        <w:rPr>
          <w:rFonts w:ascii="GHEA Grapalat" w:hAnsi="GHEA Grapalat" w:cs="GHEA Grapalat"/>
          <w:color w:val="000000"/>
        </w:rPr>
        <w:t>ը</w:t>
      </w:r>
      <w:r w:rsidRPr="0045418D">
        <w:rPr>
          <w:rFonts w:ascii="GHEA Grapalat" w:hAnsi="GHEA Grapalat" w:cs="GHEA Grapalat"/>
          <w:color w:val="000000"/>
        </w:rPr>
        <w:t xml:space="preserve"> պայմանավորված է ինչպես ՀՀ ներմուծվող ապրանքներից, այնպես էլ ՀՀ</w:t>
      </w:r>
      <w:r w:rsidRPr="0045418D">
        <w:rPr>
          <w:rFonts w:ascii="GHEA Grapalat" w:hAnsi="GHEA Grapalat" w:cs="GHEA Grapalat"/>
          <w:color w:val="000000"/>
        </w:rPr>
        <w:noBreakHyphen/>
        <w:t>ում արտադրվող ապրանքների ու ծառայությունների շրջանառությունից ստացված մուտքերի աճով:</w:t>
      </w:r>
    </w:p>
    <w:p w14:paraId="35950969" w14:textId="77777777" w:rsidR="00B727E5" w:rsidRPr="00B727E5" w:rsidRDefault="00B727E5" w:rsidP="00B727E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5A64F65F" w14:textId="43115B12" w:rsidR="005B064D" w:rsidRPr="00770426" w:rsidRDefault="005B064D" w:rsidP="005B064D">
      <w:pPr>
        <w:pStyle w:val="Caption"/>
        <w:keepNext/>
        <w:rPr>
          <w:rFonts w:ascii="GHEA Grapalat" w:hAnsi="GHEA Grapalat"/>
          <w:b/>
          <w:color w:val="auto"/>
        </w:rPr>
      </w:pPr>
      <w:proofErr w:type="gramStart"/>
      <w:r w:rsidRPr="00770426">
        <w:rPr>
          <w:rFonts w:ascii="GHEA Grapalat" w:hAnsi="GHEA Grapalat"/>
          <w:b/>
          <w:color w:val="auto"/>
        </w:rPr>
        <w:t>Աղյուսակ 3</w:t>
      </w:r>
      <w:r w:rsidR="00F1622C" w:rsidRPr="00770426">
        <w:rPr>
          <w:rFonts w:ascii="GHEA Grapalat" w:hAnsi="GHEA Grapalat"/>
          <w:b/>
          <w:color w:val="auto"/>
        </w:rPr>
        <w:t>.</w:t>
      </w:r>
      <w:proofErr w:type="gramEnd"/>
      <w:r w:rsidRPr="00770426">
        <w:rPr>
          <w:rFonts w:ascii="GHEA Grapalat" w:hAnsi="GHEA Grapalat"/>
          <w:b/>
          <w:color w:val="auto"/>
          <w:lang w:val="hy-AM"/>
        </w:rPr>
        <w:t xml:space="preserve">  </w:t>
      </w:r>
      <w:r w:rsidR="00F1622C" w:rsidRPr="00770426">
        <w:rPr>
          <w:rFonts w:ascii="GHEA Grapalat" w:hAnsi="GHEA Grapalat"/>
          <w:b/>
          <w:color w:val="auto"/>
        </w:rPr>
        <w:t>ԱԱՀ-ի</w:t>
      </w:r>
      <w:r w:rsidR="00B727E5">
        <w:rPr>
          <w:rFonts w:ascii="GHEA Grapalat" w:hAnsi="GHEA Grapalat"/>
          <w:b/>
          <w:color w:val="auto"/>
        </w:rPr>
        <w:t xml:space="preserve"> գծով ՀՀ պետական բյուջեի</w:t>
      </w:r>
      <w:r w:rsidR="00F1622C" w:rsidRPr="00770426">
        <w:rPr>
          <w:rFonts w:ascii="GHEA Grapalat" w:hAnsi="GHEA Grapalat"/>
          <w:b/>
          <w:color w:val="auto"/>
        </w:rPr>
        <w:t xml:space="preserve"> մուտքերը</w:t>
      </w:r>
      <w:r w:rsidRPr="00770426">
        <w:rPr>
          <w:rFonts w:ascii="GHEA Grapalat" w:hAnsi="GHEA Grapalat"/>
          <w:b/>
          <w:color w:val="auto"/>
        </w:rPr>
        <w:t xml:space="preserve"> (մլրդ դրամ)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4479"/>
        <w:gridCol w:w="1405"/>
        <w:gridCol w:w="1593"/>
        <w:gridCol w:w="1372"/>
        <w:gridCol w:w="1356"/>
      </w:tblGrid>
      <w:tr w:rsidR="00EF469C" w:rsidRPr="00004260" w14:paraId="02F1458E" w14:textId="47D81291" w:rsidTr="00D06380">
        <w:trPr>
          <w:trHeight w:val="855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36CC" w14:textId="77777777" w:rsidR="00EF469C" w:rsidRPr="00004260" w:rsidRDefault="00EF469C" w:rsidP="00D917CA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00426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1E682" w14:textId="5652540D" w:rsidR="00514A1E" w:rsidRPr="00004260" w:rsidRDefault="00EF469C" w:rsidP="005B064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0</w:t>
            </w: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ինն ամիսների</w:t>
            </w: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61571" w14:textId="5D9D6888" w:rsidR="00514A1E" w:rsidRPr="00004260" w:rsidRDefault="00EF469C" w:rsidP="005B064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2021թ.ինն ամիսների</w:t>
            </w: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B06E9" w14:textId="33AEC2C3" w:rsidR="00514A1E" w:rsidRDefault="00514A1E" w:rsidP="00514A1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2021թ. </w:t>
            </w:r>
            <w:r w:rsidR="00E41428">
              <w:rPr>
                <w:rFonts w:ascii="GHEA Grapalat" w:hAnsi="GHEA Grapalat" w:cs="Calibri"/>
                <w:b/>
                <w:bCs/>
                <w:sz w:val="20"/>
                <w:szCs w:val="20"/>
              </w:rPr>
              <w:t>ինն ամիսները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2020թ.</w:t>
            </w:r>
            <w:r w:rsidR="00E41428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ինն ամիսների 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նկատմամբ</w:t>
            </w:r>
          </w:p>
          <w:p w14:paraId="3B054A5D" w14:textId="3B54EED0" w:rsidR="00EF469C" w:rsidRPr="00004260" w:rsidRDefault="00514A1E" w:rsidP="00514A1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D2FAC" w14:textId="37FAE380" w:rsidR="00514A1E" w:rsidRPr="00004260" w:rsidRDefault="00514A1E" w:rsidP="005B064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2021թ. և 2020թ. տարբերու-թյունը</w:t>
            </w:r>
          </w:p>
        </w:tc>
      </w:tr>
      <w:tr w:rsidR="00EF469C" w:rsidRPr="00004260" w14:paraId="11CB72A6" w14:textId="772AC202" w:rsidTr="00D06380">
        <w:trPr>
          <w:trHeight w:val="29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0038" w14:textId="3C4AB2D0" w:rsidR="00EF469C" w:rsidRPr="00004260" w:rsidRDefault="00514A1E" w:rsidP="00D917CA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Ավելացված արժեքի հարկ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67EB" w14:textId="788F61E5" w:rsidR="00EF469C" w:rsidRPr="00004260" w:rsidRDefault="00D06380" w:rsidP="00D0638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335</w:t>
            </w:r>
            <w:r w:rsidR="00EF469C"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3E00" w14:textId="02BF8B27" w:rsidR="00EF469C" w:rsidRPr="00004260" w:rsidRDefault="00D06380" w:rsidP="00D917C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383.0</w:t>
            </w:r>
            <w:r w:rsidR="00EF469C"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BE591" w14:textId="0210B478" w:rsidR="00EF469C" w:rsidRPr="00004260" w:rsidRDefault="00D06380" w:rsidP="00D917C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114.3%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1AF7A" w14:textId="55E80FEC" w:rsidR="00EF469C" w:rsidRPr="00004260" w:rsidRDefault="00D06380" w:rsidP="00D917C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47.9</w:t>
            </w:r>
          </w:p>
        </w:tc>
      </w:tr>
      <w:tr w:rsidR="00EF469C" w:rsidRPr="00004260" w14:paraId="72997B02" w14:textId="4495B29D" w:rsidTr="00D06380">
        <w:trPr>
          <w:trHeight w:val="293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A0C51" w14:textId="651E2869" w:rsidR="00EF469C" w:rsidRPr="00004260" w:rsidRDefault="00514A1E" w:rsidP="00D06380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Ներմուծումից</w:t>
            </w:r>
            <w:r w:rsidR="00D06380">
              <w:rPr>
                <w:rFonts w:ascii="GHEA Grapalat" w:hAnsi="GHEA Grapalat" w:cs="Calibri"/>
                <w:sz w:val="20"/>
                <w:szCs w:val="20"/>
              </w:rPr>
              <w:t>, այդ թվում՝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5A3D" w14:textId="7D5DCAB7" w:rsidR="00EF469C" w:rsidRPr="00004260" w:rsidRDefault="00D06380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199.0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B2C90" w14:textId="2A1A92BF" w:rsidR="00EF469C" w:rsidRPr="00004260" w:rsidRDefault="00D06380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228.8</w:t>
            </w:r>
            <w:r w:rsidR="00EF469C" w:rsidRPr="00004260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ABBC0" w14:textId="1C00879B" w:rsidR="00EF469C" w:rsidRPr="00004260" w:rsidRDefault="00D06380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115.0%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1FBF7" w14:textId="5B5EFABB" w:rsidR="00EF469C" w:rsidRPr="00004260" w:rsidRDefault="00D06380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29.8</w:t>
            </w:r>
          </w:p>
        </w:tc>
      </w:tr>
      <w:tr w:rsidR="00EF469C" w:rsidRPr="00004260" w14:paraId="712ED02C" w14:textId="075BFEC9" w:rsidTr="00D06380">
        <w:trPr>
          <w:trHeight w:val="3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EEBF" w14:textId="0614C033" w:rsidR="00EF469C" w:rsidRPr="00004260" w:rsidRDefault="00D06380" w:rsidP="00D06380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   ԵԱՏՄ երկրներից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C1F7" w14:textId="205D2133" w:rsidR="00EF469C" w:rsidRPr="00004260" w:rsidRDefault="00D06380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78.3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6FD43" w14:textId="07355B90" w:rsidR="00EF469C" w:rsidRPr="00004260" w:rsidRDefault="00D06380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94.9</w:t>
            </w:r>
            <w:r w:rsidR="00EF469C" w:rsidRPr="00004260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E3E7F" w14:textId="6F3008D8" w:rsidR="00EF469C" w:rsidRPr="00004260" w:rsidRDefault="00D06380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121.2%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A2681" w14:textId="20D044CD" w:rsidR="00EF469C" w:rsidRPr="00004260" w:rsidRDefault="00D06380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16.6</w:t>
            </w:r>
          </w:p>
        </w:tc>
      </w:tr>
      <w:tr w:rsidR="00EF469C" w:rsidRPr="00004260" w14:paraId="3C3E77EB" w14:textId="0AB419A1" w:rsidTr="00D06380">
        <w:trPr>
          <w:trHeight w:val="167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2A36" w14:textId="177C7CCA" w:rsidR="00EF469C" w:rsidRPr="00004260" w:rsidRDefault="00D06380" w:rsidP="00D06380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Ներքին շրջանառությունից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279D" w14:textId="7DB86968" w:rsidR="00EF469C" w:rsidRPr="00004260" w:rsidRDefault="00D06380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136.2</w:t>
            </w:r>
            <w:r w:rsidR="00EF469C" w:rsidRPr="00004260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C24D8" w14:textId="07B2D973" w:rsidR="00EF469C" w:rsidRPr="00004260" w:rsidRDefault="00D06380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154.2</w:t>
            </w:r>
            <w:r w:rsidR="00EF469C" w:rsidRPr="00004260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1E573" w14:textId="2EFCAEA8" w:rsidR="00EF469C" w:rsidRPr="00004260" w:rsidRDefault="00D06380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113.3%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7E538" w14:textId="2EC527E4" w:rsidR="00EF469C" w:rsidRPr="00004260" w:rsidRDefault="00D06380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18.0</w:t>
            </w:r>
          </w:p>
        </w:tc>
      </w:tr>
    </w:tbl>
    <w:p w14:paraId="39D58993" w14:textId="77777777" w:rsidR="00EF469C" w:rsidRPr="0045418D" w:rsidRDefault="00EF469C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2C77B572" w14:textId="7BBA8206" w:rsidR="00901957" w:rsidRDefault="000427C5" w:rsidP="00C915E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45418D">
        <w:rPr>
          <w:rFonts w:ascii="GHEA Grapalat" w:hAnsi="GHEA Grapalat" w:cs="GHEA Grapalat"/>
          <w:color w:val="000000"/>
        </w:rPr>
        <w:t xml:space="preserve">2021 թվականի </w:t>
      </w:r>
      <w:r w:rsidR="002E3E66" w:rsidRPr="0045418D">
        <w:rPr>
          <w:rFonts w:ascii="GHEA Grapalat" w:hAnsi="GHEA Grapalat"/>
          <w:color w:val="000000"/>
          <w:lang w:val="hy-AM"/>
        </w:rPr>
        <w:t>ինն ամիսներին</w:t>
      </w:r>
      <w:r w:rsidRPr="0045418D">
        <w:rPr>
          <w:rFonts w:ascii="GHEA Grapalat" w:hAnsi="GHEA Grapalat" w:cs="GHEA Grapalat"/>
          <w:color w:val="000000"/>
        </w:rPr>
        <w:t xml:space="preserve"> պետական բյուջե մուտքագրված</w:t>
      </w:r>
      <w:r w:rsidR="00901957" w:rsidRPr="0045418D">
        <w:rPr>
          <w:rFonts w:ascii="GHEA Grapalat" w:hAnsi="GHEA Grapalat" w:cs="GHEA Grapalat"/>
          <w:color w:val="000000"/>
        </w:rPr>
        <w:t xml:space="preserve"> հարկային եկամուտների ու պետական տուրքերի 6.</w:t>
      </w:r>
      <w:r w:rsidR="00C915E7" w:rsidRPr="0045418D">
        <w:rPr>
          <w:rFonts w:ascii="GHEA Grapalat" w:hAnsi="GHEA Grapalat" w:cs="GHEA Grapalat"/>
          <w:color w:val="000000"/>
        </w:rPr>
        <w:t>7</w:t>
      </w:r>
      <w:r w:rsidR="00901957" w:rsidRPr="0045418D">
        <w:rPr>
          <w:rFonts w:ascii="GHEA Grapalat" w:hAnsi="GHEA Grapalat" w:cs="GHEA Grapalat"/>
          <w:color w:val="000000"/>
        </w:rPr>
        <w:t>%-ն ապահովվել է ակցիզային հարկի հաշվին: Նախորդ տարվա նույն ժամանակահատվածի համեմատ ակցիզային հարկի մուտքեր</w:t>
      </w:r>
      <w:r w:rsidR="00F1622C">
        <w:rPr>
          <w:rFonts w:ascii="GHEA Grapalat" w:hAnsi="GHEA Grapalat" w:cs="GHEA Grapalat"/>
          <w:color w:val="000000"/>
        </w:rPr>
        <w:t>ի</w:t>
      </w:r>
      <w:r w:rsidR="00901957" w:rsidRPr="0045418D">
        <w:rPr>
          <w:rFonts w:ascii="GHEA Grapalat" w:hAnsi="GHEA Grapalat" w:cs="GHEA Grapalat"/>
          <w:color w:val="000000"/>
        </w:rPr>
        <w:t xml:space="preserve"> </w:t>
      </w:r>
      <w:r w:rsidR="00F1622C">
        <w:rPr>
          <w:rFonts w:ascii="GHEA Grapalat" w:hAnsi="GHEA Grapalat" w:cs="GHEA Grapalat"/>
          <w:color w:val="000000"/>
        </w:rPr>
        <w:t xml:space="preserve">անկումը </w:t>
      </w:r>
      <w:r w:rsidR="00901957" w:rsidRPr="0045418D">
        <w:rPr>
          <w:rFonts w:ascii="GHEA Grapalat" w:hAnsi="GHEA Grapalat" w:cs="GHEA Grapalat"/>
          <w:color w:val="000000"/>
        </w:rPr>
        <w:t>հիմնականում պայմանավորված</w:t>
      </w:r>
      <w:r w:rsidR="00F1622C">
        <w:rPr>
          <w:rFonts w:ascii="GHEA Grapalat" w:hAnsi="GHEA Grapalat" w:cs="GHEA Grapalat"/>
          <w:color w:val="000000"/>
        </w:rPr>
        <w:t xml:space="preserve"> է</w:t>
      </w:r>
      <w:r w:rsidR="00901957" w:rsidRPr="0045418D">
        <w:rPr>
          <w:rFonts w:ascii="GHEA Grapalat" w:hAnsi="GHEA Grapalat" w:cs="GHEA Grapalat"/>
          <w:color w:val="000000"/>
        </w:rPr>
        <w:t xml:space="preserve"> հանրապետությունում արտադրվող ենթաակցիզային ապրանքների գծով մուտքերի նվազմամբ:</w:t>
      </w:r>
    </w:p>
    <w:p w14:paraId="62548159" w14:textId="77777777" w:rsidR="00770426" w:rsidRDefault="00770426" w:rsidP="00C915E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43A50B5F" w14:textId="74846FF6" w:rsidR="00770426" w:rsidRPr="00770426" w:rsidRDefault="00770426" w:rsidP="00770426">
      <w:pPr>
        <w:pStyle w:val="Caption"/>
        <w:keepNext/>
        <w:rPr>
          <w:rFonts w:ascii="GHEA Grapalat" w:hAnsi="GHEA Grapalat"/>
          <w:b/>
          <w:color w:val="auto"/>
        </w:rPr>
      </w:pPr>
      <w:proofErr w:type="gramStart"/>
      <w:r w:rsidRPr="00770426">
        <w:rPr>
          <w:rFonts w:ascii="GHEA Grapalat" w:hAnsi="GHEA Grapalat"/>
          <w:b/>
          <w:color w:val="auto"/>
        </w:rPr>
        <w:t>Աղյուսակ 4.</w:t>
      </w:r>
      <w:proofErr w:type="gramEnd"/>
      <w:r w:rsidRPr="00770426">
        <w:rPr>
          <w:rFonts w:ascii="GHEA Grapalat" w:hAnsi="GHEA Grapalat"/>
          <w:b/>
          <w:color w:val="auto"/>
          <w:lang w:val="hy-AM"/>
        </w:rPr>
        <w:t xml:space="preserve">  </w:t>
      </w:r>
      <w:r w:rsidR="00B727E5">
        <w:rPr>
          <w:rFonts w:ascii="GHEA Grapalat" w:hAnsi="GHEA Grapalat"/>
          <w:b/>
          <w:color w:val="auto"/>
        </w:rPr>
        <w:t>Ա</w:t>
      </w:r>
      <w:r w:rsidRPr="00770426">
        <w:rPr>
          <w:rFonts w:ascii="GHEA Grapalat" w:hAnsi="GHEA Grapalat"/>
          <w:b/>
          <w:color w:val="auto"/>
        </w:rPr>
        <w:t>կցիզային հարկի</w:t>
      </w:r>
      <w:r w:rsidR="00B727E5">
        <w:rPr>
          <w:rFonts w:ascii="GHEA Grapalat" w:hAnsi="GHEA Grapalat"/>
          <w:b/>
          <w:color w:val="auto"/>
        </w:rPr>
        <w:t xml:space="preserve"> գծով ՀՀ պետական բյուջեի</w:t>
      </w:r>
      <w:r w:rsidRPr="00770426">
        <w:rPr>
          <w:rFonts w:ascii="GHEA Grapalat" w:hAnsi="GHEA Grapalat"/>
          <w:b/>
          <w:color w:val="auto"/>
        </w:rPr>
        <w:t xml:space="preserve"> մուտքերը (մլրդ դրամ)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4644"/>
        <w:gridCol w:w="1240"/>
        <w:gridCol w:w="1593"/>
        <w:gridCol w:w="1372"/>
        <w:gridCol w:w="1356"/>
      </w:tblGrid>
      <w:tr w:rsidR="00770426" w:rsidRPr="00004260" w14:paraId="1EB98A3D" w14:textId="77777777" w:rsidTr="00770426">
        <w:trPr>
          <w:trHeight w:val="8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1B46" w14:textId="77777777" w:rsidR="00770426" w:rsidRPr="00004260" w:rsidRDefault="00770426" w:rsidP="00D917CA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00426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D0527" w14:textId="77777777" w:rsidR="00770426" w:rsidRPr="00004260" w:rsidRDefault="00770426" w:rsidP="00D917CA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0</w:t>
            </w: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ինն ամիսների</w:t>
            </w: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B6FE6" w14:textId="77777777" w:rsidR="00770426" w:rsidRPr="00004260" w:rsidRDefault="00770426" w:rsidP="00D917CA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2021թ.ինն ամիսների</w:t>
            </w: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0CC89" w14:textId="77777777" w:rsidR="00E41428" w:rsidRDefault="00E41428" w:rsidP="00E414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2021թ.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ինն ամիսները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2020թ.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ինն ամիսների 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նկատմամբ</w:t>
            </w:r>
          </w:p>
          <w:p w14:paraId="69316953" w14:textId="07E38927" w:rsidR="00770426" w:rsidRPr="00004260" w:rsidRDefault="00E41428" w:rsidP="00E414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276F0" w14:textId="77777777" w:rsidR="00770426" w:rsidRPr="00004260" w:rsidRDefault="00770426" w:rsidP="00D917CA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2021թ. և 2020թ. տարբերու-թյունը</w:t>
            </w:r>
          </w:p>
        </w:tc>
      </w:tr>
      <w:tr w:rsidR="00770426" w:rsidRPr="00004260" w14:paraId="7C014416" w14:textId="77777777" w:rsidTr="00770426">
        <w:trPr>
          <w:trHeight w:val="29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10B7" w14:textId="5641C28E" w:rsidR="00770426" w:rsidRPr="00004260" w:rsidRDefault="00770426" w:rsidP="00770426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Ակցիզային հարկ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0C0E" w14:textId="3DA7634F" w:rsidR="00770426" w:rsidRPr="00004260" w:rsidRDefault="00770426" w:rsidP="00D917C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83.6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4B2E" w14:textId="17D2948D" w:rsidR="00770426" w:rsidRPr="00004260" w:rsidRDefault="00770426" w:rsidP="00D917C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76.0</w:t>
            </w: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AF23C" w14:textId="232FE0FC" w:rsidR="00770426" w:rsidRPr="00004260" w:rsidRDefault="00770426" w:rsidP="00770426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90.9%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BCF6D" w14:textId="7B5522AF" w:rsidR="00770426" w:rsidRPr="00004260" w:rsidRDefault="00031AAD" w:rsidP="00D917C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 w:rsidR="00770426">
              <w:rPr>
                <w:rFonts w:ascii="GHEA Grapalat" w:hAnsi="GHEA Grapalat" w:cs="Calibri"/>
                <w:b/>
                <w:bCs/>
                <w:sz w:val="20"/>
                <w:szCs w:val="20"/>
              </w:rPr>
              <w:t>7.6</w:t>
            </w:r>
          </w:p>
        </w:tc>
      </w:tr>
      <w:tr w:rsidR="00770426" w:rsidRPr="00004260" w14:paraId="1AED9501" w14:textId="77777777" w:rsidTr="00770426">
        <w:trPr>
          <w:trHeight w:val="29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08BC" w14:textId="50A612AF" w:rsidR="00770426" w:rsidRPr="00004260" w:rsidRDefault="00770426" w:rsidP="00770426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Ներմուծվող ենթաակցիզային ապրանքներից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012A" w14:textId="0984A8D6" w:rsidR="00770426" w:rsidRPr="00004260" w:rsidRDefault="00770426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39.4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A58B" w14:textId="2DE5AE9D" w:rsidR="00770426" w:rsidRPr="00004260" w:rsidRDefault="00770426" w:rsidP="0077042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36.4</w:t>
            </w:r>
            <w:r w:rsidRPr="00004260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26D95" w14:textId="495196DF" w:rsidR="00770426" w:rsidRPr="00004260" w:rsidRDefault="00770426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92.2%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2CDCB" w14:textId="0C207F06" w:rsidR="00770426" w:rsidRPr="00004260" w:rsidRDefault="00031AAD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="00770426">
              <w:rPr>
                <w:rFonts w:ascii="GHEA Grapalat" w:hAnsi="GHEA Grapalat" w:cs="Calibri"/>
                <w:sz w:val="20"/>
                <w:szCs w:val="20"/>
              </w:rPr>
              <w:t>3.1</w:t>
            </w:r>
          </w:p>
        </w:tc>
      </w:tr>
      <w:tr w:rsidR="00770426" w:rsidRPr="00004260" w14:paraId="27471250" w14:textId="77777777" w:rsidTr="00770426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9F9F1" w14:textId="10D13E24" w:rsidR="00770426" w:rsidRPr="00004260" w:rsidRDefault="00770426" w:rsidP="00D917CA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ՀՀ-ում արտադրվող ենթաակցիզային ապրանքներից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68D6" w14:textId="504DD39E" w:rsidR="00770426" w:rsidRPr="00004260" w:rsidRDefault="00770426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44.2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8025" w14:textId="52B782A7" w:rsidR="00770426" w:rsidRPr="00004260" w:rsidRDefault="00770426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39.7</w:t>
            </w:r>
            <w:r w:rsidRPr="00004260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0D596" w14:textId="79B75B78" w:rsidR="00770426" w:rsidRPr="00004260" w:rsidRDefault="00770426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89.7%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E97EC" w14:textId="55B5CEC9" w:rsidR="00770426" w:rsidRPr="00004260" w:rsidRDefault="00031AAD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="00770426">
              <w:rPr>
                <w:rFonts w:ascii="GHEA Grapalat" w:hAnsi="GHEA Grapalat" w:cs="Calibri"/>
                <w:sz w:val="20"/>
                <w:szCs w:val="20"/>
              </w:rPr>
              <w:t>4.5</w:t>
            </w:r>
          </w:p>
        </w:tc>
      </w:tr>
    </w:tbl>
    <w:p w14:paraId="5EF32FDC" w14:textId="77777777" w:rsidR="00770426" w:rsidRPr="0045418D" w:rsidRDefault="00770426" w:rsidP="00C915E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0778A578" w14:textId="3D1B1E49" w:rsidR="00901957" w:rsidRPr="0045418D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45418D">
        <w:rPr>
          <w:rFonts w:ascii="GHEA Grapalat" w:hAnsi="GHEA Grapalat" w:cs="GHEA Grapalat"/>
          <w:color w:val="000000"/>
        </w:rPr>
        <w:t xml:space="preserve">2021 թվականի </w:t>
      </w:r>
      <w:r w:rsidR="002E3E66" w:rsidRPr="0045418D">
        <w:rPr>
          <w:rFonts w:ascii="GHEA Grapalat" w:hAnsi="GHEA Grapalat"/>
          <w:color w:val="000000"/>
          <w:lang w:val="hy-AM"/>
        </w:rPr>
        <w:t>ինն</w:t>
      </w:r>
      <w:r w:rsidR="009012DC" w:rsidRPr="0045418D">
        <w:rPr>
          <w:rFonts w:ascii="GHEA Grapalat" w:hAnsi="GHEA Grapalat"/>
          <w:color w:val="000000"/>
        </w:rPr>
        <w:t xml:space="preserve"> </w:t>
      </w:r>
      <w:r w:rsidRPr="0045418D">
        <w:rPr>
          <w:rFonts w:ascii="GHEA Grapalat" w:hAnsi="GHEA Grapalat"/>
          <w:color w:val="000000"/>
          <w:lang w:val="hy-AM"/>
        </w:rPr>
        <w:t>ամիսներին</w:t>
      </w:r>
      <w:r w:rsidRPr="0045418D">
        <w:rPr>
          <w:rFonts w:ascii="GHEA Grapalat" w:hAnsi="GHEA Grapalat" w:cs="GHEA Grapalat"/>
          <w:color w:val="000000"/>
          <w:lang w:val="hy-AM"/>
        </w:rPr>
        <w:t xml:space="preserve"> </w:t>
      </w:r>
      <w:r w:rsidRPr="0045418D">
        <w:rPr>
          <w:rFonts w:ascii="GHEA Grapalat" w:hAnsi="GHEA Grapalat" w:cs="GHEA Grapalat"/>
          <w:color w:val="000000"/>
        </w:rPr>
        <w:t>պետական բյուջեի հարկային եկամուտների ու պետական տուրքերի շահութահարկի</w:t>
      </w:r>
      <w:r w:rsidR="006469E0">
        <w:rPr>
          <w:rFonts w:ascii="GHEA Grapalat" w:hAnsi="GHEA Grapalat" w:cs="GHEA Grapalat"/>
          <w:color w:val="000000"/>
          <w:lang w:val="hy-AM"/>
        </w:rPr>
        <w:t>,</w:t>
      </w:r>
      <w:r w:rsidRPr="0045418D">
        <w:rPr>
          <w:rFonts w:ascii="GHEA Grapalat" w:hAnsi="GHEA Grapalat" w:cs="GHEA Grapalat"/>
          <w:color w:val="000000"/>
        </w:rPr>
        <w:t xml:space="preserve"> </w:t>
      </w:r>
      <w:r w:rsidR="006469E0">
        <w:rPr>
          <w:rFonts w:ascii="GHEA Grapalat" w:hAnsi="GHEA Grapalat" w:cs="GHEA Grapalat"/>
          <w:color w:val="000000"/>
          <w:lang w:val="hy-AM"/>
        </w:rPr>
        <w:t xml:space="preserve">մաքսատուրքի, եկամտային և շրջանառության </w:t>
      </w:r>
      <w:proofErr w:type="gramStart"/>
      <w:r w:rsidR="006469E0">
        <w:rPr>
          <w:rFonts w:ascii="GHEA Grapalat" w:hAnsi="GHEA Grapalat" w:cs="GHEA Grapalat"/>
          <w:color w:val="000000"/>
          <w:lang w:val="hy-AM"/>
        </w:rPr>
        <w:t xml:space="preserve">հարկերի </w:t>
      </w:r>
      <w:r w:rsidR="006469E0" w:rsidRPr="006469E0">
        <w:rPr>
          <w:rFonts w:ascii="GHEA Grapalat" w:hAnsi="GHEA Grapalat" w:cs="GHEA Grapalat"/>
          <w:color w:val="000000"/>
        </w:rPr>
        <w:t xml:space="preserve"> </w:t>
      </w:r>
      <w:r w:rsidR="006469E0">
        <w:rPr>
          <w:rFonts w:ascii="GHEA Grapalat" w:hAnsi="GHEA Grapalat" w:cs="GHEA Grapalat"/>
          <w:color w:val="000000"/>
        </w:rPr>
        <w:t>վերաբերյալ</w:t>
      </w:r>
      <w:proofErr w:type="gramEnd"/>
      <w:r w:rsidR="006469E0">
        <w:rPr>
          <w:rFonts w:ascii="GHEA Grapalat" w:hAnsi="GHEA Grapalat" w:cs="GHEA Grapalat"/>
          <w:color w:val="000000"/>
        </w:rPr>
        <w:t xml:space="preserve"> տեղեկատվությունը </w:t>
      </w:r>
      <w:r w:rsidR="006469E0">
        <w:rPr>
          <w:rFonts w:ascii="GHEA Grapalat" w:hAnsi="GHEA Grapalat" w:cs="GHEA Grapalat"/>
          <w:color w:val="000000"/>
          <w:lang w:val="hy-AM"/>
        </w:rPr>
        <w:t>ներկայացված</w:t>
      </w:r>
      <w:r w:rsidR="006469E0">
        <w:rPr>
          <w:rFonts w:ascii="GHEA Grapalat" w:hAnsi="GHEA Grapalat" w:cs="GHEA Grapalat"/>
          <w:color w:val="000000"/>
        </w:rPr>
        <w:t xml:space="preserve"> է</w:t>
      </w:r>
      <w:r w:rsidR="006469E0">
        <w:rPr>
          <w:rFonts w:ascii="GHEA Grapalat" w:hAnsi="GHEA Grapalat" w:cs="GHEA Grapalat"/>
          <w:color w:val="000000"/>
          <w:lang w:val="hy-AM"/>
        </w:rPr>
        <w:t xml:space="preserve"> Աղյուսակ </w:t>
      </w:r>
      <w:r w:rsidR="00770426">
        <w:rPr>
          <w:rFonts w:ascii="GHEA Grapalat" w:hAnsi="GHEA Grapalat" w:cs="GHEA Grapalat"/>
          <w:color w:val="000000"/>
        </w:rPr>
        <w:t>5</w:t>
      </w:r>
      <w:r w:rsidR="006469E0">
        <w:rPr>
          <w:rFonts w:ascii="GHEA Grapalat" w:hAnsi="GHEA Grapalat" w:cs="GHEA Grapalat"/>
          <w:color w:val="000000"/>
          <w:lang w:val="hy-AM"/>
        </w:rPr>
        <w:t>-ում:</w:t>
      </w:r>
    </w:p>
    <w:p w14:paraId="4EED35A1" w14:textId="1F708CD0" w:rsidR="00901957" w:rsidRPr="0045418D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45418D">
        <w:rPr>
          <w:rFonts w:ascii="GHEA Grapalat" w:hAnsi="GHEA Grapalat" w:cs="GHEA Grapalat"/>
          <w:color w:val="000000"/>
        </w:rPr>
        <w:t xml:space="preserve">Հաշվետու ժամանակահատվածում կուտակային կենսաթոշակային բաղադրիչի մասնակիցների կողմից պետական բյուջե է փոխանցվել </w:t>
      </w:r>
      <w:r w:rsidR="009012DC" w:rsidRPr="0045418D">
        <w:rPr>
          <w:rFonts w:ascii="GHEA Grapalat" w:hAnsi="GHEA Grapalat" w:cs="GHEA Grapalat"/>
          <w:color w:val="000000"/>
        </w:rPr>
        <w:t xml:space="preserve">շուրջ </w:t>
      </w:r>
      <w:r w:rsidR="00D96DDD" w:rsidRPr="0045418D">
        <w:rPr>
          <w:rFonts w:ascii="GHEA Grapalat" w:hAnsi="GHEA Grapalat" w:cs="GHEA Grapalat"/>
          <w:color w:val="000000"/>
        </w:rPr>
        <w:t>31.7</w:t>
      </w:r>
      <w:r w:rsidRPr="0045418D">
        <w:rPr>
          <w:rFonts w:ascii="GHEA Grapalat" w:hAnsi="GHEA Grapalat" w:cs="GHEA Grapalat"/>
          <w:color w:val="000000"/>
        </w:rPr>
        <w:t xml:space="preserve"> մլրդ դրամ սոցիալական վճար` ապահովելով հարկային եկամուտների և պետական տուրքերի 2.8%-ը և </w:t>
      </w:r>
      <w:r w:rsidR="009012DC" w:rsidRPr="0045418D">
        <w:rPr>
          <w:rFonts w:ascii="GHEA Grapalat" w:hAnsi="GHEA Grapalat" w:cs="GHEA Grapalat"/>
          <w:color w:val="000000"/>
        </w:rPr>
        <w:t>82</w:t>
      </w:r>
      <w:r w:rsidRPr="0045418D">
        <w:rPr>
          <w:rFonts w:ascii="GHEA Grapalat" w:hAnsi="GHEA Grapalat" w:cs="GHEA Grapalat"/>
          <w:color w:val="000000"/>
        </w:rPr>
        <w:t xml:space="preserve">%-ով կամ </w:t>
      </w:r>
      <w:r w:rsidR="009012DC" w:rsidRPr="0045418D">
        <w:rPr>
          <w:rFonts w:ascii="GHEA Grapalat" w:hAnsi="GHEA Grapalat" w:cs="GHEA Grapalat"/>
          <w:color w:val="000000"/>
        </w:rPr>
        <w:t>1</w:t>
      </w:r>
      <w:r w:rsidR="00D96DDD" w:rsidRPr="0045418D">
        <w:rPr>
          <w:rFonts w:ascii="GHEA Grapalat" w:hAnsi="GHEA Grapalat" w:cs="GHEA Grapalat"/>
          <w:color w:val="000000"/>
        </w:rPr>
        <w:t>4.</w:t>
      </w:r>
      <w:r w:rsidR="009012DC" w:rsidRPr="0045418D">
        <w:rPr>
          <w:rFonts w:ascii="GHEA Grapalat" w:hAnsi="GHEA Grapalat" w:cs="GHEA Grapalat"/>
          <w:color w:val="000000"/>
        </w:rPr>
        <w:t>3</w:t>
      </w:r>
      <w:r w:rsidRPr="0045418D">
        <w:rPr>
          <w:rFonts w:ascii="GHEA Grapalat" w:hAnsi="GHEA Grapalat" w:cs="GHEA Grapalat"/>
          <w:color w:val="000000"/>
        </w:rPr>
        <w:t xml:space="preserve"> մլրդ դրամով գերազանցելով նախորդ տարվա նույն ժամանակահատվածի ցուցանիշը: Աճը հիմնականում պայմանավորված է «Կուտակային կենսաթոշակների մասին» ՀՀ օրենքում կատարված փոփոխություններով, որոնց համաձայն 2021 թվականի հունվարի 1-ից սոցիալական վճարի անհատի մասնաբաժնում՝ հաշվարկված աշխատավարձի նկատմամբ, պետության մասնակցությունը նվազել է մեկ տոկոսային կետով՝ կազմելով 6.5%, իսկ աշխատողի մասնակցությունը նույնքան ավելացել է՝ կազմելով 3.5%: Բացի այդ, բարձրացվել է անձի ամսական համախառն եկամտ</w:t>
      </w:r>
      <w:r w:rsidR="0082618D" w:rsidRPr="0045418D">
        <w:rPr>
          <w:rFonts w:ascii="GHEA Grapalat" w:hAnsi="GHEA Grapalat" w:cs="GHEA Grapalat"/>
          <w:color w:val="000000"/>
        </w:rPr>
        <w:t>ի առավելագույն չափը՝ նախկին 500</w:t>
      </w:r>
      <w:r w:rsidR="0082618D" w:rsidRPr="0045418D">
        <w:rPr>
          <w:rFonts w:ascii="Courier New" w:hAnsi="Courier New" w:cs="Courier New"/>
          <w:color w:val="000000"/>
        </w:rPr>
        <w:t> </w:t>
      </w:r>
      <w:r w:rsidRPr="0045418D">
        <w:rPr>
          <w:rFonts w:ascii="GHEA Grapalat" w:hAnsi="GHEA Grapalat" w:cs="GHEA Grapalat"/>
          <w:color w:val="000000"/>
        </w:rPr>
        <w:t>հազար դրամի փոխարեն սահմանվելով 1,020 հազար դրամ՝ նվազագույն աշխատավարձի 15-ապատիկը, իսկ տարեկան համախառն եկամուտը՝ 12,240 հազար դրամ կամ նվազագույն աշխատավարձի 180-ապատիկը:</w:t>
      </w:r>
    </w:p>
    <w:p w14:paraId="7D2F3AA6" w14:textId="605F1447" w:rsidR="00901957" w:rsidRPr="0045418D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45418D">
        <w:rPr>
          <w:rFonts w:ascii="GHEA Grapalat" w:hAnsi="GHEA Grapalat" w:cs="GHEA Grapalat"/>
          <w:color w:val="000000"/>
        </w:rPr>
        <w:lastRenderedPageBreak/>
        <w:t xml:space="preserve">2021 թվականի </w:t>
      </w:r>
      <w:r w:rsidR="002E3E66" w:rsidRPr="0045418D">
        <w:rPr>
          <w:rFonts w:ascii="GHEA Grapalat" w:hAnsi="GHEA Grapalat" w:cs="GHEA Grapalat"/>
          <w:color w:val="000000"/>
        </w:rPr>
        <w:t>ինն</w:t>
      </w:r>
      <w:r w:rsidR="009012DC" w:rsidRPr="0045418D">
        <w:rPr>
          <w:rFonts w:ascii="GHEA Grapalat" w:hAnsi="GHEA Grapalat" w:cs="GHEA Grapalat"/>
          <w:color w:val="000000"/>
        </w:rPr>
        <w:t xml:space="preserve"> </w:t>
      </w:r>
      <w:r w:rsidRPr="0045418D">
        <w:rPr>
          <w:rFonts w:ascii="GHEA Grapalat" w:hAnsi="GHEA Grapalat" w:cs="GHEA Grapalat"/>
          <w:color w:val="000000"/>
        </w:rPr>
        <w:t xml:space="preserve">ամիսներին բնապահպանական հարկի և բնօգտագործման վճարների գծով եկամուտները կազմել են </w:t>
      </w:r>
      <w:r w:rsidR="008B69F1" w:rsidRPr="0045418D">
        <w:rPr>
          <w:rFonts w:ascii="GHEA Grapalat" w:hAnsi="GHEA Grapalat" w:cs="GHEA Grapalat"/>
          <w:color w:val="000000"/>
        </w:rPr>
        <w:t xml:space="preserve">ավելի քան 48 </w:t>
      </w:r>
      <w:r w:rsidRPr="0045418D">
        <w:rPr>
          <w:rFonts w:ascii="GHEA Grapalat" w:hAnsi="GHEA Grapalat" w:cs="GHEA Grapalat"/>
          <w:color w:val="000000"/>
        </w:rPr>
        <w:t xml:space="preserve">մլրդ դրամ՝ ապահովելով պետական բյուջեի հարկային եկամուտների և պետական տուրքերի </w:t>
      </w:r>
      <w:r w:rsidR="008B69F1" w:rsidRPr="0045418D">
        <w:rPr>
          <w:rFonts w:ascii="GHEA Grapalat" w:hAnsi="GHEA Grapalat" w:cs="GHEA Grapalat"/>
          <w:color w:val="000000"/>
        </w:rPr>
        <w:t>4.2</w:t>
      </w:r>
      <w:r w:rsidRPr="0045418D">
        <w:rPr>
          <w:rFonts w:ascii="GHEA Grapalat" w:hAnsi="GHEA Grapalat" w:cs="GHEA Grapalat"/>
          <w:color w:val="000000"/>
        </w:rPr>
        <w:t>%</w:t>
      </w:r>
      <w:r w:rsidRPr="0045418D">
        <w:rPr>
          <w:rFonts w:ascii="GHEA Grapalat" w:hAnsi="GHEA Grapalat" w:cs="GHEA Grapalat"/>
          <w:color w:val="000000"/>
        </w:rPr>
        <w:noBreakHyphen/>
        <w:t>ը: Նախորդ տարվա նույն ժամանակահատվածի համեմատ նշված մուտքերն աճել են 1</w:t>
      </w:r>
      <w:r w:rsidR="008B69F1" w:rsidRPr="0045418D">
        <w:rPr>
          <w:rFonts w:ascii="GHEA Grapalat" w:hAnsi="GHEA Grapalat" w:cs="GHEA Grapalat"/>
          <w:color w:val="000000"/>
        </w:rPr>
        <w:t>7.3</w:t>
      </w:r>
      <w:r w:rsidRPr="0045418D">
        <w:rPr>
          <w:rFonts w:ascii="GHEA Grapalat" w:hAnsi="GHEA Grapalat" w:cs="GHEA Grapalat"/>
          <w:color w:val="000000"/>
        </w:rPr>
        <w:t xml:space="preserve">%-ով կամ </w:t>
      </w:r>
      <w:r w:rsidR="008B69F1" w:rsidRPr="0045418D">
        <w:rPr>
          <w:rFonts w:ascii="GHEA Grapalat" w:hAnsi="GHEA Grapalat" w:cs="GHEA Grapalat"/>
          <w:color w:val="000000"/>
        </w:rPr>
        <w:t>7</w:t>
      </w:r>
      <w:r w:rsidR="009012DC" w:rsidRPr="0045418D">
        <w:rPr>
          <w:rFonts w:ascii="GHEA Grapalat" w:hAnsi="GHEA Grapalat" w:cs="GHEA Grapalat"/>
          <w:color w:val="000000"/>
        </w:rPr>
        <w:t>.1</w:t>
      </w:r>
      <w:r w:rsidRPr="0045418D">
        <w:rPr>
          <w:rFonts w:ascii="GHEA Grapalat" w:hAnsi="GHEA Grapalat" w:cs="GHEA Grapalat"/>
          <w:color w:val="000000"/>
        </w:rPr>
        <w:t xml:space="preserve"> մլրդ դրամով՝ հիմնականում պայմանավորված արդյունահանված մետաղական օգտակար հանածոների և դրանց վերամշակման արդյունքում ստացված արտադրանքի իրացման համար վճարվող ռոյալթիի գծով մուտքերի աճով, որոնք կազմել են </w:t>
      </w:r>
      <w:r w:rsidR="00332B28">
        <w:rPr>
          <w:rFonts w:ascii="GHEA Grapalat" w:hAnsi="GHEA Grapalat" w:cs="GHEA Grapalat"/>
          <w:color w:val="000000"/>
        </w:rPr>
        <w:t>41.5</w:t>
      </w:r>
      <w:r w:rsidRPr="0045418D">
        <w:rPr>
          <w:rFonts w:ascii="GHEA Grapalat" w:hAnsi="GHEA Grapalat" w:cs="GHEA Grapalat"/>
          <w:color w:val="000000"/>
        </w:rPr>
        <w:t xml:space="preserve"> մլրդ դրամ՝ 2</w:t>
      </w:r>
      <w:r w:rsidR="008B69F1" w:rsidRPr="0045418D">
        <w:rPr>
          <w:rFonts w:ascii="GHEA Grapalat" w:hAnsi="GHEA Grapalat" w:cs="GHEA Grapalat"/>
          <w:color w:val="000000"/>
        </w:rPr>
        <w:t>1</w:t>
      </w:r>
      <w:r w:rsidRPr="0045418D">
        <w:rPr>
          <w:rFonts w:ascii="GHEA Grapalat" w:hAnsi="GHEA Grapalat" w:cs="GHEA Grapalat"/>
          <w:color w:val="000000"/>
        </w:rPr>
        <w:t>.</w:t>
      </w:r>
      <w:r w:rsidR="008B69F1" w:rsidRPr="0045418D">
        <w:rPr>
          <w:rFonts w:ascii="GHEA Grapalat" w:hAnsi="GHEA Grapalat" w:cs="GHEA Grapalat"/>
          <w:color w:val="000000"/>
        </w:rPr>
        <w:t xml:space="preserve">7%-ով (7.4 </w:t>
      </w:r>
      <w:r w:rsidRPr="0045418D">
        <w:rPr>
          <w:rFonts w:ascii="GHEA Grapalat" w:hAnsi="GHEA Grapalat" w:cs="GHEA Grapalat"/>
          <w:color w:val="000000"/>
        </w:rPr>
        <w:t xml:space="preserve">մլրդ դրամով) գերազանցելով նախորդ տարվա նույն ժամանակահատվածի փաստացի ցուցանիշը: Միևնույն ժամանակ, ՀՀ ներմուծվող շրջակա միջավայրին վնաս պատճառող ապրանքների համար մուտքերի գծով արձանագրվել է անկում՝ </w:t>
      </w:r>
      <w:r w:rsidR="009012DC" w:rsidRPr="0045418D">
        <w:rPr>
          <w:rFonts w:ascii="GHEA Grapalat" w:hAnsi="GHEA Grapalat" w:cs="GHEA Grapalat"/>
          <w:color w:val="000000"/>
        </w:rPr>
        <w:t>2</w:t>
      </w:r>
      <w:r w:rsidR="008B69F1" w:rsidRPr="0045418D">
        <w:rPr>
          <w:rFonts w:ascii="GHEA Grapalat" w:hAnsi="GHEA Grapalat" w:cs="GHEA Grapalat"/>
          <w:color w:val="000000"/>
        </w:rPr>
        <w:t>4</w:t>
      </w:r>
      <w:r w:rsidRPr="0045418D">
        <w:rPr>
          <w:rFonts w:ascii="GHEA Grapalat" w:hAnsi="GHEA Grapalat" w:cs="GHEA Grapalat"/>
          <w:color w:val="000000"/>
        </w:rPr>
        <w:t>%-ով (</w:t>
      </w:r>
      <w:r w:rsidR="008B69F1" w:rsidRPr="0045418D">
        <w:rPr>
          <w:rFonts w:ascii="GHEA Grapalat" w:hAnsi="GHEA Grapalat" w:cs="GHEA Grapalat"/>
          <w:color w:val="000000"/>
        </w:rPr>
        <w:t>6</w:t>
      </w:r>
      <w:r w:rsidR="009012DC" w:rsidRPr="0045418D">
        <w:rPr>
          <w:rFonts w:ascii="GHEA Grapalat" w:hAnsi="GHEA Grapalat" w:cs="GHEA Grapalat"/>
          <w:color w:val="000000"/>
        </w:rPr>
        <w:t>9</w:t>
      </w:r>
      <w:r w:rsidR="008B69F1" w:rsidRPr="0045418D">
        <w:rPr>
          <w:rFonts w:ascii="GHEA Grapalat" w:hAnsi="GHEA Grapalat" w:cs="GHEA Grapalat"/>
          <w:color w:val="000000"/>
        </w:rPr>
        <w:t>1.4</w:t>
      </w:r>
      <w:r w:rsidRPr="0045418D">
        <w:rPr>
          <w:rFonts w:ascii="GHEA Grapalat" w:hAnsi="GHEA Grapalat" w:cs="GHEA Grapalat"/>
          <w:color w:val="000000"/>
        </w:rPr>
        <w:t xml:space="preserve"> մլն դրամով):</w:t>
      </w:r>
    </w:p>
    <w:p w14:paraId="17E9F85B" w14:textId="7F1FD342" w:rsidR="00901957" w:rsidRPr="0045418D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45418D">
        <w:rPr>
          <w:rFonts w:ascii="GHEA Grapalat" w:hAnsi="GHEA Grapalat" w:cs="GHEA Grapalat"/>
          <w:color w:val="000000"/>
        </w:rPr>
        <w:t xml:space="preserve">Հաշվետու ժամանակահատվածում պետական բյուջեի հարկերի և տուրքերի </w:t>
      </w:r>
      <w:r w:rsidR="008B69F1" w:rsidRPr="0045418D">
        <w:rPr>
          <w:rFonts w:ascii="GHEA Grapalat" w:hAnsi="GHEA Grapalat" w:cs="GHEA Grapalat"/>
          <w:color w:val="000000"/>
        </w:rPr>
        <w:t>2.9</w:t>
      </w:r>
      <w:r w:rsidRPr="0045418D">
        <w:rPr>
          <w:rFonts w:ascii="GHEA Grapalat" w:hAnsi="GHEA Grapalat" w:cs="GHEA Grapalat"/>
          <w:color w:val="000000"/>
        </w:rPr>
        <w:t xml:space="preserve">%-ը ձևավորվել է այլ հարկերի հաշվին՝ կազմելով </w:t>
      </w:r>
      <w:r w:rsidR="008B69F1" w:rsidRPr="0045418D">
        <w:rPr>
          <w:rFonts w:ascii="GHEA Grapalat" w:hAnsi="GHEA Grapalat" w:cs="GHEA Grapalat"/>
          <w:color w:val="000000"/>
        </w:rPr>
        <w:t>33.1</w:t>
      </w:r>
      <w:r w:rsidRPr="0045418D">
        <w:rPr>
          <w:rFonts w:ascii="GHEA Grapalat" w:hAnsi="GHEA Grapalat" w:cs="GHEA Grapalat"/>
          <w:color w:val="000000"/>
        </w:rPr>
        <w:t xml:space="preserve"> մլրդ դրամ: Մասնավորապես` </w:t>
      </w:r>
      <w:r w:rsidR="008B69F1" w:rsidRPr="0045418D">
        <w:rPr>
          <w:rFonts w:ascii="GHEA Grapalat" w:hAnsi="GHEA Grapalat" w:cs="GHEA Grapalat"/>
          <w:color w:val="000000"/>
        </w:rPr>
        <w:t xml:space="preserve">21.5 </w:t>
      </w:r>
      <w:r w:rsidRPr="0045418D">
        <w:rPr>
          <w:rFonts w:ascii="GHEA Grapalat" w:hAnsi="GHEA Grapalat" w:cs="GHEA Grapalat"/>
          <w:color w:val="000000"/>
        </w:rPr>
        <w:t xml:space="preserve">մլրդ դրամ են կազմել «Հայաստանի Հանրապետության պաշտպանության ժամանակ զինծառայողների կյանքին կամ առողջությանը պատճառված վնասների հատուցման մասին» ՀՀ օրենքով սահմանված դրոշմանիշային վճարները, </w:t>
      </w:r>
      <w:r w:rsidR="008B69F1" w:rsidRPr="0045418D">
        <w:rPr>
          <w:rFonts w:ascii="GHEA Grapalat" w:hAnsi="GHEA Grapalat" w:cs="GHEA Grapalat"/>
          <w:color w:val="000000"/>
        </w:rPr>
        <w:t>5.5</w:t>
      </w:r>
      <w:r w:rsidRPr="0045418D">
        <w:rPr>
          <w:rFonts w:ascii="GHEA Grapalat" w:hAnsi="GHEA Grapalat" w:cs="GHEA Grapalat"/>
          <w:color w:val="000000"/>
        </w:rPr>
        <w:t xml:space="preserve"> մլրդ դրամ՝ ռադիոհաճախականության օգտագործման պարտադիր վճարները, 2</w:t>
      </w:r>
      <w:r w:rsidR="009D3385" w:rsidRPr="0045418D">
        <w:rPr>
          <w:rFonts w:ascii="GHEA Grapalat" w:hAnsi="GHEA Grapalat" w:cs="GHEA Grapalat"/>
          <w:color w:val="000000"/>
        </w:rPr>
        <w:t>.</w:t>
      </w:r>
      <w:r w:rsidR="008B69F1" w:rsidRPr="0045418D">
        <w:rPr>
          <w:rFonts w:ascii="GHEA Grapalat" w:hAnsi="GHEA Grapalat" w:cs="GHEA Grapalat"/>
          <w:color w:val="000000"/>
        </w:rPr>
        <w:t>8</w:t>
      </w:r>
      <w:r w:rsidRPr="0045418D">
        <w:rPr>
          <w:rFonts w:ascii="GHEA Grapalat" w:hAnsi="GHEA Grapalat" w:cs="GHEA Grapalat"/>
          <w:color w:val="000000"/>
        </w:rPr>
        <w:t xml:space="preserve"> մլրդ դրամ՝ ճանապարհային հարկը, 1.</w:t>
      </w:r>
      <w:r w:rsidR="008B69F1" w:rsidRPr="0045418D">
        <w:rPr>
          <w:rFonts w:ascii="GHEA Grapalat" w:hAnsi="GHEA Grapalat" w:cs="GHEA Grapalat"/>
          <w:color w:val="000000"/>
        </w:rPr>
        <w:t>8</w:t>
      </w:r>
      <w:r w:rsidRPr="0045418D">
        <w:rPr>
          <w:rFonts w:ascii="GHEA Grapalat" w:hAnsi="GHEA Grapalat" w:cs="GHEA Grapalat"/>
          <w:color w:val="000000"/>
        </w:rPr>
        <w:t xml:space="preserve"> մլրդ դրամ` հարկային օրենսդրության խախտման համար սահմանված տուգանքները, </w:t>
      </w:r>
      <w:r w:rsidR="008B69F1" w:rsidRPr="0045418D">
        <w:rPr>
          <w:rFonts w:ascii="GHEA Grapalat" w:hAnsi="GHEA Grapalat" w:cs="GHEA Grapalat"/>
          <w:color w:val="000000"/>
        </w:rPr>
        <w:t>826.4</w:t>
      </w:r>
      <w:r w:rsidRPr="0045418D">
        <w:rPr>
          <w:rFonts w:ascii="GHEA Grapalat" w:hAnsi="GHEA Grapalat" w:cs="GHEA Grapalat"/>
          <w:color w:val="000000"/>
        </w:rPr>
        <w:t xml:space="preserve"> մլն դրամ՝ ԵՏՄ անդամ չհանդիսացող պետություններից ՀՀ տարածք ներմուծվող ապրանքների համար ՀՀ մաքսային մարմինների կողմից գանձվող միասնական մաքսային վճարը, 63</w:t>
      </w:r>
      <w:r w:rsidR="009D3385" w:rsidRPr="0045418D">
        <w:rPr>
          <w:rFonts w:ascii="GHEA Grapalat" w:hAnsi="GHEA Grapalat" w:cs="GHEA Grapalat"/>
          <w:color w:val="000000"/>
        </w:rPr>
        <w:t>9.</w:t>
      </w:r>
      <w:r w:rsidRPr="0045418D">
        <w:rPr>
          <w:rFonts w:ascii="GHEA Grapalat" w:hAnsi="GHEA Grapalat" w:cs="GHEA Grapalat"/>
          <w:color w:val="000000"/>
        </w:rPr>
        <w:t>4</w:t>
      </w:r>
      <w:r w:rsidRPr="0045418D">
        <w:rPr>
          <w:rFonts w:ascii="Courier New" w:hAnsi="Courier New" w:cs="Courier New"/>
          <w:color w:val="000000"/>
        </w:rPr>
        <w:t> </w:t>
      </w:r>
      <w:r w:rsidRPr="0045418D">
        <w:rPr>
          <w:rFonts w:ascii="GHEA Grapalat" w:hAnsi="GHEA Grapalat" w:cs="GHEA Grapalat"/>
          <w:color w:val="000000"/>
        </w:rPr>
        <w:t>մլն դրամ՝ հանրային ծառայությունների կարգավորման պարտադիր վճարները: Նախորդ</w:t>
      </w:r>
      <w:r w:rsidRPr="0045418D">
        <w:rPr>
          <w:rFonts w:ascii="GHEA Grapalat" w:hAnsi="GHEA Grapalat" w:cs="GHEA Grapalat"/>
        </w:rPr>
        <w:t xml:space="preserve"> տարվա </w:t>
      </w:r>
      <w:r w:rsidRPr="0045418D">
        <w:rPr>
          <w:rFonts w:ascii="GHEA Grapalat" w:hAnsi="GHEA Grapalat" w:cs="GHEA Grapalat"/>
          <w:color w:val="000000"/>
        </w:rPr>
        <w:t>նույն ժամանակահատվածի</w:t>
      </w:r>
      <w:r w:rsidRPr="0045418D">
        <w:rPr>
          <w:rFonts w:ascii="GHEA Grapalat" w:hAnsi="GHEA Grapalat" w:cs="GHEA Grapalat"/>
        </w:rPr>
        <w:t xml:space="preserve"> համեմատ այլ հարկերի փաստացի ցուցանիշն աճել է 8</w:t>
      </w:r>
      <w:r w:rsidR="008B69F1" w:rsidRPr="0045418D">
        <w:rPr>
          <w:rFonts w:ascii="GHEA Grapalat" w:hAnsi="GHEA Grapalat" w:cs="GHEA Grapalat"/>
        </w:rPr>
        <w:t>7.6</w:t>
      </w:r>
      <w:r w:rsidRPr="0045418D">
        <w:rPr>
          <w:rFonts w:ascii="GHEA Grapalat" w:hAnsi="GHEA Grapalat" w:cs="GHEA Grapalat"/>
          <w:color w:val="000000"/>
        </w:rPr>
        <w:t xml:space="preserve">%-ով </w:t>
      </w:r>
      <w:r w:rsidRPr="0045418D">
        <w:rPr>
          <w:rFonts w:ascii="GHEA Grapalat" w:hAnsi="GHEA Grapalat" w:cs="GHEA Grapalat"/>
        </w:rPr>
        <w:t>կամ</w:t>
      </w:r>
      <w:r w:rsidR="00DC03D6" w:rsidRPr="0045418D">
        <w:rPr>
          <w:rFonts w:ascii="GHEA Grapalat" w:hAnsi="GHEA Grapalat" w:cs="GHEA Grapalat"/>
        </w:rPr>
        <w:t xml:space="preserve"> </w:t>
      </w:r>
      <w:r w:rsidRPr="0045418D">
        <w:rPr>
          <w:rFonts w:ascii="GHEA Grapalat" w:hAnsi="GHEA Grapalat" w:cs="GHEA Grapalat"/>
        </w:rPr>
        <w:t>1</w:t>
      </w:r>
      <w:r w:rsidR="008B69F1" w:rsidRPr="0045418D">
        <w:rPr>
          <w:rFonts w:ascii="GHEA Grapalat" w:hAnsi="GHEA Grapalat" w:cs="GHEA Grapalat"/>
        </w:rPr>
        <w:t>5.5</w:t>
      </w:r>
      <w:r w:rsidR="00130437" w:rsidRPr="0045418D">
        <w:rPr>
          <w:rFonts w:ascii="GHEA Grapalat" w:hAnsi="GHEA Grapalat" w:cs="GHEA Grapalat"/>
        </w:rPr>
        <w:t xml:space="preserve"> </w:t>
      </w:r>
      <w:r w:rsidRPr="0045418D">
        <w:rPr>
          <w:rFonts w:ascii="GHEA Grapalat" w:hAnsi="GHEA Grapalat" w:cs="GHEA Grapalat"/>
        </w:rPr>
        <w:t xml:space="preserve">մլրդ </w:t>
      </w:r>
      <w:r w:rsidRPr="0045418D">
        <w:rPr>
          <w:rFonts w:ascii="GHEA Grapalat" w:hAnsi="GHEA Grapalat" w:cs="GHEA Grapalat"/>
          <w:color w:val="000000"/>
        </w:rPr>
        <w:t>դրամով: Աճն արձանագրվել է հիմնականում դրոշմանիշային վճարների գծով՝ պայմանավորված 2021 թվականի հունվարի 1-ից «Հայաստանի Հանրապետության պաշտպանության ժամանակ զինծառայողների կյանքին կամ առողջությանը պատճառված վնասների հատուցման մասին» ՀՀ օրենքում կատարված փոփոխությունների համաձայն դրոշմանիշային վճարների դրույքաչափերի բարձրացմամբ:</w:t>
      </w:r>
    </w:p>
    <w:p w14:paraId="08199063" w14:textId="77777777" w:rsidR="00154F03" w:rsidRDefault="00154F03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48D098A9" w14:textId="32BEDF20" w:rsidR="00154F03" w:rsidRPr="00A225BE" w:rsidRDefault="00154F03" w:rsidP="00154F03">
      <w:pPr>
        <w:pStyle w:val="Caption"/>
        <w:keepNext/>
        <w:rPr>
          <w:rFonts w:ascii="GHEA Grapalat" w:hAnsi="GHEA Grapalat"/>
          <w:b/>
          <w:color w:val="auto"/>
          <w:lang w:val="hy-AM"/>
        </w:rPr>
      </w:pPr>
      <w:r w:rsidRPr="00A225BE">
        <w:rPr>
          <w:rFonts w:ascii="GHEA Grapalat" w:hAnsi="GHEA Grapalat"/>
          <w:b/>
          <w:color w:val="auto"/>
          <w:lang w:val="hy-AM"/>
        </w:rPr>
        <w:lastRenderedPageBreak/>
        <w:t xml:space="preserve">Աղյուսակ </w:t>
      </w:r>
      <w:r w:rsidR="00770426" w:rsidRPr="00A225BE">
        <w:rPr>
          <w:rFonts w:ascii="GHEA Grapalat" w:hAnsi="GHEA Grapalat"/>
          <w:b/>
          <w:color w:val="auto"/>
        </w:rPr>
        <w:t>5.</w:t>
      </w:r>
      <w:r w:rsidRPr="00A225BE">
        <w:rPr>
          <w:rFonts w:ascii="GHEA Grapalat" w:hAnsi="GHEA Grapalat"/>
          <w:b/>
          <w:color w:val="auto"/>
          <w:lang w:val="hy-AM"/>
        </w:rPr>
        <w:t xml:space="preserve">  ՀՀ պետական բյուջեի հարկ</w:t>
      </w:r>
      <w:r w:rsidR="00A225BE" w:rsidRPr="00A225BE">
        <w:rPr>
          <w:rFonts w:ascii="GHEA Grapalat" w:hAnsi="GHEA Grapalat"/>
          <w:b/>
          <w:color w:val="auto"/>
          <w:lang w:val="hy-AM"/>
        </w:rPr>
        <w:t>ային եկամուտների</w:t>
      </w:r>
      <w:r w:rsidRPr="00A225BE">
        <w:rPr>
          <w:rFonts w:ascii="GHEA Grapalat" w:hAnsi="GHEA Grapalat"/>
          <w:b/>
          <w:color w:val="auto"/>
          <w:lang w:val="hy-AM"/>
        </w:rPr>
        <w:t xml:space="preserve"> </w:t>
      </w:r>
      <w:r w:rsidR="00A225BE" w:rsidRPr="00A225BE">
        <w:rPr>
          <w:rFonts w:ascii="GHEA Grapalat" w:hAnsi="GHEA Grapalat"/>
          <w:b/>
          <w:color w:val="auto"/>
          <w:lang w:val="hy-AM"/>
        </w:rPr>
        <w:t>և</w:t>
      </w:r>
      <w:r w:rsidRPr="00A225BE">
        <w:rPr>
          <w:rFonts w:ascii="GHEA Grapalat" w:hAnsi="GHEA Grapalat"/>
          <w:b/>
          <w:color w:val="auto"/>
          <w:lang w:val="hy-AM"/>
        </w:rPr>
        <w:t xml:space="preserve"> </w:t>
      </w:r>
      <w:r w:rsidR="00A225BE" w:rsidRPr="00A225BE">
        <w:rPr>
          <w:rFonts w:ascii="GHEA Grapalat" w:hAnsi="GHEA Grapalat"/>
          <w:b/>
          <w:color w:val="auto"/>
          <w:lang w:val="hy-AM"/>
        </w:rPr>
        <w:t xml:space="preserve">պետական </w:t>
      </w:r>
      <w:r w:rsidRPr="00A225BE">
        <w:rPr>
          <w:rFonts w:ascii="GHEA Grapalat" w:hAnsi="GHEA Grapalat"/>
          <w:b/>
          <w:color w:val="auto"/>
          <w:lang w:val="hy-AM"/>
        </w:rPr>
        <w:t>տուրքերի փաստացի ցուցանիշները</w:t>
      </w:r>
      <w:r w:rsidR="00770426" w:rsidRPr="00A225BE">
        <w:rPr>
          <w:rFonts w:ascii="GHEA Grapalat" w:hAnsi="GHEA Grapalat"/>
          <w:b/>
          <w:color w:val="auto"/>
          <w:lang w:val="hy-AM"/>
        </w:rPr>
        <w:t xml:space="preserve"> (մլրդ դրամ)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4219"/>
        <w:gridCol w:w="1559"/>
        <w:gridCol w:w="1418"/>
        <w:gridCol w:w="1417"/>
        <w:gridCol w:w="1417"/>
      </w:tblGrid>
      <w:tr w:rsidR="00245A43" w:rsidRPr="00AB6C69" w14:paraId="7524E1E1" w14:textId="240EB81A" w:rsidTr="00245A43">
        <w:trPr>
          <w:trHeight w:val="14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AB6" w14:textId="77777777" w:rsidR="00245A43" w:rsidRPr="00A225BE" w:rsidRDefault="00245A43" w:rsidP="006469E0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225BE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E9F72" w14:textId="61FDE35C" w:rsidR="00245A43" w:rsidRPr="00AB6C69" w:rsidRDefault="00245A43" w:rsidP="00514A1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2020թ. ինն ամիսների</w:t>
            </w:r>
            <w:r w:rsidRPr="00AB6C69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9E66" w14:textId="28FE41E7" w:rsidR="00245A43" w:rsidRPr="00AB6C69" w:rsidRDefault="00245A43" w:rsidP="00514A1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2021թ. ինն ամիսների</w:t>
            </w:r>
            <w:r w:rsidRPr="00AB6C69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E0B86" w14:textId="77777777" w:rsidR="00E41428" w:rsidRDefault="00E41428" w:rsidP="00E414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2021թ.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ինն ամիսները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2020թ.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ինն ամիսների 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նկատմամբ</w:t>
            </w:r>
          </w:p>
          <w:p w14:paraId="44A47B8E" w14:textId="0B3CCEE0" w:rsidR="00245A43" w:rsidRPr="00AB6C69" w:rsidRDefault="00E41428" w:rsidP="00E414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97D5B" w14:textId="0870CA8B" w:rsidR="00245A43" w:rsidRPr="00AB6C69" w:rsidRDefault="00245A43" w:rsidP="00514A1E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2021թ. և 2020թ. տարբերու-թյունը</w:t>
            </w:r>
          </w:p>
        </w:tc>
      </w:tr>
      <w:tr w:rsidR="00245A43" w:rsidRPr="00AB6C69" w14:paraId="18FBEB10" w14:textId="5E0B09F0" w:rsidTr="000B1475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7924" w14:textId="614D4C16" w:rsidR="00245A43" w:rsidRPr="00A225BE" w:rsidRDefault="00C15B2E" w:rsidP="006469E0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225BE"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Հարկային եկամուտներ</w:t>
            </w:r>
            <w:r w:rsidR="00245A43" w:rsidRPr="00A225B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և </w:t>
            </w:r>
            <w:r w:rsidRPr="00A225BE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պետական </w:t>
            </w:r>
            <w:r w:rsidR="00245A43" w:rsidRPr="00A225BE">
              <w:rPr>
                <w:rFonts w:ascii="GHEA Grapalat" w:hAnsi="GHEA Grapalat" w:cs="Calibri"/>
                <w:b/>
                <w:bCs/>
                <w:sz w:val="20"/>
                <w:szCs w:val="20"/>
              </w:rPr>
              <w:t>տուրքեր,</w:t>
            </w:r>
            <w:r w:rsidR="00245A43" w:rsidRPr="00A225BE">
              <w:rPr>
                <w:rFonts w:ascii="GHEA Grapalat" w:hAnsi="GHEA Grapalat" w:cs="Calibri"/>
                <w:sz w:val="20"/>
                <w:szCs w:val="20"/>
              </w:rPr>
              <w:t xml:space="preserve"> այդ թվում`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0C0D" w14:textId="35626151" w:rsidR="00245A43" w:rsidRPr="00AB6C69" w:rsidRDefault="00245A43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1,016.8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954D8" w14:textId="1A3C2BF5" w:rsidR="00245A43" w:rsidRPr="00AB6C69" w:rsidRDefault="00245A43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1,137.3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C1B5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b/>
                <w:bCs/>
                <w:sz w:val="20"/>
                <w:szCs w:val="20"/>
              </w:rPr>
              <w:t>111.9%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91C05" w14:textId="6A16FE0D" w:rsidR="00245A43" w:rsidRPr="00AB6C69" w:rsidRDefault="00245A43" w:rsidP="000B1475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120.5</w:t>
            </w:r>
          </w:p>
        </w:tc>
      </w:tr>
      <w:tr w:rsidR="00245A43" w:rsidRPr="00AB6C69" w14:paraId="428EA715" w14:textId="6F04D1DE" w:rsidTr="000B1475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8208" w14:textId="77777777" w:rsidR="00245A43" w:rsidRPr="00AB6C69" w:rsidRDefault="00245A43" w:rsidP="006469E0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b/>
                <w:bCs/>
                <w:sz w:val="20"/>
                <w:szCs w:val="20"/>
              </w:rPr>
              <w:t>1. Հարկային եկամուտներ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A2FBF" w14:textId="39A565F5" w:rsidR="00245A43" w:rsidRPr="00AB6C69" w:rsidRDefault="00245A43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994.1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66C4" w14:textId="63F6A28B" w:rsidR="00245A43" w:rsidRPr="00AB6C69" w:rsidRDefault="00245A43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1,102.8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1F68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b/>
                <w:bCs/>
                <w:sz w:val="20"/>
                <w:szCs w:val="20"/>
              </w:rPr>
              <w:t>110.9%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41AA0" w14:textId="0F1D2479" w:rsidR="00245A43" w:rsidRPr="00AB6C69" w:rsidRDefault="00245A43" w:rsidP="000B1475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108.6</w:t>
            </w:r>
          </w:p>
        </w:tc>
      </w:tr>
      <w:tr w:rsidR="00245A43" w:rsidRPr="00AB6C69" w14:paraId="6E7B205F" w14:textId="7DAE3208" w:rsidTr="000B1475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A359" w14:textId="77777777" w:rsidR="00245A43" w:rsidRPr="00AB6C69" w:rsidRDefault="00245A43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ԱԱՀ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7B8C" w14:textId="3F283BD2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 xml:space="preserve">335.1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B18E" w14:textId="6699CD35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 xml:space="preserve">383.0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6CA0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114.3%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248CE" w14:textId="6C0CF113" w:rsidR="00245A43" w:rsidRPr="00AB6C69" w:rsidRDefault="00245A43" w:rsidP="000B147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47.9</w:t>
            </w:r>
          </w:p>
        </w:tc>
      </w:tr>
      <w:tr w:rsidR="00245A43" w:rsidRPr="00AB6C69" w14:paraId="15EE7321" w14:textId="1E6FCFE5" w:rsidTr="000B1475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CC3C" w14:textId="77777777" w:rsidR="00245A43" w:rsidRPr="00AB6C69" w:rsidRDefault="00245A43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Ակցիզային հարկ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C6AF" w14:textId="66161138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 xml:space="preserve">83.6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D37C" w14:textId="665BB0C8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 xml:space="preserve">76.0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0076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90.9%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873B7D" w14:textId="47894BCE" w:rsidR="00245A43" w:rsidRPr="00AB6C69" w:rsidRDefault="00245A43" w:rsidP="000B147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-7.6</w:t>
            </w:r>
          </w:p>
        </w:tc>
      </w:tr>
      <w:tr w:rsidR="00245A43" w:rsidRPr="00AB6C69" w14:paraId="32D69568" w14:textId="59020632" w:rsidTr="000B1475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7EAB" w14:textId="77777777" w:rsidR="00245A43" w:rsidRPr="00AB6C69" w:rsidRDefault="00245A43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Շահութահարկ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637A" w14:textId="410617DF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 xml:space="preserve">122.6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14D1" w14:textId="116F0D14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 xml:space="preserve">131.5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5310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107.3%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B4998F" w14:textId="7A405AF4" w:rsidR="00245A43" w:rsidRPr="00AB6C69" w:rsidRDefault="00245A43" w:rsidP="000B147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8.9</w:t>
            </w:r>
          </w:p>
        </w:tc>
      </w:tr>
      <w:tr w:rsidR="00245A43" w:rsidRPr="00AB6C69" w14:paraId="6A2E6261" w14:textId="5473E448" w:rsidTr="000B1475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95B7" w14:textId="73B17773" w:rsidR="00245A43" w:rsidRPr="00AB6C69" w:rsidRDefault="00245A43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Մաքսատուրք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6CA4" w14:textId="52282AB6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 xml:space="preserve">46.9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9D6E" w14:textId="6C557F25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 xml:space="preserve">62.5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543C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133.3%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9761E" w14:textId="11EE3D4D" w:rsidR="00245A43" w:rsidRPr="00AB6C69" w:rsidRDefault="00245A43" w:rsidP="000B147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15.6</w:t>
            </w:r>
          </w:p>
        </w:tc>
      </w:tr>
      <w:tr w:rsidR="00245A43" w:rsidRPr="00AB6C69" w14:paraId="55500490" w14:textId="6F05668A" w:rsidTr="000B1475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10240" w14:textId="77777777" w:rsidR="00245A43" w:rsidRPr="00AB6C69" w:rsidRDefault="00245A43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Եկամտային հարկ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1104" w14:textId="0267D802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310.5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9008" w14:textId="2CA32D1E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 xml:space="preserve">318.4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6AFB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102.5%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BAFE6" w14:textId="371C8460" w:rsidR="00245A43" w:rsidRPr="00AB6C69" w:rsidRDefault="000B1475" w:rsidP="000B147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7.9</w:t>
            </w:r>
          </w:p>
        </w:tc>
      </w:tr>
      <w:tr w:rsidR="00245A43" w:rsidRPr="00AB6C69" w14:paraId="57249131" w14:textId="35D7D675" w:rsidTr="000B1475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D8EF" w14:textId="77777777" w:rsidR="00245A43" w:rsidRPr="00AB6C69" w:rsidRDefault="00245A43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Շրջանառության հարկ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33C0" w14:textId="53359FF0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 xml:space="preserve">19.8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0804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 xml:space="preserve">           22.7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754B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114.6%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4B206B" w14:textId="5C0F233A" w:rsidR="00245A43" w:rsidRPr="00AB6C69" w:rsidRDefault="000B1475" w:rsidP="000B147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2.9</w:t>
            </w:r>
          </w:p>
        </w:tc>
      </w:tr>
      <w:tr w:rsidR="00245A43" w:rsidRPr="00AB6C69" w14:paraId="5A20DDFA" w14:textId="41278183" w:rsidTr="000B1475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E190" w14:textId="47CD5B65" w:rsidR="00245A43" w:rsidRPr="00AB6C69" w:rsidRDefault="00245A43" w:rsidP="000B1475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Սոցիալակա</w:t>
            </w:r>
            <w:r w:rsidRPr="00AB6C69">
              <w:rPr>
                <w:rFonts w:ascii="GHEA Grapalat" w:hAnsi="GHEA Grapalat" w:cs="Calibri"/>
                <w:sz w:val="20"/>
                <w:szCs w:val="20"/>
                <w:lang w:val="hy-AM"/>
              </w:rPr>
              <w:t>ն</w:t>
            </w:r>
            <w:r w:rsidRPr="00AB6C69">
              <w:rPr>
                <w:rFonts w:ascii="GHEA Grapalat" w:hAnsi="GHEA Grapalat" w:cs="Calibri"/>
                <w:sz w:val="20"/>
                <w:szCs w:val="20"/>
              </w:rPr>
              <w:t xml:space="preserve"> վճար (կուտակային կենսաթոշակի</w:t>
            </w:r>
            <w:r w:rsidR="000B1475">
              <w:rPr>
                <w:rFonts w:ascii="GHEA Grapalat" w:hAnsi="GHEA Grapalat" w:cs="Calibri"/>
                <w:sz w:val="20"/>
                <w:szCs w:val="20"/>
              </w:rPr>
              <w:t xml:space="preserve"> գծով</w:t>
            </w:r>
            <w:r w:rsidRPr="00AB6C69">
              <w:rPr>
                <w:rFonts w:ascii="GHEA Grapalat" w:hAnsi="GHEA Grapalat" w:cs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2636" w14:textId="4B45900E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 xml:space="preserve">17.4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9160" w14:textId="1C003BE8" w:rsidR="00245A43" w:rsidRPr="00AB6C69" w:rsidRDefault="00245A43" w:rsidP="000B147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 xml:space="preserve">31.7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ECB6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182.2%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053DC" w14:textId="4BC7456E" w:rsidR="00245A43" w:rsidRPr="00AB6C69" w:rsidRDefault="000B1475" w:rsidP="000B147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14.3</w:t>
            </w:r>
          </w:p>
        </w:tc>
      </w:tr>
      <w:tr w:rsidR="00245A43" w:rsidRPr="00AB6C69" w14:paraId="479E914B" w14:textId="58BDED85" w:rsidTr="000B1475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B42F" w14:textId="77777777" w:rsidR="00245A43" w:rsidRPr="00AB6C69" w:rsidRDefault="00245A43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Բնապահպանական հարկ և բնօգտագործման վճար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4C49" w14:textId="1794AE0F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4</w:t>
            </w:r>
            <w:r>
              <w:rPr>
                <w:rFonts w:ascii="GHEA Grapalat" w:hAnsi="GHEA Grapalat" w:cs="Calibri"/>
                <w:sz w:val="20"/>
                <w:szCs w:val="20"/>
              </w:rPr>
              <w:t>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64DC" w14:textId="0CAC06D4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 xml:space="preserve">48.0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2BAF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117.4%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DF5EA" w14:textId="2C380311" w:rsidR="00245A43" w:rsidRPr="00AB6C69" w:rsidRDefault="000B1475" w:rsidP="000B147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7.1</w:t>
            </w:r>
          </w:p>
        </w:tc>
      </w:tr>
      <w:tr w:rsidR="00245A43" w:rsidRPr="00AB6C69" w14:paraId="63C9747D" w14:textId="0EDFC962" w:rsidTr="000B1475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D758" w14:textId="4EBA6008" w:rsidR="00245A43" w:rsidRPr="00AB6C69" w:rsidRDefault="000B1475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</w:t>
            </w:r>
            <w:r w:rsidR="00245A43" w:rsidRPr="00AB6C69">
              <w:rPr>
                <w:rFonts w:ascii="GHEA Grapalat" w:hAnsi="GHEA Grapalat" w:cs="Calibri"/>
                <w:sz w:val="20"/>
                <w:szCs w:val="20"/>
              </w:rPr>
              <w:t>յլ հարկեր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106E" w14:textId="0B069B90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 xml:space="preserve">17.6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0E0D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 xml:space="preserve">           33.1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C423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188.1%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D70FF" w14:textId="7BDA60B0" w:rsidR="00245A43" w:rsidRPr="00AB6C69" w:rsidRDefault="000B1475" w:rsidP="000B147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15.5</w:t>
            </w:r>
          </w:p>
        </w:tc>
      </w:tr>
      <w:tr w:rsidR="00245A43" w:rsidRPr="00AB6C69" w14:paraId="665D6999" w14:textId="6224A98C" w:rsidTr="000B1475">
        <w:trPr>
          <w:trHeight w:val="69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D054" w14:textId="4BBC7898" w:rsidR="00245A43" w:rsidRPr="00AB6C69" w:rsidRDefault="00245A43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Հ</w:t>
            </w:r>
            <w:r w:rsidRPr="00AB6C69">
              <w:rPr>
                <w:rFonts w:ascii="GHEA Grapalat" w:hAnsi="GHEA Grapalat" w:cs="Calibri"/>
                <w:sz w:val="20"/>
                <w:szCs w:val="20"/>
              </w:rPr>
              <w:t>արկերի անցումային գերավճարից մարված հարկայ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ին </w:t>
            </w:r>
            <w:r w:rsidRPr="00AB6C69">
              <w:rPr>
                <w:rFonts w:ascii="GHEA Grapalat" w:hAnsi="GHEA Grapalat" w:cs="Calibri"/>
                <w:sz w:val="20"/>
                <w:szCs w:val="20"/>
              </w:rPr>
              <w:t>պարտավորություններ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F617" w14:textId="3AE733A2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(0.3)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A673" w14:textId="2EC1B4C2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(4.1)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584E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1366.7%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94191" w14:textId="03BC4504" w:rsidR="00245A43" w:rsidRPr="00AB6C69" w:rsidRDefault="000B1475" w:rsidP="000B147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-3.8</w:t>
            </w:r>
          </w:p>
        </w:tc>
      </w:tr>
      <w:tr w:rsidR="00245A43" w:rsidRPr="00AB6C69" w14:paraId="7216CB59" w14:textId="33A52C1F" w:rsidTr="000B1475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F471" w14:textId="77777777" w:rsidR="00245A43" w:rsidRPr="00AB6C69" w:rsidRDefault="00245A43" w:rsidP="006469E0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b/>
                <w:bCs/>
                <w:sz w:val="20"/>
                <w:szCs w:val="20"/>
              </w:rPr>
              <w:t>2. Պետական տուրք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64F11" w14:textId="58403B09" w:rsidR="00245A43" w:rsidRPr="00AB6C69" w:rsidRDefault="00245A43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22.6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42BFA" w14:textId="3325A9D4" w:rsidR="00245A43" w:rsidRPr="00AB6C69" w:rsidRDefault="00245A43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34.5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BF67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b/>
                <w:bCs/>
                <w:sz w:val="20"/>
                <w:szCs w:val="20"/>
              </w:rPr>
              <w:t>152.7%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9A6FEF" w14:textId="5F02F97B" w:rsidR="00245A43" w:rsidRPr="00AB6C69" w:rsidRDefault="000B1475" w:rsidP="000B1475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11.9</w:t>
            </w:r>
          </w:p>
        </w:tc>
      </w:tr>
      <w:tr w:rsidR="00245A43" w:rsidRPr="00AB6C69" w14:paraId="490F165F" w14:textId="59C51963" w:rsidTr="000B1475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1BFA" w14:textId="45D58F88" w:rsidR="00245A43" w:rsidRPr="00AB6C69" w:rsidRDefault="00245A43" w:rsidP="006469E0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Կշիռն ընդամենը հարկերի և տուրքերի մեջ</w:t>
            </w:r>
            <w:r w:rsidRPr="00AB6C69">
              <w:rPr>
                <w:rFonts w:ascii="GHEA Grapalat" w:hAnsi="GHEA Grapalat" w:cs="Calibri"/>
                <w:bCs/>
                <w:sz w:val="20"/>
                <w:szCs w:val="20"/>
              </w:rPr>
              <w:t>, այդ թվում՝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2F65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B6C69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0CFC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EA79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BC493" w14:textId="77777777" w:rsidR="00245A43" w:rsidRPr="00AB6C69" w:rsidRDefault="00245A43" w:rsidP="000B1475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45A43" w:rsidRPr="00AB6C69" w14:paraId="124C7441" w14:textId="366144E6" w:rsidTr="000B1475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225C" w14:textId="77777777" w:rsidR="00245A43" w:rsidRPr="00AB6C69" w:rsidRDefault="00245A43" w:rsidP="006469E0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b/>
                <w:bCs/>
                <w:sz w:val="20"/>
                <w:szCs w:val="20"/>
              </w:rPr>
              <w:t>1. Հարկային եկամուտներ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1A2E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b/>
                <w:bCs/>
                <w:sz w:val="20"/>
                <w:szCs w:val="20"/>
              </w:rPr>
              <w:t>97.8%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5317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b/>
                <w:bCs/>
                <w:sz w:val="20"/>
                <w:szCs w:val="20"/>
              </w:rPr>
              <w:t>97.0%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8747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9CEB05" w14:textId="77777777" w:rsidR="00245A43" w:rsidRPr="00AB6C69" w:rsidRDefault="00245A43" w:rsidP="000B1475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45A43" w:rsidRPr="00AB6C69" w14:paraId="1602546F" w14:textId="3AF0F2E3" w:rsidTr="000B1475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A3B4" w14:textId="77777777" w:rsidR="00245A43" w:rsidRPr="00AB6C69" w:rsidRDefault="00245A43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ԱԱՀ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EBD0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color w:val="000000"/>
                <w:sz w:val="20"/>
                <w:szCs w:val="20"/>
              </w:rPr>
              <w:t>33.0%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3F9D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color w:val="000000"/>
                <w:sz w:val="20"/>
                <w:szCs w:val="20"/>
              </w:rPr>
              <w:t>33.7%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3496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2C0A9" w14:textId="77777777" w:rsidR="00245A43" w:rsidRPr="00AB6C69" w:rsidRDefault="00245A43" w:rsidP="000B1475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45A43" w:rsidRPr="00AB6C69" w14:paraId="4B5D697B" w14:textId="26C5F733" w:rsidTr="000B1475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D60D" w14:textId="77777777" w:rsidR="00245A43" w:rsidRPr="00AB6C69" w:rsidRDefault="00245A43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Ակցիզային հարկ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A59C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color w:val="000000"/>
                <w:sz w:val="20"/>
                <w:szCs w:val="20"/>
              </w:rPr>
              <w:t>8.2%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394C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FA8A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93745" w14:textId="77777777" w:rsidR="00245A43" w:rsidRPr="00AB6C69" w:rsidRDefault="00245A43" w:rsidP="000B1475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45A43" w:rsidRPr="00AB6C69" w14:paraId="1BC93629" w14:textId="5DBA2071" w:rsidTr="000B1475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7C5B" w14:textId="77777777" w:rsidR="00245A43" w:rsidRPr="00AB6C69" w:rsidRDefault="00245A43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Շահութահարկ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A5BF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color w:val="000000"/>
                <w:sz w:val="20"/>
                <w:szCs w:val="20"/>
              </w:rPr>
              <w:t>12.1%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5F70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color w:val="000000"/>
                <w:sz w:val="20"/>
                <w:szCs w:val="20"/>
              </w:rPr>
              <w:t>11.6%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175E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B68BD" w14:textId="77777777" w:rsidR="00245A43" w:rsidRPr="00AB6C69" w:rsidRDefault="00245A43" w:rsidP="000B1475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45A43" w:rsidRPr="00AB6C69" w14:paraId="7FB1853C" w14:textId="416E04C2" w:rsidTr="000B1475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818A" w14:textId="77777777" w:rsidR="00245A43" w:rsidRPr="00AB6C69" w:rsidRDefault="00245A43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Մաքսատուրք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38E9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color w:val="000000"/>
                <w:sz w:val="20"/>
                <w:szCs w:val="20"/>
              </w:rPr>
              <w:t>4.6%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422C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color w:val="000000"/>
                <w:sz w:val="20"/>
                <w:szCs w:val="20"/>
              </w:rPr>
              <w:t>5.5%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71AB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9681C" w14:textId="77777777" w:rsidR="00245A43" w:rsidRPr="00AB6C69" w:rsidRDefault="00245A43" w:rsidP="000B1475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45A43" w:rsidRPr="00AB6C69" w14:paraId="2722DC2E" w14:textId="47DBC7A6" w:rsidTr="000B1475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14003" w14:textId="77777777" w:rsidR="00245A43" w:rsidRPr="00AB6C69" w:rsidRDefault="00245A43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Եկամտային հարկ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9E9D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color w:val="000000"/>
                <w:sz w:val="20"/>
                <w:szCs w:val="20"/>
              </w:rPr>
              <w:t>30.5%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B99C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color w:val="000000"/>
                <w:sz w:val="20"/>
                <w:szCs w:val="20"/>
              </w:rPr>
              <w:t>28.0%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87F1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86FE19" w14:textId="77777777" w:rsidR="00245A43" w:rsidRPr="00AB6C69" w:rsidRDefault="00245A43" w:rsidP="000B1475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45A43" w:rsidRPr="00AB6C69" w14:paraId="050E9B10" w14:textId="36CEFA45" w:rsidTr="000B1475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89F4" w14:textId="77777777" w:rsidR="00245A43" w:rsidRPr="00AB6C69" w:rsidRDefault="00245A43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Շրջանառության հարկ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4D26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A039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5018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640634" w14:textId="77777777" w:rsidR="00245A43" w:rsidRPr="00AB6C69" w:rsidRDefault="00245A43" w:rsidP="000B1475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45A43" w:rsidRPr="00AB6C69" w14:paraId="3A7D4DCC" w14:textId="414ECA43" w:rsidTr="000B1475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6F56" w14:textId="266D9727" w:rsidR="00245A43" w:rsidRPr="00AB6C69" w:rsidRDefault="00245A43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Սոցիալակա</w:t>
            </w:r>
            <w:r w:rsidRPr="00AB6C69">
              <w:rPr>
                <w:rFonts w:ascii="GHEA Grapalat" w:hAnsi="GHEA Grapalat" w:cs="Calibri"/>
                <w:sz w:val="20"/>
                <w:szCs w:val="20"/>
                <w:lang w:val="hy-AM"/>
              </w:rPr>
              <w:t>ն</w:t>
            </w:r>
            <w:r w:rsidRPr="00AB6C69">
              <w:rPr>
                <w:rFonts w:ascii="GHEA Grapalat" w:hAnsi="GHEA Grapalat" w:cs="Calibri"/>
                <w:sz w:val="20"/>
                <w:szCs w:val="20"/>
              </w:rPr>
              <w:t xml:space="preserve"> վճար (կուտակային կենսաթոշակից)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E467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F2B3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881C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25039" w14:textId="77777777" w:rsidR="00245A43" w:rsidRPr="00AB6C69" w:rsidRDefault="00245A43" w:rsidP="000B1475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45A43" w:rsidRPr="00AB6C69" w14:paraId="7449AF63" w14:textId="01BC530F" w:rsidTr="000B1475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6AB7" w14:textId="77777777" w:rsidR="00245A43" w:rsidRPr="00AB6C69" w:rsidRDefault="00245A43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Բնապահպանական հարկ և բնօգտագործման վճար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E5FE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1053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color w:val="000000"/>
                <w:sz w:val="20"/>
                <w:szCs w:val="20"/>
              </w:rPr>
              <w:t>4.2%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0BD4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CB0A57" w14:textId="77777777" w:rsidR="00245A43" w:rsidRPr="00AB6C69" w:rsidRDefault="00245A43" w:rsidP="000B1475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45A43" w:rsidRPr="00AB6C69" w14:paraId="32B03C81" w14:textId="785885AB" w:rsidTr="000B1475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4E0B" w14:textId="77777777" w:rsidR="00245A43" w:rsidRPr="00AB6C69" w:rsidRDefault="00245A43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այլ հարկեր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D72F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0215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E1ED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0CEEB3" w14:textId="77777777" w:rsidR="00245A43" w:rsidRPr="00AB6C69" w:rsidRDefault="00245A43" w:rsidP="000B1475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45A43" w:rsidRPr="00AB6C69" w14:paraId="10423B48" w14:textId="462E335A" w:rsidTr="000B1475">
        <w:trPr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00EC" w14:textId="5800A9FD" w:rsidR="00245A43" w:rsidRPr="00AB6C69" w:rsidRDefault="00C77977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225BE">
              <w:rPr>
                <w:rFonts w:ascii="GHEA Grapalat" w:hAnsi="GHEA Grapalat" w:cs="Calibri"/>
                <w:sz w:val="20"/>
                <w:szCs w:val="20"/>
              </w:rPr>
              <w:t>Հարկերի անցումային գերավճարից մարված հարկային պարտավորություններ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3253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9D21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color w:val="000000"/>
                <w:sz w:val="20"/>
                <w:szCs w:val="20"/>
              </w:rPr>
              <w:t>-0.4%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C1F2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4D3F1" w14:textId="77777777" w:rsidR="00245A43" w:rsidRPr="00AB6C69" w:rsidRDefault="00245A43" w:rsidP="000B1475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45A43" w:rsidRPr="00AB6C69" w14:paraId="78CBEA2C" w14:textId="1DF3B2FF" w:rsidTr="000B1475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EEE1" w14:textId="77777777" w:rsidR="00245A43" w:rsidRPr="00AB6C69" w:rsidRDefault="00245A43" w:rsidP="006469E0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b/>
                <w:bCs/>
                <w:sz w:val="20"/>
                <w:szCs w:val="20"/>
              </w:rPr>
              <w:t>2. Պետական տուրք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10A5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b/>
                <w:bCs/>
                <w:sz w:val="20"/>
                <w:szCs w:val="20"/>
              </w:rPr>
              <w:t>2.2%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5AC9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b/>
                <w:bCs/>
                <w:sz w:val="20"/>
                <w:szCs w:val="20"/>
              </w:rPr>
              <w:t>3.0%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FD0DA" w14:textId="466C844A" w:rsidR="00245A43" w:rsidRPr="00AB6C69" w:rsidRDefault="00245A43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6B070" w14:textId="77777777" w:rsidR="00245A43" w:rsidRPr="00AB6C69" w:rsidRDefault="00245A43" w:rsidP="000B1475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</w:p>
        </w:tc>
      </w:tr>
    </w:tbl>
    <w:p w14:paraId="5B9DFF67" w14:textId="77777777" w:rsidR="00154F03" w:rsidRPr="00AB6C69" w:rsidRDefault="00154F03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sz w:val="20"/>
          <w:szCs w:val="20"/>
        </w:rPr>
      </w:pPr>
    </w:p>
    <w:p w14:paraId="37A77946" w14:textId="77777777" w:rsidR="00F615BE" w:rsidRPr="00A63250" w:rsidRDefault="00F615BE" w:rsidP="00F615B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05090B">
        <w:rPr>
          <w:rFonts w:ascii="GHEA Grapalat" w:hAnsi="GHEA Grapalat" w:cs="GHEA Grapalat"/>
          <w:color w:val="000000"/>
        </w:rPr>
        <w:t>2021 թվականի ինն ամիսներին պետական բյուջե են մուտքագրվել շուրջ 34.5 մլրդ</w:t>
      </w:r>
      <w:r w:rsidRPr="00A63250">
        <w:rPr>
          <w:rFonts w:ascii="GHEA Grapalat" w:hAnsi="GHEA Grapalat" w:cs="GHEA Grapalat"/>
          <w:color w:val="000000"/>
        </w:rPr>
        <w:t xml:space="preserve"> դրամ </w:t>
      </w:r>
      <w:r w:rsidRPr="007A7AEF">
        <w:rPr>
          <w:rFonts w:ascii="GHEA Grapalat" w:hAnsi="GHEA Grapalat" w:cs="GHEA Grapalat"/>
          <w:i/>
          <w:color w:val="000000"/>
        </w:rPr>
        <w:t>պետական տուրքեր</w:t>
      </w:r>
      <w:r w:rsidRPr="00A63250">
        <w:rPr>
          <w:rFonts w:ascii="GHEA Grapalat" w:hAnsi="GHEA Grapalat" w:cs="GHEA Grapalat"/>
          <w:color w:val="000000"/>
        </w:rPr>
        <w:t>` կազմելով իննամսյա ծրագրի 95.2%</w:t>
      </w:r>
      <w:r w:rsidRPr="00A63250">
        <w:rPr>
          <w:rFonts w:ascii="GHEA Grapalat" w:hAnsi="GHEA Grapalat" w:cs="GHEA Grapalat"/>
          <w:color w:val="000000"/>
        </w:rPr>
        <w:noBreakHyphen/>
        <w:t>ը: Շեղումը հիմնականում պայմանավորված է օրենքով սահմանված այլ ծառայությունների</w:t>
      </w:r>
      <w:r w:rsidRPr="00A63250">
        <w:rPr>
          <w:rFonts w:ascii="GHEA Grapalat" w:hAnsi="GHEA Grapalat" w:cs="GHEA Grapalat"/>
          <w:color w:val="000000"/>
          <w:lang w:val="hy-AM"/>
        </w:rPr>
        <w:t xml:space="preserve"> և գործողությունների ու </w:t>
      </w:r>
      <w:r w:rsidRPr="00A63250">
        <w:rPr>
          <w:rFonts w:ascii="GHEA Grapalat" w:hAnsi="GHEA Grapalat" w:cs="GHEA Grapalat"/>
          <w:color w:val="000000"/>
          <w:lang w:val="hy-AM"/>
        </w:rPr>
        <w:lastRenderedPageBreak/>
        <w:t>պետական գրանցման համար սահմանված պետական տուրքերի կատարողականով: Նշված մուտքերը կազմել են համապատասխանաբար 11.1 մլրդ դրամ և 3.7 մլրդ դրամ կամ իննամսյա ծրագրային ցուցանիշների համապատասխանաբար 79.7%-ը և 82.6%</w:t>
      </w:r>
      <w:r w:rsidRPr="00A63250">
        <w:rPr>
          <w:rFonts w:ascii="GHEA Grapalat" w:hAnsi="GHEA Grapalat" w:cs="GHEA Grapalat"/>
          <w:color w:val="000000"/>
          <w:lang w:val="hy-AM"/>
        </w:rPr>
        <w:noBreakHyphen/>
        <w:t>ը:</w:t>
      </w:r>
    </w:p>
    <w:p w14:paraId="2EE43D96" w14:textId="7923816D" w:rsidR="00F615BE" w:rsidRPr="00A63250" w:rsidRDefault="00F615BE" w:rsidP="00F615B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A63250">
        <w:rPr>
          <w:rFonts w:ascii="GHEA Grapalat" w:hAnsi="GHEA Grapalat" w:cs="GHEA Grapalat"/>
          <w:color w:val="000000"/>
          <w:lang w:val="hy-AM"/>
        </w:rPr>
        <w:t>Օրենքով սահմանված այլ ծառայությունների և գործողությունների համար գանձվող տուրքերի իննամսյա ծրագրային ցուցանիշի համեմատ շեղումը հիմնականում պայմանավորված է ՀՀ-ից օդային տրանսպորտի միջոցներով ֆիզիկական անձանց (օդային ուղևորների) ելքի և oրենքով սահմանված դեպքերում ծանուցման ենթակա գործունեությամբ զբաղվելու իրավունք ձեռք բերելու համար բյուջե մուտքագրված տուրքերով, որոնք կազմել են համապատասխանաբար 7 մլրդ դրամ և 2.1 մլրդ դրամ՝ 24.9%</w:t>
      </w:r>
      <w:r w:rsidR="0005090B" w:rsidRPr="00943223">
        <w:rPr>
          <w:rFonts w:ascii="GHEA Grapalat" w:hAnsi="GHEA Grapalat" w:cs="GHEA Grapalat"/>
          <w:color w:val="000000"/>
          <w:lang w:val="hy-AM"/>
        </w:rPr>
        <w:noBreakHyphen/>
      </w:r>
      <w:r w:rsidRPr="00A63250">
        <w:rPr>
          <w:rFonts w:ascii="GHEA Grapalat" w:hAnsi="GHEA Grapalat" w:cs="GHEA Grapalat"/>
          <w:color w:val="000000"/>
          <w:lang w:val="hy-AM"/>
        </w:rPr>
        <w:t>ով (2.3 մլրդ դրամով) և 29.6%-ով (890.2 մլն դրամով) զիջելով իննամսյա կանխատեսված ցուցանիշ</w:t>
      </w:r>
      <w:r w:rsidR="0005090B" w:rsidRPr="00943223">
        <w:rPr>
          <w:rFonts w:ascii="GHEA Grapalat" w:hAnsi="GHEA Grapalat" w:cs="GHEA Grapalat"/>
          <w:color w:val="000000"/>
          <w:lang w:val="hy-AM"/>
        </w:rPr>
        <w:t>ներ</w:t>
      </w:r>
      <w:r w:rsidRPr="00A63250">
        <w:rPr>
          <w:rFonts w:ascii="GHEA Grapalat" w:hAnsi="GHEA Grapalat" w:cs="GHEA Grapalat"/>
          <w:color w:val="000000"/>
          <w:lang w:val="hy-AM"/>
        </w:rPr>
        <w:t xml:space="preserve">ը: </w:t>
      </w:r>
    </w:p>
    <w:p w14:paraId="051B5E17" w14:textId="1BE78326" w:rsidR="00F615BE" w:rsidRPr="00943223" w:rsidRDefault="00F615BE" w:rsidP="00F615B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A63250">
        <w:rPr>
          <w:rFonts w:ascii="GHEA Grapalat" w:hAnsi="GHEA Grapalat" w:cs="GHEA Grapalat"/>
          <w:color w:val="000000"/>
          <w:lang w:val="hy-AM"/>
        </w:rPr>
        <w:t>Պետական գրանցման համար գանձվող տուրքերի կատարողականը հիմնականում պայմանավորված է ա</w:t>
      </w:r>
      <w:r w:rsidRPr="00943223">
        <w:rPr>
          <w:rFonts w:ascii="GHEA Grapalat" w:hAnsi="GHEA Grapalat" w:cs="GHEA Grapalat"/>
          <w:color w:val="000000"/>
          <w:lang w:val="hy-AM"/>
        </w:rPr>
        <w:t>վտոմոբիլի հաշվառման համարանիշ (բացառությամբ տարանցիկ և ժամանակավոր համարանիշի) տալու, գյուղատնտեսական ինքնագնաց մեքենայի գրանցման, պետական համարանիշ տալու, ինչպես նաև կորցրած պետական համարանիշը վերականգնելու, լիցենզառուներին տրանսպորտային միջոցների պարտադիր տեխնիկական զննության համապատասխան նմուշի փաստաթուղթ տրամադրելու և ավտոմոբիլի, մոտոտրանսպորտային միջոցի, տրիցիկլի, քվադրիցիկլի, կցորդի (կիսակցորդի) հաշվառման վկայագիր տալու համար բյուջե մուտքագրված տուրքերի կատարողականով, որոնք կազմել են համապատասխանաբար 1.4 մլրդ դրամ, 466.9 մլն դրամ և 719.8 մլն դրամ՝ 21.5%-ով (386.9 մլն դրամով), 43.4%-ով (358.1 մլն դրամով) և 20%</w:t>
      </w:r>
      <w:r w:rsidRPr="00943223">
        <w:rPr>
          <w:rFonts w:ascii="GHEA Grapalat" w:hAnsi="GHEA Grapalat" w:cs="GHEA Grapalat"/>
          <w:color w:val="000000"/>
          <w:lang w:val="hy-AM"/>
        </w:rPr>
        <w:noBreakHyphen/>
        <w:t>ով (180.2 մլն դրամով) զիջելով կանխատեսված ցուցանիշ</w:t>
      </w:r>
      <w:r w:rsidR="00614039" w:rsidRPr="00943223">
        <w:rPr>
          <w:rFonts w:ascii="GHEA Grapalat" w:hAnsi="GHEA Grapalat" w:cs="GHEA Grapalat"/>
          <w:color w:val="000000"/>
          <w:lang w:val="hy-AM"/>
        </w:rPr>
        <w:t>ներ</w:t>
      </w:r>
      <w:r w:rsidRPr="00943223">
        <w:rPr>
          <w:rFonts w:ascii="GHEA Grapalat" w:hAnsi="GHEA Grapalat" w:cs="GHEA Grapalat"/>
          <w:color w:val="000000"/>
          <w:lang w:val="hy-AM"/>
        </w:rPr>
        <w:t xml:space="preserve">ը: </w:t>
      </w:r>
    </w:p>
    <w:p w14:paraId="05F54D7C" w14:textId="77777777" w:rsidR="00F615BE" w:rsidRPr="00943223" w:rsidRDefault="00F615BE" w:rsidP="00F615B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943223">
        <w:rPr>
          <w:rFonts w:ascii="GHEA Grapalat" w:hAnsi="GHEA Grapalat" w:cs="GHEA Grapalat"/>
          <w:color w:val="000000"/>
          <w:lang w:val="hy-AM"/>
        </w:rPr>
        <w:t xml:space="preserve">Իննամսյա ծրագրային ցուցանիշի զգալի գերազանցում է արձանագրվել հյուպատոսական ծառայությունների կամ գործողությունների համար գանձվող տուրքերի գծով, որոնք կազմել են 2.4 մլրդ դրամ՝ 76.6%-ով (1.1 մլրդ դրամով) գերազանցելով իննամսյա կանխատեսված ցուցանիշը: </w:t>
      </w:r>
    </w:p>
    <w:p w14:paraId="2EAA3935" w14:textId="40FB7CE4" w:rsidR="00F615BE" w:rsidRPr="002A4689" w:rsidRDefault="00F615BE" w:rsidP="00F615B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2A4689">
        <w:rPr>
          <w:rFonts w:ascii="GHEA Grapalat" w:hAnsi="GHEA Grapalat" w:cs="GHEA Grapalat"/>
          <w:color w:val="000000"/>
          <w:lang w:val="hy-AM"/>
        </w:rPr>
        <w:t>Լիցենզավորման ենթակա գործունեություն իրականացնելու նպատակով լիցենզիաներ, արտոնագրեր (թույլտվություններ) տալու համար գանձվող տուրքերն իննամսյա կանխատեսված ցուցանիշը գերազանցել են 7.2%-ով (903.6 մլն դրամով)՝ կազմելով 13.5</w:t>
      </w:r>
      <w:r w:rsidR="00614039" w:rsidRPr="002A4689">
        <w:rPr>
          <w:rFonts w:ascii="Courier New" w:hAnsi="Courier New" w:cs="Courier New"/>
          <w:color w:val="000000"/>
          <w:lang w:val="hy-AM"/>
        </w:rPr>
        <w:t> </w:t>
      </w:r>
      <w:r w:rsidRPr="002A4689">
        <w:rPr>
          <w:rFonts w:ascii="GHEA Grapalat" w:hAnsi="GHEA Grapalat" w:cs="GHEA Grapalat"/>
          <w:color w:val="000000"/>
          <w:lang w:val="hy-AM"/>
        </w:rPr>
        <w:t xml:space="preserve">մլրդ դրամ: Նշված կատարողականը հիմնականում պայմանավորված է այլ </w:t>
      </w:r>
      <w:r w:rsidRPr="002A4689">
        <w:rPr>
          <w:rFonts w:ascii="GHEA Grapalat" w:hAnsi="GHEA Grapalat" w:cs="GHEA Grapalat"/>
          <w:color w:val="000000"/>
          <w:lang w:val="hy-AM"/>
        </w:rPr>
        <w:lastRenderedPageBreak/>
        <w:t>լիցենզիաների համար գանձված տուրքերով, որոնք կազմել են շուրջ 6</w:t>
      </w:r>
      <w:r w:rsidRPr="002A4689">
        <w:rPr>
          <w:rFonts w:ascii="Courier New" w:hAnsi="Courier New" w:cs="Courier New"/>
          <w:color w:val="000000"/>
          <w:lang w:val="hy-AM"/>
        </w:rPr>
        <w:t> </w:t>
      </w:r>
      <w:r w:rsidRPr="002A4689">
        <w:rPr>
          <w:rFonts w:ascii="GHEA Grapalat" w:hAnsi="GHEA Grapalat" w:cs="GHEA Grapalat"/>
          <w:color w:val="000000"/>
          <w:lang w:val="hy-AM"/>
        </w:rPr>
        <w:t xml:space="preserve">մլրդ դրամ կամ իննամսյա ծրագրային ցուցանիշի 145.8%-ը: </w:t>
      </w:r>
    </w:p>
    <w:p w14:paraId="536171B5" w14:textId="77777777" w:rsidR="00F615BE" w:rsidRPr="002A4689" w:rsidRDefault="00F615BE" w:rsidP="00F615B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2A4689">
        <w:rPr>
          <w:rFonts w:ascii="GHEA Grapalat" w:hAnsi="GHEA Grapalat" w:cs="GHEA Grapalat"/>
          <w:color w:val="000000"/>
          <w:lang w:val="hy-AM"/>
        </w:rPr>
        <w:t>Դատարան տրվող հայցադիմումների, դիմումների, դատարանի դատական ակտերի դեմ վերաքննիչ և վճռաբեկ բողոքների համար, ինչպես նաև դատարանի կողմից տրվող փաստաթղթերի պատճեններ (կրկնօրինակներ) տալու համար գանձվող տուրքերն իննամսյա ծրագրային ցուցանիշը գերազանցել են 12.9%-ով (199.8 մլն դրամով)՝ կազմելով շուրջ 1.8 մլրդ դրամ:</w:t>
      </w:r>
    </w:p>
    <w:p w14:paraId="5C540338" w14:textId="31126DA5" w:rsidR="00F615BE" w:rsidRDefault="00F615BE" w:rsidP="00F615B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2A4689">
        <w:rPr>
          <w:rFonts w:ascii="GHEA Grapalat" w:hAnsi="GHEA Grapalat" w:cs="GHEA Grapalat"/>
          <w:color w:val="000000"/>
          <w:lang w:val="hy-AM"/>
        </w:rPr>
        <w:t>Նախորդ տարվա ինն ամիսների համեմատ պետական տուրքի գծով մուտքերն աճել են 52.7%</w:t>
      </w:r>
      <w:r w:rsidRPr="002A4689">
        <w:rPr>
          <w:rFonts w:ascii="GHEA Grapalat" w:hAnsi="GHEA Grapalat" w:cs="GHEA Grapalat"/>
          <w:color w:val="000000"/>
          <w:lang w:val="hy-AM"/>
        </w:rPr>
        <w:noBreakHyphen/>
        <w:t xml:space="preserve">ով կամ 11.9 մլրդ դրամով: Աճը հիմնականում պայմանավորված է լիցենզավորման ենթակա գործունեություն իրականացնելու նպատակով լիցենզիաներ, արտոնագրեր (թույլտվություններ) տալու, օրենքով սահմանված այլ ծառայությունների և գործողությունների ու հյուպատոսական ծառայությունների կամ գործողությունների համար գանձվող տուրքերի </w:t>
      </w:r>
      <w:r w:rsidR="00614039" w:rsidRPr="002A4689">
        <w:rPr>
          <w:rFonts w:ascii="GHEA Grapalat" w:hAnsi="GHEA Grapalat" w:cs="GHEA Grapalat"/>
          <w:color w:val="000000"/>
          <w:lang w:val="hy-AM"/>
        </w:rPr>
        <w:t>աճ</w:t>
      </w:r>
      <w:r w:rsidRPr="002A4689">
        <w:rPr>
          <w:rFonts w:ascii="GHEA Grapalat" w:hAnsi="GHEA Grapalat" w:cs="GHEA Grapalat"/>
          <w:color w:val="000000"/>
          <w:lang w:val="hy-AM"/>
        </w:rPr>
        <w:t xml:space="preserve">ով, որոնք համապատասխանաբար 81.1%-ով (6.1 մլրդ դրամով), 41.7%-ով (3.3 մլրդ դրամով) և 81.7%-ով (1.1 մլրդ դրամով) գերազանցել են նախորդ տարվա նույն ժամանակահատվածի փաստացի ցուցանիշները: Նշենք, որ նախորդ տարվա ինն ամիսների համեմատ լիցենզավորման ենթակա գործունեություն իրականացնելու նպատակով լիցենզիաներ, արտոնագրեր (թույլտվություններ) տալու համար տուրքերի գծով աճը հիմնականում պայմանավորված է «Հայաստանի Հանրապետության պետական տուրքի մասին» ՀՀ օրենքով 2021 թվականի սեպտեմբերի 9-ից պղնձի և մոլիբդենի խտահանքեր արտահանելու լիցենզիաներ կամ թույլտվություններ կամ հավաստագրեր տրամադրելու համար </w:t>
      </w:r>
      <w:r w:rsidR="001E341A" w:rsidRPr="002A4689">
        <w:rPr>
          <w:rFonts w:ascii="GHEA Grapalat" w:hAnsi="GHEA Grapalat" w:cs="GHEA Grapalat"/>
          <w:color w:val="000000"/>
          <w:lang w:val="hy-AM"/>
        </w:rPr>
        <w:t xml:space="preserve">պետական </w:t>
      </w:r>
      <w:r w:rsidRPr="002A4689">
        <w:rPr>
          <w:rFonts w:ascii="GHEA Grapalat" w:hAnsi="GHEA Grapalat" w:cs="GHEA Grapalat"/>
          <w:color w:val="000000"/>
          <w:lang w:val="hy-AM"/>
        </w:rPr>
        <w:t>տուրքերի սահմանմամբ</w:t>
      </w:r>
      <w:r w:rsidR="00210505" w:rsidRPr="002A4689">
        <w:rPr>
          <w:rFonts w:ascii="GHEA Grapalat" w:hAnsi="GHEA Grapalat" w:cs="GHEA Grapalat"/>
          <w:color w:val="000000"/>
          <w:lang w:val="hy-AM"/>
        </w:rPr>
        <w:t>, որոնց գծով հաշվետու ժամանակահատվածում պետական բյուջե է մուտքագրվել շուրջ 6 մլրդ դրամ</w:t>
      </w:r>
      <w:r w:rsidRPr="002A4689">
        <w:rPr>
          <w:rFonts w:ascii="GHEA Grapalat" w:hAnsi="GHEA Grapalat" w:cs="GHEA Grapalat"/>
          <w:color w:val="000000"/>
          <w:lang w:val="hy-AM"/>
        </w:rPr>
        <w:t>:</w:t>
      </w:r>
      <w:r w:rsidR="00D71C8D" w:rsidRPr="002A4689">
        <w:rPr>
          <w:rFonts w:ascii="GHEA Grapalat" w:hAnsi="GHEA Grapalat" w:cs="GHEA Grapalat"/>
          <w:color w:val="000000"/>
          <w:lang w:val="hy-AM"/>
        </w:rPr>
        <w:t xml:space="preserve"> Օրենքով սահմանված այլ ծառայությունների և գործողությունների համար սահմանված տուրքերի աճը հիմնականում պայմանավորված է </w:t>
      </w:r>
      <w:r w:rsidR="00D71C8D" w:rsidRPr="00A63250">
        <w:rPr>
          <w:rFonts w:ascii="GHEA Grapalat" w:hAnsi="GHEA Grapalat" w:cs="GHEA Grapalat"/>
          <w:color w:val="000000"/>
          <w:lang w:val="hy-AM"/>
        </w:rPr>
        <w:t>ՀՀ-ից օդային տրանսպորտի միջոցներով ֆիզիկական անձանց (օդային ուղևորների) ելքի</w:t>
      </w:r>
      <w:r w:rsidR="00D71C8D" w:rsidRPr="002A4689">
        <w:rPr>
          <w:rFonts w:ascii="GHEA Grapalat" w:hAnsi="GHEA Grapalat" w:cs="GHEA Grapalat"/>
          <w:color w:val="000000"/>
          <w:lang w:val="hy-AM"/>
        </w:rPr>
        <w:t xml:space="preserve"> համար գանձվող տուրքերի 2.4 անգամ (4</w:t>
      </w:r>
      <w:r w:rsidR="00D71C8D" w:rsidRPr="002A4689">
        <w:rPr>
          <w:rFonts w:ascii="Courier New" w:hAnsi="Courier New" w:cs="Courier New"/>
          <w:color w:val="000000"/>
          <w:lang w:val="hy-AM"/>
        </w:rPr>
        <w:t> </w:t>
      </w:r>
      <w:r w:rsidR="00D71C8D" w:rsidRPr="002A4689">
        <w:rPr>
          <w:rFonts w:ascii="GHEA Grapalat" w:hAnsi="GHEA Grapalat" w:cs="GHEA Grapalat"/>
          <w:color w:val="000000"/>
          <w:lang w:val="hy-AM"/>
        </w:rPr>
        <w:t>մլրդ դրամ) աճով:</w:t>
      </w:r>
    </w:p>
    <w:p w14:paraId="166FEB27" w14:textId="58C62901" w:rsidR="00E572AD" w:rsidRPr="002A4689" w:rsidRDefault="00E572AD" w:rsidP="00E572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GHEA Grapalat"/>
          <w:color w:val="000000"/>
          <w:lang w:val="hy-AM"/>
        </w:rPr>
      </w:pPr>
      <w:r w:rsidRPr="002A4689">
        <w:rPr>
          <w:rFonts w:ascii="GHEA Grapalat" w:hAnsi="GHEA Grapalat" w:cs="GHEA Grapalat"/>
          <w:color w:val="000000"/>
          <w:lang w:val="hy-AM"/>
        </w:rPr>
        <w:t xml:space="preserve">2021 թվականի հունվար-սեպտեմբեր ամիսների ընթացքում ստացվել են շուրջ 5.7 մլրդ դրամ </w:t>
      </w:r>
      <w:r w:rsidRPr="007A7AEF">
        <w:rPr>
          <w:rFonts w:ascii="GHEA Grapalat" w:hAnsi="GHEA Grapalat" w:cs="GHEA Grapalat"/>
          <w:i/>
          <w:color w:val="000000"/>
          <w:lang w:val="hy-AM"/>
        </w:rPr>
        <w:t>պաշտոնական դրամաշնորհներ</w:t>
      </w:r>
      <w:r w:rsidRPr="002A4689">
        <w:rPr>
          <w:rFonts w:ascii="GHEA Grapalat" w:hAnsi="GHEA Grapalat" w:cs="GHEA Grapalat"/>
          <w:color w:val="000000"/>
          <w:lang w:val="hy-AM"/>
        </w:rPr>
        <w:t>՝ կազմելով իննամսյա ծրագրով նախատեսված մուտքերի 29.3</w:t>
      </w:r>
      <w:r w:rsidR="000B3ECA" w:rsidRPr="002A4689">
        <w:rPr>
          <w:rFonts w:ascii="GHEA Grapalat" w:hAnsi="GHEA Grapalat" w:cs="GHEA Grapalat"/>
          <w:color w:val="000000"/>
          <w:lang w:val="hy-AM"/>
        </w:rPr>
        <w:t>%-ը: Միջոցների հիմնական մասը</w:t>
      </w:r>
      <w:r w:rsidRPr="002A4689">
        <w:rPr>
          <w:rFonts w:ascii="GHEA Grapalat" w:hAnsi="GHEA Grapalat" w:cs="GHEA Grapalat"/>
          <w:color w:val="000000"/>
          <w:lang w:val="hy-AM"/>
        </w:rPr>
        <w:t xml:space="preserve"> տրամադրվել </w:t>
      </w:r>
      <w:r w:rsidR="000B3ECA" w:rsidRPr="002A4689">
        <w:rPr>
          <w:rFonts w:ascii="GHEA Grapalat" w:hAnsi="GHEA Grapalat" w:cs="GHEA Grapalat"/>
          <w:color w:val="000000"/>
          <w:lang w:val="hy-AM"/>
        </w:rPr>
        <w:t>է</w:t>
      </w:r>
      <w:r w:rsidRPr="002A4689">
        <w:rPr>
          <w:rFonts w:ascii="GHEA Grapalat" w:hAnsi="GHEA Grapalat" w:cs="GHEA Grapalat"/>
          <w:color w:val="000000"/>
          <w:lang w:val="hy-AM"/>
        </w:rPr>
        <w:t xml:space="preserve"> նպատակային ծրագրերի շրջանակներում, և վերջիններիս կատարման աստիճանով պայմանավորված՝ կազմել ինն </w:t>
      </w:r>
      <w:r w:rsidRPr="002A4689">
        <w:rPr>
          <w:rFonts w:ascii="GHEA Grapalat" w:hAnsi="GHEA Grapalat" w:cs="GHEA Grapalat"/>
          <w:color w:val="000000"/>
          <w:lang w:val="hy-AM"/>
        </w:rPr>
        <w:lastRenderedPageBreak/>
        <w:t>ամիսների համար ծրագրված մուտքերի 36%-ը: Չեն ստացվել դեռևս առաջին եռամսյակում նախատեսված՝ Հայաստանում կորոնավիրուսային վարակի (COVID-19) կանխարգելման նպատակով Հայաստանի կառավարությանը Եվրամիության կողմից բյուջետային աջակցության համաձայնագրով նախատեսված 3.8 մլրդ դրամի (6 մլն եվրո) միջոցները: Նշված համաձայնագրով նախատեսված 30</w:t>
      </w:r>
      <w:r w:rsidRPr="002A4689">
        <w:rPr>
          <w:rFonts w:ascii="Calibri" w:hAnsi="Calibri" w:cs="Calibri"/>
          <w:color w:val="000000"/>
          <w:lang w:val="hy-AM"/>
        </w:rPr>
        <w:t> </w:t>
      </w:r>
      <w:r w:rsidRPr="002A4689">
        <w:rPr>
          <w:rFonts w:ascii="GHEA Grapalat" w:hAnsi="GHEA Grapalat" w:cs="GHEA Grapalat"/>
          <w:color w:val="000000"/>
          <w:lang w:val="hy-AM"/>
        </w:rPr>
        <w:t xml:space="preserve">մլն եվրոյից 24 մլն եվրոն հատկացվել էր 2020 թվականին, իսկ 6 մլն եվրոն նախատեսվում է հատկացնել 2021 թվականին: Ինն ամիսների ընթացքում Հայաստանում «Օտարերկրյա պետություններից և միջազգային կազմակերպություններից ստացվող ընթացիկ տրանսֆեր Արցախի հանրապետությունից տեղահանված և ՀՀ տարածքում բնակվող ընտանիքներին» ծրագրի շրջանակներում ՄԱԿ-ի կողմից հատկացվել </w:t>
      </w:r>
      <w:r w:rsidR="000B3ECA" w:rsidRPr="002A4689">
        <w:rPr>
          <w:rFonts w:ascii="GHEA Grapalat" w:hAnsi="GHEA Grapalat" w:cs="GHEA Grapalat"/>
          <w:color w:val="000000"/>
          <w:lang w:val="hy-AM"/>
        </w:rPr>
        <w:t xml:space="preserve">է </w:t>
      </w:r>
      <w:r w:rsidRPr="002A4689">
        <w:rPr>
          <w:rFonts w:ascii="GHEA Grapalat" w:hAnsi="GHEA Grapalat" w:cs="GHEA Grapalat"/>
          <w:color w:val="000000"/>
          <w:lang w:val="hy-AM"/>
        </w:rPr>
        <w:t>125 մլն դրամ: Հաշվետու ժամանակահատվածում պետական բյուջե մուտքագրված պաշտոնական դրամաշնորհները 23.3%-ով կամ 1.1 մլրդ դրամով գերազանցել են նախորդ տարվա նույն ժամանակահատվածի ցուցանիշը:</w:t>
      </w:r>
    </w:p>
    <w:p w14:paraId="5E9CE7F2" w14:textId="7096B5BA" w:rsidR="00E572AD" w:rsidRPr="002A4689" w:rsidRDefault="00E572AD" w:rsidP="00E572A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2A4689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ՀՀ պետական բյուջեի </w:t>
      </w:r>
      <w:r w:rsidRPr="007A7AEF">
        <w:rPr>
          <w:rFonts w:ascii="GHEA Grapalat" w:hAnsi="GHEA Grapalat" w:cs="GHEA Grapalat"/>
          <w:i/>
          <w:color w:val="000000"/>
          <w:lang w:val="hy-AM"/>
        </w:rPr>
        <w:t>այլ եկամուտները</w:t>
      </w:r>
      <w:r w:rsidRPr="002A4689">
        <w:rPr>
          <w:rFonts w:ascii="GHEA Grapalat" w:hAnsi="GHEA Grapalat" w:cs="GHEA Grapalat"/>
          <w:color w:val="000000"/>
          <w:lang w:val="hy-AM"/>
        </w:rPr>
        <w:t xml:space="preserve"> կազմել են ավելի քան 58.5 մլրդ դրամ՝ 51.4%-ով (19.9 մլրդ դրամով) գերազանցելով իննամսյա ծրագրային ցուցանիշը և 8.9%-ով (4.8 մլրդ դրամով)՝ նախորդ տարվա նույն ժամանակահատվածի ցուցանիշը: Մուտքերի ծրագրի գերազանցումը, ինչպես նաև նախորդ տարվա համեմատ աճը հիմնականում պայմանավորված է բանկերում և այլ ֆինանսավարկային հաստատություններում բյուջեի ժամանակավոր ազատ միջոցների օգտագործումից ստացված տոկոսավճարներ</w:t>
      </w:r>
      <w:r w:rsidR="002F1827" w:rsidRPr="002A4689">
        <w:rPr>
          <w:rFonts w:ascii="GHEA Grapalat" w:hAnsi="GHEA Grapalat" w:cs="GHEA Grapalat"/>
          <w:color w:val="000000"/>
          <w:lang w:val="hy-AM"/>
        </w:rPr>
        <w:t>ից</w:t>
      </w:r>
      <w:r w:rsidRPr="002A4689">
        <w:rPr>
          <w:rFonts w:ascii="GHEA Grapalat" w:hAnsi="GHEA Grapalat" w:cs="GHEA Grapalat"/>
          <w:color w:val="000000"/>
          <w:lang w:val="hy-AM"/>
        </w:rPr>
        <w:t>, ապրանքների մատակարարումից ու ծառայությունների մատուցումից և իրավախախտումների համար կիրառվող պատժամիջոցներից ստացված եկամուտներով:</w:t>
      </w:r>
    </w:p>
    <w:p w14:paraId="447B1245" w14:textId="77777777" w:rsidR="00E572AD" w:rsidRPr="002A4689" w:rsidRDefault="00E572AD" w:rsidP="00E572A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2A4689">
        <w:rPr>
          <w:rFonts w:ascii="GHEA Grapalat" w:hAnsi="GHEA Grapalat" w:cs="GHEA Grapalat"/>
          <w:color w:val="000000"/>
          <w:lang w:val="hy-AM"/>
        </w:rPr>
        <w:t xml:space="preserve">2021 թվականին ՀՀ կադաստրի կոմիտեի նախորդ տարվա ծախսերի նկատմամբ եկամուտների գերազանցումից մուտքեր չեն ստացվել՝ համապատասխան արտաբյուջետային հաշիվը փակելու հետ կապված: Արդյունքում 2020 թվականից ՀՀ կադաստրի կոմիտեի կողմից գույքի նկատմամբ իրավունքների պետական գրանցում, գույքի և դրա նկատմամբ գրանցված իրավունքների և սահմանափակումների վերաբերյալ տեղեկատվության տրամադրման ծառայությունների մատուցման դիմաց ստացվող եկամուտները մուտքագրվում են պետական բյուջե և համապատասխան ծախսերը, անկախ տվյալ եկամուտների հավաքման աստիճանից, կատարվում են պետական բյուջեից։ Նշենք, որ 2020 թվականի հունվար-սեպտեմբեր ժամանակահատվածում ՀՀ կադաստրի կոմիտեի </w:t>
      </w:r>
      <w:r w:rsidRPr="002A4689">
        <w:rPr>
          <w:rFonts w:ascii="GHEA Grapalat" w:hAnsi="GHEA Grapalat" w:cs="GHEA Grapalat"/>
          <w:color w:val="000000"/>
          <w:lang w:val="hy-AM"/>
        </w:rPr>
        <w:lastRenderedPageBreak/>
        <w:t>2019 թվականի ծախսերի նկատմամբ եկամուտների գերազանցումից պետական բյուջե էր փոխանցվել ավելի քան 1.3 մլրդ դրամ:</w:t>
      </w:r>
    </w:p>
    <w:p w14:paraId="4078B55C" w14:textId="4B020AAE" w:rsidR="00E572AD" w:rsidRPr="00547F4B" w:rsidRDefault="00E572AD" w:rsidP="00E572A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47F4B">
        <w:rPr>
          <w:rFonts w:ascii="GHEA Grapalat" w:hAnsi="GHEA Grapalat" w:cs="GHEA Grapalat"/>
          <w:color w:val="000000"/>
          <w:lang w:val="hy-AM"/>
        </w:rPr>
        <w:t>Հաշվետու ժամանակահատվածում բանկերում և այլ ֆինանսավարկային հաստատություններում բյուջեի ժամանակավոր ազատ միջոցների օգտագործումից ստացվել է ավելի քան 20.6 մլրդ դրամ՝ 151.4%-ով (12.4 մլր</w:t>
      </w:r>
      <w:r w:rsidR="002F1827" w:rsidRPr="00547F4B">
        <w:rPr>
          <w:rFonts w:ascii="GHEA Grapalat" w:hAnsi="GHEA Grapalat" w:cs="GHEA Grapalat"/>
          <w:color w:val="000000"/>
          <w:lang w:val="hy-AM"/>
        </w:rPr>
        <w:t>դ դրամով) գերազանցելով ինն ամիսների</w:t>
      </w:r>
      <w:r w:rsidRPr="00547F4B">
        <w:rPr>
          <w:rFonts w:ascii="GHEA Grapalat" w:hAnsi="GHEA Grapalat" w:cs="GHEA Grapalat"/>
          <w:color w:val="000000"/>
          <w:lang w:val="hy-AM"/>
        </w:rPr>
        <w:t xml:space="preserve"> ծրագիրը և 56.8%-ով (7.5 մլրդ դրամով)՝ նախորդ տարվա նույն ժամանակահատվածի ցուցանիշը: Ծրագրված ցուցանիշի գերազանցումը պայմանավորված է 2021 թվականի ինն ամիսների ընթացքում պետական բյուջեի մուտքերի գերակատարմամբ և ելքերի համեմատաբար ցածր կատարողականով, որի պայմաններում առաջացել են լրացուցիչ ժամանակավոր</w:t>
      </w:r>
      <w:r w:rsidR="00224244" w:rsidRPr="00547F4B">
        <w:rPr>
          <w:rFonts w:ascii="GHEA Grapalat" w:hAnsi="GHEA Grapalat" w:cs="GHEA Grapalat"/>
          <w:color w:val="000000"/>
          <w:lang w:val="hy-AM"/>
        </w:rPr>
        <w:t xml:space="preserve"> ազատ դրամական միջոցներ, որոնք ավանդադ</w:t>
      </w:r>
      <w:r w:rsidRPr="00547F4B">
        <w:rPr>
          <w:rFonts w:ascii="GHEA Grapalat" w:hAnsi="GHEA Grapalat" w:cs="GHEA Grapalat"/>
          <w:color w:val="000000"/>
          <w:lang w:val="hy-AM"/>
        </w:rPr>
        <w:t xml:space="preserve">րվել են՝ ապահովելով լրացուցիչ տոկոսային եկամուտներ: Տոկոսագումարների գերակատարմանը նպաստել է նաև </w:t>
      </w:r>
      <w:r w:rsidR="002D6E59" w:rsidRPr="00547F4B">
        <w:rPr>
          <w:rFonts w:ascii="GHEA Grapalat" w:hAnsi="GHEA Grapalat" w:cs="GHEA Grapalat"/>
          <w:color w:val="000000"/>
          <w:lang w:val="hy-AM"/>
        </w:rPr>
        <w:t>ավանդի ներդրման տոկոսադրույքի՝ պլանավորված ցուցանիշի (5.1%) 1.26 տոկոսային կետով գերազանցումը</w:t>
      </w:r>
      <w:r w:rsidRPr="00547F4B">
        <w:rPr>
          <w:rFonts w:ascii="GHEA Grapalat" w:hAnsi="GHEA Grapalat" w:cs="GHEA Grapalat"/>
          <w:color w:val="000000"/>
          <w:lang w:val="hy-AM"/>
        </w:rPr>
        <w:t xml:space="preserve">: </w:t>
      </w:r>
      <w:r w:rsidR="002D6E59" w:rsidRPr="00547F4B">
        <w:rPr>
          <w:rFonts w:ascii="GHEA Grapalat" w:hAnsi="GHEA Grapalat" w:cs="GHEA Grapalat"/>
          <w:color w:val="000000"/>
          <w:lang w:val="hy-AM"/>
        </w:rPr>
        <w:t>Լրացուցիչ ժամանակավոր ազատ դրամական միջոցների առկայությամբ, տոկոսադրույքների աճով</w:t>
      </w:r>
      <w:r w:rsidRPr="00547F4B">
        <w:rPr>
          <w:rFonts w:ascii="GHEA Grapalat" w:hAnsi="GHEA Grapalat" w:cs="GHEA Grapalat"/>
          <w:color w:val="000000"/>
          <w:lang w:val="hy-AM"/>
        </w:rPr>
        <w:t>, 2021 թվականի ինն ամիսների ընթացքում տեղաբաշխված եվրապարտատոմսերով, որոնցից ստացված միջոցները նույնպես ավանդադրվել են, ինչպես նաև գանձապետական միասնական հաշվի միջին օրական մնացորդը ցածր մակարդակում պահելու մոտեցմամբ է պայմանավորված նախորդ տարվա նույն ժամանակահատվածի համեմատ զուտ տոկոսագումարների 7.</w:t>
      </w:r>
      <w:r w:rsidR="002B5F5C" w:rsidRPr="00547F4B">
        <w:rPr>
          <w:rFonts w:ascii="GHEA Grapalat" w:hAnsi="GHEA Grapalat" w:cs="GHEA Grapalat"/>
          <w:color w:val="000000"/>
          <w:lang w:val="hy-AM"/>
        </w:rPr>
        <w:t>5</w:t>
      </w:r>
      <w:r w:rsidRPr="00547F4B">
        <w:rPr>
          <w:rFonts w:ascii="GHEA Grapalat" w:hAnsi="GHEA Grapalat" w:cs="GHEA Grapalat"/>
          <w:color w:val="000000"/>
          <w:lang w:val="hy-AM"/>
        </w:rPr>
        <w:t xml:space="preserve"> մլրդ դրամով ավել ստացումը: 2021 թվականի ինն ամիսների ընթացքում ՀՀ կենտրոնական բանկի և ՀՀ ֆինանսների նախարարության միջև կնքվել են թվով 150 ավանդային պայմանագրեր` 1.283</w:t>
      </w:r>
      <w:r w:rsidR="008A030D" w:rsidRPr="00547F4B">
        <w:rPr>
          <w:rFonts w:ascii="GHEA Grapalat" w:hAnsi="GHEA Grapalat" w:cs="GHEA Grapalat"/>
          <w:color w:val="000000"/>
          <w:lang w:val="hy-AM"/>
        </w:rPr>
        <w:t xml:space="preserve"> </w:t>
      </w:r>
      <w:r w:rsidRPr="00547F4B">
        <w:rPr>
          <w:rFonts w:ascii="GHEA Grapalat" w:hAnsi="GHEA Grapalat" w:cs="GHEA Grapalat"/>
          <w:color w:val="000000"/>
          <w:lang w:val="hy-AM"/>
        </w:rPr>
        <w:t>մլրդ դրամ</w:t>
      </w:r>
      <w:r w:rsidR="008A030D" w:rsidRPr="00547F4B">
        <w:rPr>
          <w:rFonts w:ascii="GHEA Grapalat" w:hAnsi="GHEA Grapalat" w:cs="GHEA Grapalat"/>
          <w:color w:val="000000"/>
          <w:lang w:val="hy-AM"/>
        </w:rPr>
        <w:t xml:space="preserve"> ընդհանուր գումարով (նախորդ տարվա</w:t>
      </w:r>
      <w:r w:rsidRPr="00547F4B">
        <w:rPr>
          <w:rFonts w:ascii="GHEA Grapalat" w:hAnsi="GHEA Grapalat" w:cs="GHEA Grapalat"/>
          <w:color w:val="000000"/>
          <w:lang w:val="hy-AM"/>
        </w:rPr>
        <w:t xml:space="preserve"> նույն ժամանակահատվածում կնքվել էր 133 ավանդային պայմանագիր` 1.045 մլրդ դրամ ընդհանուր գումարով): Հաշվետու ժամանակահատվածում ներդրված ավանդների միջին մեծությունը կազմել է շուրջ 9</w:t>
      </w:r>
      <w:r w:rsidRPr="00547F4B">
        <w:rPr>
          <w:rFonts w:ascii="Calibri" w:hAnsi="Calibri" w:cs="Calibri"/>
          <w:color w:val="000000"/>
          <w:lang w:val="hy-AM"/>
        </w:rPr>
        <w:t> </w:t>
      </w:r>
      <w:r w:rsidRPr="00547F4B">
        <w:rPr>
          <w:rFonts w:ascii="GHEA Grapalat" w:hAnsi="GHEA Grapalat" w:cs="GHEA Grapalat"/>
          <w:color w:val="000000"/>
          <w:lang w:val="hy-AM"/>
        </w:rPr>
        <w:t>մլրդ դրամ, որը 0.9 մլրդ դրամով ավել է նախորդ տարվա նույն ժամանակահատվածի համապատասխան ցուցանիշից: 2021 թվականի ինն ամիսների ընթացքում ներդրված ավանդների միջին կշռված տոկոսադրույքը կազմել է 6.36%` 2020 թվականի ինն ամիսների 5.04%-ի դիմաց: Հաշվետու ժամանակահատվածի վերջի դրությամբ գանձապետական միասնական հաշվի ընդհանուր մնացորդի ժամանակավորապես ազատ դրամական միջոցներից Կենտրոնական բանկում ներդրված էր 488 մլրդ դրամ:</w:t>
      </w:r>
    </w:p>
    <w:p w14:paraId="71D27185" w14:textId="77777777" w:rsidR="00E572AD" w:rsidRPr="00547F4B" w:rsidRDefault="00E572AD" w:rsidP="00E572A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47F4B">
        <w:rPr>
          <w:rFonts w:ascii="GHEA Grapalat" w:hAnsi="GHEA Grapalat" w:cs="GHEA Grapalat"/>
          <w:color w:val="000000"/>
          <w:lang w:val="hy-AM"/>
        </w:rPr>
        <w:lastRenderedPageBreak/>
        <w:t>Այլ եկամուտներից շուրջ 15.5 մլրդ դրամը ստացվել է ապրանքների մատակարարումից և ծառայությունների մատուցումից` 73.8%</w:t>
      </w:r>
      <w:r w:rsidRPr="00547F4B">
        <w:rPr>
          <w:rFonts w:ascii="GHEA Grapalat" w:hAnsi="GHEA Grapalat" w:cs="GHEA Grapalat"/>
          <w:color w:val="000000"/>
          <w:lang w:val="hy-AM"/>
        </w:rPr>
        <w:noBreakHyphen/>
        <w:t>ով (6.6 մլրդ դրամով) գերազանցելով ինն ամիսների ծրագիրը, որը հիմնականում պայմանավորված է ՀՀ ոստիկանության կողմից ապահովված եկամուտների կատարողականով: Ապրանքների մատակարարումից և ծառայությունների մատուցումից եկամուտները 26.5%-ով (3.2 մլրդ դրամով) գերազանցել են նախորդ տարվա նույն ժամանակահատվածի ցուցանիշը՝ հիմնականում պայմանավորված ՀՀ ոստիկանության, ՀՀ արդարադատության նախարարության հարկադիր կատարումն ապահովող ծառայության և ՀՀ կադաստրի կոմիտեի կողմից մատուցվող ծառայությունների դիմաց ստացված մուտքերի աճով:</w:t>
      </w:r>
    </w:p>
    <w:p w14:paraId="3159F91F" w14:textId="54FFDEB1" w:rsidR="00E572AD" w:rsidRPr="00547F4B" w:rsidRDefault="00E572AD" w:rsidP="00E572A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47F4B">
        <w:rPr>
          <w:rFonts w:ascii="GHEA Grapalat" w:hAnsi="GHEA Grapalat" w:cs="GHEA Grapalat"/>
          <w:color w:val="000000"/>
          <w:lang w:val="hy-AM"/>
        </w:rPr>
        <w:t>2021 թվականի հունվար-սեպտեմբեր ամիսների ընթացքում շուրջ 11.7 մլրդ դրամ է ստացվել իրավախախտումների համար գործադիր, դատական մարմինների կողմից կիրառվող պատժամիջոցներից՝ 57.7%</w:t>
      </w:r>
      <w:r w:rsidRPr="00547F4B">
        <w:rPr>
          <w:rFonts w:ascii="GHEA Grapalat" w:hAnsi="GHEA Grapalat" w:cs="GHEA Grapalat"/>
          <w:color w:val="000000"/>
          <w:lang w:val="hy-AM"/>
        </w:rPr>
        <w:noBreakHyphen/>
        <w:t xml:space="preserve">ով կամ 4.3 մլրդ դրամով գերազանցելով ինն ամիսների համար ծրագրված մուտքերը և 36.5%-ով կամ 3.1 մլրդ դրամով՝ նախորդ տարվա </w:t>
      </w:r>
      <w:r w:rsidR="001E2664" w:rsidRPr="00547F4B">
        <w:rPr>
          <w:rFonts w:ascii="GHEA Grapalat" w:hAnsi="GHEA Grapalat" w:cs="GHEA Grapalat"/>
          <w:color w:val="000000"/>
          <w:lang w:val="hy-AM"/>
        </w:rPr>
        <w:t>նույն ժամանակահատվածի ցուցանիշը,</w:t>
      </w:r>
      <w:r w:rsidRPr="00547F4B">
        <w:rPr>
          <w:rFonts w:ascii="GHEA Grapalat" w:hAnsi="GHEA Grapalat" w:cs="GHEA Grapalat"/>
          <w:color w:val="000000"/>
          <w:lang w:val="hy-AM"/>
        </w:rPr>
        <w:t xml:space="preserve"> որը հիմնականում պայմանավորված է ճանապարհային երթևեկության կանոնները խախտելու համար ՀՀ ոստիկանության կողմից կիրառված պատժամիջոցների արդյունքում գանձված գումարների աճով:</w:t>
      </w:r>
    </w:p>
    <w:p w14:paraId="63B6F333" w14:textId="77777777" w:rsidR="00E572AD" w:rsidRPr="00547F4B" w:rsidRDefault="00E572AD" w:rsidP="00E572A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47F4B">
        <w:rPr>
          <w:rFonts w:ascii="GHEA Grapalat" w:hAnsi="GHEA Grapalat" w:cs="GHEA Grapalat"/>
          <w:color w:val="000000"/>
          <w:lang w:val="hy-AM"/>
        </w:rPr>
        <w:t>Պետական սեփականություն հանդիսացող գույքի վարձակալության դիմաց պետական բյուջե է մուտքագրվել 669.7 մլն դրամ՝ 7.7%-ով գերազանցելով ինն ամիսների համար ծրագրված մուտքերը և 2.5 անգամ (403.8 մլն դրամով)՝ նախորդ տարվա նույն ժամանակահատվածի ցուցանիշը: Մուտքերի աճը հիմնականում պայմանավորված է «Վեոլիա Ջուր» ՓԲԸ կողմից ՀՀ պետական բյուջե փոխանցված վարձակալական վճարների աճով, որոնք կազմել են 365.5 մլն դրամ՝ նախորդ տարվա 3.1 մլն դրամի դիմաց:</w:t>
      </w:r>
    </w:p>
    <w:p w14:paraId="7C9CDCAA" w14:textId="53991661" w:rsidR="00E572AD" w:rsidRPr="00547F4B" w:rsidRDefault="00E572AD" w:rsidP="00E572A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47F4B">
        <w:rPr>
          <w:rFonts w:ascii="GHEA Grapalat" w:hAnsi="GHEA Grapalat" w:cs="GHEA Grapalat"/>
          <w:color w:val="000000"/>
          <w:lang w:val="hy-AM"/>
        </w:rPr>
        <w:t>Իրավաբանական անձանց կապիտալում կատարված ներդրումներից հունվար-սեպտեմբեր ամիսների ընթացքում ստացվել են շուրջ 659 մլն դրամ շահութաբաժիններ՝ կազմելով ինն ամիսների համար կանխատեսված մուտքերի 65.9%-ը և 80.9%</w:t>
      </w:r>
      <w:r w:rsidRPr="00547F4B">
        <w:rPr>
          <w:rFonts w:ascii="GHEA Grapalat" w:hAnsi="GHEA Grapalat" w:cs="GHEA Grapalat"/>
          <w:color w:val="000000"/>
          <w:lang w:val="hy-AM"/>
        </w:rPr>
        <w:noBreakHyphen/>
        <w:t>ով (2.8 մլրդ դրամով) զիջելով նախորդ տարվա նույն ժամանակահատվածի ցուցանիշը: Վերջինս պայմանավորված է 2020 թվականին ՀՀ ՏԿԵՆ քաղաքացիական ավիացիայի կոմիտեի կառավարման ներքո գտնվող ընկերություններում պետական մասնակցության դիմաց ստացված շահութաբաժինների</w:t>
      </w:r>
      <w:r w:rsidR="00795EF9" w:rsidRPr="00547F4B">
        <w:rPr>
          <w:rFonts w:ascii="GHEA Grapalat" w:hAnsi="GHEA Grapalat" w:cs="GHEA Grapalat"/>
          <w:color w:val="000000"/>
          <w:lang w:val="hy-AM"/>
        </w:rPr>
        <w:t>ց մուտքերի նվազմամբ</w:t>
      </w:r>
      <w:r w:rsidRPr="00547F4B">
        <w:rPr>
          <w:rFonts w:ascii="GHEA Grapalat" w:hAnsi="GHEA Grapalat" w:cs="GHEA Grapalat"/>
          <w:color w:val="000000"/>
          <w:lang w:val="hy-AM"/>
        </w:rPr>
        <w:t>:</w:t>
      </w:r>
    </w:p>
    <w:p w14:paraId="28CA709A" w14:textId="1983E2F8" w:rsidR="00E572AD" w:rsidRPr="006469E0" w:rsidRDefault="00E572AD" w:rsidP="00E572A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6469E0">
        <w:rPr>
          <w:rFonts w:ascii="GHEA Grapalat" w:hAnsi="GHEA Grapalat" w:cs="GHEA Grapalat"/>
          <w:color w:val="000000"/>
          <w:lang w:val="hy-AM"/>
        </w:rPr>
        <w:lastRenderedPageBreak/>
        <w:t>Պետության կողմից տրված վարկերի օգտագործման դիմաց հաշվետու ժամանակահատվածում ստացվել են</w:t>
      </w:r>
      <w:r w:rsidR="0036654A" w:rsidRPr="006469E0">
        <w:rPr>
          <w:rFonts w:ascii="GHEA Grapalat" w:hAnsi="GHEA Grapalat" w:cs="GHEA Grapalat"/>
          <w:color w:val="000000"/>
          <w:lang w:val="hy-AM"/>
        </w:rPr>
        <w:t xml:space="preserve"> </w:t>
      </w:r>
      <w:r w:rsidRPr="006469E0">
        <w:rPr>
          <w:rFonts w:ascii="GHEA Grapalat" w:hAnsi="GHEA Grapalat" w:cs="GHEA Grapalat"/>
          <w:color w:val="000000"/>
          <w:lang w:val="hy-AM"/>
        </w:rPr>
        <w:t>ավելի քան 7.7 մլրդ դրամ տոկոսավճարներ, որոնք 75.7%-ով ապահովել են իննամսյա ծրագրային ցուցանիշը և 28.5%</w:t>
      </w:r>
      <w:r w:rsidRPr="006469E0">
        <w:rPr>
          <w:rFonts w:ascii="GHEA Grapalat" w:hAnsi="GHEA Grapalat" w:cs="GHEA Grapalat"/>
          <w:color w:val="000000"/>
          <w:lang w:val="hy-AM"/>
        </w:rPr>
        <w:noBreakHyphen/>
        <w:t>ով կամ 3.1 մլրդ դրամով զիջել նախորդ տարվա նույն ժամանակահատվածի ցուցանիշը: Մուտքերի կատարողականը, ինչպես նաև նախորդ տարվա համեմատ անկումը հիմնականում պայմանավորված է ռեզիդենտներին տրամադրված վարկերի օգտագործման տոկոսավճարներով: Մասնավորապես` ռեզիդենտներին տրամադրված վարկերի դիմաց ստացվել են 7.</w:t>
      </w:r>
      <w:r w:rsidR="00795EF9" w:rsidRPr="006469E0">
        <w:rPr>
          <w:rFonts w:ascii="GHEA Grapalat" w:hAnsi="GHEA Grapalat" w:cs="GHEA Grapalat"/>
          <w:color w:val="000000"/>
          <w:lang w:val="hy-AM"/>
        </w:rPr>
        <w:t>7</w:t>
      </w:r>
      <w:r w:rsidRPr="006469E0">
        <w:rPr>
          <w:rFonts w:ascii="GHEA Grapalat" w:hAnsi="GHEA Grapalat" w:cs="GHEA Grapalat"/>
          <w:color w:val="000000"/>
          <w:lang w:val="hy-AM"/>
        </w:rPr>
        <w:t xml:space="preserve"> մլրդ դրամ տոկոսավճարներ, ոչ ռեզիդենտներին տրամադրված վարկերի օգտագործման դիմաց՝ 73.7</w:t>
      </w:r>
      <w:r w:rsidR="00795EF9" w:rsidRPr="006469E0">
        <w:rPr>
          <w:rFonts w:ascii="Calibri" w:hAnsi="Calibri" w:cs="Calibri"/>
          <w:color w:val="000000"/>
          <w:lang w:val="hy-AM"/>
        </w:rPr>
        <w:t xml:space="preserve"> </w:t>
      </w:r>
      <w:r w:rsidRPr="006469E0">
        <w:rPr>
          <w:rFonts w:ascii="GHEA Grapalat" w:hAnsi="GHEA Grapalat" w:cs="GHEA Grapalat"/>
          <w:color w:val="000000"/>
          <w:lang w:val="hy-AM"/>
        </w:rPr>
        <w:t>մլն դրամ տոկոսավճարներ, որոնք կազմել են իննամսյա ծրագրային ցուցանիշների համապատասխանաբար 7</w:t>
      </w:r>
      <w:r w:rsidR="00795EF9" w:rsidRPr="006469E0">
        <w:rPr>
          <w:rFonts w:ascii="GHEA Grapalat" w:hAnsi="GHEA Grapalat" w:cs="GHEA Grapalat"/>
          <w:color w:val="000000"/>
          <w:lang w:val="hy-AM"/>
        </w:rPr>
        <w:t>5.5</w:t>
      </w:r>
      <w:r w:rsidRPr="006469E0">
        <w:rPr>
          <w:rFonts w:ascii="GHEA Grapalat" w:hAnsi="GHEA Grapalat" w:cs="GHEA Grapalat"/>
          <w:color w:val="000000"/>
          <w:lang w:val="hy-AM"/>
        </w:rPr>
        <w:t xml:space="preserve">%-ը և 102.6%-ը՝ նախորդ տարվա նույն ժամանակահատվածի համեմատ նվազելով </w:t>
      </w:r>
      <w:r w:rsidR="00795EF9" w:rsidRPr="006469E0">
        <w:rPr>
          <w:rFonts w:ascii="GHEA Grapalat" w:hAnsi="GHEA Grapalat" w:cs="GHEA Grapalat"/>
          <w:color w:val="000000"/>
          <w:lang w:val="hy-AM"/>
        </w:rPr>
        <w:t>28.6</w:t>
      </w:r>
      <w:r w:rsidRPr="006469E0">
        <w:rPr>
          <w:rFonts w:ascii="GHEA Grapalat" w:hAnsi="GHEA Grapalat" w:cs="GHEA Grapalat"/>
          <w:color w:val="000000"/>
          <w:lang w:val="hy-AM"/>
        </w:rPr>
        <w:t>%-ով և 15.2%-ով:</w:t>
      </w:r>
    </w:p>
    <w:p w14:paraId="794E8DBF" w14:textId="6BBF5B70" w:rsidR="00E572AD" w:rsidRPr="006469E0" w:rsidRDefault="00E572AD" w:rsidP="00E572A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6469E0">
        <w:rPr>
          <w:rFonts w:ascii="GHEA Grapalat" w:hAnsi="GHEA Grapalat" w:cs="GHEA Grapalat"/>
          <w:color w:val="000000"/>
          <w:lang w:val="hy-AM"/>
        </w:rPr>
        <w:t>Հաշվետու ժամանակահատվածում պետական բյուջե են մուտքագրվել 657.8</w:t>
      </w:r>
      <w:r w:rsidR="00EA6CBF" w:rsidRPr="006469E0">
        <w:rPr>
          <w:rFonts w:ascii="Calibri" w:hAnsi="Calibri" w:cs="Calibri"/>
          <w:color w:val="000000"/>
          <w:lang w:val="hy-AM"/>
        </w:rPr>
        <w:t xml:space="preserve"> </w:t>
      </w:r>
      <w:r w:rsidRPr="006469E0">
        <w:rPr>
          <w:rFonts w:ascii="GHEA Grapalat" w:hAnsi="GHEA Grapalat" w:cs="GHEA Grapalat"/>
          <w:color w:val="000000"/>
          <w:lang w:val="hy-AM"/>
        </w:rPr>
        <w:t>մլն դրամ այլ կատեգորիաներում չդասակարգված տրանսֆերտներ՝ 10.1%-ով գերազանցելով իննամսյա ծրագիրը: Միևնույն ժամանակ, նշված մուտքերը 58%-ով կամ 907 մլն դրամով զիջել են նախորդ տարվա նույն ժամանակահատվածի ցուցանիշը՝ պայմանավորված 2020 թվականի հունվար-սեպտեմբեր ամիսներին ՀՀ կորոնավիրուսային վարակի (COVID-19) կանխարգելման, վերահսկման, բուժման և հաղթահարման ապահովման միջոցառումների ֆինանսավորման նպատակով ավելի քան 1.1 մլրդ դրամ միջոցների ստացմամբ:</w:t>
      </w:r>
    </w:p>
    <w:p w14:paraId="55A0D55E" w14:textId="23F67182" w:rsidR="00E572AD" w:rsidRPr="006469E0" w:rsidRDefault="00E572AD" w:rsidP="00E572AD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6469E0">
        <w:rPr>
          <w:rFonts w:ascii="GHEA Grapalat" w:hAnsi="GHEA Grapalat" w:cs="GHEA Grapalat"/>
          <w:color w:val="000000"/>
          <w:lang w:val="hy-AM"/>
        </w:rPr>
        <w:t>Օրենքով և այլ իրավական ակտերով սահմանված այլ եկամուտների գծով հունվար-սեպտեմբեր ամիսների ընթացքում պետական բյուջե է մուտքագրվել</w:t>
      </w:r>
      <w:r w:rsidR="0036654A" w:rsidRPr="006469E0">
        <w:rPr>
          <w:rFonts w:ascii="GHEA Grapalat" w:hAnsi="GHEA Grapalat" w:cs="GHEA Grapalat"/>
          <w:color w:val="000000"/>
          <w:lang w:val="hy-AM"/>
        </w:rPr>
        <w:t xml:space="preserve"> </w:t>
      </w:r>
      <w:r w:rsidRPr="006469E0">
        <w:rPr>
          <w:rFonts w:ascii="GHEA Grapalat" w:hAnsi="GHEA Grapalat" w:cs="GHEA Grapalat"/>
          <w:color w:val="000000"/>
          <w:lang w:val="hy-AM"/>
        </w:rPr>
        <w:t>շուրջ 1.1 մլրդ դրամ՝ կազմելով իննամսյա ծրագրի 61.4%-ը և 55.8%</w:t>
      </w:r>
      <w:r w:rsidRPr="006469E0">
        <w:rPr>
          <w:rFonts w:ascii="GHEA Grapalat" w:hAnsi="GHEA Grapalat" w:cs="GHEA Grapalat"/>
          <w:color w:val="000000"/>
          <w:lang w:val="hy-AM"/>
        </w:rPr>
        <w:noBreakHyphen/>
        <w:t>ով (1.3 մլրդ դրամով) զիջելով նախորդ տարվա նույն ժամանակահատվածի ցուցանիշը:</w:t>
      </w:r>
    </w:p>
    <w:p w14:paraId="2B017DB6" w14:textId="77777777" w:rsidR="005C0DFC" w:rsidRPr="005C0DFC" w:rsidRDefault="005C0DFC" w:rsidP="005C0DF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14:paraId="0D125497" w14:textId="77777777" w:rsidR="006B4AB7" w:rsidRDefault="006B4AB7" w:rsidP="006B4AB7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 w:rsidRPr="00516456">
        <w:rPr>
          <w:rFonts w:ascii="GHEA Grapalat" w:hAnsi="GHEA Grapalat" w:cs="GHEA Grapalat"/>
          <w:i/>
          <w:u w:val="single"/>
          <w:lang w:val="hy-AM"/>
        </w:rPr>
        <w:t xml:space="preserve">ՀՀ պետական </w:t>
      </w:r>
      <w:r w:rsidRPr="00516456">
        <w:rPr>
          <w:rFonts w:ascii="GHEA Grapalat" w:hAnsi="GHEA Grapalat" w:cs="GHEA Grapalat"/>
          <w:i/>
          <w:color w:val="000000"/>
          <w:u w:val="single"/>
          <w:lang w:val="hy-AM"/>
        </w:rPr>
        <w:t>բյուջեի</w:t>
      </w:r>
      <w:r w:rsidRPr="00516456">
        <w:rPr>
          <w:rFonts w:ascii="GHEA Grapalat" w:hAnsi="GHEA Grapalat" w:cs="GHEA Grapalat"/>
          <w:i/>
          <w:u w:val="single"/>
          <w:lang w:val="hy-AM"/>
        </w:rPr>
        <w:t xml:space="preserve"> ծախսերը</w:t>
      </w:r>
    </w:p>
    <w:p w14:paraId="1343ECCA" w14:textId="44E03A3F" w:rsidR="006B4AB7" w:rsidRDefault="006B4AB7" w:rsidP="006B4AB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 w:rsidRPr="00DB7134">
        <w:rPr>
          <w:rFonts w:ascii="GHEA Grapalat" w:hAnsi="GHEA Grapalat" w:cs="GHEA Grapalat"/>
          <w:color w:val="000000"/>
          <w:lang w:val="hy-AM"/>
        </w:rPr>
        <w:t xml:space="preserve">հունվար-սեպտեմբեր ամիսներին </w:t>
      </w:r>
      <w:r>
        <w:rPr>
          <w:rFonts w:ascii="GHEA Grapalat" w:hAnsi="GHEA Grapalat" w:cs="GHEA Grapalat"/>
          <w:color w:val="000000"/>
          <w:lang w:val="hy-AM"/>
        </w:rPr>
        <w:t xml:space="preserve">ՀՀ պետական բյուջեի ծախսերը նախորդ տարվա նույն </w:t>
      </w:r>
      <w:r w:rsidRPr="00DB7134">
        <w:rPr>
          <w:rFonts w:ascii="GHEA Grapalat" w:hAnsi="GHEA Grapalat" w:cs="GHEA Grapalat"/>
          <w:color w:val="000000"/>
          <w:lang w:val="hy-AM"/>
        </w:rPr>
        <w:t>ժամանակահատվածի</w:t>
      </w:r>
      <w:r>
        <w:rPr>
          <w:rFonts w:ascii="GHEA Grapalat" w:hAnsi="GHEA Grapalat" w:cs="GHEA Grapalat"/>
          <w:color w:val="000000"/>
          <w:lang w:val="hy-AM"/>
        </w:rPr>
        <w:t xml:space="preserve"> համեմատ աճել են </w:t>
      </w:r>
      <w:r w:rsidRPr="00DB7134">
        <w:rPr>
          <w:rFonts w:ascii="GHEA Grapalat" w:hAnsi="GHEA Grapalat" w:cs="GHEA Grapalat"/>
          <w:color w:val="000000"/>
          <w:lang w:val="hy-AM"/>
        </w:rPr>
        <w:t>9.7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 w:rsidRPr="00DB7134">
        <w:rPr>
          <w:rFonts w:ascii="GHEA Grapalat" w:hAnsi="GHEA Grapalat" w:cs="GHEA Grapalat"/>
          <w:color w:val="000000"/>
          <w:lang w:val="hy-AM"/>
        </w:rPr>
        <w:t>119.1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դրամով՝ հիմնականում պայմանավորված նպաստների</w:t>
      </w:r>
      <w:r w:rsidRPr="00DB7134">
        <w:rPr>
          <w:rFonts w:ascii="GHEA Grapalat" w:hAnsi="GHEA Grapalat" w:cs="GHEA Grapalat"/>
          <w:color w:val="000000"/>
          <w:lang w:val="hy-AM"/>
        </w:rPr>
        <w:t>, ոչ ֆինանսական ակտիվների,</w:t>
      </w:r>
      <w:r>
        <w:rPr>
          <w:rFonts w:ascii="GHEA Grapalat" w:hAnsi="GHEA Grapalat" w:cs="GHEA Grapalat"/>
          <w:color w:val="000000"/>
          <w:lang w:val="hy-AM"/>
        </w:rPr>
        <w:t xml:space="preserve"> դրամաշնորհների</w:t>
      </w:r>
      <w:r w:rsidRPr="00DB7134">
        <w:rPr>
          <w:rFonts w:ascii="GHEA Grapalat" w:hAnsi="GHEA Grapalat" w:cs="GHEA Grapalat"/>
          <w:color w:val="000000"/>
          <w:lang w:val="hy-AM"/>
        </w:rPr>
        <w:t xml:space="preserve"> և պարտքի սպասարկման </w:t>
      </w:r>
      <w:r>
        <w:rPr>
          <w:rFonts w:ascii="GHEA Grapalat" w:hAnsi="GHEA Grapalat" w:cs="GHEA Grapalat"/>
          <w:color w:val="000000"/>
          <w:lang w:val="hy-AM"/>
        </w:rPr>
        <w:t>գծով ծախսերի աճով:</w:t>
      </w:r>
    </w:p>
    <w:p w14:paraId="69276E8E" w14:textId="77777777" w:rsidR="00465088" w:rsidRDefault="00465088" w:rsidP="006B4AB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14:paraId="191F7C4F" w14:textId="3196D31E" w:rsidR="00465088" w:rsidRPr="00264252" w:rsidRDefault="00465088" w:rsidP="00465088">
      <w:pPr>
        <w:pStyle w:val="Caption"/>
        <w:keepNext/>
        <w:rPr>
          <w:rFonts w:ascii="GHEA Grapalat" w:hAnsi="GHEA Grapalat"/>
          <w:b/>
          <w:color w:val="auto"/>
          <w:lang w:val="hy-AM"/>
        </w:rPr>
      </w:pPr>
      <w:r w:rsidRPr="002314CC">
        <w:rPr>
          <w:rFonts w:ascii="GHEA Grapalat" w:hAnsi="GHEA Grapalat"/>
          <w:b/>
          <w:color w:val="auto"/>
          <w:lang w:val="hy-AM"/>
        </w:rPr>
        <w:lastRenderedPageBreak/>
        <w:t xml:space="preserve">Աղյուսակ </w:t>
      </w:r>
      <w:r w:rsidR="00AE24E1" w:rsidRPr="00264252">
        <w:rPr>
          <w:rFonts w:ascii="GHEA Grapalat" w:hAnsi="GHEA Grapalat"/>
          <w:b/>
          <w:color w:val="auto"/>
          <w:lang w:val="hy-AM"/>
        </w:rPr>
        <w:t>6.</w:t>
      </w:r>
      <w:r w:rsidRPr="002314CC">
        <w:rPr>
          <w:rFonts w:ascii="GHEA Grapalat" w:hAnsi="GHEA Grapalat"/>
          <w:b/>
          <w:color w:val="auto"/>
          <w:lang w:val="hy-AM"/>
        </w:rPr>
        <w:t xml:space="preserve">  ՀՀ պետական բյուջեի </w:t>
      </w:r>
      <w:r w:rsidR="002314CC">
        <w:rPr>
          <w:rFonts w:ascii="GHEA Grapalat" w:hAnsi="GHEA Grapalat"/>
          <w:b/>
          <w:color w:val="auto"/>
          <w:lang w:val="hy-AM"/>
        </w:rPr>
        <w:t>ծախսերը</w:t>
      </w:r>
      <w:r w:rsidR="002314CC" w:rsidRPr="00264252">
        <w:rPr>
          <w:rFonts w:ascii="GHEA Grapalat" w:hAnsi="GHEA Grapalat"/>
          <w:b/>
          <w:color w:val="auto"/>
          <w:lang w:val="hy-AM"/>
        </w:rPr>
        <w:t xml:space="preserve"> (մլրդ դրամ)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417"/>
        <w:gridCol w:w="1418"/>
      </w:tblGrid>
      <w:tr w:rsidR="00DB7134" w:rsidRPr="002314CC" w14:paraId="49198EC8" w14:textId="77777777" w:rsidTr="002314CC">
        <w:trPr>
          <w:trHeight w:val="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92F8" w14:textId="77777777" w:rsidR="00DB7134" w:rsidRPr="00264252" w:rsidRDefault="00DB7134" w:rsidP="00AA6690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4252">
              <w:rPr>
                <w:rFonts w:ascii="Courier New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0FF5" w14:textId="77777777" w:rsidR="00DB7134" w:rsidRPr="002314CC" w:rsidRDefault="00DB7134" w:rsidP="00AA6690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2020թ. ինն ամիսների փաստ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F802" w14:textId="77777777" w:rsidR="00DB7134" w:rsidRPr="002314CC" w:rsidRDefault="00DB7134" w:rsidP="00AA6690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2021թ. տարեկան ճշտված պլան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F1B94" w14:textId="77777777" w:rsidR="00DB7134" w:rsidRPr="002314CC" w:rsidRDefault="00DB7134" w:rsidP="00AA6690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2021թ. ինն ամիսների ճշտված պլան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AEBE" w14:textId="77777777" w:rsidR="00DB7134" w:rsidRPr="002314CC" w:rsidRDefault="00DB7134" w:rsidP="00AA6690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2021թ.ինն ամիսների փաստ</w:t>
            </w:r>
          </w:p>
        </w:tc>
      </w:tr>
      <w:tr w:rsidR="00DB7134" w:rsidRPr="002314CC" w14:paraId="40BD4208" w14:textId="77777777" w:rsidTr="002314CC">
        <w:trPr>
          <w:trHeight w:val="34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6DBD" w14:textId="77777777" w:rsidR="00DB7134" w:rsidRPr="002314CC" w:rsidRDefault="00DB7134" w:rsidP="00AA6690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ԸՆԴԱՄԵՆԸ ԾԱԽՍԵՐ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D8C2" w14:textId="77777777" w:rsidR="00DB7134" w:rsidRPr="002314CC" w:rsidRDefault="00DB7134" w:rsidP="00DB7134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1,229.9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4FEF" w14:textId="77777777" w:rsidR="00DB7134" w:rsidRPr="002314CC" w:rsidRDefault="00DB7134" w:rsidP="00DB7134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1,952.5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6C46" w14:textId="77777777" w:rsidR="00DB7134" w:rsidRPr="002314CC" w:rsidRDefault="00DB7134" w:rsidP="00DB7134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1,503.6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9B36" w14:textId="77777777" w:rsidR="00DB7134" w:rsidRPr="002314CC" w:rsidRDefault="00DB7134" w:rsidP="00DB7134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1,349.1</w:t>
            </w:r>
          </w:p>
        </w:tc>
      </w:tr>
      <w:tr w:rsidR="00DB7134" w:rsidRPr="002314CC" w14:paraId="142A26FE" w14:textId="77777777" w:rsidTr="002314CC">
        <w:trPr>
          <w:trHeight w:val="3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F776" w14:textId="77777777" w:rsidR="00DB7134" w:rsidRPr="002314CC" w:rsidRDefault="00DB7134" w:rsidP="002314CC">
            <w:pPr>
              <w:ind w:firstLineChars="100" w:firstLine="20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Ընթացիկ ծախսեր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3971" w14:textId="77777777" w:rsidR="00DB7134" w:rsidRPr="002314CC" w:rsidRDefault="00DB7134" w:rsidP="00DB7134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1,128.2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7A24" w14:textId="77777777" w:rsidR="00DB7134" w:rsidRPr="002314CC" w:rsidRDefault="00DB7134" w:rsidP="00DB7134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1,725.5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ABF7" w14:textId="77777777" w:rsidR="00DB7134" w:rsidRPr="002314CC" w:rsidRDefault="00DB7134" w:rsidP="00DB7134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1,318.3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0A5B" w14:textId="77777777" w:rsidR="00DB7134" w:rsidRPr="002314CC" w:rsidRDefault="00DB7134" w:rsidP="00DB7134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1,223.5</w:t>
            </w:r>
          </w:p>
        </w:tc>
      </w:tr>
      <w:tr w:rsidR="00DB7134" w:rsidRPr="002314CC" w14:paraId="1F49FD64" w14:textId="77777777" w:rsidTr="002314CC">
        <w:trPr>
          <w:trHeight w:val="3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A143" w14:textId="77777777" w:rsidR="00DB7134" w:rsidRPr="002314CC" w:rsidRDefault="00DB7134" w:rsidP="002314CC">
            <w:pPr>
              <w:ind w:firstLineChars="100" w:firstLine="20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Ոչ ֆինանսական ակտիվների հետ գործառնություններ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49A7" w14:textId="77777777" w:rsidR="00DB7134" w:rsidRPr="002314CC" w:rsidRDefault="00DB7134" w:rsidP="00DB7134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101.7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5BFE" w14:textId="77777777" w:rsidR="00DB7134" w:rsidRPr="002314CC" w:rsidRDefault="00DB7134" w:rsidP="00DB7134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227.0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EE53" w14:textId="77777777" w:rsidR="00DB7134" w:rsidRPr="002314CC" w:rsidRDefault="00DB7134" w:rsidP="00DB7134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185.3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B1D4" w14:textId="77777777" w:rsidR="00DB7134" w:rsidRPr="002314CC" w:rsidRDefault="00DB7134" w:rsidP="00DB7134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125.5</w:t>
            </w:r>
          </w:p>
        </w:tc>
      </w:tr>
      <w:tr w:rsidR="00DB7134" w:rsidRPr="002314CC" w14:paraId="5AB7F4FA" w14:textId="77777777" w:rsidTr="002314CC">
        <w:trPr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A3F7" w14:textId="77777777" w:rsidR="00DB7134" w:rsidRPr="002314CC" w:rsidRDefault="00DB7134" w:rsidP="002314CC">
            <w:pPr>
              <w:ind w:firstLineChars="100" w:firstLine="200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353E" w14:textId="77777777" w:rsidR="00DB7134" w:rsidRPr="002314CC" w:rsidRDefault="00DB7134" w:rsidP="00DB7134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3E66" w14:textId="77777777" w:rsidR="00DB7134" w:rsidRPr="002314CC" w:rsidRDefault="00DB7134" w:rsidP="00DB7134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B5B4" w14:textId="77777777" w:rsidR="00DB7134" w:rsidRPr="002314CC" w:rsidRDefault="00DB7134" w:rsidP="00DB7134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B4C0" w14:textId="77777777" w:rsidR="00DB7134" w:rsidRPr="002314CC" w:rsidRDefault="00DB7134" w:rsidP="00DB7134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DB7134" w:rsidRPr="002314CC" w14:paraId="7B5AB3DF" w14:textId="77777777" w:rsidTr="002314CC">
        <w:trPr>
          <w:trHeight w:val="34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02BF" w14:textId="473CAEBC" w:rsidR="00DB7134" w:rsidRPr="002314CC" w:rsidRDefault="00DB7134" w:rsidP="002314CC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Կշիռ</w:t>
            </w:r>
            <w:r w:rsidR="002314CC" w:rsidRPr="002314C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ն</w:t>
            </w:r>
            <w:r w:rsidRPr="002314C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ընդամենը ծախսերի մեջ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30C2" w14:textId="77777777" w:rsidR="00DB7134" w:rsidRPr="002314CC" w:rsidRDefault="00DB7134" w:rsidP="00DB7134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2E02" w14:textId="77777777" w:rsidR="00DB7134" w:rsidRPr="002314CC" w:rsidRDefault="00DB7134" w:rsidP="00DB7134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F106" w14:textId="77777777" w:rsidR="00DB7134" w:rsidRPr="002314CC" w:rsidRDefault="00DB7134" w:rsidP="00DB7134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350B" w14:textId="77777777" w:rsidR="00DB7134" w:rsidRPr="002314CC" w:rsidRDefault="00DB7134" w:rsidP="00DB7134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DB7134" w:rsidRPr="002314CC" w14:paraId="0526B9CC" w14:textId="77777777" w:rsidTr="002314CC">
        <w:trPr>
          <w:trHeight w:val="3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59C9" w14:textId="77777777" w:rsidR="00DB7134" w:rsidRPr="002314CC" w:rsidRDefault="00DB7134" w:rsidP="002314CC">
            <w:pPr>
              <w:ind w:firstLineChars="100" w:firstLine="20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Ընթացիկ ծախսեր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63E3" w14:textId="77777777" w:rsidR="00DB7134" w:rsidRPr="002314CC" w:rsidRDefault="00DB7134" w:rsidP="00DB7134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91.7%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DC92" w14:textId="77777777" w:rsidR="00DB7134" w:rsidRPr="002314CC" w:rsidRDefault="00DB7134" w:rsidP="00DB7134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88.4%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B676" w14:textId="77777777" w:rsidR="00DB7134" w:rsidRPr="002314CC" w:rsidRDefault="00DB7134" w:rsidP="00DB7134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87.7%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BC83" w14:textId="77777777" w:rsidR="00DB7134" w:rsidRPr="002314CC" w:rsidRDefault="00DB7134" w:rsidP="00DB7134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90.7%</w:t>
            </w:r>
          </w:p>
        </w:tc>
      </w:tr>
      <w:tr w:rsidR="00DB7134" w:rsidRPr="002314CC" w14:paraId="720E25BF" w14:textId="77777777" w:rsidTr="002314CC">
        <w:trPr>
          <w:trHeight w:val="3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702C" w14:textId="77777777" w:rsidR="00DB7134" w:rsidRPr="002314CC" w:rsidRDefault="00DB7134" w:rsidP="002314CC">
            <w:pPr>
              <w:ind w:firstLineChars="100" w:firstLine="20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Ոչ ֆինանսական ակտիվների հետ գործառնություններ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1025" w14:textId="77777777" w:rsidR="00DB7134" w:rsidRPr="002314CC" w:rsidRDefault="00DB7134" w:rsidP="00DB7134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8.3%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0BD8" w14:textId="77777777" w:rsidR="00DB7134" w:rsidRPr="002314CC" w:rsidRDefault="00DB7134" w:rsidP="00DB7134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11.6%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4459" w14:textId="77777777" w:rsidR="00DB7134" w:rsidRPr="002314CC" w:rsidRDefault="00DB7134" w:rsidP="00DB7134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12.3%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CCF2" w14:textId="77777777" w:rsidR="00DB7134" w:rsidRPr="002314CC" w:rsidRDefault="00DB7134" w:rsidP="00DB7134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9.3%</w:t>
            </w:r>
          </w:p>
        </w:tc>
      </w:tr>
    </w:tbl>
    <w:p w14:paraId="533ACA72" w14:textId="77777777" w:rsidR="00DB7134" w:rsidRDefault="00DB7134" w:rsidP="006B4AB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14:paraId="05F3649F" w14:textId="50482706" w:rsidR="006B4AB7" w:rsidRPr="00264252" w:rsidRDefault="0053035A" w:rsidP="00D917C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264252">
        <w:rPr>
          <w:rFonts w:ascii="GHEA Grapalat" w:hAnsi="GHEA Grapalat" w:cs="GHEA Grapalat"/>
          <w:color w:val="000000"/>
          <w:lang w:val="hy-AM"/>
        </w:rPr>
        <w:t xml:space="preserve">Ընթացիկ ծախսերի բաղադրիչների վերաբերյալ տվյալները ներկայացված են Աղյուսակ </w:t>
      </w:r>
      <w:r w:rsidR="005B74A9" w:rsidRPr="00264252">
        <w:rPr>
          <w:rFonts w:ascii="GHEA Grapalat" w:hAnsi="GHEA Grapalat" w:cs="GHEA Grapalat"/>
          <w:color w:val="000000"/>
          <w:lang w:val="hy-AM"/>
        </w:rPr>
        <w:t>9</w:t>
      </w:r>
      <w:r w:rsidRPr="00264252">
        <w:rPr>
          <w:rFonts w:ascii="GHEA Grapalat" w:hAnsi="GHEA Grapalat" w:cs="GHEA Grapalat"/>
          <w:color w:val="000000"/>
          <w:lang w:val="hy-AM"/>
        </w:rPr>
        <w:t>-ում:</w:t>
      </w:r>
      <w:r w:rsidR="00D917CA" w:rsidRPr="00264252">
        <w:rPr>
          <w:rFonts w:ascii="GHEA Grapalat" w:hAnsi="GHEA Grapalat" w:cs="GHEA Grapalat"/>
          <w:color w:val="000000"/>
          <w:lang w:val="hy-AM"/>
        </w:rPr>
        <w:t xml:space="preserve"> </w:t>
      </w:r>
      <w:r w:rsidR="005C0DFC">
        <w:rPr>
          <w:rFonts w:ascii="GHEA Grapalat" w:hAnsi="GHEA Grapalat" w:cs="GHEA Grapalat"/>
          <w:color w:val="000000"/>
          <w:lang w:val="hy-AM"/>
        </w:rPr>
        <w:t>Նախորդ տարվա նույն ժամանակահատվածի համեմատ ընթացիկ ծախսեր</w:t>
      </w:r>
      <w:r w:rsidR="005C0DFC" w:rsidRPr="00264252">
        <w:rPr>
          <w:rFonts w:ascii="GHEA Grapalat" w:hAnsi="GHEA Grapalat" w:cs="GHEA Grapalat"/>
          <w:color w:val="000000"/>
          <w:lang w:val="hy-AM"/>
        </w:rPr>
        <w:t>ն</w:t>
      </w:r>
      <w:r w:rsidR="005C0DFC">
        <w:rPr>
          <w:rFonts w:ascii="GHEA Grapalat" w:hAnsi="GHEA Grapalat" w:cs="GHEA Grapalat"/>
          <w:color w:val="000000"/>
          <w:lang w:val="hy-AM"/>
        </w:rPr>
        <w:t xml:space="preserve"> աճել են </w:t>
      </w:r>
      <w:r w:rsidR="005C0DFC" w:rsidRPr="00264252">
        <w:rPr>
          <w:rFonts w:ascii="GHEA Grapalat" w:hAnsi="GHEA Grapalat" w:cs="GHEA Grapalat"/>
          <w:color w:val="000000"/>
          <w:lang w:val="hy-AM"/>
        </w:rPr>
        <w:t>8.4</w:t>
      </w:r>
      <w:r w:rsidR="005C0DFC">
        <w:rPr>
          <w:rFonts w:ascii="GHEA Grapalat" w:hAnsi="GHEA Grapalat" w:cs="GHEA Grapalat"/>
          <w:color w:val="000000"/>
          <w:lang w:val="hy-AM"/>
        </w:rPr>
        <w:t xml:space="preserve">%-ով կամ </w:t>
      </w:r>
      <w:r w:rsidR="005C0DFC" w:rsidRPr="00264252">
        <w:rPr>
          <w:rFonts w:ascii="GHEA Grapalat" w:hAnsi="GHEA Grapalat" w:cs="GHEA Grapalat"/>
          <w:color w:val="000000"/>
          <w:lang w:val="hy-AM"/>
        </w:rPr>
        <w:t>95.3</w:t>
      </w:r>
      <w:r w:rsidR="005C0DFC">
        <w:rPr>
          <w:rFonts w:ascii="GHEA Grapalat" w:hAnsi="GHEA Grapalat" w:cs="GHEA Grapalat"/>
          <w:color w:val="000000"/>
          <w:lang w:val="hy-AM"/>
        </w:rPr>
        <w:t xml:space="preserve"> մլրդ դրամով:</w:t>
      </w:r>
      <w:r w:rsidR="005C0DFC" w:rsidRPr="00264252">
        <w:rPr>
          <w:rFonts w:ascii="GHEA Grapalat" w:hAnsi="GHEA Grapalat" w:cs="GHEA Grapalat"/>
          <w:color w:val="000000"/>
          <w:lang w:val="hy-AM"/>
        </w:rPr>
        <w:t xml:space="preserve"> Մասնավորապես՝ </w:t>
      </w:r>
      <w:r w:rsidR="00D917CA" w:rsidRPr="00264252">
        <w:rPr>
          <w:rFonts w:ascii="GHEA Grapalat" w:hAnsi="GHEA Grapalat" w:cs="GHEA Grapalat"/>
          <w:color w:val="000000"/>
          <w:lang w:val="hy-AM"/>
        </w:rPr>
        <w:t>ծ</w:t>
      </w:r>
      <w:r w:rsidR="006B4AB7">
        <w:rPr>
          <w:rFonts w:ascii="GHEA Grapalat" w:hAnsi="GHEA Grapalat" w:cs="GHEA Grapalat"/>
          <w:color w:val="000000"/>
          <w:lang w:val="hy-AM"/>
        </w:rPr>
        <w:t xml:space="preserve">առայությունների և ապրանքների ձեռքբերման </w:t>
      </w:r>
      <w:r w:rsidRPr="00264252">
        <w:rPr>
          <w:rFonts w:ascii="GHEA Grapalat" w:hAnsi="GHEA Grapalat" w:cs="GHEA Grapalat"/>
          <w:color w:val="000000"/>
          <w:lang w:val="hy-AM"/>
        </w:rPr>
        <w:t xml:space="preserve">ծախսերի </w:t>
      </w:r>
      <w:r w:rsidR="00E04721" w:rsidRPr="00264252">
        <w:rPr>
          <w:rFonts w:ascii="GHEA Grapalat" w:hAnsi="GHEA Grapalat" w:cs="GHEA Grapalat"/>
          <w:color w:val="000000"/>
          <w:lang w:val="hy-AM"/>
        </w:rPr>
        <w:t xml:space="preserve">2.4% </w:t>
      </w:r>
      <w:r w:rsidRPr="00264252">
        <w:rPr>
          <w:rFonts w:ascii="GHEA Grapalat" w:hAnsi="GHEA Grapalat" w:cs="GHEA Grapalat"/>
          <w:color w:val="000000"/>
          <w:lang w:val="hy-AM"/>
        </w:rPr>
        <w:t>աճը</w:t>
      </w:r>
      <w:r w:rsidR="006B4AB7">
        <w:rPr>
          <w:rFonts w:ascii="GHEA Grapalat" w:hAnsi="GHEA Grapalat" w:cs="GHEA Grapalat"/>
          <w:color w:val="000000"/>
          <w:lang w:val="hy-AM"/>
        </w:rPr>
        <w:t xml:space="preserve"> </w:t>
      </w:r>
      <w:r w:rsidR="006B4AB7" w:rsidRPr="00943223">
        <w:rPr>
          <w:rFonts w:ascii="GHEA Grapalat" w:hAnsi="GHEA Grapalat" w:cs="GHEA Grapalat"/>
          <w:color w:val="000000"/>
          <w:lang w:val="hy-AM"/>
        </w:rPr>
        <w:t>հիմնականում պայմանավորված</w:t>
      </w:r>
      <w:r w:rsidRPr="00264252">
        <w:rPr>
          <w:rFonts w:ascii="GHEA Grapalat" w:hAnsi="GHEA Grapalat" w:cs="GHEA Grapalat"/>
          <w:color w:val="000000"/>
          <w:lang w:val="hy-AM"/>
        </w:rPr>
        <w:t xml:space="preserve"> է</w:t>
      </w:r>
      <w:r w:rsidR="006B4AB7" w:rsidRPr="00943223">
        <w:rPr>
          <w:rFonts w:ascii="GHEA Grapalat" w:hAnsi="GHEA Grapalat" w:cs="GHEA Grapalat"/>
          <w:color w:val="000000"/>
          <w:lang w:val="hy-AM"/>
        </w:rPr>
        <w:t xml:space="preserve"> պայմանագ</w:t>
      </w:r>
      <w:r w:rsidR="005C0DFC">
        <w:rPr>
          <w:rFonts w:ascii="GHEA Grapalat" w:hAnsi="GHEA Grapalat" w:cs="GHEA Grapalat"/>
          <w:color w:val="000000"/>
          <w:lang w:val="hy-AM"/>
        </w:rPr>
        <w:t>րային այլ ծառայությունների ձեռք</w:t>
      </w:r>
      <w:r w:rsidR="006B4AB7" w:rsidRPr="00943223">
        <w:rPr>
          <w:rFonts w:ascii="GHEA Grapalat" w:hAnsi="GHEA Grapalat" w:cs="GHEA Grapalat"/>
          <w:color w:val="000000"/>
          <w:lang w:val="hy-AM"/>
        </w:rPr>
        <w:t>բերման և շարունակական ծախսերի աճով:</w:t>
      </w:r>
    </w:p>
    <w:p w14:paraId="6567CAD4" w14:textId="3ECAEF5D" w:rsidR="006B4AB7" w:rsidRDefault="00D917CA" w:rsidP="00A23AC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264252">
        <w:rPr>
          <w:rFonts w:ascii="GHEA Grapalat" w:hAnsi="GHEA Grapalat" w:cs="GHEA Grapalat"/>
          <w:color w:val="000000"/>
          <w:lang w:val="hy-AM"/>
        </w:rPr>
        <w:t>Հ</w:t>
      </w:r>
      <w:r>
        <w:rPr>
          <w:rFonts w:ascii="GHEA Grapalat" w:hAnsi="GHEA Grapalat" w:cs="GHEA Grapalat"/>
          <w:color w:val="000000"/>
          <w:lang w:val="hy-AM"/>
        </w:rPr>
        <w:t xml:space="preserve">աշվետու ժամանակահատվածում </w:t>
      </w:r>
      <w:r w:rsidR="006B4AB7">
        <w:rPr>
          <w:rFonts w:ascii="GHEA Grapalat" w:hAnsi="GHEA Grapalat" w:cs="GHEA Grapalat"/>
          <w:color w:val="000000"/>
          <w:lang w:val="hy-AM"/>
        </w:rPr>
        <w:t xml:space="preserve">Կառավարության պարտքի սպասարկման </w:t>
      </w:r>
      <w:r w:rsidRPr="00264252">
        <w:rPr>
          <w:rFonts w:ascii="GHEA Grapalat" w:hAnsi="GHEA Grapalat" w:cs="GHEA Grapalat"/>
          <w:color w:val="000000"/>
          <w:lang w:val="hy-AM"/>
        </w:rPr>
        <w:t xml:space="preserve"> ծախսերում առաջացել է 7.1 մլրդ դրամի տնտեսում, որից 1.7 մլրդ դրամը՝ ներքին պարտքի, 5.4 մլրդ դրամը՝ արտաքին պարտքի գծով: </w:t>
      </w:r>
      <w:r w:rsidR="008A1ED1" w:rsidRPr="008A1ED1">
        <w:rPr>
          <w:rFonts w:ascii="GHEA Grapalat" w:hAnsi="GHEA Grapalat" w:cs="GHEA Grapalat"/>
          <w:color w:val="000000"/>
          <w:lang w:val="hy-AM"/>
        </w:rPr>
        <w:t xml:space="preserve">Պետական գանձապետական պարտատոմսերի սպասարկման գծով </w:t>
      </w:r>
      <w:r w:rsidR="008A1ED1" w:rsidRPr="00943223">
        <w:rPr>
          <w:rFonts w:ascii="GHEA Grapalat" w:hAnsi="GHEA Grapalat" w:cs="GHEA Grapalat"/>
          <w:color w:val="000000"/>
          <w:lang w:val="hy-AM"/>
        </w:rPr>
        <w:t>1.7</w:t>
      </w:r>
      <w:r w:rsidR="008A1ED1" w:rsidRPr="008A1ED1">
        <w:rPr>
          <w:rFonts w:ascii="GHEA Grapalat" w:hAnsi="GHEA Grapalat" w:cs="GHEA Grapalat"/>
          <w:color w:val="000000"/>
          <w:lang w:val="hy-AM"/>
        </w:rPr>
        <w:t xml:space="preserve"> մլ</w:t>
      </w:r>
      <w:r w:rsidR="008A1ED1" w:rsidRPr="00943223">
        <w:rPr>
          <w:rFonts w:ascii="GHEA Grapalat" w:hAnsi="GHEA Grapalat" w:cs="GHEA Grapalat"/>
          <w:color w:val="000000"/>
          <w:lang w:val="hy-AM"/>
        </w:rPr>
        <w:t>րդ</w:t>
      </w:r>
      <w:r w:rsidR="008A1ED1" w:rsidRPr="008A1ED1">
        <w:rPr>
          <w:rFonts w:ascii="GHEA Grapalat" w:hAnsi="GHEA Grapalat" w:cs="GHEA Grapalat"/>
          <w:color w:val="000000"/>
          <w:lang w:val="hy-AM"/>
        </w:rPr>
        <w:t xml:space="preserve"> դրամի տնտեսումները պայմանավորված են եղել կանխատեսածի համեմատ փաստացի եկամտաբերության տարբերությամբ: Արտաքին վարկերի սպասարկման գծով </w:t>
      </w:r>
      <w:r w:rsidR="008A1ED1" w:rsidRPr="00943223">
        <w:rPr>
          <w:rFonts w:ascii="GHEA Grapalat" w:hAnsi="GHEA Grapalat" w:cs="GHEA Grapalat"/>
          <w:color w:val="000000"/>
          <w:lang w:val="hy-AM"/>
        </w:rPr>
        <w:t>3.9</w:t>
      </w:r>
      <w:r w:rsidR="008A1ED1" w:rsidRPr="008A1ED1">
        <w:rPr>
          <w:rFonts w:ascii="GHEA Grapalat" w:hAnsi="GHEA Grapalat" w:cs="GHEA Grapalat"/>
          <w:color w:val="000000"/>
          <w:lang w:val="hy-AM"/>
        </w:rPr>
        <w:t xml:space="preserve"> մլրդ դրամի տնտեսումները պայմանավորված են 6</w:t>
      </w:r>
      <w:r w:rsidR="008A1ED1" w:rsidRPr="008A1ED1">
        <w:rPr>
          <w:rFonts w:ascii="GHEA Grapalat" w:hAnsi="GHEA Grapalat" w:cs="GHEA Grapalat"/>
          <w:color w:val="000000"/>
          <w:lang w:val="hy-AM"/>
        </w:rPr>
        <w:noBreakHyphen/>
        <w:t xml:space="preserve">ամսյա ԱՄՆ դոլարի LIBOR, 6-ամսյա EURIBOR կանխատեսումային ու 2021 թվականի </w:t>
      </w:r>
      <w:r w:rsidR="008A1ED1" w:rsidRPr="00943223">
        <w:rPr>
          <w:rFonts w:ascii="GHEA Grapalat" w:hAnsi="GHEA Grapalat" w:cs="GHEA Grapalat"/>
          <w:color w:val="000000"/>
          <w:lang w:val="hy-AM"/>
        </w:rPr>
        <w:t>ինն ամիսների ընթացքում</w:t>
      </w:r>
      <w:r w:rsidR="008A1ED1" w:rsidRPr="008A1ED1">
        <w:rPr>
          <w:rFonts w:ascii="GHEA Grapalat" w:hAnsi="GHEA Grapalat" w:cs="GHEA Grapalat"/>
          <w:color w:val="000000"/>
          <w:lang w:val="hy-AM"/>
        </w:rPr>
        <w:t xml:space="preserve"> վճարումների համար կիրառված փաստացի դրույքաչափերի տարբերությամբ, 2020 թվականին ու 2021 թվականի </w:t>
      </w:r>
      <w:r w:rsidR="008A1ED1" w:rsidRPr="00943223">
        <w:rPr>
          <w:rFonts w:ascii="GHEA Grapalat" w:hAnsi="GHEA Grapalat" w:cs="GHEA Grapalat"/>
          <w:color w:val="000000"/>
          <w:lang w:val="hy-AM"/>
        </w:rPr>
        <w:t>ինն ամիսների</w:t>
      </w:r>
      <w:r w:rsidR="008A1ED1" w:rsidRPr="008A1ED1">
        <w:rPr>
          <w:rFonts w:ascii="GHEA Grapalat" w:hAnsi="GHEA Grapalat" w:cs="GHEA Grapalat"/>
          <w:color w:val="000000"/>
          <w:lang w:val="hy-AM"/>
        </w:rPr>
        <w:t xml:space="preserve"> ընթացքում մի շարք վարկերի գծով մասհանումների ծրագրված ցուցանիշների էական թերակատարմամբ, արտարժույթների նկատմամբ ՀՀ դրամի կանխատեսումային և փաստացի ձևավորված փոխարժեքների տարբերությամբ: Արտարժութային պետական պարտատոմսերի սպասարկման գծով </w:t>
      </w:r>
      <w:r w:rsidR="00A23AC2" w:rsidRPr="00943223">
        <w:rPr>
          <w:rFonts w:ascii="GHEA Grapalat" w:hAnsi="GHEA Grapalat" w:cs="GHEA Grapalat"/>
          <w:color w:val="000000"/>
          <w:lang w:val="hy-AM"/>
        </w:rPr>
        <w:t>1.5 մլրդ</w:t>
      </w:r>
      <w:r w:rsidR="008A1ED1" w:rsidRPr="008A1ED1">
        <w:rPr>
          <w:rFonts w:ascii="GHEA Grapalat" w:hAnsi="GHEA Grapalat" w:cs="GHEA Grapalat"/>
          <w:color w:val="000000"/>
          <w:lang w:val="hy-AM"/>
        </w:rPr>
        <w:t xml:space="preserve"> դրամի տնտեսումները պայմանավորված են եղել </w:t>
      </w:r>
      <w:r w:rsidR="00A23AC2" w:rsidRPr="00943223">
        <w:rPr>
          <w:rFonts w:ascii="GHEA Grapalat" w:hAnsi="GHEA Grapalat" w:cs="GHEA Grapalat"/>
          <w:color w:val="000000"/>
          <w:lang w:val="hy-AM"/>
        </w:rPr>
        <w:t>ԱՄՆ դոլարի</w:t>
      </w:r>
      <w:r w:rsidR="008A1ED1" w:rsidRPr="008A1ED1">
        <w:rPr>
          <w:rFonts w:ascii="GHEA Grapalat" w:hAnsi="GHEA Grapalat" w:cs="GHEA Grapalat"/>
          <w:color w:val="000000"/>
          <w:lang w:val="hy-AM"/>
        </w:rPr>
        <w:t xml:space="preserve"> նկատմամբ ՀՀ դրամի կանխատեսումային և փաստացի ձևավորված փոխարժեքների տարբերությամբ:</w:t>
      </w:r>
      <w:r w:rsidR="00A23AC2" w:rsidRPr="00943223">
        <w:rPr>
          <w:rFonts w:ascii="GHEA Grapalat" w:hAnsi="GHEA Grapalat" w:cs="GHEA Grapalat"/>
          <w:color w:val="000000"/>
          <w:lang w:val="hy-AM"/>
        </w:rPr>
        <w:t xml:space="preserve"> </w:t>
      </w:r>
      <w:r w:rsidR="006B4AB7">
        <w:rPr>
          <w:rFonts w:ascii="GHEA Grapalat" w:hAnsi="GHEA Grapalat" w:cs="GHEA Grapalat"/>
          <w:color w:val="000000"/>
          <w:lang w:val="hy-AM"/>
        </w:rPr>
        <w:t>2020 թվականի նույն ժամանակահատվածի համեմատ պարտքի սպասարկման ծախսեր</w:t>
      </w:r>
      <w:r w:rsidRPr="00264252">
        <w:rPr>
          <w:rFonts w:ascii="GHEA Grapalat" w:hAnsi="GHEA Grapalat" w:cs="GHEA Grapalat"/>
          <w:color w:val="000000"/>
          <w:lang w:val="hy-AM"/>
        </w:rPr>
        <w:t>ի</w:t>
      </w:r>
      <w:r w:rsidR="006B4AB7">
        <w:rPr>
          <w:rFonts w:ascii="GHEA Grapalat" w:hAnsi="GHEA Grapalat" w:cs="GHEA Grapalat"/>
          <w:color w:val="000000"/>
          <w:lang w:val="hy-AM"/>
        </w:rPr>
        <w:t xml:space="preserve"> ա</w:t>
      </w:r>
      <w:r w:rsidR="006B4AB7" w:rsidRPr="00943223">
        <w:rPr>
          <w:rFonts w:ascii="GHEA Grapalat" w:hAnsi="GHEA Grapalat" w:cs="GHEA Grapalat"/>
          <w:color w:val="000000"/>
          <w:lang w:val="hy-AM"/>
        </w:rPr>
        <w:t>ճ</w:t>
      </w:r>
      <w:r w:rsidRPr="00264252">
        <w:rPr>
          <w:rFonts w:ascii="GHEA Grapalat" w:hAnsi="GHEA Grapalat" w:cs="GHEA Grapalat"/>
          <w:color w:val="000000"/>
          <w:lang w:val="hy-AM"/>
        </w:rPr>
        <w:t>ը</w:t>
      </w:r>
      <w:r w:rsidR="006B4AB7" w:rsidRPr="00943223">
        <w:rPr>
          <w:rFonts w:ascii="GHEA Grapalat" w:hAnsi="GHEA Grapalat" w:cs="GHEA Grapalat"/>
          <w:color w:val="000000"/>
          <w:lang w:val="hy-AM"/>
        </w:rPr>
        <w:t xml:space="preserve"> </w:t>
      </w:r>
      <w:r w:rsidR="006B4AB7" w:rsidRPr="00AB2E82">
        <w:rPr>
          <w:rFonts w:ascii="GHEA Grapalat" w:hAnsi="GHEA Grapalat" w:cs="GHEA Grapalat"/>
          <w:color w:val="000000"/>
          <w:lang w:val="hy-AM"/>
        </w:rPr>
        <w:t xml:space="preserve">պայմանավորված </w:t>
      </w:r>
      <w:r w:rsidRPr="00264252">
        <w:rPr>
          <w:rFonts w:ascii="GHEA Grapalat" w:hAnsi="GHEA Grapalat" w:cs="GHEA Grapalat"/>
          <w:color w:val="000000"/>
          <w:lang w:val="hy-AM"/>
        </w:rPr>
        <w:t xml:space="preserve">է </w:t>
      </w:r>
      <w:r w:rsidR="006B4AB7" w:rsidRPr="00AB2E82">
        <w:rPr>
          <w:rFonts w:ascii="GHEA Grapalat" w:hAnsi="GHEA Grapalat" w:cs="GHEA Grapalat"/>
          <w:color w:val="000000"/>
          <w:lang w:val="hy-AM"/>
        </w:rPr>
        <w:t xml:space="preserve">կառավարության պարտքի ծավալի և </w:t>
      </w:r>
      <w:r w:rsidR="006B4AB7" w:rsidRPr="00AB2E82">
        <w:rPr>
          <w:rFonts w:ascii="GHEA Grapalat" w:hAnsi="GHEA Grapalat" w:cs="GHEA Grapalat"/>
          <w:color w:val="000000"/>
          <w:lang w:val="hy-AM"/>
        </w:rPr>
        <w:lastRenderedPageBreak/>
        <w:t>վերջինիս կառուցվածքում պետական գանձապետական պարտատոմսերի տեսակարար կշռի աճով</w:t>
      </w:r>
      <w:r w:rsidR="006B4AB7" w:rsidRPr="00943223">
        <w:rPr>
          <w:rFonts w:ascii="GHEA Grapalat" w:hAnsi="GHEA Grapalat" w:cs="GHEA Grapalat"/>
          <w:color w:val="000000"/>
          <w:lang w:val="hy-AM"/>
        </w:rPr>
        <w:t>:</w:t>
      </w:r>
      <w:r w:rsidR="006B4AB7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51E763AD" w14:textId="77777777" w:rsidR="0053035A" w:rsidRPr="00264252" w:rsidRDefault="0053035A" w:rsidP="006B4AB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14:paraId="5111C3A2" w14:textId="0BB39822" w:rsidR="00D917CA" w:rsidRPr="00264252" w:rsidRDefault="00D917CA" w:rsidP="00D917CA">
      <w:pPr>
        <w:pStyle w:val="Caption"/>
        <w:keepNext/>
        <w:rPr>
          <w:rFonts w:ascii="GHEA Grapalat" w:hAnsi="GHEA Grapalat"/>
          <w:b/>
          <w:color w:val="auto"/>
          <w:lang w:val="hy-AM"/>
        </w:rPr>
      </w:pPr>
      <w:r w:rsidRPr="00AE24E1">
        <w:rPr>
          <w:rFonts w:ascii="GHEA Grapalat" w:hAnsi="GHEA Grapalat"/>
          <w:b/>
          <w:color w:val="auto"/>
          <w:lang w:val="hy-AM"/>
        </w:rPr>
        <w:t xml:space="preserve">Աղյուսակ </w:t>
      </w:r>
      <w:r w:rsidRPr="00264252">
        <w:rPr>
          <w:rFonts w:ascii="GHEA Grapalat" w:hAnsi="GHEA Grapalat"/>
          <w:b/>
          <w:color w:val="auto"/>
          <w:lang w:val="hy-AM"/>
        </w:rPr>
        <w:t>7.</w:t>
      </w:r>
      <w:r w:rsidRPr="00AE24E1">
        <w:rPr>
          <w:rFonts w:ascii="GHEA Grapalat" w:hAnsi="GHEA Grapalat"/>
          <w:b/>
          <w:color w:val="auto"/>
          <w:lang w:val="hy-AM"/>
        </w:rPr>
        <w:t xml:space="preserve">  </w:t>
      </w:r>
      <w:r w:rsidRPr="00264252">
        <w:rPr>
          <w:rFonts w:ascii="GHEA Grapalat" w:hAnsi="GHEA Grapalat"/>
          <w:b/>
          <w:color w:val="auto"/>
          <w:lang w:val="hy-AM"/>
        </w:rPr>
        <w:t>Կառավարության պարտքի սպասարկման</w:t>
      </w:r>
      <w:r w:rsidRPr="00AE24E1">
        <w:rPr>
          <w:rFonts w:ascii="GHEA Grapalat" w:hAnsi="GHEA Grapalat"/>
          <w:b/>
          <w:color w:val="auto"/>
          <w:lang w:val="hy-AM"/>
        </w:rPr>
        <w:t xml:space="preserve"> ծախսերը</w:t>
      </w:r>
      <w:r w:rsidRPr="00264252">
        <w:rPr>
          <w:rFonts w:ascii="GHEA Grapalat" w:hAnsi="GHEA Grapalat"/>
          <w:b/>
          <w:color w:val="auto"/>
          <w:lang w:val="hy-AM"/>
        </w:rPr>
        <w:t xml:space="preserve"> (մլրդ դրամ)</w:t>
      </w:r>
    </w:p>
    <w:tbl>
      <w:tblPr>
        <w:tblW w:w="1034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417"/>
        <w:gridCol w:w="1418"/>
        <w:gridCol w:w="1418"/>
      </w:tblGrid>
      <w:tr w:rsidR="00D917CA" w:rsidRPr="00AE24E1" w14:paraId="27C3D05A" w14:textId="77777777" w:rsidTr="00D917CA">
        <w:trPr>
          <w:trHeight w:val="1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F06C" w14:textId="77777777" w:rsidR="00D917CA" w:rsidRPr="00264252" w:rsidRDefault="00D917CA" w:rsidP="00D917CA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64252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3F85" w14:textId="77777777" w:rsidR="00D917CA" w:rsidRPr="00AE24E1" w:rsidRDefault="00D917CA" w:rsidP="00D917CA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2020թ. ինն ամիսների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F9474" w14:textId="77777777" w:rsidR="00D917CA" w:rsidRPr="00AE24E1" w:rsidRDefault="00D917CA" w:rsidP="00D917CA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2021թ. ինն ամիսների ճշտված պլան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F664" w14:textId="77777777" w:rsidR="00D917CA" w:rsidRPr="00AE24E1" w:rsidRDefault="00D917CA" w:rsidP="00D917CA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2021թ. 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ի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նն ամիսների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F2268" w14:textId="77777777" w:rsidR="00D917CA" w:rsidRDefault="00D917CA" w:rsidP="00D917CA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Կ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ատարո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ղականը ճշտված պլանի նկատմամբ</w:t>
            </w:r>
          </w:p>
          <w:p w14:paraId="2577E5F2" w14:textId="77777777" w:rsidR="00D917CA" w:rsidRPr="00AE24E1" w:rsidRDefault="00D917CA" w:rsidP="00D917CA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20E05" w14:textId="77777777" w:rsidR="00E41428" w:rsidRDefault="00E41428" w:rsidP="00E414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2021թ.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ինն ամիսները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2020թ.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ինն ամիսների 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նկատմամբ</w:t>
            </w:r>
          </w:p>
          <w:p w14:paraId="0D559863" w14:textId="63A0A444" w:rsidR="00D917CA" w:rsidRPr="00AE24E1" w:rsidRDefault="00E41428" w:rsidP="00E414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E04721" w:rsidRPr="00AE24E1" w14:paraId="3063363F" w14:textId="77777777" w:rsidTr="00D917C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E3FD" w14:textId="2D56EAE5" w:rsidR="00E04721" w:rsidRPr="00AE24E1" w:rsidRDefault="00E04721" w:rsidP="00E04721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04721">
              <w:rPr>
                <w:rFonts w:ascii="GHEA Grapalat" w:hAnsi="GHEA Grapalat"/>
                <w:b/>
                <w:sz w:val="20"/>
                <w:szCs w:val="20"/>
              </w:rPr>
              <w:t>Տոկոսավճարներ,</w:t>
            </w:r>
            <w:r>
              <w:rPr>
                <w:rFonts w:ascii="GHEA Grapalat" w:hAnsi="GHEA Grapalat"/>
                <w:sz w:val="20"/>
                <w:szCs w:val="20"/>
              </w:rPr>
              <w:t xml:space="preserve"> այդ թվում՝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2BD6" w14:textId="65C43ACC" w:rsidR="00E04721" w:rsidRPr="00AE24E1" w:rsidRDefault="00E04721" w:rsidP="00D917C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117.7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A328" w14:textId="5C880C7D" w:rsidR="00E04721" w:rsidRPr="00AE24E1" w:rsidRDefault="00E04721" w:rsidP="00D917C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134.7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1D61" w14:textId="3488D77E" w:rsidR="00E04721" w:rsidRPr="00AE24E1" w:rsidRDefault="00E04721" w:rsidP="00D917C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127.6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108FF" w14:textId="366D66E4" w:rsidR="00E04721" w:rsidRPr="00AE24E1" w:rsidRDefault="00E04721" w:rsidP="00D917CA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94.7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1B17" w14:textId="77777777" w:rsidR="00E04721" w:rsidRPr="00AE24E1" w:rsidRDefault="00E04721" w:rsidP="00D917CA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108.4%</w:t>
            </w:r>
          </w:p>
        </w:tc>
      </w:tr>
      <w:tr w:rsidR="00E04721" w:rsidRPr="00AE24E1" w14:paraId="5EF38DEE" w14:textId="77777777" w:rsidTr="00D917C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B55B6" w14:textId="5C9DD08F" w:rsidR="00E04721" w:rsidRPr="00AE24E1" w:rsidRDefault="00E04721" w:rsidP="00E04721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Ներքին տոկոսավճարներ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42ED0" w14:textId="34109FBE" w:rsidR="00E04721" w:rsidRPr="00AE24E1" w:rsidRDefault="00E04721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4B99B" w14:textId="1E1102EF" w:rsidR="00E04721" w:rsidRPr="00AE24E1" w:rsidRDefault="00E04721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3332" w14:textId="78B062DE" w:rsidR="00E04721" w:rsidRPr="00AE24E1" w:rsidRDefault="00E04721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65.9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5CE5E" w14:textId="20860D10" w:rsidR="00E04721" w:rsidRPr="00AE24E1" w:rsidRDefault="00E04721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97.5%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AD7C0" w14:textId="5E9B95C9" w:rsidR="00E04721" w:rsidRPr="00AE24E1" w:rsidRDefault="00E04721" w:rsidP="00D917CA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120.6%</w:t>
            </w:r>
          </w:p>
        </w:tc>
      </w:tr>
      <w:tr w:rsidR="00E04721" w:rsidRPr="00AE24E1" w14:paraId="5B90AFBF" w14:textId="77777777" w:rsidTr="00D917C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D026" w14:textId="237AC3F9" w:rsidR="00E04721" w:rsidRPr="00AE24E1" w:rsidRDefault="00E04721" w:rsidP="00D917CA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Արտաքին տոկոսավճարներ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23A9" w14:textId="725341A4" w:rsidR="00E04721" w:rsidRPr="00AE24E1" w:rsidRDefault="00E04721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63.1</w:t>
            </w: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ECC7" w14:textId="4771ED7B" w:rsidR="00E04721" w:rsidRPr="00AE24E1" w:rsidRDefault="00E04721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67.1</w:t>
            </w: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54BB" w14:textId="3CB9BEE9" w:rsidR="00E04721" w:rsidRPr="00AE24E1" w:rsidRDefault="00E04721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61.7</w:t>
            </w: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53385" w14:textId="6A00B1E8" w:rsidR="00E04721" w:rsidRPr="00AE24E1" w:rsidRDefault="00E04721" w:rsidP="00D917CA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91.9</w:t>
            </w:r>
            <w:r w:rsidRPr="00AE24E1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47E2" w14:textId="677F70A7" w:rsidR="00E04721" w:rsidRPr="00AE24E1" w:rsidRDefault="00E04721" w:rsidP="00D917CA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97.8</w:t>
            </w:r>
            <w:r w:rsidRPr="00AE24E1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</w:tr>
    </w:tbl>
    <w:p w14:paraId="34E7B6CB" w14:textId="77777777" w:rsidR="0053035A" w:rsidRDefault="0053035A" w:rsidP="006B4AB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59DD0127" w14:textId="7F5BCA65" w:rsidR="006B4AB7" w:rsidRDefault="005044B5" w:rsidP="006B4AB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</w:rPr>
        <w:t xml:space="preserve">Նախորդ տարվա ինն ամիսների համեմատ </w:t>
      </w:r>
      <w:r w:rsidR="006B4AB7"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>
        <w:rPr>
          <w:rFonts w:ascii="GHEA Grapalat" w:hAnsi="GHEA Grapalat" w:cs="GHEA Grapalat"/>
        </w:rPr>
        <w:t>նույն ժամանակահատվածում</w:t>
      </w:r>
      <w:r w:rsidR="006B4AB7" w:rsidRPr="00943223">
        <w:rPr>
          <w:rFonts w:ascii="GHEA Grapalat" w:hAnsi="GHEA Grapalat" w:cs="GHEA Grapalat"/>
          <w:b/>
          <w:lang w:val="hy-AM"/>
        </w:rPr>
        <w:t xml:space="preserve"> </w:t>
      </w:r>
      <w:r w:rsidR="006B4AB7">
        <w:rPr>
          <w:rFonts w:ascii="GHEA Grapalat" w:hAnsi="GHEA Grapalat" w:cs="GHEA Grapalat"/>
          <w:color w:val="000000"/>
          <w:lang w:val="hy-AM"/>
        </w:rPr>
        <w:t>ՀՀ պետական բյուջեից տրամադրվ</w:t>
      </w:r>
      <w:r w:rsidR="00E04721">
        <w:rPr>
          <w:rFonts w:ascii="GHEA Grapalat" w:hAnsi="GHEA Grapalat" w:cs="GHEA Grapalat"/>
          <w:color w:val="000000"/>
        </w:rPr>
        <w:t>ած</w:t>
      </w:r>
      <w:r w:rsidR="006B4AB7">
        <w:rPr>
          <w:rFonts w:ascii="GHEA Grapalat" w:hAnsi="GHEA Grapalat" w:cs="GHEA Grapalat"/>
          <w:color w:val="000000"/>
          <w:lang w:val="hy-AM"/>
        </w:rPr>
        <w:t xml:space="preserve"> սուբսիդիաներ</w:t>
      </w:r>
      <w:r>
        <w:rPr>
          <w:rFonts w:ascii="GHEA Grapalat" w:hAnsi="GHEA Grapalat" w:cs="GHEA Grapalat"/>
          <w:color w:val="000000"/>
        </w:rPr>
        <w:t>ի 15.9%</w:t>
      </w:r>
      <w:r w:rsidR="006B4AB7" w:rsidRPr="000D59A7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 xml:space="preserve">աճը </w:t>
      </w:r>
      <w:r w:rsidR="006B4AB7" w:rsidRPr="00374F98">
        <w:rPr>
          <w:rFonts w:ascii="GHEA Grapalat" w:hAnsi="GHEA Grapalat" w:cs="GHEA Grapalat"/>
          <w:color w:val="000000"/>
          <w:lang w:val="hy-AM"/>
        </w:rPr>
        <w:t xml:space="preserve">հիմնականում պայմանավորված է </w:t>
      </w:r>
      <w:r w:rsidR="006B4AB7" w:rsidRPr="00943223">
        <w:rPr>
          <w:rFonts w:ascii="GHEA Grapalat" w:hAnsi="GHEA Grapalat" w:cs="GHEA Grapalat"/>
          <w:color w:val="000000"/>
          <w:lang w:val="hy-AM"/>
        </w:rPr>
        <w:t>կորոնավիրուսի (COVID-19)</w:t>
      </w:r>
      <w:r w:rsidR="006B4AB7" w:rsidRPr="00374F98">
        <w:rPr>
          <w:rFonts w:ascii="GHEA Grapalat" w:hAnsi="GHEA Grapalat" w:cs="GHEA Grapalat"/>
          <w:lang w:val="hy-AM"/>
        </w:rPr>
        <w:t xml:space="preserve"> տնտեսական հետևանքների չեզոքացման </w:t>
      </w:r>
      <w:r w:rsidR="006B4AB7" w:rsidRPr="00943223">
        <w:rPr>
          <w:rFonts w:ascii="GHEA Grapalat" w:hAnsi="GHEA Grapalat" w:cs="GHEA Grapalat"/>
          <w:lang w:val="hy-AM"/>
        </w:rPr>
        <w:t>նպատակ</w:t>
      </w:r>
      <w:r w:rsidR="006B4AB7" w:rsidRPr="00374F98">
        <w:rPr>
          <w:rFonts w:ascii="GHEA Grapalat" w:hAnsi="GHEA Grapalat" w:cs="GHEA Grapalat"/>
          <w:lang w:val="hy-AM"/>
        </w:rPr>
        <w:t xml:space="preserve">ով տրամադրված վարկերի </w:t>
      </w:r>
      <w:r w:rsidR="006B4AB7" w:rsidRPr="00374F98">
        <w:rPr>
          <w:rFonts w:ascii="GHEA Grapalat" w:hAnsi="GHEA Grapalat" w:cs="GHEA Grapalat"/>
          <w:color w:val="000000"/>
          <w:lang w:val="hy-AM"/>
        </w:rPr>
        <w:t>տոկոսադրույքների սուբսիդավորմա</w:t>
      </w:r>
      <w:r w:rsidR="006B4AB7" w:rsidRPr="00943223">
        <w:rPr>
          <w:rFonts w:ascii="GHEA Grapalat" w:hAnsi="GHEA Grapalat" w:cs="GHEA Grapalat"/>
          <w:color w:val="000000"/>
          <w:lang w:val="hy-AM"/>
        </w:rPr>
        <w:t>ն, գ</w:t>
      </w:r>
      <w:r w:rsidR="006B4AB7" w:rsidRPr="00374F98">
        <w:rPr>
          <w:rFonts w:ascii="GHEA Grapalat" w:hAnsi="GHEA Grapalat" w:cs="GHEA Grapalat"/>
          <w:color w:val="000000"/>
          <w:lang w:val="hy-AM"/>
        </w:rPr>
        <w:t xml:space="preserve">յուղատնտեսական </w:t>
      </w:r>
      <w:r w:rsidR="006B4AB7" w:rsidRPr="00943223">
        <w:rPr>
          <w:rFonts w:ascii="GHEA Grapalat" w:hAnsi="GHEA Grapalat" w:cs="GHEA Grapalat"/>
          <w:color w:val="000000"/>
          <w:lang w:val="hy-AM"/>
        </w:rPr>
        <w:t>վարկերի տոկոսադրույքների սուբսիդավորման,</w:t>
      </w:r>
      <w:r w:rsidR="006B4AB7" w:rsidRPr="00374F98">
        <w:rPr>
          <w:rFonts w:ascii="GHEA Grapalat" w:hAnsi="GHEA Grapalat" w:cs="GHEA Grapalat"/>
          <w:color w:val="000000"/>
          <w:lang w:val="hy-AM"/>
        </w:rPr>
        <w:t xml:space="preserve"> </w:t>
      </w:r>
      <w:r w:rsidR="006B4AB7" w:rsidRPr="00943223">
        <w:rPr>
          <w:rFonts w:ascii="GHEA Grapalat" w:hAnsi="GHEA Grapalat" w:cs="GHEA Grapalat"/>
          <w:color w:val="000000"/>
          <w:lang w:val="hy-AM"/>
        </w:rPr>
        <w:t xml:space="preserve">գյուղատնտեսական հումքի մթերումների (գնումների) նպատակով տրամադրվող վարկերի տոկոսադրույքների սուբսիդավորման (կապված կորոնավիրուսի հետևանքով գյուղատնտեսական վարկերի պայմանների բարելավման հետ) և </w:t>
      </w:r>
      <w:r w:rsidR="006B4AB7" w:rsidRPr="00374F98">
        <w:rPr>
          <w:rFonts w:ascii="GHEA Grapalat" w:hAnsi="GHEA Grapalat" w:cs="GHEA Grapalat"/>
          <w:color w:val="000000"/>
          <w:lang w:val="hy-AM"/>
        </w:rPr>
        <w:t>Համաշխարհային բանկի աջակցությամբ իրականացվող առևտրի և ենթակառուցվածքների զարգացման ծրագ</w:t>
      </w:r>
      <w:r w:rsidR="006B4AB7" w:rsidRPr="00943223">
        <w:rPr>
          <w:rFonts w:ascii="GHEA Grapalat" w:hAnsi="GHEA Grapalat" w:cs="GHEA Grapalat"/>
          <w:color w:val="000000"/>
          <w:lang w:val="hy-AM"/>
        </w:rPr>
        <w:t>րի շրջանակներում տրամադրված սուբսիդիաների համապատասխանաբար 5.2 անգամ, 1.8 անգամ, 4.2 անգամ և 2.6 անգամ աճով</w:t>
      </w:r>
      <w:r w:rsidR="006B4AB7" w:rsidRPr="00374F98">
        <w:rPr>
          <w:rFonts w:ascii="GHEA Grapalat" w:hAnsi="GHEA Grapalat" w:cs="GHEA Grapalat"/>
          <w:color w:val="000000"/>
          <w:lang w:val="hy-AM"/>
        </w:rPr>
        <w:t>:</w:t>
      </w:r>
    </w:p>
    <w:p w14:paraId="0E8222B7" w14:textId="38D923EF" w:rsidR="006B4AB7" w:rsidRPr="00264252" w:rsidRDefault="006B4AB7" w:rsidP="006B4AB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Նախորդ տարվա նույն ժամանակահատվածի համեմատ </w:t>
      </w:r>
      <w:r w:rsidR="00C7157B" w:rsidRPr="00264252">
        <w:rPr>
          <w:rFonts w:ascii="GHEA Grapalat" w:hAnsi="GHEA Grapalat" w:cs="GHEA Grapalat"/>
          <w:color w:val="000000"/>
          <w:lang w:val="hy-AM"/>
        </w:rPr>
        <w:t xml:space="preserve">2021 թվականի ինն ամիսների ընթացքում </w:t>
      </w:r>
      <w:r>
        <w:rPr>
          <w:rFonts w:ascii="GHEA Grapalat" w:hAnsi="GHEA Grapalat" w:cs="GHEA Grapalat"/>
          <w:color w:val="000000"/>
          <w:lang w:val="hy-AM"/>
        </w:rPr>
        <w:t>պետական բյուջեից տրամադրված դրամաշնորհներ</w:t>
      </w:r>
      <w:r w:rsidR="00C7157B" w:rsidRPr="00264252">
        <w:rPr>
          <w:rFonts w:ascii="GHEA Grapalat" w:hAnsi="GHEA Grapalat" w:cs="GHEA Grapalat"/>
          <w:color w:val="000000"/>
          <w:lang w:val="hy-AM"/>
        </w:rPr>
        <w:t>ի</w:t>
      </w:r>
      <w:r>
        <w:rPr>
          <w:rFonts w:ascii="GHEA Grapalat" w:hAnsi="GHEA Grapalat" w:cs="GHEA Grapalat"/>
          <w:color w:val="000000"/>
          <w:lang w:val="hy-AM"/>
        </w:rPr>
        <w:t xml:space="preserve"> աճը հիմնականում պայմանավորված է </w:t>
      </w:r>
      <w:r w:rsidRPr="00943223">
        <w:rPr>
          <w:rFonts w:ascii="GHEA Grapalat" w:hAnsi="GHEA Grapalat" w:cs="GHEA Grapalat"/>
          <w:color w:val="000000"/>
          <w:lang w:val="hy-AM"/>
        </w:rPr>
        <w:t>զինծառայողների կյանքին կամ առողջությանը պատճառված վնասների հատուցման ծախսերի</w:t>
      </w:r>
      <w:r w:rsidR="00C7157B" w:rsidRPr="00264252">
        <w:rPr>
          <w:rFonts w:ascii="GHEA Grapalat" w:hAnsi="GHEA Grapalat" w:cs="GHEA Grapalat"/>
          <w:color w:val="000000"/>
          <w:lang w:val="hy-AM"/>
        </w:rPr>
        <w:t xml:space="preserve"> (3.1 անգամ (13.5 մլրդ դրամ))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943223">
        <w:rPr>
          <w:rFonts w:ascii="GHEA Grapalat" w:hAnsi="GHEA Grapalat" w:cs="GHEA Grapalat"/>
          <w:color w:val="000000"/>
          <w:lang w:val="hy-AM"/>
        </w:rPr>
        <w:t xml:space="preserve">և </w:t>
      </w:r>
      <w:r>
        <w:rPr>
          <w:rFonts w:ascii="GHEA Grapalat" w:hAnsi="GHEA Grapalat" w:cs="GHEA Grapalat"/>
          <w:color w:val="000000"/>
          <w:lang w:val="hy-AM"/>
        </w:rPr>
        <w:t xml:space="preserve">համայնքներին համահարթեցման </w:t>
      </w:r>
      <w:r w:rsidRPr="00943223">
        <w:rPr>
          <w:rFonts w:ascii="GHEA Grapalat" w:hAnsi="GHEA Grapalat" w:cs="GHEA Grapalat"/>
          <w:color w:val="000000"/>
          <w:lang w:val="hy-AM"/>
        </w:rPr>
        <w:t xml:space="preserve">սկզբունքով </w:t>
      </w:r>
      <w:r>
        <w:rPr>
          <w:rFonts w:ascii="GHEA Grapalat" w:hAnsi="GHEA Grapalat" w:cs="GHEA Grapalat"/>
          <w:color w:val="000000"/>
          <w:lang w:val="hy-AM"/>
        </w:rPr>
        <w:t>տրամադրվ</w:t>
      </w:r>
      <w:r w:rsidRPr="00943223">
        <w:rPr>
          <w:rFonts w:ascii="GHEA Grapalat" w:hAnsi="GHEA Grapalat" w:cs="GHEA Grapalat"/>
          <w:color w:val="000000"/>
          <w:lang w:val="hy-AM"/>
        </w:rPr>
        <w:t>ող</w:t>
      </w:r>
      <w:r>
        <w:rPr>
          <w:rFonts w:ascii="GHEA Grapalat" w:hAnsi="GHEA Grapalat" w:cs="GHEA Grapalat"/>
          <w:color w:val="000000"/>
          <w:lang w:val="hy-AM"/>
        </w:rPr>
        <w:t xml:space="preserve"> դոտացիաների գծով ծախսերի աճով:</w:t>
      </w:r>
    </w:p>
    <w:p w14:paraId="0B075EE8" w14:textId="77777777" w:rsidR="005044B5" w:rsidRPr="00264252" w:rsidRDefault="005044B5" w:rsidP="006B4AB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14:paraId="464A2FD2" w14:textId="44269563" w:rsidR="005044B5" w:rsidRPr="00A225BE" w:rsidRDefault="005044B5" w:rsidP="005044B5">
      <w:pPr>
        <w:pStyle w:val="Caption"/>
        <w:keepNext/>
        <w:rPr>
          <w:rFonts w:ascii="GHEA Grapalat" w:hAnsi="GHEA Grapalat"/>
          <w:b/>
          <w:color w:val="auto"/>
          <w:lang w:val="hy-AM"/>
        </w:rPr>
      </w:pPr>
      <w:r w:rsidRPr="00A225BE">
        <w:rPr>
          <w:rFonts w:ascii="GHEA Grapalat" w:hAnsi="GHEA Grapalat"/>
          <w:b/>
          <w:color w:val="auto"/>
          <w:lang w:val="hy-AM"/>
        </w:rPr>
        <w:lastRenderedPageBreak/>
        <w:t xml:space="preserve">Աղյուսակ </w:t>
      </w:r>
      <w:r w:rsidR="00264252" w:rsidRPr="00A225BE">
        <w:rPr>
          <w:rFonts w:ascii="GHEA Grapalat" w:hAnsi="GHEA Grapalat"/>
          <w:b/>
          <w:color w:val="auto"/>
          <w:lang w:val="hy-AM"/>
        </w:rPr>
        <w:t>8</w:t>
      </w:r>
      <w:r w:rsidRPr="00A225BE">
        <w:rPr>
          <w:rFonts w:ascii="GHEA Grapalat" w:hAnsi="GHEA Grapalat"/>
          <w:b/>
          <w:color w:val="auto"/>
          <w:lang w:val="hy-AM"/>
        </w:rPr>
        <w:t>.</w:t>
      </w:r>
      <w:r w:rsidRPr="00AE24E1">
        <w:rPr>
          <w:rFonts w:ascii="GHEA Grapalat" w:hAnsi="GHEA Grapalat"/>
          <w:b/>
          <w:color w:val="auto"/>
          <w:lang w:val="hy-AM"/>
        </w:rPr>
        <w:t xml:space="preserve">  </w:t>
      </w:r>
      <w:r w:rsidRPr="00A225BE">
        <w:rPr>
          <w:rFonts w:ascii="GHEA Grapalat" w:hAnsi="GHEA Grapalat"/>
          <w:b/>
          <w:color w:val="auto"/>
          <w:lang w:val="hy-AM"/>
        </w:rPr>
        <w:t>ՀՀ պետական բյուջեից տրամադրված դրամաշնորհները (մլրդ դրամ)</w:t>
      </w:r>
    </w:p>
    <w:tbl>
      <w:tblPr>
        <w:tblW w:w="1034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1309"/>
        <w:gridCol w:w="1276"/>
        <w:gridCol w:w="1417"/>
        <w:gridCol w:w="1418"/>
        <w:gridCol w:w="1418"/>
      </w:tblGrid>
      <w:tr w:rsidR="005044B5" w:rsidRPr="00AE24E1" w14:paraId="3BD7254F" w14:textId="77777777" w:rsidTr="005044B5">
        <w:trPr>
          <w:trHeight w:val="1425"/>
        </w:trPr>
        <w:tc>
          <w:tcPr>
            <w:tcW w:w="3511" w:type="dxa"/>
            <w:shd w:val="clear" w:color="auto" w:fill="auto"/>
            <w:noWrap/>
            <w:vAlign w:val="bottom"/>
            <w:hideMark/>
          </w:tcPr>
          <w:p w14:paraId="2719589E" w14:textId="77777777" w:rsidR="005044B5" w:rsidRPr="00990B8D" w:rsidRDefault="005044B5" w:rsidP="007A7AEF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90B8D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309" w:type="dxa"/>
            <w:shd w:val="clear" w:color="000000" w:fill="FFFFFF"/>
            <w:vAlign w:val="center"/>
            <w:hideMark/>
          </w:tcPr>
          <w:p w14:paraId="12696A43" w14:textId="77777777" w:rsidR="005044B5" w:rsidRPr="00990B8D" w:rsidRDefault="005044B5" w:rsidP="007A7AEF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2020թ. ինն ամիսների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1E3D0A" w14:textId="77777777" w:rsidR="005044B5" w:rsidRPr="00990B8D" w:rsidRDefault="005044B5" w:rsidP="007A7AEF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2021թ. ինն ամիսների ճշտված պլան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018AB62" w14:textId="77777777" w:rsidR="005044B5" w:rsidRPr="00990B8D" w:rsidRDefault="005044B5" w:rsidP="007A7AEF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2021թ. 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ի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նն ամիսների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418" w:type="dxa"/>
            <w:shd w:val="clear" w:color="000000" w:fill="FFFFFF"/>
          </w:tcPr>
          <w:p w14:paraId="3D73A718" w14:textId="77777777" w:rsidR="005044B5" w:rsidRPr="00990B8D" w:rsidRDefault="005044B5" w:rsidP="007A7AEF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Կատարո-ղականը ճշտված պլանի նկատմամբ</w:t>
            </w:r>
          </w:p>
          <w:p w14:paraId="18DE0B0E" w14:textId="77777777" w:rsidR="005044B5" w:rsidRPr="00990B8D" w:rsidRDefault="005044B5" w:rsidP="007A7AEF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D36A067" w14:textId="77777777" w:rsidR="00E41428" w:rsidRPr="00990B8D" w:rsidRDefault="00E41428" w:rsidP="00E414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2021թ. ինն ամիսները 2020թ. ինն ամիսների նկատմամբ</w:t>
            </w:r>
          </w:p>
          <w:p w14:paraId="4ACD2A28" w14:textId="03B44B11" w:rsidR="005044B5" w:rsidRPr="00990B8D" w:rsidRDefault="00E41428" w:rsidP="00E414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5044B5" w:rsidRPr="00AE24E1" w14:paraId="592946F8" w14:textId="77777777" w:rsidTr="008B7DEE">
        <w:trPr>
          <w:trHeight w:val="315"/>
        </w:trPr>
        <w:tc>
          <w:tcPr>
            <w:tcW w:w="3511" w:type="dxa"/>
            <w:shd w:val="clear" w:color="auto" w:fill="auto"/>
            <w:noWrap/>
            <w:vAlign w:val="bottom"/>
            <w:hideMark/>
          </w:tcPr>
          <w:p w14:paraId="47BF2D4D" w14:textId="33B191CA" w:rsidR="005044B5" w:rsidRPr="00990B8D" w:rsidRDefault="005044B5" w:rsidP="007A7AEF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/>
                <w:b/>
                <w:sz w:val="20"/>
                <w:szCs w:val="20"/>
              </w:rPr>
              <w:t>Դրամաշնորհներ,</w:t>
            </w:r>
            <w:r w:rsidRPr="00990B8D">
              <w:rPr>
                <w:rFonts w:ascii="GHEA Grapalat" w:hAnsi="GHEA Grapalat"/>
                <w:sz w:val="20"/>
                <w:szCs w:val="20"/>
              </w:rPr>
              <w:t xml:space="preserve"> այդ թվում՝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14:paraId="0C39C881" w14:textId="07743CBB" w:rsidR="005044B5" w:rsidRPr="00990B8D" w:rsidRDefault="008B7DEE" w:rsidP="007A7AEF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121.5</w:t>
            </w:r>
            <w:r w:rsidR="005044B5"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FCDB510" w14:textId="34E811A3" w:rsidR="005044B5" w:rsidRPr="00990B8D" w:rsidRDefault="008B7DEE" w:rsidP="007A7AEF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151.7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1A7E322" w14:textId="48E1B3CB" w:rsidR="005044B5" w:rsidRPr="00990B8D" w:rsidRDefault="008B7DEE" w:rsidP="007A7AEF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137.2</w:t>
            </w:r>
          </w:p>
        </w:tc>
        <w:tc>
          <w:tcPr>
            <w:tcW w:w="1418" w:type="dxa"/>
            <w:vAlign w:val="bottom"/>
          </w:tcPr>
          <w:p w14:paraId="10C14B4C" w14:textId="420C8E90" w:rsidR="005044B5" w:rsidRPr="00990B8D" w:rsidRDefault="005044B5" w:rsidP="008B7DEE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9</w:t>
            </w:r>
            <w:r w:rsidR="008B7DEE"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0.4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726212" w14:textId="5BCB7FDE" w:rsidR="005044B5" w:rsidRPr="00990B8D" w:rsidRDefault="008B7DEE" w:rsidP="008B7DEE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112.9</w:t>
            </w:r>
            <w:r w:rsidR="005044B5" w:rsidRPr="00990B8D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044B5" w:rsidRPr="00AE24E1" w14:paraId="25BD9036" w14:textId="77777777" w:rsidTr="005044B5">
        <w:trPr>
          <w:trHeight w:val="315"/>
        </w:trPr>
        <w:tc>
          <w:tcPr>
            <w:tcW w:w="3511" w:type="dxa"/>
            <w:shd w:val="clear" w:color="auto" w:fill="auto"/>
            <w:vAlign w:val="bottom"/>
          </w:tcPr>
          <w:p w14:paraId="1F9490A8" w14:textId="5A81C010" w:rsidR="005044B5" w:rsidRPr="00990B8D" w:rsidRDefault="005044B5" w:rsidP="005044B5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990B8D">
              <w:rPr>
                <w:rFonts w:ascii="GHEA Grapalat" w:hAnsi="GHEA Grapalat"/>
                <w:sz w:val="20"/>
                <w:szCs w:val="20"/>
              </w:rPr>
              <w:t xml:space="preserve">    Միջազգային կազմակերպու-թյուններին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14:paraId="217E3A7A" w14:textId="6A9970BC" w:rsidR="005044B5" w:rsidRPr="00990B8D" w:rsidRDefault="008B7DEE" w:rsidP="007A7AEF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sz w:val="20"/>
                <w:szCs w:val="20"/>
              </w:rPr>
              <w:t>2.7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2960BB4" w14:textId="45F97015" w:rsidR="005044B5" w:rsidRPr="00990B8D" w:rsidRDefault="008B7DEE" w:rsidP="007A7AEF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sz w:val="20"/>
                <w:szCs w:val="20"/>
              </w:rPr>
              <w:t>2.9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4BA067" w14:textId="15BB5F52" w:rsidR="005044B5" w:rsidRPr="00990B8D" w:rsidRDefault="008B7DEE" w:rsidP="007A7AEF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sz w:val="20"/>
                <w:szCs w:val="20"/>
              </w:rPr>
              <w:t>2.5</w:t>
            </w:r>
          </w:p>
        </w:tc>
        <w:tc>
          <w:tcPr>
            <w:tcW w:w="1418" w:type="dxa"/>
            <w:vAlign w:val="bottom"/>
          </w:tcPr>
          <w:p w14:paraId="5D55691C" w14:textId="3D3AA4FE" w:rsidR="005044B5" w:rsidRPr="00990B8D" w:rsidRDefault="008B7DEE" w:rsidP="007A7AEF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sz w:val="20"/>
                <w:szCs w:val="20"/>
              </w:rPr>
              <w:t>87.4</w:t>
            </w:r>
            <w:r w:rsidR="005044B5" w:rsidRPr="00990B8D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0AE31E9" w14:textId="5CB4C666" w:rsidR="005044B5" w:rsidRPr="00990B8D" w:rsidRDefault="008B7DEE" w:rsidP="007A7AE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color w:val="000000"/>
                <w:sz w:val="20"/>
                <w:szCs w:val="20"/>
              </w:rPr>
              <w:t>92.3</w:t>
            </w:r>
            <w:r w:rsidR="005044B5" w:rsidRPr="00990B8D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</w:tr>
      <w:tr w:rsidR="005044B5" w:rsidRPr="00AE24E1" w14:paraId="1057E4E3" w14:textId="77777777" w:rsidTr="008B7DEE">
        <w:trPr>
          <w:trHeight w:val="315"/>
        </w:trPr>
        <w:tc>
          <w:tcPr>
            <w:tcW w:w="3511" w:type="dxa"/>
            <w:shd w:val="clear" w:color="auto" w:fill="auto"/>
            <w:vAlign w:val="bottom"/>
            <w:hideMark/>
          </w:tcPr>
          <w:p w14:paraId="745235EA" w14:textId="2FB96E94" w:rsidR="005044B5" w:rsidRPr="00990B8D" w:rsidRDefault="005044B5" w:rsidP="005044B5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990B8D">
              <w:rPr>
                <w:rFonts w:ascii="GHEA Grapalat" w:hAnsi="GHEA Grapalat"/>
                <w:sz w:val="20"/>
                <w:szCs w:val="20"/>
              </w:rPr>
              <w:t xml:space="preserve">   Պետական հատվածի այլ մակարդակներին</w:t>
            </w:r>
            <w:r w:rsidR="008B7DEE" w:rsidRPr="00990B8D">
              <w:rPr>
                <w:rFonts w:ascii="GHEA Grapalat" w:hAnsi="GHEA Grapalat"/>
                <w:sz w:val="20"/>
                <w:szCs w:val="20"/>
              </w:rPr>
              <w:t xml:space="preserve"> (ընթացիկ)</w:t>
            </w:r>
            <w:r w:rsidRPr="00990B8D">
              <w:rPr>
                <w:rFonts w:ascii="GHEA Grapalat" w:hAnsi="GHEA Grapalat"/>
                <w:sz w:val="20"/>
                <w:szCs w:val="20"/>
              </w:rPr>
              <w:t>, այդ թվում`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14:paraId="10EB4B18" w14:textId="789328D2" w:rsidR="005044B5" w:rsidRPr="00990B8D" w:rsidRDefault="008B7DEE" w:rsidP="007A7AEF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sz w:val="20"/>
                <w:szCs w:val="20"/>
              </w:rPr>
              <w:t>114.2</w:t>
            </w:r>
            <w:r w:rsidR="005044B5" w:rsidRPr="00990B8D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DAC9F94" w14:textId="0D4DB59E" w:rsidR="005044B5" w:rsidRPr="00990B8D" w:rsidRDefault="008B7DEE" w:rsidP="007A7AEF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sz w:val="20"/>
                <w:szCs w:val="20"/>
              </w:rPr>
              <w:t>138.0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272ABA9" w14:textId="701BD54F" w:rsidR="005044B5" w:rsidRPr="00990B8D" w:rsidRDefault="008B7DEE" w:rsidP="007A7AEF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sz w:val="20"/>
                <w:szCs w:val="20"/>
              </w:rPr>
              <w:t>129.2</w:t>
            </w:r>
          </w:p>
        </w:tc>
        <w:tc>
          <w:tcPr>
            <w:tcW w:w="1418" w:type="dxa"/>
            <w:vAlign w:val="bottom"/>
          </w:tcPr>
          <w:p w14:paraId="14304365" w14:textId="319454D4" w:rsidR="005044B5" w:rsidRPr="00990B8D" w:rsidRDefault="005044B5" w:rsidP="007A7AE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sz w:val="20"/>
                <w:szCs w:val="20"/>
              </w:rPr>
              <w:t>9</w:t>
            </w:r>
            <w:r w:rsidR="008B7DEE" w:rsidRPr="00990B8D">
              <w:rPr>
                <w:rFonts w:ascii="GHEA Grapalat" w:hAnsi="GHEA Grapalat" w:cs="Calibri"/>
                <w:sz w:val="20"/>
                <w:szCs w:val="20"/>
              </w:rPr>
              <w:t>3.7</w:t>
            </w:r>
            <w:r w:rsidRPr="00990B8D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963ABB" w14:textId="2B00A1F7" w:rsidR="005044B5" w:rsidRPr="00990B8D" w:rsidRDefault="008B7DEE" w:rsidP="008B7DE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color w:val="000000"/>
                <w:sz w:val="20"/>
                <w:szCs w:val="20"/>
              </w:rPr>
              <w:t>113.1</w:t>
            </w:r>
            <w:r w:rsidR="005044B5" w:rsidRPr="00990B8D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</w:tr>
      <w:tr w:rsidR="005044B5" w:rsidRPr="00AE24E1" w14:paraId="6E72CAB7" w14:textId="77777777" w:rsidTr="005044B5">
        <w:trPr>
          <w:trHeight w:val="315"/>
        </w:trPr>
        <w:tc>
          <w:tcPr>
            <w:tcW w:w="3511" w:type="dxa"/>
            <w:shd w:val="clear" w:color="auto" w:fill="auto"/>
            <w:vAlign w:val="bottom"/>
          </w:tcPr>
          <w:p w14:paraId="6B65C0D2" w14:textId="1A850C81" w:rsidR="005044B5" w:rsidRPr="00990B8D" w:rsidRDefault="00990B8D" w:rsidP="00990B8D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</w:pPr>
            <w:r w:rsidRPr="00990B8D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   - </w:t>
            </w:r>
            <w:r w:rsidR="005044B5" w:rsidRPr="00990B8D"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t>Համայնքների բյուջեներին համահարթեցման սկզբունքով տրվող դոտացիաներ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14:paraId="39A316B3" w14:textId="4091F567" w:rsidR="005044B5" w:rsidRPr="00990B8D" w:rsidRDefault="008B7DEE" w:rsidP="007A7AEF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990B8D">
              <w:rPr>
                <w:rFonts w:ascii="GHEA Grapalat" w:hAnsi="GHEA Grapalat" w:cs="Calibri"/>
                <w:sz w:val="18"/>
                <w:szCs w:val="18"/>
              </w:rPr>
              <w:t>41.5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0AAA5C6" w14:textId="793D15A8" w:rsidR="005044B5" w:rsidRPr="00990B8D" w:rsidRDefault="008B7DEE" w:rsidP="007A7AEF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990B8D">
              <w:rPr>
                <w:rFonts w:ascii="GHEA Grapalat" w:hAnsi="GHEA Grapalat" w:cs="Calibri"/>
                <w:sz w:val="18"/>
                <w:szCs w:val="18"/>
              </w:rPr>
              <w:t>48.4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A6611D" w14:textId="76D33D38" w:rsidR="005044B5" w:rsidRPr="00990B8D" w:rsidRDefault="008B7DEE" w:rsidP="007A7AEF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990B8D">
              <w:rPr>
                <w:rFonts w:ascii="GHEA Grapalat" w:hAnsi="GHEA Grapalat" w:cs="Calibri"/>
                <w:sz w:val="18"/>
                <w:szCs w:val="18"/>
              </w:rPr>
              <w:t>48.4</w:t>
            </w:r>
          </w:p>
        </w:tc>
        <w:tc>
          <w:tcPr>
            <w:tcW w:w="1418" w:type="dxa"/>
            <w:vAlign w:val="bottom"/>
          </w:tcPr>
          <w:p w14:paraId="22E87A9E" w14:textId="34BE63D4" w:rsidR="005044B5" w:rsidRPr="00990B8D" w:rsidRDefault="008B7DEE" w:rsidP="007A7AEF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990B8D">
              <w:rPr>
                <w:rFonts w:ascii="GHEA Grapalat" w:hAnsi="GHEA Grapalat" w:cs="Calibri"/>
                <w:sz w:val="18"/>
                <w:szCs w:val="18"/>
              </w:rPr>
              <w:t>100.0%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BB4B439" w14:textId="3BC58C15" w:rsidR="005044B5" w:rsidRPr="00990B8D" w:rsidRDefault="008B7DEE" w:rsidP="007A7AEF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0B8D">
              <w:rPr>
                <w:rFonts w:ascii="GHEA Grapalat" w:hAnsi="GHEA Grapalat" w:cs="Calibri"/>
                <w:color w:val="000000"/>
                <w:sz w:val="18"/>
                <w:szCs w:val="18"/>
              </w:rPr>
              <w:t>116.7%</w:t>
            </w:r>
          </w:p>
        </w:tc>
      </w:tr>
      <w:tr w:rsidR="005044B5" w:rsidRPr="00AE24E1" w14:paraId="2FB9DBC4" w14:textId="77777777" w:rsidTr="005044B5">
        <w:trPr>
          <w:trHeight w:val="315"/>
        </w:trPr>
        <w:tc>
          <w:tcPr>
            <w:tcW w:w="3511" w:type="dxa"/>
            <w:shd w:val="clear" w:color="auto" w:fill="auto"/>
            <w:vAlign w:val="bottom"/>
          </w:tcPr>
          <w:p w14:paraId="7A7800D8" w14:textId="06B3F96C" w:rsidR="005044B5" w:rsidRPr="00990B8D" w:rsidRDefault="001B5283" w:rsidP="00990B8D">
            <w:pPr>
              <w:pStyle w:val="ListParagraph"/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</w:pPr>
            <w:r w:rsidRPr="00990B8D"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t>-</w:t>
            </w:r>
            <w:r w:rsidR="008B7DEE" w:rsidRPr="00990B8D"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t xml:space="preserve"> Ա</w:t>
            </w:r>
            <w:r w:rsidR="005044B5" w:rsidRPr="00990B8D">
              <w:rPr>
                <w:rFonts w:ascii="GHEA Grapalat" w:eastAsia="Times New Roman" w:hAnsi="GHEA Grapalat" w:cs="Calibri"/>
                <w:sz w:val="18"/>
                <w:szCs w:val="18"/>
                <w:lang w:val="hy-AM"/>
              </w:rPr>
              <w:t>յլ ընթացիկ դրամաշնորհներ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14:paraId="68C55CA5" w14:textId="3A8046A9" w:rsidR="005044B5" w:rsidRPr="00990B8D" w:rsidRDefault="008B7DEE" w:rsidP="007A7AEF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990B8D">
              <w:rPr>
                <w:rFonts w:ascii="GHEA Grapalat" w:hAnsi="GHEA Grapalat" w:cs="Calibri"/>
                <w:sz w:val="18"/>
                <w:szCs w:val="18"/>
              </w:rPr>
              <w:t>65.3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8021A5" w14:textId="3774D521" w:rsidR="005044B5" w:rsidRPr="00990B8D" w:rsidRDefault="008B7DEE" w:rsidP="007A7AEF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990B8D">
              <w:rPr>
                <w:rFonts w:ascii="GHEA Grapalat" w:hAnsi="GHEA Grapalat" w:cs="Calibri"/>
                <w:sz w:val="18"/>
                <w:szCs w:val="18"/>
              </w:rPr>
              <w:t>85.7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97B2E0" w14:textId="20E08169" w:rsidR="005044B5" w:rsidRPr="00990B8D" w:rsidRDefault="008B7DEE" w:rsidP="007A7AEF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990B8D">
              <w:rPr>
                <w:rFonts w:ascii="GHEA Grapalat" w:hAnsi="GHEA Grapalat" w:cs="Calibri"/>
                <w:sz w:val="18"/>
                <w:szCs w:val="18"/>
              </w:rPr>
              <w:t>77.1</w:t>
            </w:r>
          </w:p>
        </w:tc>
        <w:tc>
          <w:tcPr>
            <w:tcW w:w="1418" w:type="dxa"/>
            <w:vAlign w:val="bottom"/>
          </w:tcPr>
          <w:p w14:paraId="52B5FF7C" w14:textId="6C590789" w:rsidR="005044B5" w:rsidRPr="00990B8D" w:rsidRDefault="008B7DEE" w:rsidP="007A7AEF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990B8D">
              <w:rPr>
                <w:rFonts w:ascii="GHEA Grapalat" w:hAnsi="GHEA Grapalat" w:cs="Calibri"/>
                <w:sz w:val="18"/>
                <w:szCs w:val="18"/>
              </w:rPr>
              <w:t>89.9%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B171629" w14:textId="0AE334E6" w:rsidR="005044B5" w:rsidRPr="00990B8D" w:rsidRDefault="008B7DEE" w:rsidP="007A7AEF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90B8D">
              <w:rPr>
                <w:rFonts w:ascii="GHEA Grapalat" w:hAnsi="GHEA Grapalat" w:cs="Calibri"/>
                <w:color w:val="000000"/>
                <w:sz w:val="18"/>
                <w:szCs w:val="18"/>
              </w:rPr>
              <w:t>118.0%</w:t>
            </w:r>
          </w:p>
        </w:tc>
      </w:tr>
      <w:tr w:rsidR="005044B5" w:rsidRPr="00AE24E1" w14:paraId="203EB6AA" w14:textId="77777777" w:rsidTr="005044B5">
        <w:trPr>
          <w:trHeight w:val="315"/>
        </w:trPr>
        <w:tc>
          <w:tcPr>
            <w:tcW w:w="3511" w:type="dxa"/>
            <w:shd w:val="clear" w:color="auto" w:fill="auto"/>
            <w:vAlign w:val="bottom"/>
          </w:tcPr>
          <w:p w14:paraId="0830C2E0" w14:textId="5EB4DA19" w:rsidR="005044B5" w:rsidRPr="00990B8D" w:rsidRDefault="008B7DEE" w:rsidP="00990B8D">
            <w:pPr>
              <w:rPr>
                <w:rFonts w:ascii="GHEA Grapalat" w:hAnsi="GHEA Grapalat"/>
                <w:sz w:val="20"/>
                <w:szCs w:val="20"/>
              </w:rPr>
            </w:pPr>
            <w:r w:rsidRPr="00990B8D">
              <w:rPr>
                <w:rFonts w:ascii="GHEA Grapalat" w:hAnsi="GHEA Grapalat"/>
                <w:sz w:val="20"/>
                <w:szCs w:val="20"/>
              </w:rPr>
              <w:t>Պետական հատվածի այլ մակարդակներին (կապիտալ)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14:paraId="51B0C897" w14:textId="66239DDB" w:rsidR="005044B5" w:rsidRPr="00990B8D" w:rsidRDefault="008B7DEE" w:rsidP="007A7AEF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sz w:val="20"/>
                <w:szCs w:val="20"/>
              </w:rPr>
              <w:t>4.6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60C320F" w14:textId="182119A6" w:rsidR="005044B5" w:rsidRPr="00990B8D" w:rsidRDefault="008B7DEE" w:rsidP="007A7AEF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sz w:val="20"/>
                <w:szCs w:val="20"/>
              </w:rPr>
              <w:t>10.9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CE91DD4" w14:textId="5FD15A8E" w:rsidR="005044B5" w:rsidRPr="00990B8D" w:rsidRDefault="008B7DEE" w:rsidP="007A7AEF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sz w:val="20"/>
                <w:szCs w:val="20"/>
              </w:rPr>
              <w:t>5.5</w:t>
            </w:r>
          </w:p>
        </w:tc>
        <w:tc>
          <w:tcPr>
            <w:tcW w:w="1418" w:type="dxa"/>
            <w:vAlign w:val="bottom"/>
          </w:tcPr>
          <w:p w14:paraId="362A0038" w14:textId="718AB985" w:rsidR="005044B5" w:rsidRPr="00990B8D" w:rsidRDefault="008B7DEE" w:rsidP="007A7AEF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sz w:val="20"/>
                <w:szCs w:val="20"/>
              </w:rPr>
              <w:t>50.6%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45732A6" w14:textId="10942081" w:rsidR="005044B5" w:rsidRPr="00990B8D" w:rsidRDefault="008B7DEE" w:rsidP="007A7AEF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color w:val="000000"/>
                <w:sz w:val="20"/>
                <w:szCs w:val="20"/>
              </w:rPr>
              <w:t>121.1%</w:t>
            </w:r>
          </w:p>
        </w:tc>
      </w:tr>
    </w:tbl>
    <w:p w14:paraId="34D0A9BF" w14:textId="77777777" w:rsidR="005044B5" w:rsidRDefault="005044B5" w:rsidP="006B4AB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317A8F63" w14:textId="5F396DAD" w:rsidR="006B4AB7" w:rsidRDefault="006B4AB7" w:rsidP="006B4AB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943223">
        <w:rPr>
          <w:rFonts w:ascii="GHEA Grapalat" w:hAnsi="GHEA Grapalat" w:cs="GHEA Grapalat"/>
          <w:color w:val="000000"/>
          <w:lang w:val="hy-AM"/>
        </w:rPr>
        <w:t xml:space="preserve">2020 թվականի </w:t>
      </w:r>
      <w:r w:rsidRPr="00943223">
        <w:rPr>
          <w:rFonts w:ascii="GHEA Grapalat" w:hAnsi="GHEA Grapalat" w:cs="GHEA Grapalat"/>
          <w:lang w:val="hy-AM"/>
        </w:rPr>
        <w:t>հունվար-սեպտեմբեր ամիսների</w:t>
      </w:r>
      <w:r w:rsidRPr="00943223">
        <w:rPr>
          <w:rFonts w:ascii="GHEA Grapalat" w:hAnsi="GHEA Grapalat" w:cs="GHEA Grapalat"/>
          <w:color w:val="000000"/>
          <w:lang w:val="hy-AM"/>
        </w:rPr>
        <w:t xml:space="preserve"> համեմատ նպաստների գծով ծախսեր</w:t>
      </w:r>
      <w:r w:rsidR="00C7157B">
        <w:rPr>
          <w:rFonts w:ascii="GHEA Grapalat" w:hAnsi="GHEA Grapalat" w:cs="GHEA Grapalat"/>
          <w:color w:val="000000"/>
        </w:rPr>
        <w:t>ի</w:t>
      </w:r>
      <w:r w:rsidRPr="00943223">
        <w:rPr>
          <w:rFonts w:ascii="GHEA Grapalat" w:hAnsi="GHEA Grapalat" w:cs="GHEA Grapalat"/>
          <w:color w:val="000000"/>
          <w:lang w:val="hy-AM"/>
        </w:rPr>
        <w:t xml:space="preserve"> </w:t>
      </w:r>
      <w:r w:rsidR="00C7157B">
        <w:rPr>
          <w:rFonts w:ascii="GHEA Grapalat" w:hAnsi="GHEA Grapalat" w:cs="GHEA Grapalat"/>
          <w:color w:val="000000"/>
        </w:rPr>
        <w:t>աճը</w:t>
      </w:r>
      <w:r w:rsidRPr="00943223">
        <w:rPr>
          <w:rFonts w:ascii="GHEA Grapalat" w:hAnsi="GHEA Grapalat" w:cs="GHEA Grapalat"/>
          <w:color w:val="000000"/>
          <w:lang w:val="hy-AM"/>
        </w:rPr>
        <w:t xml:space="preserve"> հիմնականում արձանագրվել է ռազմական դրությամբ պայմանավորված ծախսերի արդյունքում:</w:t>
      </w:r>
    </w:p>
    <w:p w14:paraId="7B3E7F93" w14:textId="77777777" w:rsidR="00C7157B" w:rsidRDefault="00C7157B" w:rsidP="006B4AB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774E4D31" w14:textId="106D5347" w:rsidR="00C7157B" w:rsidRPr="00AE24E1" w:rsidRDefault="00C7157B" w:rsidP="00C7157B">
      <w:pPr>
        <w:pStyle w:val="Caption"/>
        <w:keepNext/>
        <w:rPr>
          <w:rFonts w:ascii="GHEA Grapalat" w:hAnsi="GHEA Grapalat"/>
          <w:b/>
          <w:color w:val="auto"/>
        </w:rPr>
      </w:pPr>
      <w:r w:rsidRPr="00A225BE">
        <w:rPr>
          <w:rFonts w:ascii="GHEA Grapalat" w:hAnsi="GHEA Grapalat"/>
          <w:b/>
          <w:color w:val="auto"/>
          <w:lang w:val="hy-AM"/>
        </w:rPr>
        <w:t xml:space="preserve">Աղյուսակ </w:t>
      </w:r>
      <w:r w:rsidR="00264252" w:rsidRPr="00A225BE">
        <w:rPr>
          <w:rFonts w:ascii="GHEA Grapalat" w:hAnsi="GHEA Grapalat"/>
          <w:b/>
          <w:color w:val="auto"/>
          <w:lang w:val="hy-AM"/>
        </w:rPr>
        <w:t>9</w:t>
      </w:r>
      <w:r w:rsidRPr="00A225BE">
        <w:rPr>
          <w:rFonts w:ascii="GHEA Grapalat" w:hAnsi="GHEA Grapalat"/>
          <w:b/>
          <w:color w:val="auto"/>
        </w:rPr>
        <w:t>.</w:t>
      </w:r>
      <w:r w:rsidRPr="00AE24E1">
        <w:rPr>
          <w:rFonts w:ascii="GHEA Grapalat" w:hAnsi="GHEA Grapalat"/>
          <w:b/>
          <w:color w:val="auto"/>
          <w:lang w:val="hy-AM"/>
        </w:rPr>
        <w:t xml:space="preserve">  ՀՀ պետական բյուջեի</w:t>
      </w:r>
      <w:r w:rsidR="00B727E5">
        <w:rPr>
          <w:rFonts w:ascii="GHEA Grapalat" w:hAnsi="GHEA Grapalat"/>
          <w:b/>
          <w:color w:val="auto"/>
        </w:rPr>
        <w:t>ց տրամադրված նպաստները և կենսաթոշակները</w:t>
      </w:r>
      <w:r w:rsidRPr="00AE24E1">
        <w:rPr>
          <w:rFonts w:ascii="GHEA Grapalat" w:hAnsi="GHEA Grapalat"/>
          <w:b/>
          <w:color w:val="auto"/>
        </w:rPr>
        <w:t xml:space="preserve"> (մլրդ դրամ)</w:t>
      </w:r>
    </w:p>
    <w:tbl>
      <w:tblPr>
        <w:tblW w:w="1034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417"/>
        <w:gridCol w:w="1418"/>
        <w:gridCol w:w="1418"/>
      </w:tblGrid>
      <w:tr w:rsidR="00C7157B" w:rsidRPr="00AE24E1" w14:paraId="69964F66" w14:textId="77777777" w:rsidTr="007A7AEF">
        <w:trPr>
          <w:trHeight w:val="1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4338" w14:textId="77777777" w:rsidR="00C7157B" w:rsidRPr="00AE24E1" w:rsidRDefault="00C7157B" w:rsidP="007A7AEF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7CE7" w14:textId="77777777" w:rsidR="00C7157B" w:rsidRPr="00AE24E1" w:rsidRDefault="00C7157B" w:rsidP="007A7AEF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2020թ. ինն ամիսների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BA7A7" w14:textId="77777777" w:rsidR="00C7157B" w:rsidRPr="00AE24E1" w:rsidRDefault="00C7157B" w:rsidP="007A7AEF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2021թ. ինն ամիսների ճշտված պլան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5D33" w14:textId="77777777" w:rsidR="00C7157B" w:rsidRPr="00AE24E1" w:rsidRDefault="00C7157B" w:rsidP="007A7AEF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2021թ. 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ի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նն ամիսների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35BD4" w14:textId="77777777" w:rsidR="00C7157B" w:rsidRDefault="00C7157B" w:rsidP="007A7AEF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Կ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ատարո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ղականը ճշտված պլանի նկատմամբ</w:t>
            </w:r>
          </w:p>
          <w:p w14:paraId="34D67B0E" w14:textId="77777777" w:rsidR="00C7157B" w:rsidRPr="00AE24E1" w:rsidRDefault="00C7157B" w:rsidP="007A7AEF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639C2" w14:textId="77777777" w:rsidR="00E41428" w:rsidRDefault="00E41428" w:rsidP="00E414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2021թ.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ինն ամիսները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2020թ.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ինն ամիսների 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նկատմամբ</w:t>
            </w:r>
          </w:p>
          <w:p w14:paraId="3FA64AF4" w14:textId="0332982E" w:rsidR="00C7157B" w:rsidRPr="00AE24E1" w:rsidRDefault="00E41428" w:rsidP="00E414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C7157B" w:rsidRPr="00AE24E1" w14:paraId="5415F389" w14:textId="77777777" w:rsidTr="00C7157B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E10B3" w14:textId="7C220778" w:rsidR="00C7157B" w:rsidRPr="00AE24E1" w:rsidRDefault="00C7157B" w:rsidP="00C715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157B">
              <w:rPr>
                <w:rFonts w:ascii="GHEA Grapalat" w:hAnsi="GHEA Grapalat" w:cs="Calibri"/>
                <w:b/>
                <w:sz w:val="20"/>
                <w:szCs w:val="20"/>
              </w:rPr>
              <w:t>Սոցիալական նպաստներ և կենսաթոշակներ,</w:t>
            </w: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 այդ թվում`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A37F43" w14:textId="408581C7" w:rsidR="00C7157B" w:rsidRPr="00AE24E1" w:rsidRDefault="00C7157B" w:rsidP="00C7157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403.9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561E2F" w14:textId="5CD07A72" w:rsidR="00C7157B" w:rsidRPr="00AE24E1" w:rsidRDefault="00C7157B" w:rsidP="00C7157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455.3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D0B9AF" w14:textId="44F6485F" w:rsidR="00C7157B" w:rsidRPr="00AE24E1" w:rsidRDefault="00C7157B" w:rsidP="00C7157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443.8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70226D" w14:textId="37434000" w:rsidR="00C7157B" w:rsidRDefault="00C7157B" w:rsidP="00C7157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97.5%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E57DBF" w14:textId="29FB1186" w:rsidR="00C7157B" w:rsidRPr="00AB6C69" w:rsidRDefault="00C7157B" w:rsidP="00C7157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color w:val="000000"/>
                <w:sz w:val="20"/>
                <w:szCs w:val="20"/>
              </w:rPr>
              <w:t>109.9%</w:t>
            </w:r>
          </w:p>
        </w:tc>
      </w:tr>
      <w:tr w:rsidR="00C7157B" w:rsidRPr="00AE24E1" w14:paraId="3292A550" w14:textId="77777777" w:rsidTr="00C7157B">
        <w:trPr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00F2" w14:textId="6C17E5B0" w:rsidR="00C7157B" w:rsidRPr="00AE24E1" w:rsidRDefault="00C7157B" w:rsidP="00C715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Նպաստներ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3A2074" w14:textId="57F0A7D1" w:rsidR="00C7157B" w:rsidRPr="00AE24E1" w:rsidRDefault="00C7157B" w:rsidP="00C7157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140.4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FBC222" w14:textId="4662EE4B" w:rsidR="00C7157B" w:rsidRPr="00AE24E1" w:rsidRDefault="00C7157B" w:rsidP="00C7157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193.7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534A7A" w14:textId="5C5C8644" w:rsidR="00C7157B" w:rsidRPr="00AE24E1" w:rsidRDefault="00C7157B" w:rsidP="00C7157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183.1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5CDFAC" w14:textId="6497C26E" w:rsidR="00C7157B" w:rsidRDefault="00C7157B" w:rsidP="00C7157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94.5%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FD898C" w14:textId="2D0AED19" w:rsidR="00C7157B" w:rsidRPr="00AB6C69" w:rsidRDefault="00C7157B" w:rsidP="00C7157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color w:val="000000"/>
                <w:sz w:val="20"/>
                <w:szCs w:val="20"/>
              </w:rPr>
              <w:t>130.4%</w:t>
            </w:r>
          </w:p>
        </w:tc>
      </w:tr>
      <w:tr w:rsidR="00C7157B" w:rsidRPr="00AE24E1" w14:paraId="23D1F507" w14:textId="77777777" w:rsidTr="00C7157B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2B92C" w14:textId="6218DFAE" w:rsidR="00C7157B" w:rsidRPr="00AE24E1" w:rsidRDefault="00C7157B" w:rsidP="00C715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Կենսաթոշակներ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6698A9" w14:textId="273AC915" w:rsidR="00C7157B" w:rsidRPr="00AE24E1" w:rsidRDefault="00C7157B" w:rsidP="00C7157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263.6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FB76C4" w14:textId="1540F1E3" w:rsidR="00C7157B" w:rsidRPr="00AE24E1" w:rsidRDefault="00C7157B" w:rsidP="00C7157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261.6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082235" w14:textId="778C6156" w:rsidR="00C7157B" w:rsidRPr="00AE24E1" w:rsidRDefault="00C7157B" w:rsidP="00C7157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260.8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151F65" w14:textId="5F7F1235" w:rsidR="00C7157B" w:rsidRDefault="00C7157B" w:rsidP="00C7157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99.7%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626538" w14:textId="28EA5FBC" w:rsidR="00C7157B" w:rsidRPr="00AB6C69" w:rsidRDefault="00C7157B" w:rsidP="00C7157B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color w:val="000000"/>
                <w:sz w:val="20"/>
                <w:szCs w:val="20"/>
              </w:rPr>
              <w:t>98.9%</w:t>
            </w:r>
          </w:p>
        </w:tc>
      </w:tr>
    </w:tbl>
    <w:p w14:paraId="27B11806" w14:textId="77777777" w:rsidR="00C7157B" w:rsidRDefault="00C7157B" w:rsidP="006B4AB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7A7E0ADD" w14:textId="77777777" w:rsidR="001B3817" w:rsidRDefault="001B3817" w:rsidP="006B4AB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034A918F" w14:textId="77777777" w:rsidR="001B3817" w:rsidRDefault="001B3817" w:rsidP="006B4AB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5EBEC79B" w14:textId="77777777" w:rsidR="001B3817" w:rsidRPr="00B727E5" w:rsidRDefault="001B3817" w:rsidP="006B4AB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7AF4A94F" w14:textId="17C5E4C4" w:rsidR="00465088" w:rsidRPr="00264252" w:rsidRDefault="00465088" w:rsidP="00465088">
      <w:pPr>
        <w:pStyle w:val="Caption"/>
        <w:keepNext/>
        <w:rPr>
          <w:rFonts w:ascii="GHEA Grapalat" w:hAnsi="GHEA Grapalat"/>
          <w:b/>
          <w:color w:val="auto"/>
          <w:lang w:val="hy-AM"/>
        </w:rPr>
      </w:pPr>
      <w:r w:rsidRPr="00AE24E1">
        <w:rPr>
          <w:rFonts w:ascii="GHEA Grapalat" w:hAnsi="GHEA Grapalat"/>
          <w:b/>
          <w:color w:val="auto"/>
          <w:lang w:val="hy-AM"/>
        </w:rPr>
        <w:lastRenderedPageBreak/>
        <w:t xml:space="preserve">Աղյուսակ </w:t>
      </w:r>
      <w:r w:rsidR="00264252" w:rsidRPr="00A225BE">
        <w:rPr>
          <w:rFonts w:ascii="GHEA Grapalat" w:hAnsi="GHEA Grapalat"/>
          <w:b/>
          <w:color w:val="auto"/>
          <w:lang w:val="hy-AM"/>
        </w:rPr>
        <w:t>10.</w:t>
      </w:r>
      <w:r w:rsidRPr="00AE24E1">
        <w:rPr>
          <w:rFonts w:ascii="GHEA Grapalat" w:hAnsi="GHEA Grapalat"/>
          <w:b/>
          <w:color w:val="auto"/>
          <w:lang w:val="hy-AM"/>
        </w:rPr>
        <w:t xml:space="preserve">  ՀՀ պետական բյուջեի </w:t>
      </w:r>
      <w:r w:rsidR="00AE24E1" w:rsidRPr="00AE24E1">
        <w:rPr>
          <w:rFonts w:ascii="GHEA Grapalat" w:hAnsi="GHEA Grapalat"/>
          <w:b/>
          <w:color w:val="auto"/>
          <w:lang w:val="hy-AM"/>
        </w:rPr>
        <w:t>ընթացիկ ծախսերը</w:t>
      </w:r>
      <w:r w:rsidR="00AE24E1" w:rsidRPr="00264252">
        <w:rPr>
          <w:rFonts w:ascii="GHEA Grapalat" w:hAnsi="GHEA Grapalat"/>
          <w:b/>
          <w:color w:val="auto"/>
          <w:lang w:val="hy-AM"/>
        </w:rPr>
        <w:t xml:space="preserve"> (մլրդ դրամ)</w:t>
      </w:r>
    </w:p>
    <w:tbl>
      <w:tblPr>
        <w:tblW w:w="1034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417"/>
        <w:gridCol w:w="1418"/>
        <w:gridCol w:w="1418"/>
      </w:tblGrid>
      <w:tr w:rsidR="00AE24E1" w:rsidRPr="00A225BE" w14:paraId="08616C9D" w14:textId="77777777" w:rsidTr="00AE24E1">
        <w:trPr>
          <w:trHeight w:val="1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2525" w14:textId="77777777" w:rsidR="00AE24E1" w:rsidRPr="00264252" w:rsidRDefault="00AE24E1" w:rsidP="00AA6690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64252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EEA3" w14:textId="419C2A99" w:rsidR="00AE24E1" w:rsidRPr="00264252" w:rsidRDefault="00AE24E1" w:rsidP="00AA6690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26425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2020թ. ինն ամիսների</w:t>
            </w:r>
            <w:r w:rsidRPr="0026425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br/>
              <w:t>փաստ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A6CC" w14:textId="77777777" w:rsidR="00AE24E1" w:rsidRPr="00264252" w:rsidRDefault="00AE24E1" w:rsidP="00AA6690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26425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2021թ. ինն ամիսների ճշտված պլան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7DA2B" w14:textId="2730BECF" w:rsidR="00AE24E1" w:rsidRPr="00264252" w:rsidRDefault="00AE24E1" w:rsidP="000E1CA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26425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2021թ. 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ի</w:t>
            </w:r>
            <w:r w:rsidRPr="0026425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նն ամիսների</w:t>
            </w:r>
            <w:r w:rsidRPr="0026425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br/>
              <w:t>փաստ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93939" w14:textId="5DDB534E" w:rsidR="00AE24E1" w:rsidRPr="00264252" w:rsidRDefault="00245A43" w:rsidP="000E1CA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26425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Կ</w:t>
            </w:r>
            <w:r w:rsidR="00AE24E1" w:rsidRPr="0026425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ատարո</w:t>
            </w:r>
            <w:r w:rsidRPr="0026425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-</w:t>
            </w:r>
            <w:r w:rsidR="00AE24E1" w:rsidRPr="0026425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ղականը ճշտված պլանի նկատմամբ</w:t>
            </w:r>
          </w:p>
          <w:p w14:paraId="4D3F2A6F" w14:textId="2F450B3C" w:rsidR="00245A43" w:rsidRPr="00264252" w:rsidRDefault="00245A43" w:rsidP="000E1CA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26425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E8BD1" w14:textId="77777777" w:rsidR="00E41428" w:rsidRDefault="00E41428" w:rsidP="00E414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2021թ.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ինն ամիսները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2020թ.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ինն ամիսների 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նկատմամբ</w:t>
            </w:r>
          </w:p>
          <w:p w14:paraId="6D197956" w14:textId="23968873" w:rsidR="00AE24E1" w:rsidRPr="00A225BE" w:rsidRDefault="00E41428" w:rsidP="00E414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AE24E1" w:rsidRPr="00AE24E1" w14:paraId="6F776624" w14:textId="77777777" w:rsidTr="00AE24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83A0" w14:textId="77777777" w:rsidR="00AE24E1" w:rsidRPr="00AE24E1" w:rsidRDefault="00AE24E1" w:rsidP="00B039B3">
            <w:pPr>
              <w:ind w:firstLineChars="100" w:firstLine="201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Ընթացիկ ծախսեր, </w:t>
            </w:r>
            <w:r w:rsidRPr="00AE24E1">
              <w:rPr>
                <w:rFonts w:ascii="GHEA Grapalat" w:hAnsi="GHEA Grapalat" w:cs="Calibri"/>
                <w:bCs/>
                <w:sz w:val="20"/>
                <w:szCs w:val="20"/>
              </w:rPr>
              <w:t>այդ թվում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5AA1" w14:textId="3740F26A" w:rsidR="00AE24E1" w:rsidRPr="00AE24E1" w:rsidRDefault="00AE24E1" w:rsidP="00AE24E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1,128.2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B398" w14:textId="384E60B5" w:rsidR="00AE24E1" w:rsidRPr="00AE24E1" w:rsidRDefault="00AE24E1" w:rsidP="00AE24E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     1,318.3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B7A4" w14:textId="0ABBFDC9" w:rsidR="00AE24E1" w:rsidRPr="00AE24E1" w:rsidRDefault="00AE24E1" w:rsidP="00AE24E1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1,223.5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A2E4BD" w14:textId="1F5BE6FB" w:rsidR="00AE24E1" w:rsidRPr="00AE24E1" w:rsidRDefault="00AE24E1" w:rsidP="00AE24E1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92.8%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FE38" w14:textId="0B4BBD1E" w:rsidR="00AE24E1" w:rsidRPr="00AE24E1" w:rsidRDefault="00AE24E1" w:rsidP="00AE24E1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108.4%</w:t>
            </w:r>
          </w:p>
        </w:tc>
      </w:tr>
      <w:tr w:rsidR="00AE24E1" w:rsidRPr="00AE24E1" w14:paraId="04981499" w14:textId="77777777" w:rsidTr="00AE24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6891" w14:textId="77777777" w:rsidR="00AE24E1" w:rsidRPr="00AE24E1" w:rsidRDefault="00AE24E1" w:rsidP="00AA6690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Աշխատավարձ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5552" w14:textId="2E4A79C8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120.9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120B" w14:textId="1B419DCC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128.6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EF2A" w14:textId="1B3EE4CA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121.5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A5FA8" w14:textId="23B8F823" w:rsidR="00AE24E1" w:rsidRPr="00AE24E1" w:rsidRDefault="00AE24E1" w:rsidP="00AE24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94.5%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675" w14:textId="4B2E1361" w:rsidR="00AE24E1" w:rsidRPr="00AE24E1" w:rsidRDefault="00AE24E1" w:rsidP="00AE24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color w:val="000000"/>
                <w:sz w:val="20"/>
                <w:szCs w:val="20"/>
              </w:rPr>
              <w:t>100.5%</w:t>
            </w:r>
          </w:p>
        </w:tc>
      </w:tr>
      <w:tr w:rsidR="00AE24E1" w:rsidRPr="00AE24E1" w14:paraId="2192AF6D" w14:textId="77777777" w:rsidTr="00AE24E1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F10C" w14:textId="77777777" w:rsidR="00AE24E1" w:rsidRPr="00AE24E1" w:rsidRDefault="00AE24E1" w:rsidP="00AA6690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Ծառայությունների և ապրանքների ձեռք բերում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2D6F" w14:textId="682181B5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113.0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A728" w14:textId="33481194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144.8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8D56" w14:textId="05CD627D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115.8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5C9B16" w14:textId="0A141F19" w:rsidR="00AE24E1" w:rsidRPr="00AE24E1" w:rsidRDefault="00AE24E1" w:rsidP="00AE24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79.9%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F3FB" w14:textId="40248DB1" w:rsidR="00AE24E1" w:rsidRPr="00AE24E1" w:rsidRDefault="00AE24E1" w:rsidP="00AE24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color w:val="000000"/>
                <w:sz w:val="20"/>
                <w:szCs w:val="20"/>
              </w:rPr>
              <w:t>102.4%</w:t>
            </w:r>
          </w:p>
        </w:tc>
      </w:tr>
      <w:tr w:rsidR="00AE24E1" w:rsidRPr="00AE24E1" w14:paraId="24203807" w14:textId="77777777" w:rsidTr="00AE24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AC56" w14:textId="77777777" w:rsidR="00AE24E1" w:rsidRPr="00AE24E1" w:rsidRDefault="00AE24E1" w:rsidP="00AA6690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Տոկոսավճարներ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1A82" w14:textId="4FFB9BD9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117.7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E111" w14:textId="4E00D478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134.7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1C20" w14:textId="10E3D3F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127.6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B1F4C" w14:textId="40F9C764" w:rsidR="00AE24E1" w:rsidRPr="00AE24E1" w:rsidRDefault="00AE24E1" w:rsidP="00AE24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94.7%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AE06" w14:textId="5CB68863" w:rsidR="00AE24E1" w:rsidRPr="00AE24E1" w:rsidRDefault="00AE24E1" w:rsidP="00AE24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color w:val="000000"/>
                <w:sz w:val="20"/>
                <w:szCs w:val="20"/>
              </w:rPr>
              <w:t>108.4%</w:t>
            </w:r>
          </w:p>
        </w:tc>
      </w:tr>
      <w:tr w:rsidR="00AE24E1" w:rsidRPr="00AE24E1" w14:paraId="5276A53C" w14:textId="77777777" w:rsidTr="00AE24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21B05" w14:textId="77777777" w:rsidR="00AE24E1" w:rsidRPr="00AE24E1" w:rsidRDefault="00AE24E1" w:rsidP="00AA6690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Սուբսիդիաներ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4450" w14:textId="00571163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86.3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A56D" w14:textId="263953F8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106.3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3AD0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            100.1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0B0AE" w14:textId="496321D7" w:rsidR="00AE24E1" w:rsidRPr="00AE24E1" w:rsidRDefault="00AE24E1" w:rsidP="00AE24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94.1%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0CD5" w14:textId="170C7E94" w:rsidR="00AE24E1" w:rsidRPr="00AE24E1" w:rsidRDefault="00AE24E1" w:rsidP="00AE24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color w:val="000000"/>
                <w:sz w:val="20"/>
                <w:szCs w:val="20"/>
              </w:rPr>
              <w:t>115.9%</w:t>
            </w:r>
          </w:p>
        </w:tc>
      </w:tr>
      <w:tr w:rsidR="00AE24E1" w:rsidRPr="00AE24E1" w14:paraId="6C53F7DB" w14:textId="77777777" w:rsidTr="00AE24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DDBE5" w14:textId="77777777" w:rsidR="00AE24E1" w:rsidRPr="00AE24E1" w:rsidRDefault="00AE24E1" w:rsidP="00AA6690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Դրամաշնորհներ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A5A7" w14:textId="447DA8D0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121.5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B9C1" w14:textId="2742B099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         151.7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02E5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            137.2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1AC0C6" w14:textId="7B161F20" w:rsidR="00AE24E1" w:rsidRPr="00AE24E1" w:rsidRDefault="00AE24E1" w:rsidP="00AE24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90.4%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E69A" w14:textId="7966F6E6" w:rsidR="00AE24E1" w:rsidRPr="00AE24E1" w:rsidRDefault="00AE24E1" w:rsidP="00AE24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color w:val="000000"/>
                <w:sz w:val="20"/>
                <w:szCs w:val="20"/>
              </w:rPr>
              <w:t>112.9%</w:t>
            </w:r>
          </w:p>
        </w:tc>
      </w:tr>
      <w:tr w:rsidR="00AE24E1" w:rsidRPr="00AE24E1" w14:paraId="7D1FC9D6" w14:textId="77777777" w:rsidTr="00AE24E1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88903" w14:textId="6C8FDA3D" w:rsidR="00AE24E1" w:rsidRPr="00AE24E1" w:rsidRDefault="00AE24E1" w:rsidP="00C7157B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Սոցիալական նպաստներ և կենսաթոշակներ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2D0E" w14:textId="2968FD03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403.9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3A65" w14:textId="6879F2EB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455.3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F309" w14:textId="3BBF1530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443.8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3AAC1" w14:textId="1AB50FA7" w:rsidR="00AE24E1" w:rsidRPr="00AE24E1" w:rsidRDefault="00AE24E1" w:rsidP="00AE24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97.5%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588B" w14:textId="6362696F" w:rsidR="00AE24E1" w:rsidRPr="00AE24E1" w:rsidRDefault="00AE24E1" w:rsidP="00AE24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color w:val="000000"/>
                <w:sz w:val="20"/>
                <w:szCs w:val="20"/>
              </w:rPr>
              <w:t>109.9%</w:t>
            </w:r>
          </w:p>
        </w:tc>
      </w:tr>
      <w:tr w:rsidR="00AE24E1" w:rsidRPr="00AE24E1" w14:paraId="7B6F08FB" w14:textId="77777777" w:rsidTr="00AE24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3DEC" w14:textId="77777777" w:rsidR="00AE24E1" w:rsidRPr="00AE24E1" w:rsidRDefault="00AE24E1" w:rsidP="00AE24E1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Այլ ծախսեր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5A93" w14:textId="54C4D809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164.7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C36C" w14:textId="1EA0BD65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196.7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D031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 xml:space="preserve">            177.5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41F91E" w14:textId="250B5975" w:rsidR="00AE24E1" w:rsidRPr="00AE24E1" w:rsidRDefault="00245A43" w:rsidP="00AE24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90.3%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A5FD" w14:textId="177074EA" w:rsidR="00AE24E1" w:rsidRPr="00AE24E1" w:rsidRDefault="00AE24E1" w:rsidP="00AE24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color w:val="000000"/>
                <w:sz w:val="20"/>
                <w:szCs w:val="20"/>
              </w:rPr>
              <w:t>107.8%</w:t>
            </w:r>
          </w:p>
        </w:tc>
      </w:tr>
      <w:tr w:rsidR="00AE24E1" w:rsidRPr="00AE24E1" w14:paraId="6292A09A" w14:textId="77777777" w:rsidTr="00AE24E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88FB" w14:textId="79768613" w:rsidR="00AE24E1" w:rsidRPr="00AE24E1" w:rsidRDefault="00AE24E1" w:rsidP="00B039B3">
            <w:pPr>
              <w:ind w:firstLineChars="100" w:firstLine="201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շիռն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ընթացիկ ծախսերում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, </w:t>
            </w:r>
            <w:r w:rsidRPr="00AE24E1">
              <w:rPr>
                <w:rFonts w:ascii="GHEA Grapalat" w:hAnsi="GHEA Grapalat" w:cs="Calibri"/>
                <w:bCs/>
                <w:sz w:val="20"/>
                <w:szCs w:val="20"/>
              </w:rPr>
              <w:t>այդ թվում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>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F281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24E1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194D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24E1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8207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24E1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CB75F7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2554" w14:textId="0DFED203" w:rsidR="00AE24E1" w:rsidRPr="00AE24E1" w:rsidRDefault="00AE24E1" w:rsidP="00AE24E1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24E1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AE24E1" w:rsidRPr="00AE24E1" w14:paraId="318C0BE8" w14:textId="77777777" w:rsidTr="00245A4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1AE6" w14:textId="77777777" w:rsidR="00AE24E1" w:rsidRPr="00AE24E1" w:rsidRDefault="00AE24E1" w:rsidP="00AA6690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Աշխատավարձ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B30F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10.7%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278F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9.8%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5C03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9.9%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7C3D9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6A85E" w14:textId="3F73A223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AE24E1" w:rsidRPr="00AE24E1" w14:paraId="2ED14BB1" w14:textId="77777777" w:rsidTr="00245A43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8B6F" w14:textId="77777777" w:rsidR="00AE24E1" w:rsidRPr="00AE24E1" w:rsidRDefault="00AE24E1" w:rsidP="00AA6690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Ծառայությունների և ապրանքների ձեռք բերում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1E75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10.0%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2F05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11.0%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9559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9.5%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921EA4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82EC" w14:textId="5220013D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AE24E1" w:rsidRPr="00AE24E1" w14:paraId="1C0AD8F1" w14:textId="77777777" w:rsidTr="00245A4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A223" w14:textId="77777777" w:rsidR="00AE24E1" w:rsidRPr="00AE24E1" w:rsidRDefault="00AE24E1" w:rsidP="00AA6690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Տոկոսավճարներ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F495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10.4%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9FC5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10.2%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FF6A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10.4%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51E186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05DDA" w14:textId="30DC69E9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AE24E1" w:rsidRPr="00AE24E1" w14:paraId="66096207" w14:textId="77777777" w:rsidTr="00245A4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5C48" w14:textId="77777777" w:rsidR="00AE24E1" w:rsidRPr="00AE24E1" w:rsidRDefault="00AE24E1" w:rsidP="00AA6690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Սուբսիդիաներ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21FA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7.7%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5C46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8.1%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A500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8.2%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36902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0B3FD" w14:textId="12D7E6F0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AE24E1" w:rsidRPr="00AE24E1" w14:paraId="161F6ACF" w14:textId="77777777" w:rsidTr="00245A4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9BF5" w14:textId="77777777" w:rsidR="00AE24E1" w:rsidRPr="00AE24E1" w:rsidRDefault="00AE24E1" w:rsidP="00AA6690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Դրամաշնորհներ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D1AF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10.8%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EB95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11.5%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9822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11.2%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9DBD7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C247E" w14:textId="7FC3501D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AE24E1" w:rsidRPr="00AE24E1" w14:paraId="0785AC52" w14:textId="77777777" w:rsidTr="00245A43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46E3" w14:textId="65B4461A" w:rsidR="00AE24E1" w:rsidRPr="00AE24E1" w:rsidRDefault="00AE24E1" w:rsidP="00C7157B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Սոցիալական նպաստներ և կենսաթոշակներ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5B71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35.8%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C3E3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34.5%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9A07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36.3%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18165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9F215" w14:textId="02E55AF4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AE24E1" w:rsidRPr="00AE24E1" w14:paraId="505119CA" w14:textId="77777777" w:rsidTr="00245A4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AADD" w14:textId="77777777" w:rsidR="00AE24E1" w:rsidRPr="00AE24E1" w:rsidRDefault="00AE24E1" w:rsidP="00AA6690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Այլ ծախսեր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A393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14.6%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F63A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14.9%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CEE8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14.5%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03CC33" w14:textId="77777777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59131" w14:textId="5DAFCAE0" w:rsidR="00AE24E1" w:rsidRPr="00AE24E1" w:rsidRDefault="00AE24E1" w:rsidP="00AE24E1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</w:tbl>
    <w:p w14:paraId="321BE0E3" w14:textId="6F7F221B" w:rsidR="00DB7134" w:rsidRPr="00AA6690" w:rsidRDefault="00DB7134" w:rsidP="006B4AB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2E179C80" w14:textId="66F2BA12" w:rsidR="005E1756" w:rsidRDefault="006B4AB7" w:rsidP="006B4AB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  <w:lang w:val="hy-AM"/>
        </w:rPr>
        <w:t xml:space="preserve">Նախորդ տարվա նույն </w:t>
      </w:r>
      <w:r w:rsidRPr="00943223">
        <w:rPr>
          <w:rFonts w:ascii="GHEA Grapalat" w:hAnsi="GHEA Grapalat" w:cs="GHEA Grapalat"/>
          <w:color w:val="000000"/>
          <w:lang w:val="hy-AM"/>
        </w:rPr>
        <w:t>ժամանակահատվածի</w:t>
      </w:r>
      <w:r>
        <w:rPr>
          <w:rFonts w:ascii="GHEA Grapalat" w:hAnsi="GHEA Grapalat" w:cs="GHEA Grapalat"/>
          <w:color w:val="000000"/>
          <w:lang w:val="hy-AM"/>
        </w:rPr>
        <w:t xml:space="preserve"> համեմատ ոչ ֆինանսական ակտիվների հետ գործառնություններ</w:t>
      </w:r>
      <w:r w:rsidRPr="00943223">
        <w:rPr>
          <w:rFonts w:ascii="GHEA Grapalat" w:hAnsi="GHEA Grapalat" w:cs="GHEA Grapalat"/>
          <w:color w:val="000000"/>
          <w:lang w:val="hy-AM"/>
        </w:rPr>
        <w:t>ի ցուցանիշ</w:t>
      </w:r>
      <w:r w:rsidR="004557F0">
        <w:rPr>
          <w:rFonts w:ascii="GHEA Grapalat" w:hAnsi="GHEA Grapalat" w:cs="GHEA Grapalat"/>
          <w:color w:val="000000"/>
        </w:rPr>
        <w:t>ի</w:t>
      </w:r>
      <w:r w:rsidRPr="00943223">
        <w:rPr>
          <w:rFonts w:ascii="GHEA Grapalat" w:hAnsi="GHEA Grapalat" w:cs="GHEA Grapalat"/>
          <w:color w:val="000000"/>
          <w:lang w:val="hy-AM"/>
        </w:rPr>
        <w:t xml:space="preserve"> աճ</w:t>
      </w:r>
      <w:r w:rsidR="004557F0">
        <w:rPr>
          <w:rFonts w:ascii="GHEA Grapalat" w:hAnsi="GHEA Grapalat" w:cs="GHEA Grapalat"/>
          <w:color w:val="000000"/>
        </w:rPr>
        <w:t>ը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943223">
        <w:rPr>
          <w:rFonts w:ascii="GHEA Grapalat" w:hAnsi="GHEA Grapalat" w:cs="GHEA Grapalat"/>
          <w:color w:val="000000"/>
          <w:lang w:val="hy-AM"/>
        </w:rPr>
        <w:t xml:space="preserve">հիմնականում </w:t>
      </w:r>
      <w:r>
        <w:rPr>
          <w:rFonts w:ascii="GHEA Grapalat" w:hAnsi="GHEA Grapalat" w:cs="GHEA Grapalat"/>
          <w:color w:val="000000"/>
          <w:lang w:val="hy-AM"/>
        </w:rPr>
        <w:t xml:space="preserve">պայմանավորված է ոչ ֆինանսական ակտիվների գծով ծախսերի </w:t>
      </w:r>
      <w:r w:rsidRPr="00943223">
        <w:rPr>
          <w:rFonts w:ascii="GHEA Grapalat" w:hAnsi="GHEA Grapalat" w:cs="GHEA Grapalat"/>
          <w:color w:val="000000"/>
          <w:lang w:val="hy-AM"/>
        </w:rPr>
        <w:t>աճով</w:t>
      </w:r>
      <w:r>
        <w:rPr>
          <w:rFonts w:ascii="GHEA Grapalat" w:hAnsi="GHEA Grapalat" w:cs="GHEA Grapalat"/>
          <w:color w:val="000000"/>
          <w:lang w:val="hy-AM"/>
        </w:rPr>
        <w:t xml:space="preserve">: </w:t>
      </w:r>
    </w:p>
    <w:p w14:paraId="147D7BF8" w14:textId="411266B4" w:rsidR="006B4AB7" w:rsidRDefault="006B4AB7" w:rsidP="006B4AB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943223">
        <w:rPr>
          <w:rFonts w:ascii="GHEA Grapalat" w:hAnsi="GHEA Grapalat" w:cs="GHEA Grapalat"/>
          <w:color w:val="000000"/>
          <w:lang w:val="hy-AM"/>
        </w:rPr>
        <w:t>Ո</w:t>
      </w:r>
      <w:r>
        <w:rPr>
          <w:rFonts w:ascii="GHEA Grapalat" w:hAnsi="GHEA Grapalat" w:cs="GHEA Grapalat"/>
          <w:color w:val="000000"/>
          <w:lang w:val="hy-AM"/>
        </w:rPr>
        <w:t xml:space="preserve">չ </w:t>
      </w:r>
      <w:r w:rsidRPr="00943223">
        <w:rPr>
          <w:rFonts w:ascii="GHEA Grapalat" w:hAnsi="GHEA Grapalat" w:cs="GHEA Grapalat"/>
          <w:color w:val="000000"/>
          <w:lang w:val="hy-AM"/>
        </w:rPr>
        <w:t>ֆինանսական ակտիվների գծով ծախսեր</w:t>
      </w:r>
      <w:r w:rsidR="004557F0">
        <w:rPr>
          <w:rFonts w:ascii="GHEA Grapalat" w:hAnsi="GHEA Grapalat" w:cs="GHEA Grapalat"/>
          <w:color w:val="000000"/>
        </w:rPr>
        <w:t>ի</w:t>
      </w:r>
      <w:r w:rsidRPr="00943223">
        <w:rPr>
          <w:rFonts w:ascii="GHEA Grapalat" w:hAnsi="GHEA Grapalat" w:cs="GHEA Grapalat"/>
          <w:color w:val="000000"/>
          <w:lang w:val="hy-AM"/>
        </w:rPr>
        <w:t xml:space="preserve"> կատարողական</w:t>
      </w:r>
      <w:r w:rsidR="004557F0">
        <w:rPr>
          <w:rFonts w:ascii="GHEA Grapalat" w:hAnsi="GHEA Grapalat" w:cs="GHEA Grapalat"/>
          <w:color w:val="000000"/>
        </w:rPr>
        <w:t>ը</w:t>
      </w:r>
      <w:r w:rsidRPr="00943223">
        <w:rPr>
          <w:rFonts w:ascii="GHEA Grapalat" w:hAnsi="GHEA Grapalat" w:cs="GHEA Grapalat"/>
          <w:color w:val="000000"/>
          <w:lang w:val="hy-AM"/>
        </w:rPr>
        <w:t xml:space="preserve"> հիմնականում պայմանավորված է տրանսպորտի, պաշտպանության, հասարակական կարգի, անվտանգության և դատական գործունեության, ոռոգման</w:t>
      </w:r>
      <w:r w:rsidR="00224244" w:rsidRPr="00943223">
        <w:rPr>
          <w:rFonts w:ascii="GHEA Grapalat" w:hAnsi="GHEA Grapalat" w:cs="GHEA Grapalat"/>
          <w:color w:val="000000"/>
          <w:lang w:val="hy-AM"/>
        </w:rPr>
        <w:t>,</w:t>
      </w:r>
      <w:r w:rsidRPr="00943223">
        <w:rPr>
          <w:rFonts w:ascii="GHEA Grapalat" w:hAnsi="GHEA Grapalat" w:cs="GHEA Grapalat"/>
          <w:color w:val="000000"/>
          <w:lang w:val="hy-AM"/>
        </w:rPr>
        <w:t xml:space="preserve"> </w:t>
      </w:r>
      <w:r w:rsidR="00A50EAC" w:rsidRPr="00943223">
        <w:rPr>
          <w:rFonts w:ascii="GHEA Grapalat" w:hAnsi="GHEA Grapalat" w:cs="GHEA Grapalat"/>
          <w:color w:val="000000"/>
          <w:lang w:val="hy-AM"/>
        </w:rPr>
        <w:t xml:space="preserve">կրթության ու ջրամատակարարման </w:t>
      </w:r>
      <w:r w:rsidRPr="00943223">
        <w:rPr>
          <w:rFonts w:ascii="GHEA Grapalat" w:hAnsi="GHEA Grapalat" w:cs="GHEA Grapalat"/>
          <w:color w:val="000000"/>
          <w:lang w:val="hy-AM"/>
        </w:rPr>
        <w:t>ոլորտներում իրականացվող ծրագրերի կատարողականով: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="005E1756">
        <w:rPr>
          <w:rFonts w:ascii="GHEA Grapalat" w:hAnsi="GHEA Grapalat" w:cs="GHEA Grapalat"/>
          <w:color w:val="000000"/>
        </w:rPr>
        <w:t>Իսկ ն</w:t>
      </w:r>
      <w:r>
        <w:rPr>
          <w:rFonts w:ascii="GHEA Grapalat" w:hAnsi="GHEA Grapalat" w:cs="GHEA Grapalat"/>
          <w:color w:val="000000"/>
          <w:lang w:val="hy-AM"/>
        </w:rPr>
        <w:t xml:space="preserve">ախորդ տարվա նույն ժամանակահատվածի համեմատ </w:t>
      </w:r>
      <w:r w:rsidRPr="00943223">
        <w:rPr>
          <w:rFonts w:ascii="GHEA Grapalat" w:hAnsi="GHEA Grapalat" w:cs="GHEA Grapalat"/>
          <w:color w:val="000000"/>
          <w:lang w:val="hy-AM"/>
        </w:rPr>
        <w:t>աճ</w:t>
      </w:r>
      <w:r>
        <w:rPr>
          <w:rFonts w:ascii="GHEA Grapalat" w:hAnsi="GHEA Grapalat" w:cs="GHEA Grapalat"/>
          <w:color w:val="000000"/>
          <w:lang w:val="hy-AM"/>
        </w:rPr>
        <w:t xml:space="preserve">ը հիմնականում պայմանավորված է ՀՀ </w:t>
      </w:r>
      <w:r w:rsidRPr="00B0719E">
        <w:rPr>
          <w:rFonts w:ascii="GHEA Grapalat" w:hAnsi="GHEA Grapalat" w:cs="GHEA Grapalat"/>
          <w:color w:val="000000"/>
          <w:lang w:val="hy-AM"/>
        </w:rPr>
        <w:t>պաշտպանության</w:t>
      </w:r>
      <w:r>
        <w:rPr>
          <w:rFonts w:ascii="GHEA Grapalat" w:hAnsi="GHEA Grapalat" w:cs="GHEA Grapalat"/>
          <w:color w:val="000000"/>
          <w:lang w:val="hy-AM"/>
        </w:rPr>
        <w:t xml:space="preserve"> նախարարության </w:t>
      </w:r>
      <w:r w:rsidRPr="00D831E4">
        <w:rPr>
          <w:rFonts w:ascii="GHEA Grapalat" w:hAnsi="GHEA Grapalat" w:cs="GHEA Grapalat"/>
          <w:color w:val="000000"/>
          <w:lang w:val="hy-AM"/>
        </w:rPr>
        <w:t>շենքային պայմանների բարելավման</w:t>
      </w:r>
      <w:r w:rsidRPr="00943223">
        <w:rPr>
          <w:rFonts w:ascii="GHEA Grapalat" w:hAnsi="GHEA Grapalat" w:cs="GHEA Grapalat"/>
          <w:color w:val="000000"/>
          <w:lang w:val="hy-AM"/>
        </w:rPr>
        <w:t>, ինչպես նաև ճանապարհային տրանսպորտի</w:t>
      </w:r>
      <w:r w:rsidR="001477EC" w:rsidRPr="00943223">
        <w:rPr>
          <w:rFonts w:ascii="GHEA Grapalat" w:hAnsi="GHEA Grapalat" w:cs="GHEA Grapalat"/>
          <w:color w:val="000000"/>
          <w:lang w:val="hy-AM"/>
        </w:rPr>
        <w:t xml:space="preserve"> և ջրամատակարարման</w:t>
      </w:r>
      <w:r w:rsidRPr="00943223">
        <w:rPr>
          <w:rFonts w:ascii="GHEA Grapalat" w:hAnsi="GHEA Grapalat" w:cs="GHEA Grapalat"/>
          <w:color w:val="000000"/>
          <w:lang w:val="hy-AM"/>
        </w:rPr>
        <w:t xml:space="preserve"> ոլորտ</w:t>
      </w:r>
      <w:r w:rsidR="001477EC" w:rsidRPr="00943223">
        <w:rPr>
          <w:rFonts w:ascii="GHEA Grapalat" w:hAnsi="GHEA Grapalat" w:cs="GHEA Grapalat"/>
          <w:color w:val="000000"/>
          <w:lang w:val="hy-AM"/>
        </w:rPr>
        <w:t>ներ</w:t>
      </w:r>
      <w:r w:rsidRPr="00943223">
        <w:rPr>
          <w:rFonts w:ascii="GHEA Grapalat" w:hAnsi="GHEA Grapalat" w:cs="GHEA Grapalat"/>
          <w:color w:val="000000"/>
          <w:lang w:val="hy-AM"/>
        </w:rPr>
        <w:t>ում իրականացված կապիտալ ծախսերի աճով</w:t>
      </w:r>
      <w:r>
        <w:rPr>
          <w:rFonts w:ascii="GHEA Grapalat" w:hAnsi="GHEA Grapalat" w:cs="GHEA Grapalat"/>
          <w:color w:val="000000"/>
          <w:lang w:val="hy-AM"/>
        </w:rPr>
        <w:t>:</w:t>
      </w:r>
    </w:p>
    <w:p w14:paraId="2D099F61" w14:textId="7C96DEDB" w:rsidR="006B4AB7" w:rsidRPr="00264252" w:rsidRDefault="006B4AB7" w:rsidP="006B4AB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lastRenderedPageBreak/>
        <w:t xml:space="preserve">Ոչ ֆինանսական ակտիվների օտարումից հաշվետու ժամանակահատվածում ստացվել են </w:t>
      </w:r>
      <w:r w:rsidR="001477EC" w:rsidRPr="00943223">
        <w:rPr>
          <w:rFonts w:ascii="GHEA Grapalat" w:hAnsi="GHEA Grapalat" w:cs="GHEA Grapalat"/>
          <w:color w:val="000000"/>
          <w:lang w:val="hy-AM"/>
        </w:rPr>
        <w:t xml:space="preserve">ավելի քան </w:t>
      </w:r>
      <w:r w:rsidRPr="00943223">
        <w:rPr>
          <w:rFonts w:ascii="GHEA Grapalat" w:hAnsi="GHEA Grapalat" w:cs="GHEA Grapalat"/>
          <w:color w:val="000000"/>
          <w:lang w:val="hy-AM"/>
        </w:rPr>
        <w:t>1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 w:rsidRPr="00943223">
        <w:rPr>
          <w:rFonts w:ascii="GHEA Grapalat" w:hAnsi="GHEA Grapalat" w:cs="GHEA Grapalat"/>
          <w:color w:val="000000"/>
          <w:lang w:val="hy-AM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 մուտքեր՝</w:t>
      </w:r>
      <w:r w:rsidRPr="00943223">
        <w:rPr>
          <w:rFonts w:ascii="GHEA Grapalat" w:hAnsi="GHEA Grapalat" w:cs="GHEA Grapalat"/>
          <w:color w:val="000000"/>
          <w:lang w:val="hy-AM"/>
        </w:rPr>
        <w:t xml:space="preserve"> իննամսյա և տ</w:t>
      </w:r>
      <w:r w:rsidR="001477EC" w:rsidRPr="00943223">
        <w:rPr>
          <w:rFonts w:ascii="GHEA Grapalat" w:hAnsi="GHEA Grapalat" w:cs="GHEA Grapalat"/>
          <w:color w:val="000000"/>
          <w:lang w:val="hy-AM"/>
        </w:rPr>
        <w:t>արեկան ծրագրերով նախատեսված 1.3</w:t>
      </w:r>
      <w:r w:rsidR="001477EC" w:rsidRPr="00943223">
        <w:rPr>
          <w:rFonts w:ascii="Courier New" w:hAnsi="Courier New" w:cs="Courier New"/>
          <w:color w:val="000000"/>
          <w:lang w:val="hy-AM"/>
        </w:rPr>
        <w:t> </w:t>
      </w:r>
      <w:r w:rsidRPr="00943223">
        <w:rPr>
          <w:rFonts w:ascii="GHEA Grapalat" w:hAnsi="GHEA Grapalat" w:cs="GHEA Grapalat"/>
          <w:color w:val="000000"/>
          <w:lang w:val="hy-AM"/>
        </w:rPr>
        <w:t>մլն դրամի և</w:t>
      </w:r>
      <w:r>
        <w:rPr>
          <w:rFonts w:ascii="GHEA Grapalat" w:hAnsi="GHEA Grapalat" w:cs="GHEA Grapalat"/>
          <w:color w:val="000000"/>
          <w:lang w:val="hy-AM"/>
        </w:rPr>
        <w:t xml:space="preserve"> 2020 թվականի նույն ժամանակահատվածում ստացված </w:t>
      </w:r>
      <w:r w:rsidRPr="00943223">
        <w:rPr>
          <w:rFonts w:ascii="GHEA Grapalat" w:hAnsi="GHEA Grapalat" w:cs="GHEA Grapalat"/>
          <w:color w:val="000000"/>
          <w:lang w:val="hy-AM"/>
        </w:rPr>
        <w:t>1.3</w:t>
      </w:r>
      <w:r w:rsidR="001477EC" w:rsidRPr="00943223"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</w:t>
      </w:r>
      <w:r w:rsidRPr="00943223">
        <w:rPr>
          <w:rFonts w:ascii="GHEA Grapalat" w:hAnsi="GHEA Grapalat" w:cs="GHEA Grapalat"/>
          <w:color w:val="000000"/>
          <w:lang w:val="hy-AM"/>
        </w:rPr>
        <w:t>րդ</w:t>
      </w:r>
      <w:r>
        <w:rPr>
          <w:rFonts w:ascii="GHEA Grapalat" w:hAnsi="GHEA Grapalat" w:cs="GHEA Grapalat"/>
          <w:color w:val="000000"/>
          <w:lang w:val="hy-AM"/>
        </w:rPr>
        <w:t xml:space="preserve"> դրամի դիմաց:</w:t>
      </w:r>
    </w:p>
    <w:p w14:paraId="7B37D2ED" w14:textId="77777777" w:rsidR="004557F0" w:rsidRPr="00264252" w:rsidRDefault="004557F0" w:rsidP="006B4AB7">
      <w:pPr>
        <w:spacing w:line="360" w:lineRule="auto"/>
        <w:ind w:firstLine="567"/>
        <w:jc w:val="both"/>
        <w:rPr>
          <w:lang w:val="hy-AM"/>
        </w:rPr>
      </w:pPr>
    </w:p>
    <w:p w14:paraId="562BEB81" w14:textId="71B7990A" w:rsidR="00465088" w:rsidRPr="00264252" w:rsidRDefault="00465088" w:rsidP="00465088">
      <w:pPr>
        <w:pStyle w:val="Caption"/>
        <w:keepNext/>
        <w:rPr>
          <w:rFonts w:ascii="GHEA Grapalat" w:hAnsi="GHEA Grapalat"/>
          <w:b/>
          <w:color w:val="auto"/>
          <w:lang w:val="hy-AM"/>
        </w:rPr>
      </w:pPr>
      <w:r w:rsidRPr="00A225BE">
        <w:rPr>
          <w:rFonts w:ascii="GHEA Grapalat" w:hAnsi="GHEA Grapalat"/>
          <w:b/>
          <w:color w:val="auto"/>
          <w:lang w:val="hy-AM"/>
        </w:rPr>
        <w:t xml:space="preserve">Աղյուսակ </w:t>
      </w:r>
      <w:r w:rsidR="004557F0" w:rsidRPr="00A225BE">
        <w:rPr>
          <w:rFonts w:ascii="GHEA Grapalat" w:hAnsi="GHEA Grapalat"/>
          <w:b/>
          <w:color w:val="auto"/>
          <w:lang w:val="hy-AM"/>
        </w:rPr>
        <w:t>1</w:t>
      </w:r>
      <w:r w:rsidR="00264252" w:rsidRPr="00A225BE">
        <w:rPr>
          <w:rFonts w:ascii="GHEA Grapalat" w:hAnsi="GHEA Grapalat"/>
          <w:b/>
          <w:color w:val="auto"/>
          <w:lang w:val="hy-AM"/>
        </w:rPr>
        <w:t>1</w:t>
      </w:r>
      <w:r w:rsidR="004557F0" w:rsidRPr="00A225BE">
        <w:rPr>
          <w:rFonts w:ascii="GHEA Grapalat" w:hAnsi="GHEA Grapalat"/>
          <w:b/>
          <w:color w:val="auto"/>
          <w:lang w:val="hy-AM"/>
        </w:rPr>
        <w:t>.</w:t>
      </w:r>
      <w:r w:rsidRPr="00A225BE">
        <w:rPr>
          <w:rFonts w:ascii="GHEA Grapalat" w:hAnsi="GHEA Grapalat"/>
          <w:b/>
          <w:color w:val="auto"/>
          <w:lang w:val="hy-AM"/>
        </w:rPr>
        <w:t xml:space="preserve">  ՀՀ</w:t>
      </w:r>
      <w:r w:rsidRPr="004557F0">
        <w:rPr>
          <w:rFonts w:ascii="GHEA Grapalat" w:hAnsi="GHEA Grapalat"/>
          <w:b/>
          <w:color w:val="auto"/>
          <w:lang w:val="hy-AM"/>
        </w:rPr>
        <w:t xml:space="preserve"> պետական բյուջեի ոչ ֆինանսական ակտիվների հետ գործառնություններ</w:t>
      </w:r>
      <w:r w:rsidR="004557F0">
        <w:rPr>
          <w:rFonts w:ascii="GHEA Grapalat" w:hAnsi="GHEA Grapalat"/>
          <w:b/>
          <w:color w:val="auto"/>
          <w:lang w:val="hy-AM"/>
        </w:rPr>
        <w:t>ը</w:t>
      </w:r>
      <w:r w:rsidR="004557F0" w:rsidRPr="00264252">
        <w:rPr>
          <w:rFonts w:ascii="GHEA Grapalat" w:hAnsi="GHEA Grapalat"/>
          <w:b/>
          <w:color w:val="auto"/>
          <w:lang w:val="hy-AM"/>
        </w:rPr>
        <w:t xml:space="preserve"> (մլրդ դրամ)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276"/>
        <w:gridCol w:w="1275"/>
        <w:gridCol w:w="1418"/>
        <w:gridCol w:w="1417"/>
      </w:tblGrid>
      <w:tr w:rsidR="004557F0" w:rsidRPr="004557F0" w14:paraId="4544F930" w14:textId="77777777" w:rsidTr="004557F0">
        <w:trPr>
          <w:trHeight w:val="12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BBAA" w14:textId="77777777" w:rsidR="004557F0" w:rsidRPr="00264252" w:rsidRDefault="004557F0" w:rsidP="00D72999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64252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05AF2" w14:textId="33027ABB" w:rsidR="004557F0" w:rsidRPr="004557F0" w:rsidRDefault="004557F0" w:rsidP="00D72999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4557F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2020թ. ինն ամիսների</w:t>
            </w:r>
            <w:r w:rsidRPr="004557F0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EF39" w14:textId="77777777" w:rsidR="004557F0" w:rsidRPr="004557F0" w:rsidRDefault="004557F0" w:rsidP="00D72999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4557F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2021թ. ինն ամիսների ճշտված պլան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F3A8A" w14:textId="7DDAC5EB" w:rsidR="004557F0" w:rsidRPr="004557F0" w:rsidRDefault="004557F0" w:rsidP="00D72999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4557F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2021թ. ինն ամիսների</w:t>
            </w:r>
            <w:r w:rsidRPr="004557F0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2B3E8" w14:textId="77777777" w:rsidR="004557F0" w:rsidRDefault="004557F0" w:rsidP="007A7AEF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Կ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ատարո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ղականը ճշտված պլանի նկատմամբ</w:t>
            </w:r>
          </w:p>
          <w:p w14:paraId="4198B1A6" w14:textId="154C7EFC" w:rsidR="004557F0" w:rsidRPr="004557F0" w:rsidRDefault="004557F0" w:rsidP="00D7299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75E2D6" w14:textId="77777777" w:rsidR="00E41428" w:rsidRDefault="00E41428" w:rsidP="00E41428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2021թ.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ինն ամիսները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2020թ.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ինն ամիսների 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նկատմամբ</w:t>
            </w:r>
          </w:p>
          <w:p w14:paraId="61D5C25B" w14:textId="468C3490" w:rsidR="004557F0" w:rsidRPr="004557F0" w:rsidRDefault="00E41428" w:rsidP="00E414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4557F0" w:rsidRPr="004557F0" w14:paraId="754ED959" w14:textId="77777777" w:rsidTr="004557F0">
        <w:trPr>
          <w:trHeight w:val="67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768A" w14:textId="53C5B83F" w:rsidR="004557F0" w:rsidRPr="004557F0" w:rsidRDefault="004557F0" w:rsidP="004557F0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4557F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 ֆինանսական ակտիվների հետ գործառնություններ,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4557F0">
              <w:rPr>
                <w:rFonts w:ascii="GHEA Grapalat" w:hAnsi="GHEA Grapalat" w:cs="Calibri"/>
                <w:sz w:val="20"/>
                <w:szCs w:val="20"/>
              </w:rPr>
              <w:t>այդ թվում</w:t>
            </w:r>
            <w:r>
              <w:rPr>
                <w:rFonts w:ascii="GHEA Grapalat" w:hAnsi="GHEA Grapalat" w:cs="Calibri"/>
                <w:sz w:val="20"/>
                <w:szCs w:val="20"/>
              </w:rPr>
              <w:t>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84646" w14:textId="4982913A" w:rsidR="004557F0" w:rsidRPr="004557F0" w:rsidRDefault="004557F0" w:rsidP="004557F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4557F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101.7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CE9D6" w14:textId="74091081" w:rsidR="004557F0" w:rsidRPr="004557F0" w:rsidRDefault="004557F0" w:rsidP="004557F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4557F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185.3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391A1" w14:textId="222CEEC2" w:rsidR="004557F0" w:rsidRPr="004557F0" w:rsidRDefault="004557F0" w:rsidP="004557F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4557F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        125.5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2C2C1" w14:textId="40D08CAE" w:rsidR="004557F0" w:rsidRPr="004557F0" w:rsidRDefault="004557F0" w:rsidP="004557F0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67.8%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B3FE" w14:textId="19E3F7B6" w:rsidR="004557F0" w:rsidRPr="004557F0" w:rsidRDefault="004557F0" w:rsidP="004557F0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4557F0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123.4%</w:t>
            </w:r>
          </w:p>
        </w:tc>
      </w:tr>
      <w:tr w:rsidR="004557F0" w:rsidRPr="004557F0" w14:paraId="7D715F7D" w14:textId="77777777" w:rsidTr="004557F0">
        <w:trPr>
          <w:trHeight w:val="69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12A8" w14:textId="7E821F57" w:rsidR="004557F0" w:rsidRPr="004557F0" w:rsidRDefault="004557F0" w:rsidP="00D72999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   </w:t>
            </w:r>
            <w:r w:rsidRPr="004557F0">
              <w:rPr>
                <w:rFonts w:ascii="GHEA Grapalat" w:hAnsi="GHEA Grapalat" w:cs="Calibri"/>
                <w:sz w:val="20"/>
                <w:szCs w:val="20"/>
              </w:rPr>
              <w:t>Ոչ ֆինանսական ակտիվների գծով ծախսեր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A375" w14:textId="310A313E" w:rsidR="004557F0" w:rsidRPr="004557F0" w:rsidRDefault="004557F0" w:rsidP="004557F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4557F0">
              <w:rPr>
                <w:rFonts w:ascii="GHEA Grapalat" w:hAnsi="GHEA Grapalat" w:cs="Calibri"/>
                <w:sz w:val="20"/>
                <w:szCs w:val="20"/>
              </w:rPr>
              <w:t xml:space="preserve">103.0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6CB0" w14:textId="0802F1F6" w:rsidR="004557F0" w:rsidRPr="004557F0" w:rsidRDefault="004557F0" w:rsidP="004557F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4557F0">
              <w:rPr>
                <w:rFonts w:ascii="GHEA Grapalat" w:hAnsi="GHEA Grapalat" w:cs="Calibri"/>
                <w:sz w:val="20"/>
                <w:szCs w:val="20"/>
              </w:rPr>
              <w:t xml:space="preserve">185.3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63B7" w14:textId="47383F34" w:rsidR="004557F0" w:rsidRPr="004557F0" w:rsidRDefault="004557F0" w:rsidP="004557F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4557F0">
              <w:rPr>
                <w:rFonts w:ascii="GHEA Grapalat" w:hAnsi="GHEA Grapalat" w:cs="Calibri"/>
                <w:sz w:val="20"/>
                <w:szCs w:val="20"/>
              </w:rPr>
              <w:t xml:space="preserve">       126.6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CBD8D" w14:textId="0EE5249D" w:rsidR="004557F0" w:rsidRPr="004557F0" w:rsidRDefault="004557F0" w:rsidP="004557F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68.3%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6422" w14:textId="54164472" w:rsidR="004557F0" w:rsidRPr="004557F0" w:rsidRDefault="004557F0" w:rsidP="004557F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4557F0">
              <w:rPr>
                <w:rFonts w:ascii="GHEA Grapalat" w:hAnsi="GHEA Grapalat" w:cs="Calibri"/>
                <w:color w:val="000000"/>
                <w:sz w:val="20"/>
                <w:szCs w:val="20"/>
              </w:rPr>
              <w:t>122.8%</w:t>
            </w:r>
          </w:p>
        </w:tc>
      </w:tr>
      <w:tr w:rsidR="004557F0" w:rsidRPr="004557F0" w14:paraId="2BF5CBB5" w14:textId="77777777" w:rsidTr="004557F0">
        <w:trPr>
          <w:trHeight w:val="69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3121" w14:textId="1C1F796E" w:rsidR="004557F0" w:rsidRPr="004557F0" w:rsidRDefault="004557F0" w:rsidP="00D72999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   </w:t>
            </w:r>
            <w:r w:rsidRPr="004557F0">
              <w:rPr>
                <w:rFonts w:ascii="GHEA Grapalat" w:hAnsi="GHEA Grapalat" w:cs="Calibri"/>
                <w:sz w:val="20"/>
                <w:szCs w:val="20"/>
              </w:rPr>
              <w:t>Ոչ ֆինանսական ակտիվների օտարումից մուտքեր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7610" w14:textId="6F0FE2D3" w:rsidR="004557F0" w:rsidRPr="004557F0" w:rsidRDefault="004557F0" w:rsidP="004557F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4557F0">
              <w:rPr>
                <w:rFonts w:ascii="GHEA Grapalat" w:hAnsi="GHEA Grapalat" w:cs="Calibri"/>
                <w:sz w:val="20"/>
                <w:szCs w:val="20"/>
              </w:rPr>
              <w:t xml:space="preserve"> (1.3)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0AB2" w14:textId="7428FBB6" w:rsidR="004557F0" w:rsidRPr="004557F0" w:rsidRDefault="004557F0" w:rsidP="004557F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4557F0">
              <w:rPr>
                <w:rFonts w:ascii="GHEA Grapalat" w:hAnsi="GHEA Grapalat" w:cs="Calibri"/>
                <w:sz w:val="20"/>
                <w:szCs w:val="20"/>
              </w:rPr>
              <w:t>(0.0)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2D86" w14:textId="5B1AA24E" w:rsidR="004557F0" w:rsidRPr="004557F0" w:rsidRDefault="004557F0" w:rsidP="004557F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4557F0">
              <w:rPr>
                <w:rFonts w:ascii="GHEA Grapalat" w:hAnsi="GHEA Grapalat" w:cs="Calibri"/>
                <w:sz w:val="20"/>
                <w:szCs w:val="20"/>
              </w:rPr>
              <w:t xml:space="preserve">         (1.0)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1E79B" w14:textId="1176E85C" w:rsidR="004557F0" w:rsidRPr="004557F0" w:rsidRDefault="004557F0" w:rsidP="004557F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79940.3%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45DF" w14:textId="1C10B8E5" w:rsidR="004557F0" w:rsidRPr="004557F0" w:rsidRDefault="004557F0" w:rsidP="004557F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4557F0">
              <w:rPr>
                <w:rFonts w:ascii="GHEA Grapalat" w:hAnsi="GHEA Grapalat" w:cs="Calibri"/>
                <w:color w:val="000000"/>
                <w:sz w:val="20"/>
                <w:szCs w:val="20"/>
              </w:rPr>
              <w:t>77.4%</w:t>
            </w:r>
          </w:p>
        </w:tc>
      </w:tr>
    </w:tbl>
    <w:p w14:paraId="762577C0" w14:textId="77777777" w:rsidR="00E572AD" w:rsidRPr="00943223" w:rsidRDefault="00E572AD" w:rsidP="00F615B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14:paraId="14A0DAB5" w14:textId="797F75C7" w:rsidR="00054C35" w:rsidRDefault="00054C35" w:rsidP="00054C35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 w:rsidRPr="009E0336">
        <w:rPr>
          <w:rFonts w:ascii="GHEA Grapalat" w:hAnsi="GHEA Grapalat" w:cs="GHEA Grapalat"/>
          <w:i/>
          <w:u w:val="single"/>
          <w:lang w:val="hy-AM"/>
        </w:rPr>
        <w:t>ՀՀ պետական բյուջեի պակասուրդը</w:t>
      </w:r>
    </w:p>
    <w:p w14:paraId="79F32093" w14:textId="4D42813B" w:rsidR="00054C35" w:rsidRDefault="00054C35" w:rsidP="00054C35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2021 թվականի </w:t>
      </w:r>
      <w:r w:rsidRPr="00943223">
        <w:rPr>
          <w:rFonts w:ascii="GHEA Grapalat" w:hAnsi="GHEA Grapalat" w:cs="GHEA Grapalat"/>
          <w:color w:val="000000"/>
          <w:lang w:val="hy-AM"/>
        </w:rPr>
        <w:t>ինն ամիսների ընթացքում</w:t>
      </w:r>
      <w:r>
        <w:rPr>
          <w:rFonts w:ascii="GHEA Grapalat" w:hAnsi="GHEA Grapalat" w:cs="GHEA Grapalat"/>
          <w:color w:val="000000"/>
          <w:lang w:val="hy-AM"/>
        </w:rPr>
        <w:t xml:space="preserve"> ՀՀ պետական բյուջեն կատարվել է </w:t>
      </w:r>
      <w:r w:rsidRPr="00943223">
        <w:rPr>
          <w:rFonts w:ascii="GHEA Grapalat" w:hAnsi="GHEA Grapalat" w:cs="GHEA Grapalat"/>
          <w:color w:val="000000"/>
          <w:lang w:val="hy-AM"/>
        </w:rPr>
        <w:t>147.5</w:t>
      </w:r>
      <w:r w:rsidRPr="00E213B0"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մլրդ դրամ </w:t>
      </w:r>
      <w:r w:rsidRPr="00943223">
        <w:rPr>
          <w:rFonts w:ascii="GHEA Grapalat" w:hAnsi="GHEA Grapalat" w:cs="GHEA Grapalat"/>
          <w:color w:val="000000"/>
          <w:lang w:val="hy-AM"/>
        </w:rPr>
        <w:t>պակասուրդով</w:t>
      </w:r>
      <w:r>
        <w:rPr>
          <w:rFonts w:ascii="GHEA Grapalat" w:hAnsi="GHEA Grapalat" w:cs="GHEA Grapalat"/>
          <w:color w:val="000000"/>
          <w:lang w:val="hy-AM"/>
        </w:rPr>
        <w:t xml:space="preserve">՝ </w:t>
      </w:r>
      <w:r w:rsidRPr="00943223">
        <w:rPr>
          <w:rFonts w:ascii="GHEA Grapalat" w:hAnsi="GHEA Grapalat" w:cs="GHEA Grapalat"/>
          <w:color w:val="000000"/>
          <w:lang w:val="hy-AM"/>
        </w:rPr>
        <w:t>կազ</w:t>
      </w:r>
      <w:r w:rsidR="00841401" w:rsidRPr="00943223">
        <w:rPr>
          <w:rFonts w:ascii="GHEA Grapalat" w:hAnsi="GHEA Grapalat" w:cs="GHEA Grapalat"/>
          <w:color w:val="000000"/>
          <w:lang w:val="hy-AM"/>
        </w:rPr>
        <w:t>մ</w:t>
      </w:r>
      <w:r w:rsidRPr="00943223">
        <w:rPr>
          <w:rFonts w:ascii="GHEA Grapalat" w:hAnsi="GHEA Grapalat" w:cs="GHEA Grapalat"/>
          <w:color w:val="000000"/>
          <w:lang w:val="hy-AM"/>
        </w:rPr>
        <w:t xml:space="preserve">ելով </w:t>
      </w:r>
      <w:r>
        <w:rPr>
          <w:rFonts w:ascii="GHEA Grapalat" w:hAnsi="GHEA Grapalat" w:cs="GHEA Grapalat"/>
          <w:lang w:val="hy-AM"/>
        </w:rPr>
        <w:t>ծրագր</w:t>
      </w:r>
      <w:r w:rsidR="00841401" w:rsidRPr="00943223">
        <w:rPr>
          <w:rFonts w:ascii="GHEA Grapalat" w:hAnsi="GHEA Grapalat" w:cs="GHEA Grapalat"/>
          <w:lang w:val="hy-AM"/>
        </w:rPr>
        <w:t>ի</w:t>
      </w:r>
      <w:r w:rsidRPr="00943223">
        <w:rPr>
          <w:rFonts w:ascii="GHEA Grapalat" w:hAnsi="GHEA Grapalat" w:cs="GHEA Grapalat"/>
          <w:lang w:val="hy-AM"/>
        </w:rPr>
        <w:t xml:space="preserve"> 42.6%-ը</w:t>
      </w:r>
      <w:r>
        <w:rPr>
          <w:rFonts w:ascii="GHEA Grapalat" w:hAnsi="GHEA Grapalat" w:cs="GHEA Grapalat"/>
          <w:lang w:val="hy-AM"/>
        </w:rPr>
        <w:t xml:space="preserve"> և </w:t>
      </w:r>
      <w:r w:rsidRPr="00943223">
        <w:rPr>
          <w:rFonts w:ascii="GHEA Grapalat" w:hAnsi="GHEA Grapalat" w:cs="GHEA Grapalat"/>
          <w:lang w:val="hy-AM"/>
        </w:rPr>
        <w:t xml:space="preserve">4.7%-ով (7.3 մլրդ դրամով) զիջելով </w:t>
      </w:r>
      <w:r>
        <w:rPr>
          <w:rFonts w:ascii="GHEA Grapalat" w:hAnsi="GHEA Grapalat" w:cs="GHEA Grapalat"/>
          <w:lang w:val="hy-AM"/>
        </w:rPr>
        <w:t xml:space="preserve">նախորդ տարվա նույն ժամանակահատվածի </w:t>
      </w:r>
      <w:r w:rsidRPr="00943223">
        <w:rPr>
          <w:rFonts w:ascii="GHEA Grapalat" w:hAnsi="GHEA Grapalat" w:cs="GHEA Grapalat"/>
          <w:lang w:val="hy-AM"/>
        </w:rPr>
        <w:t>ցուցանիշը</w:t>
      </w:r>
      <w:r>
        <w:rPr>
          <w:rFonts w:ascii="GHEA Grapalat" w:hAnsi="GHEA Grapalat" w:cs="GHEA Grapalat"/>
          <w:lang w:val="hy-AM"/>
        </w:rPr>
        <w:t xml:space="preserve">: </w:t>
      </w:r>
      <w:r w:rsidRPr="00943223">
        <w:rPr>
          <w:rFonts w:ascii="GHEA Grapalat" w:hAnsi="GHEA Grapalat" w:cs="GHEA Grapalat"/>
          <w:lang w:val="hy-AM"/>
        </w:rPr>
        <w:t xml:space="preserve">Իննամսյա </w:t>
      </w:r>
      <w:r w:rsidRPr="00F83A07">
        <w:rPr>
          <w:rFonts w:ascii="GHEA Grapalat" w:hAnsi="GHEA Grapalat" w:cs="GHEA Grapalat"/>
          <w:lang w:val="hy-AM"/>
        </w:rPr>
        <w:t>ծրագր</w:t>
      </w:r>
      <w:r w:rsidRPr="00943223">
        <w:rPr>
          <w:rFonts w:ascii="GHEA Grapalat" w:hAnsi="GHEA Grapalat" w:cs="GHEA Grapalat"/>
          <w:lang w:val="hy-AM"/>
        </w:rPr>
        <w:t>ված ցուցանիշի համեմատ</w:t>
      </w:r>
      <w:r w:rsidRPr="00F83A07">
        <w:rPr>
          <w:rFonts w:ascii="GHEA Grapalat" w:hAnsi="GHEA Grapalat" w:cs="GHEA Grapalat"/>
          <w:lang w:val="hy-AM"/>
        </w:rPr>
        <w:t xml:space="preserve"> պակասուրդ</w:t>
      </w:r>
      <w:r w:rsidRPr="00943223">
        <w:rPr>
          <w:rFonts w:ascii="GHEA Grapalat" w:hAnsi="GHEA Grapalat" w:cs="GHEA Grapalat"/>
          <w:lang w:val="hy-AM"/>
        </w:rPr>
        <w:t>ի ցածր մակարդակը</w:t>
      </w:r>
      <w:r>
        <w:rPr>
          <w:rFonts w:ascii="GHEA Grapalat" w:hAnsi="GHEA Grapalat" w:cs="GHEA Grapalat"/>
          <w:lang w:val="hy-AM"/>
        </w:rPr>
        <w:t xml:space="preserve"> հիմնականում պայմանավորված է </w:t>
      </w:r>
      <w:r w:rsidR="00841401" w:rsidRPr="00943223">
        <w:rPr>
          <w:rFonts w:ascii="GHEA Grapalat" w:hAnsi="GHEA Grapalat" w:cs="GHEA Grapalat"/>
          <w:lang w:val="hy-AM"/>
        </w:rPr>
        <w:t xml:space="preserve">եկամուտների ծրագրի գերազանցմամբ և </w:t>
      </w:r>
      <w:r>
        <w:rPr>
          <w:rFonts w:ascii="GHEA Grapalat" w:hAnsi="GHEA Grapalat" w:cs="GHEA Grapalat"/>
          <w:lang w:val="hy-AM"/>
        </w:rPr>
        <w:t>ծախսերի համեմատ</w:t>
      </w:r>
      <w:r w:rsidR="00841401" w:rsidRPr="00943223">
        <w:rPr>
          <w:rFonts w:ascii="GHEA Grapalat" w:hAnsi="GHEA Grapalat" w:cs="GHEA Grapalat"/>
          <w:lang w:val="hy-AM"/>
        </w:rPr>
        <w:t>աբար ցածր</w:t>
      </w:r>
      <w:r>
        <w:rPr>
          <w:rFonts w:ascii="GHEA Grapalat" w:hAnsi="GHEA Grapalat" w:cs="GHEA Grapalat"/>
          <w:lang w:val="hy-AM"/>
        </w:rPr>
        <w:t xml:space="preserve"> կատարողականով</w:t>
      </w:r>
      <w:r w:rsidRPr="00943223">
        <w:rPr>
          <w:rFonts w:ascii="GHEA Grapalat" w:hAnsi="GHEA Grapalat" w:cs="GHEA Grapalat"/>
          <w:lang w:val="hy-AM"/>
        </w:rPr>
        <w:t>:</w:t>
      </w:r>
      <w:r>
        <w:rPr>
          <w:rFonts w:ascii="GHEA Grapalat" w:hAnsi="GHEA Grapalat" w:cs="GHEA Grapalat"/>
          <w:lang w:val="hy-AM"/>
        </w:rPr>
        <w:t xml:space="preserve"> </w:t>
      </w:r>
      <w:r w:rsidRPr="00943223">
        <w:rPr>
          <w:rFonts w:ascii="GHEA Grapalat" w:hAnsi="GHEA Grapalat" w:cs="GHEA Grapalat"/>
          <w:lang w:val="hy-AM"/>
        </w:rPr>
        <w:t>Ա</w:t>
      </w:r>
      <w:r>
        <w:rPr>
          <w:rFonts w:ascii="GHEA Grapalat" w:hAnsi="GHEA Grapalat" w:cs="GHEA Grapalat"/>
          <w:lang w:val="hy-AM"/>
        </w:rPr>
        <w:t xml:space="preserve">րդյունքում ֆինանսավորման ներքին </w:t>
      </w:r>
      <w:r w:rsidRPr="00A8276F">
        <w:rPr>
          <w:rFonts w:ascii="GHEA Grapalat" w:hAnsi="GHEA Grapalat" w:cs="GHEA Grapalat"/>
          <w:color w:val="000000"/>
          <w:lang w:val="hy-AM"/>
        </w:rPr>
        <w:t>աղբյուրներում</w:t>
      </w:r>
      <w:r w:rsidRPr="00943223">
        <w:rPr>
          <w:rFonts w:ascii="GHEA Grapalat" w:hAnsi="GHEA Grapalat" w:cs="GHEA Grapalat"/>
          <w:color w:val="000000"/>
          <w:lang w:val="hy-AM"/>
        </w:rPr>
        <w:t xml:space="preserve"> գրանցվել է</w:t>
      </w:r>
      <w:r>
        <w:rPr>
          <w:rFonts w:ascii="GHEA Grapalat" w:hAnsi="GHEA Grapalat" w:cs="GHEA Grapalat"/>
          <w:lang w:val="hy-AM"/>
        </w:rPr>
        <w:t xml:space="preserve"> բյուջեի ազատ միջոցներ</w:t>
      </w:r>
      <w:r w:rsidRPr="00943223">
        <w:rPr>
          <w:rFonts w:ascii="GHEA Grapalat" w:hAnsi="GHEA Grapalat" w:cs="GHEA Grapalat"/>
          <w:lang w:val="hy-AM"/>
        </w:rPr>
        <w:t>ի՝ նախատեսվածից ավել աճ, որը ծրագրված 47.3 մլրդ դրամի փոխարեն կազմել է</w:t>
      </w:r>
      <w:r>
        <w:rPr>
          <w:rFonts w:ascii="GHEA Grapalat" w:hAnsi="GHEA Grapalat" w:cs="GHEA Grapalat"/>
          <w:lang w:val="hy-AM"/>
        </w:rPr>
        <w:t xml:space="preserve"> </w:t>
      </w:r>
      <w:r w:rsidRPr="00943223">
        <w:rPr>
          <w:rFonts w:ascii="GHEA Grapalat" w:hAnsi="GHEA Grapalat" w:cs="GHEA Grapalat"/>
          <w:lang w:val="hy-AM"/>
        </w:rPr>
        <w:t>232.9</w:t>
      </w:r>
      <w:r>
        <w:rPr>
          <w:rFonts w:ascii="GHEA Grapalat" w:hAnsi="GHEA Grapalat" w:cs="GHEA Grapalat"/>
          <w:lang w:val="hy-AM"/>
        </w:rPr>
        <w:t xml:space="preserve"> մլրդ դրամ: Հաշվետու ժամանակահատվածում ֆինանսավորման ներքին աղբյուրները կազմել են </w:t>
      </w:r>
      <w:r>
        <w:rPr>
          <w:rFonts w:ascii="GHEA Grapalat" w:hAnsi="GHEA Grapalat" w:cs="GHEA Grapalat"/>
          <w:lang w:val="hy-AM"/>
        </w:rPr>
        <w:noBreakHyphen/>
      </w:r>
      <w:r w:rsidRPr="00943223">
        <w:rPr>
          <w:rFonts w:ascii="GHEA Grapalat" w:hAnsi="GHEA Grapalat" w:cs="GHEA Grapalat"/>
          <w:lang w:val="hy-AM"/>
        </w:rPr>
        <w:t>92.3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 xml:space="preserve">մլրդ դրամ, արտաքին աղբյուրները՝ </w:t>
      </w:r>
      <w:r w:rsidRPr="00943223">
        <w:rPr>
          <w:rFonts w:ascii="GHEA Grapalat" w:hAnsi="GHEA Grapalat" w:cs="GHEA Grapalat"/>
          <w:lang w:val="hy-AM"/>
        </w:rPr>
        <w:t>239.8</w:t>
      </w:r>
      <w:r>
        <w:rPr>
          <w:rFonts w:ascii="GHEA Grapalat" w:hAnsi="GHEA Grapalat" w:cs="GHEA Grapalat"/>
          <w:lang w:val="hy-AM"/>
        </w:rPr>
        <w:t xml:space="preserve"> մլրդ դրամ՝ </w:t>
      </w:r>
      <w:r w:rsidRPr="00943223">
        <w:rPr>
          <w:rFonts w:ascii="GHEA Grapalat" w:hAnsi="GHEA Grapalat" w:cs="GHEA Grapalat"/>
          <w:lang w:val="hy-AM"/>
        </w:rPr>
        <w:t xml:space="preserve">հաշվետու ժամանակահատվածի համար </w:t>
      </w:r>
      <w:r>
        <w:rPr>
          <w:rFonts w:ascii="GHEA Grapalat" w:hAnsi="GHEA Grapalat" w:cs="GHEA Grapalat"/>
          <w:lang w:val="hy-AM"/>
        </w:rPr>
        <w:t>ծրագրված համապատասխանաբար</w:t>
      </w:r>
      <w:r w:rsidRPr="00943223">
        <w:rPr>
          <w:rFonts w:ascii="Courier New" w:hAnsi="Courier New" w:cs="Courier New"/>
          <w:lang w:val="hy-AM"/>
        </w:rPr>
        <w:t xml:space="preserve"> </w:t>
      </w:r>
      <w:r w:rsidRPr="00943223">
        <w:rPr>
          <w:rFonts w:ascii="GHEA Grapalat" w:hAnsi="GHEA Grapalat" w:cs="GHEA Grapalat"/>
          <w:lang w:val="hy-AM"/>
        </w:rPr>
        <w:t>87.1</w:t>
      </w:r>
      <w:r w:rsidRPr="00943223"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 xml:space="preserve">մլրդ դրամի և </w:t>
      </w:r>
      <w:r w:rsidRPr="00943223">
        <w:rPr>
          <w:rFonts w:ascii="GHEA Grapalat" w:hAnsi="GHEA Grapalat" w:cs="GHEA Grapalat"/>
          <w:lang w:val="hy-AM"/>
        </w:rPr>
        <w:t>259.2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>մլրդ դրամի դիմաց:</w:t>
      </w:r>
    </w:p>
    <w:p w14:paraId="7F35AAE6" w14:textId="01A02E0C" w:rsidR="00054C35" w:rsidRPr="00E830A0" w:rsidRDefault="00054C35" w:rsidP="00054C35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5146A2">
        <w:rPr>
          <w:rFonts w:ascii="GHEA Grapalat" w:hAnsi="GHEA Grapalat" w:cs="GHEA Grapalat"/>
          <w:lang w:val="hy-AM"/>
        </w:rPr>
        <w:t>Հաշվետու ժամանակահատվածում ֆինանսավորման ներքին աղբյուրներից փոխառու միջոցների հաշվին պետական բյուջեն ֆինանսավորվել է շուրջ 156.1</w:t>
      </w:r>
      <w:r w:rsidRPr="005146A2">
        <w:rPr>
          <w:rFonts w:ascii="Calibri" w:hAnsi="Calibri" w:cs="Calibri"/>
          <w:lang w:val="hy-AM"/>
        </w:rPr>
        <w:t> </w:t>
      </w:r>
      <w:r w:rsidRPr="005146A2">
        <w:rPr>
          <w:rFonts w:ascii="GHEA Grapalat" w:hAnsi="GHEA Grapalat" w:cs="GHEA Grapalat"/>
          <w:lang w:val="hy-AM"/>
        </w:rPr>
        <w:t xml:space="preserve">մլրդ դրամով՝ </w:t>
      </w:r>
      <w:bookmarkStart w:id="2" w:name="_Hlk79587327"/>
      <w:r w:rsidRPr="005146A2">
        <w:rPr>
          <w:rFonts w:ascii="GHEA Grapalat" w:hAnsi="GHEA Grapalat" w:cs="GHEA Grapalat"/>
          <w:lang w:val="hy-AM"/>
        </w:rPr>
        <w:t xml:space="preserve">96.3%-ով ապահովելով իննամսյա </w:t>
      </w:r>
      <w:r>
        <w:rPr>
          <w:rFonts w:ascii="GHEA Grapalat" w:hAnsi="GHEA Grapalat" w:cs="GHEA Grapalat"/>
          <w:lang w:val="hy-AM"/>
        </w:rPr>
        <w:t>ծրագիրը</w:t>
      </w:r>
      <w:bookmarkEnd w:id="2"/>
      <w:r w:rsidRPr="005146A2">
        <w:rPr>
          <w:rFonts w:ascii="GHEA Grapalat" w:hAnsi="GHEA Grapalat" w:cs="GHEA Grapalat"/>
          <w:lang w:val="hy-AM"/>
        </w:rPr>
        <w:t>, որն ապահովվել է</w:t>
      </w:r>
      <w:r>
        <w:rPr>
          <w:rFonts w:ascii="GHEA Grapalat" w:hAnsi="GHEA Grapalat" w:cs="GHEA Grapalat"/>
          <w:lang w:val="hy-AM"/>
        </w:rPr>
        <w:t xml:space="preserve"> գանձապետական </w:t>
      </w:r>
      <w:r w:rsidRPr="005146A2">
        <w:rPr>
          <w:rFonts w:ascii="GHEA Grapalat" w:hAnsi="GHEA Grapalat" w:cs="GHEA Grapalat"/>
          <w:lang w:val="hy-AM"/>
        </w:rPr>
        <w:t>պարտատոմսերի տեղաբաշխումից զուտ մուտքերի հաշվին</w:t>
      </w:r>
      <w:r>
        <w:rPr>
          <w:rFonts w:ascii="GHEA Grapalat" w:hAnsi="GHEA Grapalat" w:cs="GHEA Grapalat"/>
          <w:lang w:val="hy-AM"/>
        </w:rPr>
        <w:t>:</w:t>
      </w:r>
      <w:r w:rsidRPr="005146A2">
        <w:rPr>
          <w:rFonts w:ascii="GHEA Grapalat" w:hAnsi="GHEA Grapalat" w:cs="GHEA Grapalat"/>
          <w:lang w:val="hy-AM"/>
        </w:rPr>
        <w:t xml:space="preserve"> Ծրագրային ցուցանիշից շեղումը կապված է, </w:t>
      </w:r>
      <w:r w:rsidRPr="005146A2">
        <w:rPr>
          <w:rFonts w:ascii="GHEA Grapalat" w:hAnsi="GHEA Grapalat" w:cs="GHEA Grapalat"/>
          <w:lang w:val="hy-AM"/>
        </w:rPr>
        <w:lastRenderedPageBreak/>
        <w:t>շուկայական անորոշություններով պայմանավորված, կանխատեսածի համեմատ իրականացված ավելի փոքր ծավալով տեղաբաշխումներ</w:t>
      </w:r>
      <w:r w:rsidR="00C66957" w:rsidRPr="00943223">
        <w:rPr>
          <w:rFonts w:ascii="GHEA Grapalat" w:hAnsi="GHEA Grapalat" w:cs="GHEA Grapalat"/>
          <w:lang w:val="hy-AM"/>
        </w:rPr>
        <w:t>ի հետ</w:t>
      </w:r>
      <w:r w:rsidRPr="005146A2">
        <w:rPr>
          <w:rFonts w:ascii="GHEA Grapalat" w:hAnsi="GHEA Grapalat" w:cs="GHEA Grapalat"/>
          <w:lang w:val="hy-AM"/>
        </w:rPr>
        <w:t>: 33</w:t>
      </w:r>
      <w:r w:rsidRPr="005146A2">
        <w:rPr>
          <w:rFonts w:ascii="Calibri" w:hAnsi="Calibri" w:cs="Calibri"/>
          <w:lang w:val="hy-AM"/>
        </w:rPr>
        <w:t> </w:t>
      </w:r>
      <w:r w:rsidRPr="005146A2">
        <w:rPr>
          <w:rFonts w:ascii="GHEA Grapalat" w:hAnsi="GHEA Grapalat" w:cs="GHEA Grapalat"/>
          <w:lang w:val="hy-AM"/>
        </w:rPr>
        <w:t>մլն դրամ</w:t>
      </w:r>
      <w:r>
        <w:rPr>
          <w:rFonts w:ascii="GHEA Grapalat" w:hAnsi="GHEA Grapalat" w:cs="GHEA Grapalat"/>
          <w:lang w:val="hy-AM"/>
        </w:rPr>
        <w:t xml:space="preserve"> տրամադրվել է մուրհակների մարմանը` </w:t>
      </w:r>
      <w:r w:rsidRPr="005146A2">
        <w:rPr>
          <w:rFonts w:ascii="GHEA Grapalat" w:hAnsi="GHEA Grapalat" w:cs="GHEA Grapalat"/>
          <w:lang w:val="hy-AM"/>
        </w:rPr>
        <w:t xml:space="preserve">իննամսյա ծրագրով </w:t>
      </w:r>
      <w:r>
        <w:rPr>
          <w:rFonts w:ascii="GHEA Grapalat" w:hAnsi="GHEA Grapalat" w:cs="GHEA Grapalat"/>
          <w:lang w:val="hy-AM"/>
        </w:rPr>
        <w:t xml:space="preserve">նախատեսված </w:t>
      </w:r>
      <w:r w:rsidRPr="005146A2">
        <w:rPr>
          <w:rFonts w:ascii="GHEA Grapalat" w:hAnsi="GHEA Grapalat" w:cs="GHEA Grapalat"/>
          <w:lang w:val="hy-AM"/>
        </w:rPr>
        <w:t>38.8</w:t>
      </w:r>
      <w:r>
        <w:rPr>
          <w:rFonts w:ascii="GHEA Grapalat" w:hAnsi="GHEA Grapalat" w:cs="GHEA Grapalat"/>
          <w:lang w:val="hy-AM"/>
        </w:rPr>
        <w:t xml:space="preserve"> մլն դրամի դիմաց</w:t>
      </w:r>
      <w:r w:rsidRPr="005146A2">
        <w:rPr>
          <w:rFonts w:ascii="GHEA Grapalat" w:hAnsi="GHEA Grapalat" w:cs="GHEA Grapalat"/>
          <w:lang w:val="hy-AM"/>
        </w:rPr>
        <w:t>, ինչը պայմանավորված է նրանով, որ թվով 9 մուրհակ մուրհակատերերի կողմից չեն ներկայացվել մարման</w:t>
      </w:r>
      <w:r w:rsidRPr="00E97B15">
        <w:rPr>
          <w:rFonts w:ascii="GHEA Grapalat" w:hAnsi="GHEA Grapalat" w:cs="GHEA Grapalat"/>
          <w:lang w:val="hy-AM"/>
        </w:rPr>
        <w:t>։</w:t>
      </w:r>
      <w:r>
        <w:rPr>
          <w:rFonts w:ascii="GHEA Grapalat" w:hAnsi="GHEA Grapalat" w:cs="GHEA Grapalat"/>
          <w:lang w:val="hy-AM"/>
        </w:rPr>
        <w:t xml:space="preserve"> </w:t>
      </w:r>
    </w:p>
    <w:p w14:paraId="48EA315D" w14:textId="42A05916" w:rsidR="00054C35" w:rsidRPr="00943223" w:rsidRDefault="00054C35" w:rsidP="00054C35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943223">
        <w:rPr>
          <w:rFonts w:ascii="GHEA Grapalat" w:hAnsi="GHEA Grapalat" w:cs="GHEA Grapalat"/>
          <w:lang w:val="hy-AM"/>
        </w:rPr>
        <w:t>2021 թվականի ինն ամիսներին ն</w:t>
      </w:r>
      <w:r>
        <w:rPr>
          <w:rFonts w:ascii="GHEA Grapalat" w:hAnsi="GHEA Grapalat" w:cs="GHEA Grapalat"/>
          <w:lang w:val="hy-AM"/>
        </w:rPr>
        <w:t xml:space="preserve">երքին աղբյուրներից ֆինանսական զուտ ակտիվների հաշվին </w:t>
      </w:r>
      <w:r w:rsidRPr="00943223">
        <w:rPr>
          <w:rFonts w:ascii="GHEA Grapalat" w:hAnsi="GHEA Grapalat" w:cs="GHEA Grapalat"/>
          <w:lang w:val="hy-AM"/>
        </w:rPr>
        <w:t xml:space="preserve">բյուջեի պակասուրդի </w:t>
      </w:r>
      <w:r>
        <w:rPr>
          <w:rFonts w:ascii="GHEA Grapalat" w:hAnsi="GHEA Grapalat" w:cs="GHEA Grapalat"/>
          <w:lang w:val="hy-AM"/>
        </w:rPr>
        <w:t xml:space="preserve">ֆինանսավորումը կազմել է </w:t>
      </w:r>
      <w:r>
        <w:rPr>
          <w:rFonts w:ascii="GHEA Grapalat" w:hAnsi="GHEA Grapalat" w:cs="GHEA Grapalat"/>
          <w:lang w:val="hy-AM"/>
        </w:rPr>
        <w:noBreakHyphen/>
      </w:r>
      <w:r w:rsidRPr="00943223">
        <w:rPr>
          <w:rFonts w:ascii="GHEA Grapalat" w:hAnsi="GHEA Grapalat" w:cs="GHEA Grapalat"/>
          <w:lang w:val="hy-AM"/>
        </w:rPr>
        <w:t>248.4</w:t>
      </w:r>
      <w:r w:rsidR="00C66957">
        <w:rPr>
          <w:rFonts w:ascii="GHEA Grapalat" w:hAnsi="GHEA Grapalat" w:cs="GHEA Grapalat"/>
          <w:lang w:val="hy-AM"/>
        </w:rPr>
        <w:t xml:space="preserve"> մլրդ դրամ` ծրագրված </w:t>
      </w:r>
      <w:r w:rsidR="00C66957" w:rsidRPr="00943223">
        <w:rPr>
          <w:rFonts w:ascii="GHEA Grapalat" w:hAnsi="GHEA Grapalat" w:cs="GHEA Grapalat"/>
          <w:lang w:val="hy-AM"/>
        </w:rPr>
        <w:noBreakHyphen/>
      </w:r>
      <w:r w:rsidRPr="00943223">
        <w:rPr>
          <w:rFonts w:ascii="GHEA Grapalat" w:hAnsi="GHEA Grapalat" w:cs="GHEA Grapalat"/>
          <w:lang w:val="hy-AM"/>
        </w:rPr>
        <w:t>74.9</w:t>
      </w:r>
      <w:r>
        <w:rPr>
          <w:rFonts w:ascii="GHEA Grapalat" w:hAnsi="GHEA Grapalat" w:cs="GHEA Grapalat"/>
          <w:lang w:val="hy-AM"/>
        </w:rPr>
        <w:t xml:space="preserve"> մլրդ դրամի դիմաց: Մասնավորապես՝ </w:t>
      </w:r>
      <w:r w:rsidRPr="00943223">
        <w:rPr>
          <w:rFonts w:ascii="GHEA Grapalat" w:hAnsi="GHEA Grapalat" w:cs="GHEA Grapalat"/>
          <w:lang w:val="hy-AM"/>
        </w:rPr>
        <w:t>իննամսյա</w:t>
      </w:r>
      <w:r>
        <w:rPr>
          <w:rFonts w:ascii="GHEA Grapalat" w:hAnsi="GHEA Grapalat" w:cs="GHEA Grapalat"/>
          <w:lang w:val="hy-AM"/>
        </w:rPr>
        <w:t xml:space="preserve"> ծրագրով նախատեսվել է </w:t>
      </w:r>
      <w:r w:rsidRPr="00943223">
        <w:rPr>
          <w:rFonts w:ascii="GHEA Grapalat" w:hAnsi="GHEA Grapalat" w:cs="GHEA Grapalat"/>
          <w:lang w:val="hy-AM"/>
        </w:rPr>
        <w:t>ավելի քան 43.9</w:t>
      </w:r>
      <w:r>
        <w:rPr>
          <w:rFonts w:ascii="GHEA Grapalat" w:hAnsi="GHEA Grapalat" w:cs="GHEA Grapalat"/>
          <w:lang w:val="hy-AM"/>
        </w:rPr>
        <w:t xml:space="preserve"> մլրդ դրամ վարկերի տրամադրում ՀՀ ռեզիդենտներին</w:t>
      </w:r>
      <w:r w:rsidRPr="00943223">
        <w:rPr>
          <w:rFonts w:ascii="GHEA Grapalat" w:hAnsi="GHEA Grapalat" w:cs="GHEA Grapalat"/>
          <w:lang w:val="hy-AM"/>
        </w:rPr>
        <w:t>, որից 13.2 մլրդ դրամը՝</w:t>
      </w:r>
      <w:r>
        <w:rPr>
          <w:rFonts w:ascii="GHEA Grapalat" w:hAnsi="GHEA Grapalat" w:cs="GHEA Grapalat"/>
          <w:lang w:val="hy-AM"/>
        </w:rPr>
        <w:t xml:space="preserve"> արտաքին աջակցությամբ </w:t>
      </w:r>
      <w:r w:rsidRPr="00943223">
        <w:rPr>
          <w:rFonts w:ascii="GHEA Grapalat" w:hAnsi="GHEA Grapalat" w:cs="GHEA Grapalat"/>
          <w:color w:val="000000"/>
          <w:lang w:val="hy-AM"/>
        </w:rPr>
        <w:t>իրականացվող</w:t>
      </w:r>
      <w:r>
        <w:rPr>
          <w:rFonts w:ascii="GHEA Grapalat" w:hAnsi="GHEA Grapalat" w:cs="GHEA Grapalat"/>
          <w:lang w:val="hy-AM"/>
        </w:rPr>
        <w:t xml:space="preserve"> ծրագրերի</w:t>
      </w:r>
      <w:r w:rsidRPr="00DC690C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շրջանակներում</w:t>
      </w:r>
      <w:r w:rsidRPr="00943223">
        <w:rPr>
          <w:rFonts w:ascii="GHEA Grapalat" w:hAnsi="GHEA Grapalat" w:cs="GHEA Grapalat"/>
          <w:lang w:val="hy-AM"/>
        </w:rPr>
        <w:t>: Հաշվետու ժամանակահատվածում տրամադրված վարկերի փաստացի ծավալը կազմել է 36.6 մլրդ դրամ, որից</w:t>
      </w:r>
      <w:r>
        <w:rPr>
          <w:rFonts w:ascii="GHEA Grapalat" w:hAnsi="GHEA Grapalat" w:cs="GHEA Grapalat"/>
          <w:lang w:val="hy-AM"/>
        </w:rPr>
        <w:t xml:space="preserve"> </w:t>
      </w:r>
      <w:r w:rsidRPr="00943223">
        <w:rPr>
          <w:rFonts w:ascii="GHEA Grapalat" w:hAnsi="GHEA Grapalat" w:cs="GHEA Grapalat"/>
          <w:lang w:val="hy-AM"/>
        </w:rPr>
        <w:t>25 մլրդ դրամը տրամադրվել է «Հայկ</w:t>
      </w:r>
      <w:r w:rsidR="0045346B" w:rsidRPr="00943223">
        <w:rPr>
          <w:rFonts w:ascii="GHEA Grapalat" w:hAnsi="GHEA Grapalat" w:cs="GHEA Grapalat"/>
          <w:lang w:val="hy-AM"/>
        </w:rPr>
        <w:t>ական ատոմային էլեկտրակայան» ՓԲԸ</w:t>
      </w:r>
      <w:r w:rsidR="0045346B" w:rsidRPr="00943223">
        <w:rPr>
          <w:rFonts w:ascii="GHEA Grapalat" w:hAnsi="GHEA Grapalat" w:cs="GHEA Grapalat"/>
          <w:lang w:val="hy-AM"/>
        </w:rPr>
        <w:noBreakHyphen/>
      </w:r>
      <w:r w:rsidRPr="00943223">
        <w:rPr>
          <w:rFonts w:ascii="GHEA Grapalat" w:hAnsi="GHEA Grapalat" w:cs="GHEA Grapalat"/>
          <w:lang w:val="hy-AM"/>
        </w:rPr>
        <w:t>ին, շուրջ 5.8</w:t>
      </w:r>
      <w:r w:rsidRPr="00943223">
        <w:rPr>
          <w:rFonts w:ascii="Courier New" w:hAnsi="Courier New" w:cs="Courier New"/>
          <w:lang w:val="hy-AM"/>
        </w:rPr>
        <w:t> </w:t>
      </w:r>
      <w:r w:rsidRPr="00943223">
        <w:rPr>
          <w:rFonts w:ascii="GHEA Grapalat" w:hAnsi="GHEA Grapalat" w:cs="GHEA Grapalat"/>
          <w:lang w:val="hy-AM"/>
        </w:rPr>
        <w:t xml:space="preserve">մլրդ դրամը՝ </w:t>
      </w:r>
      <w:r w:rsidRPr="00056058">
        <w:rPr>
          <w:rFonts w:ascii="GHEA Grapalat" w:hAnsi="GHEA Grapalat" w:cs="GHEA Grapalat"/>
          <w:lang w:val="hy-AM"/>
        </w:rPr>
        <w:t>Կորոնավիրուսի (COVID-19) տնտեսական հետևանքների չեզոքացման միջոցառ</w:t>
      </w:r>
      <w:r w:rsidRPr="00943223">
        <w:rPr>
          <w:rFonts w:ascii="GHEA Grapalat" w:hAnsi="GHEA Grapalat" w:cs="GHEA Grapalat"/>
          <w:lang w:val="hy-AM"/>
        </w:rPr>
        <w:t>ու</w:t>
      </w:r>
      <w:r w:rsidRPr="00056058">
        <w:rPr>
          <w:rFonts w:ascii="GHEA Grapalat" w:hAnsi="GHEA Grapalat" w:cs="GHEA Grapalat"/>
          <w:lang w:val="hy-AM"/>
        </w:rPr>
        <w:t>մն</w:t>
      </w:r>
      <w:r w:rsidRPr="00943223">
        <w:rPr>
          <w:rFonts w:ascii="GHEA Grapalat" w:hAnsi="GHEA Grapalat" w:cs="GHEA Grapalat"/>
          <w:lang w:val="hy-AM"/>
        </w:rPr>
        <w:t xml:space="preserve">երի, ևս 5.8 մլրդ դրամը՝ </w:t>
      </w:r>
      <w:r>
        <w:rPr>
          <w:rFonts w:ascii="GHEA Grapalat" w:hAnsi="GHEA Grapalat" w:cs="GHEA Grapalat"/>
          <w:lang w:val="hy-AM"/>
        </w:rPr>
        <w:t xml:space="preserve">արտաքին աջակցությամբ </w:t>
      </w:r>
      <w:r w:rsidRPr="00943223">
        <w:rPr>
          <w:rFonts w:ascii="GHEA Grapalat" w:hAnsi="GHEA Grapalat" w:cs="GHEA Grapalat"/>
          <w:color w:val="000000"/>
          <w:lang w:val="hy-AM"/>
        </w:rPr>
        <w:t>իրականացվող</w:t>
      </w:r>
      <w:r>
        <w:rPr>
          <w:rFonts w:ascii="GHEA Grapalat" w:hAnsi="GHEA Grapalat" w:cs="GHEA Grapalat"/>
          <w:lang w:val="hy-AM"/>
        </w:rPr>
        <w:t xml:space="preserve"> ծրագրերի</w:t>
      </w:r>
      <w:r w:rsidRPr="00DC690C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շրջանակներում: </w:t>
      </w:r>
      <w:r w:rsidRPr="006B3665">
        <w:rPr>
          <w:rFonts w:ascii="GHEA Grapalat" w:hAnsi="GHEA Grapalat" w:cs="GHEA Grapalat"/>
          <w:lang w:val="hy-AM"/>
        </w:rPr>
        <w:t xml:space="preserve">Մասնավորապես՝ 4.6 մլրդ դրամի ենթավարկեր են տրամադրվել Էլեկտրաէներգետիկ համակարգի զարգացման ծրագրի շրջանակներում, 762.2 մլն դրամ՝ Գյուղատնտեսության զարգացման միջազգային հիմնադրամի աջակցությամբ իրականացվող Ենթակառուցվածքների և գյուղական ֆինանսավորման աջակցության վարկային ծրագրի շրջանակներում, 369 մլն դրամ՝ ՎԶԵԲ աջակցությամբ իրականացվող Կոտայքի և Գեղարքունիքի մարզերի կոշտ թափոնների կառավարման վարկային ծրագրի շրջանակներում և 49.7 մլն դրամ՝ Քաղաքային զարգացման ծրագրի շրջանակներում: </w:t>
      </w:r>
      <w:r>
        <w:rPr>
          <w:rFonts w:ascii="GHEA Grapalat" w:hAnsi="GHEA Grapalat" w:cs="GHEA Grapalat"/>
          <w:lang w:val="hy-AM"/>
        </w:rPr>
        <w:t xml:space="preserve">Նախկինում պետական բյուջեից ռեզիդենտներին տրամադրված վարկերից վերադարձվել է </w:t>
      </w:r>
      <w:r w:rsidRPr="00943223">
        <w:rPr>
          <w:rFonts w:ascii="GHEA Grapalat" w:hAnsi="GHEA Grapalat" w:cs="GHEA Grapalat"/>
          <w:lang w:val="hy-AM"/>
        </w:rPr>
        <w:t>26.1 մլրդ դրամ՝ 22.3%-ով գերազանցելով ինն ամիսների</w:t>
      </w:r>
      <w:r w:rsidRPr="00BC2D0B">
        <w:rPr>
          <w:rFonts w:ascii="GHEA Grapalat" w:hAnsi="GHEA Grapalat" w:cs="GHEA Grapalat"/>
          <w:lang w:val="hy-AM"/>
        </w:rPr>
        <w:t xml:space="preserve"> համար </w:t>
      </w:r>
      <w:r>
        <w:rPr>
          <w:rFonts w:ascii="GHEA Grapalat" w:hAnsi="GHEA Grapalat" w:cs="GHEA Grapalat"/>
          <w:lang w:val="hy-AM"/>
        </w:rPr>
        <w:t>ծրագր</w:t>
      </w:r>
      <w:r w:rsidRPr="00BC2D0B">
        <w:rPr>
          <w:rFonts w:ascii="GHEA Grapalat" w:hAnsi="GHEA Grapalat" w:cs="GHEA Grapalat"/>
          <w:lang w:val="hy-AM"/>
        </w:rPr>
        <w:t>վ</w:t>
      </w:r>
      <w:r>
        <w:rPr>
          <w:rFonts w:ascii="GHEA Grapalat" w:hAnsi="GHEA Grapalat" w:cs="GHEA Grapalat"/>
          <w:lang w:val="hy-AM"/>
        </w:rPr>
        <w:t xml:space="preserve">ած </w:t>
      </w:r>
      <w:r w:rsidRPr="00BC2D0B">
        <w:rPr>
          <w:rFonts w:ascii="GHEA Grapalat" w:hAnsi="GHEA Grapalat" w:cs="GHEA Grapalat"/>
          <w:lang w:val="hy-AM"/>
        </w:rPr>
        <w:t>ցուցանիշը</w:t>
      </w:r>
      <w:r w:rsidRPr="00943223">
        <w:rPr>
          <w:rFonts w:ascii="GHEA Grapalat" w:hAnsi="GHEA Grapalat" w:cs="GHEA Grapalat"/>
          <w:lang w:val="hy-AM"/>
        </w:rPr>
        <w:t>,</w:t>
      </w:r>
      <w:r w:rsidRPr="005146A2">
        <w:rPr>
          <w:rFonts w:ascii="GHEA Grapalat" w:hAnsi="GHEA Grapalat" w:cs="GHEA Grapalat"/>
          <w:lang w:val="hy-AM"/>
        </w:rPr>
        <w:t xml:space="preserve"> </w:t>
      </w:r>
      <w:r w:rsidRPr="00BC2D0B">
        <w:rPr>
          <w:rFonts w:ascii="GHEA Grapalat" w:hAnsi="GHEA Grapalat" w:cs="GHEA Grapalat"/>
          <w:lang w:val="hy-AM"/>
        </w:rPr>
        <w:t xml:space="preserve">ինչը հիմնականում պայմանավորված է </w:t>
      </w:r>
      <w:r w:rsidRPr="00943223">
        <w:rPr>
          <w:rFonts w:ascii="GHEA Grapalat" w:hAnsi="GHEA Grapalat" w:cs="GHEA Grapalat"/>
          <w:lang w:val="hy-AM"/>
        </w:rPr>
        <w:t>կ</w:t>
      </w:r>
      <w:r w:rsidRPr="006B5625">
        <w:rPr>
          <w:rFonts w:ascii="GHEA Grapalat" w:hAnsi="GHEA Grapalat" w:cs="GHEA Grapalat"/>
          <w:lang w:val="hy-AM"/>
        </w:rPr>
        <w:t>որոնավիրուսի (COVID-19) տնտեսական հետևանքների չեզոքացման</w:t>
      </w:r>
      <w:r w:rsidRPr="00BC2D0B">
        <w:rPr>
          <w:rFonts w:ascii="GHEA Grapalat" w:hAnsi="GHEA Grapalat" w:cs="GHEA Grapalat"/>
          <w:lang w:val="hy-AM"/>
        </w:rPr>
        <w:t xml:space="preserve"> </w:t>
      </w:r>
      <w:r w:rsidRPr="00943223">
        <w:rPr>
          <w:rFonts w:ascii="GHEA Grapalat" w:hAnsi="GHEA Grapalat" w:cs="GHEA Grapalat"/>
          <w:lang w:val="hy-AM"/>
        </w:rPr>
        <w:t xml:space="preserve">1-ին և </w:t>
      </w:r>
      <w:r w:rsidRPr="00BC2D0B">
        <w:rPr>
          <w:rFonts w:ascii="GHEA Grapalat" w:hAnsi="GHEA Grapalat" w:cs="GHEA Grapalat"/>
          <w:lang w:val="hy-AM"/>
        </w:rPr>
        <w:t>3-րդ միջ</w:t>
      </w:r>
      <w:r w:rsidR="00843B7E" w:rsidRPr="00943223">
        <w:rPr>
          <w:rFonts w:ascii="GHEA Grapalat" w:hAnsi="GHEA Grapalat" w:cs="GHEA Grapalat"/>
          <w:lang w:val="hy-AM"/>
        </w:rPr>
        <w:t>ո</w:t>
      </w:r>
      <w:r w:rsidRPr="00BC2D0B">
        <w:rPr>
          <w:rFonts w:ascii="GHEA Grapalat" w:hAnsi="GHEA Grapalat" w:cs="GHEA Grapalat"/>
          <w:lang w:val="hy-AM"/>
        </w:rPr>
        <w:t>ցառ</w:t>
      </w:r>
      <w:r w:rsidRPr="00943223">
        <w:rPr>
          <w:rFonts w:ascii="GHEA Grapalat" w:hAnsi="GHEA Grapalat" w:cs="GHEA Grapalat"/>
          <w:lang w:val="hy-AM"/>
        </w:rPr>
        <w:t>ումների</w:t>
      </w:r>
      <w:r w:rsidRPr="00BC2D0B">
        <w:rPr>
          <w:rFonts w:ascii="GHEA Grapalat" w:hAnsi="GHEA Grapalat" w:cs="GHEA Grapalat"/>
          <w:lang w:val="hy-AM"/>
        </w:rPr>
        <w:t xml:space="preserve"> շրջանակներում տրամադրված վարկ</w:t>
      </w:r>
      <w:r w:rsidRPr="00943223">
        <w:rPr>
          <w:rFonts w:ascii="GHEA Grapalat" w:hAnsi="GHEA Grapalat" w:cs="GHEA Grapalat"/>
          <w:lang w:val="hy-AM"/>
        </w:rPr>
        <w:t>եր</w:t>
      </w:r>
      <w:r w:rsidRPr="00BC2D0B">
        <w:rPr>
          <w:rFonts w:ascii="GHEA Grapalat" w:hAnsi="GHEA Grapalat" w:cs="GHEA Grapalat"/>
          <w:lang w:val="hy-AM"/>
        </w:rPr>
        <w:t xml:space="preserve">ի </w:t>
      </w:r>
      <w:r w:rsidRPr="00943223">
        <w:rPr>
          <w:rFonts w:ascii="GHEA Grapalat" w:hAnsi="GHEA Grapalat" w:cs="GHEA Grapalat"/>
          <w:lang w:val="hy-AM"/>
        </w:rPr>
        <w:t>վաղաժամկետ մարմամբ:</w:t>
      </w:r>
    </w:p>
    <w:p w14:paraId="5B74A7B5" w14:textId="77777777" w:rsidR="00054C35" w:rsidRPr="00943223" w:rsidRDefault="00054C35" w:rsidP="00054C35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C75234">
        <w:rPr>
          <w:rFonts w:ascii="GHEA Grapalat" w:hAnsi="GHEA Grapalat" w:cs="GHEA Grapalat"/>
          <w:lang w:val="hy-AM"/>
        </w:rPr>
        <w:t>Հաշվետու ժամանակահատվածում 2 մլրդ դրամ են կազմել «Բարձրավոլտ</w:t>
      </w:r>
      <w:r w:rsidRPr="00056058">
        <w:rPr>
          <w:rFonts w:ascii="GHEA Grapalat" w:hAnsi="GHEA Grapalat" w:cs="GHEA Grapalat"/>
          <w:lang w:val="hy-AM"/>
        </w:rPr>
        <w:t xml:space="preserve"> էլեկտրական ցանցեր» ՓԲԸ</w:t>
      </w:r>
      <w:r w:rsidRPr="00943223">
        <w:rPr>
          <w:rFonts w:ascii="GHEA Grapalat" w:hAnsi="GHEA Grapalat" w:cs="GHEA Grapalat"/>
          <w:lang w:val="hy-AM"/>
        </w:rPr>
        <w:t>-ի բաժնետոմսերի իրացումից մուտքերը, որոնք ամբողջությամբ ապահովել են տարեկան ծրագրված ցուցանիշը:</w:t>
      </w:r>
    </w:p>
    <w:p w14:paraId="2552AC50" w14:textId="77777777" w:rsidR="00054C35" w:rsidRPr="00943223" w:rsidRDefault="00054C35" w:rsidP="00054C35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lastRenderedPageBreak/>
        <w:t xml:space="preserve">2021 թվականի </w:t>
      </w:r>
      <w:r w:rsidRPr="00943223">
        <w:rPr>
          <w:rFonts w:ascii="GHEA Grapalat" w:hAnsi="GHEA Grapalat" w:cs="GHEA Grapalat"/>
          <w:lang w:val="hy-AM"/>
        </w:rPr>
        <w:t>ինն ամիսներին</w:t>
      </w:r>
      <w:r>
        <w:rPr>
          <w:rFonts w:ascii="GHEA Grapalat" w:hAnsi="GHEA Grapalat" w:cs="GHEA Grapalat"/>
          <w:lang w:val="hy-AM"/>
        </w:rPr>
        <w:t xml:space="preserve"> </w:t>
      </w:r>
      <w:r w:rsidRPr="00943223">
        <w:rPr>
          <w:rFonts w:ascii="GHEA Grapalat" w:hAnsi="GHEA Grapalat" w:cs="GHEA Grapalat"/>
          <w:lang w:val="hy-AM"/>
        </w:rPr>
        <w:t>5 մլրդ</w:t>
      </w:r>
      <w:r w:rsidRPr="00346537">
        <w:rPr>
          <w:rFonts w:ascii="GHEA Grapalat" w:hAnsi="GHEA Grapalat" w:cs="GHEA Grapalat"/>
          <w:lang w:val="hy-AM"/>
        </w:rPr>
        <w:t xml:space="preserve"> դրամ է տրամադրվել ՀՀ էկոնոմիկայի նախարարությանը</w:t>
      </w:r>
      <w:r w:rsidRPr="00943223">
        <w:rPr>
          <w:rFonts w:ascii="GHEA Grapalat" w:hAnsi="GHEA Grapalat" w:cs="GHEA Grapalat"/>
          <w:lang w:val="hy-AM"/>
        </w:rPr>
        <w:t>՝</w:t>
      </w:r>
      <w:r w:rsidRPr="00346537">
        <w:rPr>
          <w:rFonts w:ascii="GHEA Grapalat" w:hAnsi="GHEA Grapalat" w:cs="GHEA Grapalat"/>
          <w:lang w:val="hy-AM"/>
        </w:rPr>
        <w:t xml:space="preserve"> </w:t>
      </w:r>
      <w:bookmarkStart w:id="3" w:name="_Hlk71795737"/>
      <w:r w:rsidRPr="00346537">
        <w:rPr>
          <w:rFonts w:ascii="GHEA Grapalat" w:hAnsi="GHEA Grapalat" w:cs="GHEA Grapalat"/>
          <w:lang w:val="hy-AM"/>
        </w:rPr>
        <w:t>«Ձեռնարկատեր+Պետություն հակաճգնաժամային ներդրումներ»</w:t>
      </w:r>
      <w:bookmarkEnd w:id="3"/>
      <w:r w:rsidRPr="00346537">
        <w:rPr>
          <w:rFonts w:ascii="GHEA Grapalat" w:hAnsi="GHEA Grapalat" w:cs="GHEA Grapalat"/>
          <w:lang w:val="hy-AM"/>
        </w:rPr>
        <w:t xml:space="preserve"> ոչ հրապարակային մասնագիտացված պայմանագրային ներդրումային ֆոնդի բաժնետոմսերի և կապիտալում այլ մասնակցության ձեռքբերման նպատակով:</w:t>
      </w:r>
      <w:r w:rsidRPr="00943223">
        <w:rPr>
          <w:rFonts w:ascii="GHEA Grapalat" w:hAnsi="GHEA Grapalat" w:cs="GHEA Grapalat"/>
          <w:lang w:val="hy-AM"/>
        </w:rPr>
        <w:t xml:space="preserve"> Եվս 2</w:t>
      </w:r>
      <w:r w:rsidRPr="00943223">
        <w:rPr>
          <w:rFonts w:ascii="Courier New" w:hAnsi="Courier New" w:cs="Courier New"/>
          <w:lang w:val="hy-AM"/>
        </w:rPr>
        <w:t> </w:t>
      </w:r>
      <w:r w:rsidRPr="00943223">
        <w:rPr>
          <w:rFonts w:ascii="GHEA Grapalat" w:hAnsi="GHEA Grapalat" w:cs="GHEA Grapalat"/>
          <w:lang w:val="hy-AM"/>
        </w:rPr>
        <w:t xml:space="preserve">մլրդ դրամ տրամադրվել է ՀՀ տարածքային կառավարման և ենթակառուցվածքների նախարարությանը՝ </w:t>
      </w:r>
      <w:r w:rsidRPr="00346537">
        <w:rPr>
          <w:rFonts w:ascii="GHEA Grapalat" w:hAnsi="GHEA Grapalat" w:cs="GHEA Grapalat"/>
          <w:lang w:val="hy-AM"/>
        </w:rPr>
        <w:t>«</w:t>
      </w:r>
      <w:r w:rsidRPr="00F13BCC">
        <w:rPr>
          <w:rFonts w:ascii="GHEA Grapalat" w:hAnsi="GHEA Grapalat" w:cs="GHEA Grapalat"/>
          <w:lang w:val="hy-AM"/>
        </w:rPr>
        <w:t>ՀՀ ատոմային էլեկտրակայան</w:t>
      </w:r>
      <w:r w:rsidRPr="00346537">
        <w:rPr>
          <w:rFonts w:ascii="GHEA Grapalat" w:hAnsi="GHEA Grapalat" w:cs="GHEA Grapalat"/>
          <w:lang w:val="hy-AM"/>
        </w:rPr>
        <w:t>»</w:t>
      </w:r>
      <w:r w:rsidRPr="00943223">
        <w:rPr>
          <w:rFonts w:ascii="GHEA Grapalat" w:hAnsi="GHEA Grapalat" w:cs="GHEA Grapalat"/>
          <w:lang w:val="hy-AM"/>
        </w:rPr>
        <w:t xml:space="preserve"> ՓԲԸ-ի</w:t>
      </w:r>
      <w:r w:rsidRPr="00F13BCC">
        <w:rPr>
          <w:rFonts w:ascii="GHEA Grapalat" w:hAnsi="GHEA Grapalat" w:cs="GHEA Grapalat"/>
          <w:lang w:val="hy-AM"/>
        </w:rPr>
        <w:t xml:space="preserve"> </w:t>
      </w:r>
      <w:r w:rsidRPr="00346537">
        <w:rPr>
          <w:rFonts w:ascii="GHEA Grapalat" w:hAnsi="GHEA Grapalat" w:cs="GHEA Grapalat"/>
          <w:lang w:val="hy-AM"/>
        </w:rPr>
        <w:t>բաժնետոմսերի և կապիտալում այլ մասնակցության ձեռքբերման նպատակով:</w:t>
      </w:r>
      <w:r w:rsidRPr="00943223">
        <w:rPr>
          <w:rFonts w:ascii="GHEA Grapalat" w:hAnsi="GHEA Grapalat" w:cs="GHEA Grapalat"/>
          <w:lang w:val="hy-AM"/>
        </w:rPr>
        <w:t xml:space="preserve"> Բաժնետոմսերի նշված ձեռքբերումները նույնպես կատարվել են տարեկան ծրագրով նախատեսված ցուցանիշներին համապատասխան:</w:t>
      </w:r>
    </w:p>
    <w:p w14:paraId="6FA93F91" w14:textId="77777777" w:rsidR="00054C35" w:rsidRPr="00346537" w:rsidRDefault="00054C35" w:rsidP="00054C35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346537">
        <w:rPr>
          <w:rFonts w:ascii="GHEA Grapalat" w:hAnsi="GHEA Grapalat" w:cs="GHEA Grapalat"/>
          <w:lang w:val="hy-AM"/>
        </w:rPr>
        <w:t xml:space="preserve">Հաշվետու ժամանակահատվածում </w:t>
      </w:r>
      <w:r>
        <w:rPr>
          <w:rFonts w:ascii="GHEA Grapalat" w:hAnsi="GHEA Grapalat" w:cs="GHEA Grapalat"/>
          <w:lang w:val="hy-AM"/>
        </w:rPr>
        <w:t xml:space="preserve">ֆինանսավորման ներքին </w:t>
      </w:r>
      <w:r w:rsidRPr="00346537">
        <w:rPr>
          <w:rFonts w:ascii="GHEA Grapalat" w:hAnsi="GHEA Grapalat" w:cs="GHEA Grapalat"/>
          <w:lang w:val="hy-AM"/>
        </w:rPr>
        <w:t>աղբյուրներում</w:t>
      </w:r>
      <w:r>
        <w:rPr>
          <w:rFonts w:ascii="GHEA Grapalat" w:hAnsi="GHEA Grapalat" w:cs="GHEA Grapalat"/>
          <w:lang w:val="hy-AM"/>
        </w:rPr>
        <w:t xml:space="preserve"> բյուջեի ազատ միջոցներ</w:t>
      </w:r>
      <w:r w:rsidRPr="00346537">
        <w:rPr>
          <w:rFonts w:ascii="GHEA Grapalat" w:hAnsi="GHEA Grapalat" w:cs="GHEA Grapalat"/>
          <w:lang w:val="hy-AM"/>
        </w:rPr>
        <w:t>ի աճը կազմել է</w:t>
      </w:r>
      <w:r>
        <w:rPr>
          <w:rFonts w:ascii="GHEA Grapalat" w:hAnsi="GHEA Grapalat" w:cs="GHEA Grapalat"/>
          <w:lang w:val="hy-AM"/>
        </w:rPr>
        <w:t xml:space="preserve"> </w:t>
      </w:r>
      <w:r w:rsidRPr="00943223">
        <w:rPr>
          <w:rFonts w:ascii="GHEA Grapalat" w:hAnsi="GHEA Grapalat" w:cs="GHEA Grapalat"/>
          <w:lang w:val="hy-AM"/>
        </w:rPr>
        <w:t>232.9</w:t>
      </w:r>
      <w:r>
        <w:rPr>
          <w:rFonts w:ascii="GHEA Grapalat" w:hAnsi="GHEA Grapalat" w:cs="GHEA Grapalat"/>
          <w:lang w:val="hy-AM"/>
        </w:rPr>
        <w:t xml:space="preserve"> մլրդ դրամ</w:t>
      </w:r>
      <w:r w:rsidRPr="00943223">
        <w:rPr>
          <w:rFonts w:ascii="GHEA Grapalat" w:hAnsi="GHEA Grapalat" w:cs="GHEA Grapalat"/>
          <w:lang w:val="hy-AM"/>
        </w:rPr>
        <w:t>՝</w:t>
      </w:r>
      <w:r w:rsidRPr="00346537">
        <w:rPr>
          <w:rFonts w:ascii="GHEA Grapalat" w:hAnsi="GHEA Grapalat" w:cs="GHEA Grapalat"/>
          <w:lang w:val="hy-AM"/>
        </w:rPr>
        <w:t xml:space="preserve"> </w:t>
      </w:r>
      <w:r w:rsidRPr="00943223">
        <w:rPr>
          <w:rFonts w:ascii="GHEA Grapalat" w:hAnsi="GHEA Grapalat" w:cs="GHEA Grapalat"/>
          <w:lang w:val="hy-AM"/>
        </w:rPr>
        <w:t xml:space="preserve">ինն ամիսների համար </w:t>
      </w:r>
      <w:r w:rsidRPr="00346537">
        <w:rPr>
          <w:rFonts w:ascii="GHEA Grapalat" w:hAnsi="GHEA Grapalat" w:cs="GHEA Grapalat"/>
          <w:lang w:val="hy-AM"/>
        </w:rPr>
        <w:t xml:space="preserve">ծրագրված </w:t>
      </w:r>
      <w:r w:rsidRPr="00943223">
        <w:rPr>
          <w:rFonts w:ascii="GHEA Grapalat" w:hAnsi="GHEA Grapalat" w:cs="GHEA Grapalat"/>
          <w:lang w:val="hy-AM"/>
        </w:rPr>
        <w:t>47.3</w:t>
      </w:r>
      <w:r w:rsidRPr="00943223">
        <w:rPr>
          <w:rFonts w:ascii="Courier New" w:hAnsi="Courier New" w:cs="Courier New"/>
          <w:lang w:val="hy-AM"/>
        </w:rPr>
        <w:t> </w:t>
      </w:r>
      <w:r w:rsidRPr="00346537">
        <w:rPr>
          <w:rFonts w:ascii="GHEA Grapalat" w:hAnsi="GHEA Grapalat" w:cs="GHEA Grapalat"/>
          <w:lang w:val="hy-AM"/>
        </w:rPr>
        <w:t>մլրդ դրամի դիմաց:</w:t>
      </w:r>
    </w:p>
    <w:p w14:paraId="4AF89AF5" w14:textId="77777777" w:rsidR="00054C35" w:rsidRDefault="00054C35" w:rsidP="00054C35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843B7E">
        <w:rPr>
          <w:rFonts w:ascii="GHEA Grapalat" w:hAnsi="GHEA Grapalat" w:cs="GHEA Grapalat"/>
          <w:lang w:val="hy-AM"/>
        </w:rPr>
        <w:t xml:space="preserve">2021 թվականի </w:t>
      </w:r>
      <w:r w:rsidRPr="00943223">
        <w:rPr>
          <w:rFonts w:ascii="GHEA Grapalat" w:hAnsi="GHEA Grapalat" w:cs="GHEA Grapalat"/>
          <w:lang w:val="hy-AM"/>
        </w:rPr>
        <w:t>ինն ամիսներին</w:t>
      </w:r>
      <w:r w:rsidRPr="00843B7E">
        <w:rPr>
          <w:rFonts w:ascii="GHEA Grapalat" w:hAnsi="GHEA Grapalat" w:cs="GHEA Grapalat"/>
          <w:lang w:val="hy-AM"/>
        </w:rPr>
        <w:t xml:space="preserve"> ՀՀ պետական բյուջեի</w:t>
      </w:r>
      <w:r w:rsidRPr="00943223">
        <w:rPr>
          <w:rFonts w:ascii="GHEA Grapalat" w:hAnsi="GHEA Grapalat" w:cs="GHEA Grapalat"/>
          <w:lang w:val="hy-AM"/>
        </w:rPr>
        <w:t xml:space="preserve"> պակասուրդի</w:t>
      </w:r>
      <w:r w:rsidRPr="00843B7E">
        <w:rPr>
          <w:rFonts w:ascii="GHEA Grapalat" w:hAnsi="GHEA Grapalat" w:cs="GHEA Grapalat"/>
          <w:lang w:val="hy-AM"/>
        </w:rPr>
        <w:t xml:space="preserve"> արտաքին</w:t>
      </w:r>
      <w:r>
        <w:rPr>
          <w:rFonts w:ascii="GHEA Grapalat" w:hAnsi="GHEA Grapalat" w:cs="GHEA Grapalat"/>
          <w:lang w:val="hy-AM"/>
        </w:rPr>
        <w:t xml:space="preserve"> ֆինանսավորումը կազմել է </w:t>
      </w:r>
      <w:r w:rsidRPr="00943223">
        <w:rPr>
          <w:rFonts w:ascii="GHEA Grapalat" w:hAnsi="GHEA Grapalat" w:cs="GHEA Grapalat"/>
          <w:lang w:val="hy-AM"/>
        </w:rPr>
        <w:t>239.8</w:t>
      </w:r>
      <w:r>
        <w:rPr>
          <w:rFonts w:ascii="GHEA Grapalat" w:hAnsi="GHEA Grapalat" w:cs="GHEA Grapalat"/>
          <w:lang w:val="hy-AM"/>
        </w:rPr>
        <w:t xml:space="preserve"> մլրդ դրամ՝ ապահովելով </w:t>
      </w:r>
      <w:r w:rsidRPr="00943223">
        <w:rPr>
          <w:rFonts w:ascii="GHEA Grapalat" w:hAnsi="GHEA Grapalat" w:cs="GHEA Grapalat"/>
          <w:lang w:val="hy-AM"/>
        </w:rPr>
        <w:t>իննամսյա ծրագրի</w:t>
      </w:r>
      <w:r w:rsidRPr="00E213B0">
        <w:rPr>
          <w:rFonts w:ascii="GHEA Grapalat" w:hAnsi="GHEA Grapalat" w:cs="GHEA Grapalat"/>
          <w:lang w:val="hy-AM"/>
        </w:rPr>
        <w:t xml:space="preserve"> </w:t>
      </w:r>
      <w:r w:rsidRPr="00943223">
        <w:rPr>
          <w:rFonts w:ascii="GHEA Grapalat" w:hAnsi="GHEA Grapalat" w:cs="GHEA Grapalat"/>
          <w:lang w:val="hy-AM"/>
        </w:rPr>
        <w:t>92.5</w:t>
      </w:r>
      <w:r w:rsidRPr="00E213B0">
        <w:rPr>
          <w:rFonts w:ascii="GHEA Grapalat" w:hAnsi="GHEA Grapalat" w:cs="GHEA Grapalat"/>
          <w:lang w:val="hy-AM"/>
        </w:rPr>
        <w:t>%</w:t>
      </w:r>
      <w:r w:rsidRPr="00E213B0"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  <w:lang w:val="hy-AM"/>
        </w:rPr>
        <w:t>ը: Արտաքին աղբյուրներում</w:t>
      </w:r>
      <w:r w:rsidRPr="00943223">
        <w:rPr>
          <w:rFonts w:ascii="GHEA Grapalat" w:hAnsi="GHEA Grapalat" w:cs="GHEA Grapalat"/>
          <w:lang w:val="hy-AM"/>
        </w:rPr>
        <w:t xml:space="preserve"> 335</w:t>
      </w:r>
      <w:r>
        <w:rPr>
          <w:rFonts w:ascii="GHEA Grapalat" w:hAnsi="GHEA Grapalat" w:cs="GHEA Grapalat"/>
          <w:lang w:val="hy-AM"/>
        </w:rPr>
        <w:t xml:space="preserve"> մլրդ դրամ են կազմել փոխառու զուտ միջոցները</w:t>
      </w:r>
      <w:r w:rsidRPr="00943223">
        <w:rPr>
          <w:rFonts w:ascii="GHEA Grapalat" w:hAnsi="GHEA Grapalat" w:cs="GHEA Grapalat"/>
          <w:lang w:val="hy-AM"/>
        </w:rPr>
        <w:t>՝ ծրագրով նախատեսված</w:t>
      </w:r>
      <w:r>
        <w:rPr>
          <w:rFonts w:ascii="GHEA Grapalat" w:hAnsi="GHEA Grapalat" w:cs="GHEA Grapalat"/>
          <w:lang w:val="hy-AM"/>
        </w:rPr>
        <w:t xml:space="preserve"> </w:t>
      </w:r>
      <w:r w:rsidRPr="00943223">
        <w:rPr>
          <w:rFonts w:ascii="GHEA Grapalat" w:hAnsi="GHEA Grapalat" w:cs="GHEA Grapalat"/>
          <w:lang w:val="hy-AM"/>
        </w:rPr>
        <w:t>351.2</w:t>
      </w:r>
      <w:r w:rsidRPr="00943223"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 xml:space="preserve">մլրդ դրամի դիմաց: Մասնավորապես՝ </w:t>
      </w:r>
      <w:r w:rsidRPr="00943223">
        <w:rPr>
          <w:rFonts w:ascii="GHEA Grapalat" w:hAnsi="GHEA Grapalat" w:cs="GHEA Grapalat"/>
          <w:lang w:val="hy-AM"/>
        </w:rPr>
        <w:t>ե</w:t>
      </w:r>
      <w:r w:rsidRPr="00943223">
        <w:rPr>
          <w:rFonts w:ascii="GHEA Grapalat" w:hAnsi="GHEA Grapalat" w:cs="GHEA Grapalat"/>
          <w:color w:val="000000"/>
          <w:lang w:val="hy-AM"/>
        </w:rPr>
        <w:t>վրապարտատոմսերի</w:t>
      </w:r>
      <w:r w:rsidRPr="00E213B0">
        <w:rPr>
          <w:rFonts w:ascii="GHEA Grapalat" w:hAnsi="GHEA Grapalat" w:cs="GHEA Grapalat"/>
          <w:lang w:val="hy-AM"/>
        </w:rPr>
        <w:t xml:space="preserve"> թողարկումից</w:t>
      </w:r>
      <w:r w:rsidRPr="00943223">
        <w:rPr>
          <w:rFonts w:ascii="GHEA Grapalat" w:hAnsi="GHEA Grapalat" w:cs="GHEA Grapalat"/>
          <w:lang w:val="hy-AM"/>
        </w:rPr>
        <w:t xml:space="preserve"> հաշվետու ժամանակահատվածում</w:t>
      </w:r>
      <w:r w:rsidRPr="00E213B0">
        <w:rPr>
          <w:rFonts w:ascii="GHEA Grapalat" w:hAnsi="GHEA Grapalat" w:cs="GHEA Grapalat"/>
          <w:lang w:val="hy-AM"/>
        </w:rPr>
        <w:t xml:space="preserve"> պետական բյուջե</w:t>
      </w:r>
      <w:r w:rsidRPr="00943223">
        <w:rPr>
          <w:rFonts w:ascii="GHEA Grapalat" w:hAnsi="GHEA Grapalat" w:cs="GHEA Grapalat"/>
          <w:lang w:val="hy-AM"/>
        </w:rPr>
        <w:t xml:space="preserve"> </w:t>
      </w:r>
      <w:r w:rsidRPr="00E213B0">
        <w:rPr>
          <w:rFonts w:ascii="GHEA Grapalat" w:hAnsi="GHEA Grapalat" w:cs="GHEA Grapalat"/>
          <w:lang w:val="hy-AM"/>
        </w:rPr>
        <w:t>է</w:t>
      </w:r>
      <w:r w:rsidRPr="00943223">
        <w:rPr>
          <w:rFonts w:ascii="GHEA Grapalat" w:hAnsi="GHEA Grapalat" w:cs="GHEA Grapalat"/>
          <w:lang w:val="hy-AM"/>
        </w:rPr>
        <w:t xml:space="preserve"> մուտքագրվել</w:t>
      </w:r>
      <w:r w:rsidRPr="00E213B0">
        <w:rPr>
          <w:rFonts w:ascii="GHEA Grapalat" w:hAnsi="GHEA Grapalat" w:cs="GHEA Grapalat"/>
          <w:lang w:val="hy-AM"/>
        </w:rPr>
        <w:t xml:space="preserve"> 378</w:t>
      </w:r>
      <w:r w:rsidRPr="00E213B0">
        <w:rPr>
          <w:rFonts w:ascii="GHEA Grapalat" w:eastAsia="Calibri" w:hAnsi="GHEA Grapalat" w:cs="GHEA Grapalat"/>
          <w:lang w:val="hy-AM"/>
        </w:rPr>
        <w:t>.7</w:t>
      </w:r>
      <w:r w:rsidRPr="00943223">
        <w:rPr>
          <w:rFonts w:ascii="Courier New" w:eastAsia="Calibri" w:hAnsi="Courier New" w:cs="Courier New"/>
          <w:lang w:val="hy-AM"/>
        </w:rPr>
        <w:t> </w:t>
      </w:r>
      <w:r>
        <w:rPr>
          <w:rFonts w:ascii="GHEA Grapalat" w:eastAsia="Calibri" w:hAnsi="GHEA Grapalat" w:cs="GHEA Grapalat"/>
          <w:lang w:val="hy-AM"/>
        </w:rPr>
        <w:t>մլրդ դրամ, որ</w:t>
      </w:r>
      <w:r w:rsidRPr="00E213B0">
        <w:rPr>
          <w:rFonts w:ascii="GHEA Grapalat" w:eastAsia="Calibri" w:hAnsi="GHEA Grapalat" w:cs="GHEA Grapalat"/>
          <w:lang w:val="hy-AM"/>
        </w:rPr>
        <w:t xml:space="preserve">ից </w:t>
      </w:r>
      <w:r w:rsidRPr="00943223">
        <w:rPr>
          <w:rFonts w:ascii="GHEA Grapalat" w:eastAsia="Calibri" w:hAnsi="GHEA Grapalat" w:cs="GHEA Grapalat"/>
          <w:lang w:val="hy-AM"/>
        </w:rPr>
        <w:t>136.8</w:t>
      </w:r>
      <w:r w:rsidRPr="00943223">
        <w:rPr>
          <w:rFonts w:ascii="Courier New" w:eastAsia="Calibri" w:hAnsi="Courier New" w:cs="Courier New"/>
          <w:lang w:val="hy-AM"/>
        </w:rPr>
        <w:t> </w:t>
      </w:r>
      <w:r w:rsidRPr="00E213B0">
        <w:rPr>
          <w:rFonts w:ascii="GHEA Grapalat" w:eastAsia="Calibri" w:hAnsi="GHEA Grapalat" w:cs="GHEA Grapalat"/>
          <w:lang w:val="hy-AM"/>
        </w:rPr>
        <w:t xml:space="preserve">մլրդ </w:t>
      </w:r>
      <w:r w:rsidRPr="00A8276F">
        <w:rPr>
          <w:rFonts w:ascii="GHEA Grapalat" w:hAnsi="GHEA Grapalat" w:cs="GHEA Grapalat"/>
          <w:color w:val="000000"/>
          <w:lang w:val="hy-AM"/>
        </w:rPr>
        <w:t>դրամ</w:t>
      </w:r>
      <w:r w:rsidRPr="00943223">
        <w:rPr>
          <w:rFonts w:ascii="GHEA Grapalat" w:hAnsi="GHEA Grapalat" w:cs="GHEA Grapalat"/>
          <w:color w:val="000000"/>
          <w:lang w:val="hy-AM"/>
        </w:rPr>
        <w:t>ն</w:t>
      </w:r>
      <w:r>
        <w:rPr>
          <w:rFonts w:ascii="GHEA Grapalat" w:eastAsia="Calibri" w:hAnsi="GHEA Grapalat" w:cs="GHEA Grapalat"/>
          <w:lang w:val="hy-AM"/>
        </w:rPr>
        <w:t xml:space="preserve"> ուղղվել է կայունացման դեպոզիտային հաշվի համալրմանը:</w:t>
      </w:r>
    </w:p>
    <w:p w14:paraId="3E5D7774" w14:textId="31B44A97" w:rsidR="00054C35" w:rsidRPr="00943223" w:rsidRDefault="00054C35" w:rsidP="00054C35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943223">
        <w:rPr>
          <w:rFonts w:ascii="GHEA Grapalat" w:hAnsi="GHEA Grapalat" w:cs="GHEA Grapalat"/>
          <w:lang w:val="hy-AM"/>
        </w:rPr>
        <w:t>Ա</w:t>
      </w:r>
      <w:r>
        <w:rPr>
          <w:rFonts w:ascii="GHEA Grapalat" w:hAnsi="GHEA Grapalat" w:cs="GHEA Grapalat"/>
          <w:lang w:val="hy-AM"/>
        </w:rPr>
        <w:t xml:space="preserve">րտաքին դոնորների աջակցությամբ իրականացվող նպատակային վարկային ծրագրերի շրջանակներում ստացվել են </w:t>
      </w:r>
      <w:r w:rsidRPr="00943223">
        <w:rPr>
          <w:rFonts w:ascii="GHEA Grapalat" w:hAnsi="GHEA Grapalat" w:cs="GHEA Grapalat"/>
          <w:lang w:val="hy-AM"/>
        </w:rPr>
        <w:t>43.5</w:t>
      </w:r>
      <w:r w:rsidRPr="00E213B0">
        <w:rPr>
          <w:rFonts w:ascii="GHEA Grapalat" w:hAnsi="GHEA Grapalat" w:cs="GHEA Grapalat"/>
          <w:lang w:val="hy-AM"/>
        </w:rPr>
        <w:t xml:space="preserve"> մլրդ</w:t>
      </w:r>
      <w:r>
        <w:rPr>
          <w:rFonts w:ascii="GHEA Grapalat" w:hAnsi="GHEA Grapalat" w:cs="GHEA Grapalat"/>
          <w:lang w:val="hy-AM"/>
        </w:rPr>
        <w:t xml:space="preserve"> դրամ վարկային միջոցներ</w:t>
      </w:r>
      <w:r w:rsidRPr="00E213B0">
        <w:rPr>
          <w:rFonts w:ascii="GHEA Grapalat" w:hAnsi="GHEA Grapalat" w:cs="GHEA Grapalat"/>
          <w:lang w:val="hy-AM"/>
        </w:rPr>
        <w:t>՝</w:t>
      </w:r>
      <w:r>
        <w:rPr>
          <w:rFonts w:ascii="GHEA Grapalat" w:hAnsi="GHEA Grapalat" w:cs="GHEA Grapalat"/>
          <w:lang w:val="hy-AM"/>
        </w:rPr>
        <w:t xml:space="preserve"> կա</w:t>
      </w:r>
      <w:r w:rsidRPr="00E213B0">
        <w:rPr>
          <w:rFonts w:ascii="GHEA Grapalat" w:hAnsi="GHEA Grapalat" w:cs="GHEA Grapalat"/>
          <w:lang w:val="hy-AM"/>
        </w:rPr>
        <w:t>զ</w:t>
      </w:r>
      <w:r>
        <w:rPr>
          <w:rFonts w:ascii="GHEA Grapalat" w:hAnsi="GHEA Grapalat" w:cs="GHEA Grapalat"/>
          <w:lang w:val="hy-AM"/>
        </w:rPr>
        <w:t>մ</w:t>
      </w:r>
      <w:r w:rsidRPr="00E213B0">
        <w:rPr>
          <w:rFonts w:ascii="GHEA Grapalat" w:hAnsi="GHEA Grapalat" w:cs="GHEA Grapalat"/>
          <w:lang w:val="hy-AM"/>
        </w:rPr>
        <w:t>ելով</w:t>
      </w:r>
      <w:r w:rsidR="009E3BFA">
        <w:rPr>
          <w:rFonts w:ascii="GHEA Grapalat" w:hAnsi="GHEA Grapalat" w:cs="GHEA Grapalat"/>
          <w:lang w:val="hy-AM"/>
        </w:rPr>
        <w:t xml:space="preserve"> ծրագ</w:t>
      </w:r>
      <w:r w:rsidR="009E3BFA" w:rsidRPr="00943223">
        <w:rPr>
          <w:rFonts w:ascii="GHEA Grapalat" w:hAnsi="GHEA Grapalat" w:cs="GHEA Grapalat"/>
          <w:lang w:val="hy-AM"/>
        </w:rPr>
        <w:t>րված ցուցանիշի</w:t>
      </w:r>
      <w:r>
        <w:rPr>
          <w:rFonts w:ascii="GHEA Grapalat" w:hAnsi="GHEA Grapalat" w:cs="GHEA Grapalat"/>
          <w:lang w:val="hy-AM"/>
        </w:rPr>
        <w:t xml:space="preserve"> </w:t>
      </w:r>
      <w:r w:rsidRPr="00943223">
        <w:rPr>
          <w:rFonts w:ascii="GHEA Grapalat" w:hAnsi="GHEA Grapalat" w:cs="GHEA Grapalat"/>
          <w:lang w:val="hy-AM"/>
        </w:rPr>
        <w:t>66.5</w:t>
      </w:r>
      <w:r>
        <w:rPr>
          <w:rFonts w:ascii="GHEA Grapalat" w:hAnsi="GHEA Grapalat" w:cs="GHEA Grapalat"/>
          <w:lang w:val="hy-AM"/>
        </w:rPr>
        <w:t>%-ը</w:t>
      </w:r>
      <w:r w:rsidRPr="00E213B0">
        <w:rPr>
          <w:rFonts w:ascii="GHEA Grapalat" w:hAnsi="GHEA Grapalat" w:cs="GHEA Grapalat"/>
          <w:lang w:val="hy-AM"/>
        </w:rPr>
        <w:t>: Նշված գումարից</w:t>
      </w:r>
      <w:r>
        <w:rPr>
          <w:rFonts w:ascii="GHEA Grapalat" w:hAnsi="GHEA Grapalat" w:cs="GHEA Grapalat"/>
          <w:lang w:val="hy-AM"/>
        </w:rPr>
        <w:t xml:space="preserve"> </w:t>
      </w:r>
      <w:r w:rsidRPr="00943223">
        <w:rPr>
          <w:rFonts w:ascii="GHEA Grapalat" w:hAnsi="GHEA Grapalat" w:cs="GHEA Grapalat"/>
          <w:lang w:val="hy-AM"/>
        </w:rPr>
        <w:t>16.5</w:t>
      </w:r>
      <w:r>
        <w:rPr>
          <w:rFonts w:ascii="GHEA Grapalat" w:hAnsi="GHEA Grapalat" w:cs="GHEA Grapalat"/>
          <w:lang w:val="hy-AM"/>
        </w:rPr>
        <w:t xml:space="preserve"> </w:t>
      </w:r>
      <w:r w:rsidRPr="00E213B0">
        <w:rPr>
          <w:rFonts w:ascii="GHEA Grapalat" w:hAnsi="GHEA Grapalat" w:cs="GHEA Grapalat"/>
          <w:lang w:val="hy-AM"/>
        </w:rPr>
        <w:t xml:space="preserve">մլրդ </w:t>
      </w:r>
      <w:r>
        <w:rPr>
          <w:rFonts w:ascii="GHEA Grapalat" w:hAnsi="GHEA Grapalat" w:cs="GHEA Grapalat"/>
          <w:lang w:val="hy-AM"/>
        </w:rPr>
        <w:t xml:space="preserve">դրամը ստացվել է </w:t>
      </w:r>
      <w:r w:rsidRPr="00943223">
        <w:rPr>
          <w:rFonts w:ascii="GHEA Grapalat" w:hAnsi="GHEA Grapalat" w:cs="GHEA Grapalat"/>
          <w:lang w:val="hy-AM"/>
        </w:rPr>
        <w:t>Համաշխարհային</w:t>
      </w:r>
      <w:r>
        <w:rPr>
          <w:rFonts w:ascii="GHEA Grapalat" w:hAnsi="GHEA Grapalat" w:cs="GHEA Grapalat"/>
          <w:lang w:val="hy-AM"/>
        </w:rPr>
        <w:t xml:space="preserve"> բանկից</w:t>
      </w:r>
      <w:r w:rsidRPr="0056307C">
        <w:rPr>
          <w:rFonts w:ascii="GHEA Grapalat" w:hAnsi="GHEA Grapalat" w:cs="GHEA Grapalat"/>
          <w:lang w:val="hy-AM"/>
        </w:rPr>
        <w:t xml:space="preserve">, </w:t>
      </w:r>
      <w:r w:rsidRPr="00943223">
        <w:rPr>
          <w:rFonts w:ascii="GHEA Grapalat" w:hAnsi="GHEA Grapalat" w:cs="GHEA Grapalat"/>
          <w:lang w:val="hy-AM"/>
        </w:rPr>
        <w:t>12.2</w:t>
      </w:r>
      <w:r w:rsidRPr="0056307C">
        <w:rPr>
          <w:rFonts w:ascii="GHEA Grapalat" w:hAnsi="GHEA Grapalat" w:cs="GHEA Grapalat"/>
          <w:lang w:val="hy-AM"/>
        </w:rPr>
        <w:t xml:space="preserve"> մլրդ դրամ</w:t>
      </w:r>
      <w:r w:rsidRPr="00943223">
        <w:rPr>
          <w:rFonts w:ascii="GHEA Grapalat" w:hAnsi="GHEA Grapalat" w:cs="GHEA Grapalat"/>
          <w:lang w:val="hy-AM"/>
        </w:rPr>
        <w:t>ը</w:t>
      </w:r>
      <w:r w:rsidRPr="0056307C">
        <w:rPr>
          <w:rFonts w:ascii="GHEA Grapalat" w:hAnsi="GHEA Grapalat" w:cs="GHEA Grapalat"/>
          <w:lang w:val="hy-AM"/>
        </w:rPr>
        <w:t>՝ Ասիական զարգացման բանկից</w:t>
      </w:r>
      <w:r w:rsidRPr="00943223">
        <w:rPr>
          <w:rFonts w:ascii="GHEA Grapalat" w:hAnsi="GHEA Grapalat" w:cs="GHEA Grapalat"/>
          <w:lang w:val="hy-AM"/>
        </w:rPr>
        <w:t xml:space="preserve">, </w:t>
      </w:r>
      <w:r w:rsidR="00697DB1" w:rsidRPr="00943223">
        <w:rPr>
          <w:rFonts w:ascii="GHEA Grapalat" w:hAnsi="GHEA Grapalat" w:cs="GHEA Grapalat"/>
          <w:lang w:val="hy-AM"/>
        </w:rPr>
        <w:t xml:space="preserve">ավելի քան </w:t>
      </w:r>
      <w:r w:rsidRPr="00943223">
        <w:rPr>
          <w:rFonts w:ascii="GHEA Grapalat" w:hAnsi="GHEA Grapalat" w:cs="GHEA Grapalat"/>
          <w:lang w:val="hy-AM"/>
        </w:rPr>
        <w:t>2.8 մլրդ դրամը՝ Եվրոպական ներդրումային բանկից, 7.3 մլրդ դրամը՝ Գերմանիայի Վերականգնման վարկերի բանկից, 2.9</w:t>
      </w:r>
      <w:r w:rsidRPr="00943223">
        <w:rPr>
          <w:rFonts w:ascii="Courier New" w:hAnsi="Courier New" w:cs="Courier New"/>
          <w:lang w:val="hy-AM"/>
        </w:rPr>
        <w:t> </w:t>
      </w:r>
      <w:r w:rsidRPr="00943223">
        <w:rPr>
          <w:rFonts w:ascii="GHEA Grapalat" w:hAnsi="GHEA Grapalat" w:cs="GHEA Grapalat"/>
          <w:lang w:val="hy-AM"/>
        </w:rPr>
        <w:t xml:space="preserve">մլրդ դրամը՝ Եվրասիական զարգացման բանկից, 1.7 մլրդ դրամը՝ </w:t>
      </w:r>
      <w:r>
        <w:rPr>
          <w:rFonts w:ascii="GHEA Grapalat" w:hAnsi="GHEA Grapalat" w:cs="GHEA Grapalat"/>
          <w:lang w:val="hy-AM"/>
        </w:rPr>
        <w:t xml:space="preserve">Վերակառուցման </w:t>
      </w:r>
      <w:r w:rsidRPr="00E213B0">
        <w:rPr>
          <w:rFonts w:ascii="GHEA Grapalat" w:hAnsi="GHEA Grapalat" w:cs="GHEA Grapalat"/>
          <w:lang w:val="hy-AM"/>
        </w:rPr>
        <w:t xml:space="preserve">և </w:t>
      </w:r>
      <w:r>
        <w:rPr>
          <w:rFonts w:ascii="GHEA Grapalat" w:hAnsi="GHEA Grapalat" w:cs="GHEA Grapalat"/>
          <w:lang w:val="hy-AM"/>
        </w:rPr>
        <w:t xml:space="preserve">զարգացման </w:t>
      </w:r>
      <w:r w:rsidRPr="00943223">
        <w:rPr>
          <w:rFonts w:ascii="GHEA Grapalat" w:hAnsi="GHEA Grapalat" w:cs="GHEA Grapalat"/>
          <w:lang w:val="hy-AM"/>
        </w:rPr>
        <w:t>եվրոպական</w:t>
      </w:r>
      <w:r>
        <w:rPr>
          <w:rFonts w:ascii="GHEA Grapalat" w:hAnsi="GHEA Grapalat" w:cs="GHEA Grapalat"/>
          <w:lang w:val="hy-AM"/>
        </w:rPr>
        <w:t xml:space="preserve"> բանկից: </w:t>
      </w:r>
      <w:r w:rsidRPr="00943223">
        <w:rPr>
          <w:rFonts w:ascii="GHEA Grapalat" w:hAnsi="GHEA Grapalat" w:cs="GHEA Grapalat"/>
          <w:lang w:val="hy-AM"/>
        </w:rPr>
        <w:t>87.2</w:t>
      </w:r>
      <w:r>
        <w:rPr>
          <w:rFonts w:ascii="GHEA Grapalat" w:hAnsi="GHEA Grapalat" w:cs="GHEA Grapalat"/>
          <w:lang w:val="hy-AM"/>
        </w:rPr>
        <w:t xml:space="preserve"> մլրդ դրամ </w:t>
      </w:r>
      <w:r w:rsidRPr="00943223">
        <w:rPr>
          <w:rFonts w:ascii="GHEA Grapalat" w:hAnsi="GHEA Grapalat" w:cs="GHEA Grapalat"/>
          <w:lang w:val="hy-AM"/>
        </w:rPr>
        <w:t>ուղղ</w:t>
      </w:r>
      <w:r>
        <w:rPr>
          <w:rFonts w:ascii="GHEA Grapalat" w:hAnsi="GHEA Grapalat" w:cs="GHEA Grapalat"/>
          <w:lang w:val="hy-AM"/>
        </w:rPr>
        <w:t xml:space="preserve">վել է արտաքին </w:t>
      </w:r>
      <w:r w:rsidRPr="00943223">
        <w:rPr>
          <w:rFonts w:ascii="GHEA Grapalat" w:hAnsi="GHEA Grapalat" w:cs="GHEA Grapalat"/>
          <w:lang w:val="hy-AM"/>
        </w:rPr>
        <w:t>վարկեր</w:t>
      </w:r>
      <w:r>
        <w:rPr>
          <w:rFonts w:ascii="GHEA Grapalat" w:hAnsi="GHEA Grapalat" w:cs="GHEA Grapalat"/>
          <w:lang w:val="hy-AM"/>
        </w:rPr>
        <w:t xml:space="preserve">ի մարմանը՝ կազմելով ծրագրի </w:t>
      </w:r>
      <w:r w:rsidRPr="00943223">
        <w:rPr>
          <w:rFonts w:ascii="GHEA Grapalat" w:hAnsi="GHEA Grapalat" w:cs="GHEA Grapalat"/>
          <w:lang w:val="hy-AM"/>
        </w:rPr>
        <w:t>93.8</w:t>
      </w:r>
      <w:r>
        <w:rPr>
          <w:rFonts w:ascii="GHEA Grapalat" w:hAnsi="GHEA Grapalat" w:cs="GHEA Grapalat"/>
          <w:lang w:val="hy-AM"/>
        </w:rPr>
        <w:t>%-ը</w:t>
      </w:r>
      <w:r w:rsidRPr="00943223">
        <w:rPr>
          <w:rFonts w:ascii="GHEA Grapalat" w:hAnsi="GHEA Grapalat" w:cs="GHEA Grapalat"/>
          <w:lang w:val="hy-AM"/>
        </w:rPr>
        <w:t>: Շեղումը պայմանավորված է արտաքին վարկերի գծով ստացումների պլանի թերակատարմամբ ըստ առանձին վարկային ծրագրերի,</w:t>
      </w:r>
      <w:r w:rsidRPr="00943223">
        <w:rPr>
          <w:lang w:val="hy-AM"/>
        </w:rPr>
        <w:t xml:space="preserve"> </w:t>
      </w:r>
      <w:r w:rsidRPr="00943223">
        <w:rPr>
          <w:rFonts w:ascii="GHEA Grapalat" w:hAnsi="GHEA Grapalat" w:cs="GHEA Grapalat"/>
          <w:lang w:val="hy-AM"/>
        </w:rPr>
        <w:t>SDR-ի՝ ԱՄՆ դոլարի նկատմամբ կանխատեսումային և փաստացի ձևավորված փոխարժեք</w:t>
      </w:r>
      <w:r w:rsidR="003B5DFA" w:rsidRPr="00943223">
        <w:rPr>
          <w:rFonts w:ascii="GHEA Grapalat" w:hAnsi="GHEA Grapalat" w:cs="GHEA Grapalat"/>
          <w:lang w:val="hy-AM"/>
        </w:rPr>
        <w:t>ներ</w:t>
      </w:r>
      <w:r w:rsidRPr="00943223">
        <w:rPr>
          <w:rFonts w:ascii="GHEA Grapalat" w:hAnsi="GHEA Grapalat" w:cs="GHEA Grapalat"/>
          <w:lang w:val="hy-AM"/>
        </w:rPr>
        <w:t xml:space="preserve">ի տարբերությամբ և արտարժույթների նկատմամբ </w:t>
      </w:r>
      <w:r w:rsidRPr="00943223">
        <w:rPr>
          <w:rFonts w:ascii="GHEA Grapalat" w:hAnsi="GHEA Grapalat" w:cs="GHEA Grapalat"/>
          <w:lang w:val="hy-AM"/>
        </w:rPr>
        <w:lastRenderedPageBreak/>
        <w:t>ՀՀ դրամի կանխատեսումային ու փաստացի ձևավորված փոխարժեքների տարբերությամբ: Նշված գումարից 55.9</w:t>
      </w:r>
      <w:r w:rsidRPr="00F11F52">
        <w:rPr>
          <w:rFonts w:ascii="Calibri" w:hAnsi="Calibri" w:cs="Calibri"/>
          <w:lang w:val="hy-AM"/>
        </w:rPr>
        <w:t> </w:t>
      </w:r>
      <w:r w:rsidRPr="00F11F52">
        <w:rPr>
          <w:rFonts w:ascii="GHEA Grapalat" w:hAnsi="GHEA Grapalat" w:cs="GHEA Grapalat"/>
          <w:lang w:val="hy-AM"/>
        </w:rPr>
        <w:t xml:space="preserve">մլրդ դրամն ուղղվել է միջազգային կազմակերպությունների, </w:t>
      </w:r>
      <w:r w:rsidRPr="00943223">
        <w:rPr>
          <w:rFonts w:ascii="GHEA Grapalat" w:hAnsi="GHEA Grapalat" w:cs="GHEA Grapalat"/>
          <w:lang w:val="hy-AM"/>
        </w:rPr>
        <w:t>30.3</w:t>
      </w:r>
      <w:r w:rsidRPr="00943223">
        <w:rPr>
          <w:rFonts w:ascii="Calibri" w:hAnsi="Calibri" w:cs="Calibri"/>
          <w:lang w:val="hy-AM"/>
        </w:rPr>
        <w:t xml:space="preserve"> </w:t>
      </w:r>
      <w:r w:rsidRPr="00F11F52">
        <w:rPr>
          <w:rFonts w:ascii="GHEA Grapalat" w:hAnsi="GHEA Grapalat" w:cs="GHEA Grapalat"/>
          <w:lang w:val="hy-AM"/>
        </w:rPr>
        <w:t xml:space="preserve">մլրդ դրամը` օտարերկրյա պետությունների և </w:t>
      </w:r>
      <w:r w:rsidRPr="00943223">
        <w:rPr>
          <w:rFonts w:ascii="GHEA Grapalat" w:hAnsi="GHEA Grapalat" w:cs="GHEA Grapalat"/>
          <w:lang w:val="hy-AM"/>
        </w:rPr>
        <w:t>1 մլրդ</w:t>
      </w:r>
      <w:r w:rsidRPr="00F11F52">
        <w:rPr>
          <w:rFonts w:ascii="GHEA Grapalat" w:hAnsi="GHEA Grapalat" w:cs="GHEA Grapalat"/>
          <w:lang w:val="hy-AM"/>
        </w:rPr>
        <w:t xml:space="preserve"> դրամը` օտարերկրյա առևտրային բանկերի նկատմամբ պարտավորությունների մարմանը:</w:t>
      </w:r>
    </w:p>
    <w:p w14:paraId="22BC7DCD" w14:textId="1E921ED4" w:rsidR="00054C35" w:rsidRDefault="00054C35" w:rsidP="00054C35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Արտաքին ֆինանսական զուտ ակտիվների հաշվին պետական բյուջեի ֆինանսավորումը հաշվետու ժամանակահատվածում կազմել է </w:t>
      </w:r>
      <w:r>
        <w:rPr>
          <w:rFonts w:ascii="GHEA Grapalat" w:hAnsi="GHEA Grapalat" w:cs="GHEA Grapalat"/>
          <w:lang w:val="hy-AM"/>
        </w:rPr>
        <w:noBreakHyphen/>
      </w:r>
      <w:r w:rsidRPr="00943223">
        <w:rPr>
          <w:rFonts w:ascii="GHEA Grapalat" w:hAnsi="GHEA Grapalat" w:cs="GHEA Grapalat"/>
          <w:lang w:val="hy-AM"/>
        </w:rPr>
        <w:t>95.2</w:t>
      </w:r>
      <w:r>
        <w:rPr>
          <w:rFonts w:ascii="GHEA Grapalat" w:hAnsi="GHEA Grapalat" w:cs="GHEA Grapalat"/>
          <w:lang w:val="hy-AM"/>
        </w:rPr>
        <w:t xml:space="preserve"> մլրդ դրամ</w:t>
      </w:r>
      <w:r w:rsidRPr="00943223">
        <w:rPr>
          <w:rFonts w:ascii="GHEA Grapalat" w:hAnsi="GHEA Grapalat" w:cs="GHEA Grapalat"/>
          <w:lang w:val="hy-AM"/>
        </w:rPr>
        <w:t>` 103.4%-ով ապահովելով</w:t>
      </w:r>
      <w:r>
        <w:rPr>
          <w:rFonts w:ascii="GHEA Grapalat" w:hAnsi="GHEA Grapalat" w:cs="GHEA Grapalat"/>
          <w:lang w:val="hy-AM"/>
        </w:rPr>
        <w:t xml:space="preserve"> </w:t>
      </w:r>
      <w:r w:rsidRPr="00943223">
        <w:rPr>
          <w:rFonts w:ascii="GHEA Grapalat" w:hAnsi="GHEA Grapalat" w:cs="GHEA Grapalat"/>
          <w:lang w:val="hy-AM"/>
        </w:rPr>
        <w:t>իննամսյա</w:t>
      </w:r>
      <w:r>
        <w:rPr>
          <w:rFonts w:ascii="GHEA Grapalat" w:hAnsi="GHEA Grapalat" w:cs="GHEA Grapalat"/>
          <w:lang w:val="hy-AM"/>
        </w:rPr>
        <w:t xml:space="preserve"> </w:t>
      </w:r>
      <w:r w:rsidRPr="00943223">
        <w:rPr>
          <w:rFonts w:ascii="GHEA Grapalat" w:hAnsi="GHEA Grapalat" w:cs="GHEA Grapalat"/>
          <w:color w:val="000000"/>
          <w:lang w:val="hy-AM"/>
        </w:rPr>
        <w:t>ծրագրով</w:t>
      </w:r>
      <w:r>
        <w:rPr>
          <w:rFonts w:ascii="GHEA Grapalat" w:hAnsi="GHEA Grapalat" w:cs="GHEA Grapalat"/>
          <w:lang w:val="hy-AM"/>
        </w:rPr>
        <w:t xml:space="preserve"> նախատեսված ցուցանիշը: Մասնավորապես՝ </w:t>
      </w:r>
      <w:r w:rsidRPr="00943223">
        <w:rPr>
          <w:rFonts w:ascii="GHEA Grapalat" w:hAnsi="GHEA Grapalat" w:cs="GHEA Grapalat"/>
          <w:lang w:val="hy-AM"/>
        </w:rPr>
        <w:t>91.3</w:t>
      </w:r>
      <w:r w:rsidRPr="00943223"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>մլրդ դրամ հատկացվել է Արցախի Հանրապետությանը</w:t>
      </w:r>
      <w:r w:rsidRPr="00E213B0">
        <w:rPr>
          <w:rFonts w:ascii="GHEA Grapalat" w:hAnsi="GHEA Grapalat" w:cs="GHEA Grapalat"/>
          <w:lang w:val="hy-AM"/>
        </w:rPr>
        <w:t>`</w:t>
      </w:r>
      <w:r>
        <w:rPr>
          <w:rFonts w:ascii="GHEA Grapalat" w:hAnsi="GHEA Grapalat" w:cs="GHEA Grapalat"/>
          <w:lang w:val="hy-AM"/>
        </w:rPr>
        <w:t xml:space="preserve"> որպես միջպետական վարկ</w:t>
      </w:r>
      <w:r w:rsidRPr="00E213B0">
        <w:rPr>
          <w:rFonts w:ascii="GHEA Grapalat" w:hAnsi="GHEA Grapalat" w:cs="GHEA Grapalat"/>
          <w:lang w:val="hy-AM"/>
        </w:rPr>
        <w:t>, որ</w:t>
      </w:r>
      <w:r w:rsidRPr="00943223">
        <w:rPr>
          <w:rFonts w:ascii="GHEA Grapalat" w:hAnsi="GHEA Grapalat" w:cs="GHEA Grapalat"/>
          <w:lang w:val="hy-AM"/>
        </w:rPr>
        <w:t xml:space="preserve">ն ամբողջությամբ ապահովել </w:t>
      </w:r>
      <w:r w:rsidRPr="00E213B0">
        <w:rPr>
          <w:rFonts w:ascii="GHEA Grapalat" w:hAnsi="GHEA Grapalat" w:cs="GHEA Grapalat"/>
          <w:lang w:val="hy-AM"/>
        </w:rPr>
        <w:t>է</w:t>
      </w:r>
      <w:r>
        <w:rPr>
          <w:rFonts w:ascii="GHEA Grapalat" w:hAnsi="GHEA Grapalat" w:cs="GHEA Grapalat"/>
          <w:lang w:val="hy-AM"/>
        </w:rPr>
        <w:t xml:space="preserve"> </w:t>
      </w:r>
      <w:bookmarkStart w:id="4" w:name="_Hlk71797059"/>
      <w:r w:rsidRPr="00943223">
        <w:rPr>
          <w:rFonts w:ascii="GHEA Grapalat" w:hAnsi="GHEA Grapalat" w:cs="GHEA Grapalat"/>
          <w:lang w:val="hy-AM"/>
        </w:rPr>
        <w:t>իննամսյա</w:t>
      </w:r>
      <w:r>
        <w:rPr>
          <w:rFonts w:ascii="GHEA Grapalat" w:hAnsi="GHEA Grapalat" w:cs="GHEA Grapalat"/>
          <w:lang w:val="hy-AM"/>
        </w:rPr>
        <w:t xml:space="preserve"> ծրագր</w:t>
      </w:r>
      <w:r w:rsidRPr="00E213B0">
        <w:rPr>
          <w:rFonts w:ascii="GHEA Grapalat" w:hAnsi="GHEA Grapalat" w:cs="GHEA Grapalat"/>
          <w:lang w:val="hy-AM"/>
        </w:rPr>
        <w:t>ային ցուցանիշ</w:t>
      </w:r>
      <w:r w:rsidRPr="00943223">
        <w:rPr>
          <w:rFonts w:ascii="GHEA Grapalat" w:hAnsi="GHEA Grapalat" w:cs="GHEA Grapalat"/>
          <w:lang w:val="hy-AM"/>
        </w:rPr>
        <w:t>ը</w:t>
      </w:r>
      <w:bookmarkEnd w:id="4"/>
      <w:r>
        <w:rPr>
          <w:rFonts w:ascii="GHEA Grapalat" w:hAnsi="GHEA Grapalat" w:cs="GHEA Grapalat"/>
          <w:lang w:val="hy-AM"/>
        </w:rPr>
        <w:t>: Վրաստանի կողմից ՀՀ նկատմամբ ունեցած վարկային պարտավորությունների մարումը կազմել</w:t>
      </w:r>
      <w:r w:rsidRPr="00E213B0">
        <w:rPr>
          <w:rFonts w:ascii="GHEA Grapalat" w:hAnsi="GHEA Grapalat" w:cs="GHEA Grapalat"/>
          <w:lang w:val="hy-AM"/>
        </w:rPr>
        <w:t xml:space="preserve"> է</w:t>
      </w:r>
      <w:r>
        <w:rPr>
          <w:rFonts w:ascii="GHEA Grapalat" w:hAnsi="GHEA Grapalat" w:cs="GHEA Grapalat"/>
          <w:lang w:val="hy-AM"/>
        </w:rPr>
        <w:t xml:space="preserve"> </w:t>
      </w:r>
      <w:r w:rsidRPr="00943223">
        <w:rPr>
          <w:rFonts w:ascii="GHEA Grapalat" w:hAnsi="GHEA Grapalat" w:cs="GHEA Grapalat"/>
          <w:lang w:val="hy-AM"/>
        </w:rPr>
        <w:t>640.9</w:t>
      </w:r>
      <w:r w:rsidRPr="00943223">
        <w:rPr>
          <w:rFonts w:ascii="Calibri" w:hAnsi="Calibri" w:cs="Calibri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մլն</w:t>
      </w:r>
      <w:r w:rsidRPr="00943223">
        <w:rPr>
          <w:rFonts w:ascii="GHEA Grapalat" w:hAnsi="GHEA Grapalat" w:cs="GHEA Grapalat"/>
          <w:lang w:val="hy-AM"/>
        </w:rPr>
        <w:t xml:space="preserve"> դրամ կամ իննամսյա ծրագրային ցուցանիշի 101.7%-ը՝ պայմանավորված ԱՄՆ դոլարի նկատմամբ ՀՀ դրամի կանխատեսումային և փաստացի ձևավորված փոխարժեքների տարբերությամբ</w:t>
      </w:r>
      <w:r>
        <w:rPr>
          <w:rFonts w:ascii="GHEA Grapalat" w:hAnsi="GHEA Grapalat" w:cs="GHEA Grapalat"/>
          <w:lang w:val="hy-AM"/>
        </w:rPr>
        <w:t xml:space="preserve">: Բաժնետոմսերի և կապիտալում այլ մասնակցության ձեռքբերման նպատակով </w:t>
      </w:r>
      <w:r w:rsidRPr="00943223">
        <w:rPr>
          <w:rFonts w:ascii="GHEA Grapalat" w:hAnsi="GHEA Grapalat" w:cs="GHEA Grapalat"/>
          <w:lang w:val="hy-AM"/>
        </w:rPr>
        <w:t>2021 թվականին</w:t>
      </w:r>
      <w:r>
        <w:rPr>
          <w:rFonts w:ascii="GHEA Grapalat" w:hAnsi="GHEA Grapalat" w:cs="GHEA Grapalat"/>
          <w:lang w:val="hy-AM"/>
        </w:rPr>
        <w:t xml:space="preserve"> նախատեսված</w:t>
      </w:r>
      <w:r w:rsidRPr="00943223">
        <w:rPr>
          <w:rFonts w:ascii="GHEA Grapalat" w:hAnsi="GHEA Grapalat" w:cs="GHEA Grapalat"/>
          <w:lang w:val="hy-AM"/>
        </w:rPr>
        <w:t xml:space="preserve"> ավելի քան</w:t>
      </w:r>
      <w:r>
        <w:rPr>
          <w:rFonts w:ascii="GHEA Grapalat" w:hAnsi="GHEA Grapalat" w:cs="GHEA Grapalat"/>
          <w:lang w:val="hy-AM"/>
        </w:rPr>
        <w:t xml:space="preserve"> </w:t>
      </w:r>
      <w:r w:rsidRPr="00943223">
        <w:rPr>
          <w:rFonts w:ascii="GHEA Grapalat" w:hAnsi="GHEA Grapalat" w:cs="GHEA Grapalat"/>
          <w:lang w:val="hy-AM"/>
        </w:rPr>
        <w:t>1.4 մլրդ</w:t>
      </w:r>
      <w:r>
        <w:rPr>
          <w:rFonts w:ascii="GHEA Grapalat" w:hAnsi="GHEA Grapalat" w:cs="GHEA Grapalat"/>
          <w:lang w:val="hy-AM"/>
        </w:rPr>
        <w:t xml:space="preserve"> դրամ</w:t>
      </w:r>
      <w:r w:rsidRPr="00943223">
        <w:rPr>
          <w:rFonts w:ascii="GHEA Grapalat" w:hAnsi="GHEA Grapalat" w:cs="GHEA Grapalat"/>
          <w:lang w:val="hy-AM"/>
        </w:rPr>
        <w:t xml:space="preserve">ը գրեթե </w:t>
      </w:r>
      <w:r>
        <w:rPr>
          <w:rFonts w:ascii="GHEA Grapalat" w:hAnsi="GHEA Grapalat" w:cs="GHEA Grapalat"/>
          <w:lang w:val="hy-AM"/>
        </w:rPr>
        <w:t>ամբողջությամբ</w:t>
      </w:r>
      <w:r w:rsidRPr="00943223">
        <w:rPr>
          <w:rFonts w:ascii="GHEA Grapalat" w:hAnsi="GHEA Grapalat" w:cs="GHEA Grapalat"/>
          <w:lang w:val="hy-AM"/>
        </w:rPr>
        <w:t xml:space="preserve"> օգտագործվել է</w:t>
      </w:r>
      <w:r>
        <w:rPr>
          <w:rFonts w:ascii="GHEA Grapalat" w:hAnsi="GHEA Grapalat" w:cs="GHEA Grapalat"/>
          <w:lang w:val="hy-AM"/>
        </w:rPr>
        <w:t xml:space="preserve">: Հաշվետու ժամանակահատվածում արտաքին աղբյուրներից ստացված վարկային և դրամաշնորհային միջոցների </w:t>
      </w:r>
      <w:r w:rsidRPr="00943223">
        <w:rPr>
          <w:rFonts w:ascii="GHEA Grapalat" w:hAnsi="GHEA Grapalat" w:cs="GHEA Grapalat"/>
          <w:lang w:val="hy-AM"/>
        </w:rPr>
        <w:t>մնացորդը հաշվետու ժամանակահատվածում ավելացել է շուրջ 3.1 մլրդ</w:t>
      </w:r>
      <w:r>
        <w:rPr>
          <w:rFonts w:ascii="GHEA Grapalat" w:hAnsi="GHEA Grapalat" w:cs="GHEA Grapalat"/>
          <w:lang w:val="hy-AM"/>
        </w:rPr>
        <w:t xml:space="preserve"> դրամ</w:t>
      </w:r>
      <w:r w:rsidRPr="00943223">
        <w:rPr>
          <w:rFonts w:ascii="GHEA Grapalat" w:hAnsi="GHEA Grapalat" w:cs="GHEA Grapalat"/>
          <w:lang w:val="hy-AM"/>
        </w:rPr>
        <w:t>ով՝ նախատես</w:t>
      </w:r>
      <w:r w:rsidR="00843B7E" w:rsidRPr="00943223">
        <w:rPr>
          <w:rFonts w:ascii="GHEA Grapalat" w:hAnsi="GHEA Grapalat" w:cs="GHEA Grapalat"/>
          <w:lang w:val="hy-AM"/>
        </w:rPr>
        <w:t>ված 56.9 մլն դրամ օգտագործման փոխարեն</w:t>
      </w:r>
      <w:r>
        <w:rPr>
          <w:rFonts w:ascii="GHEA Grapalat" w:hAnsi="GHEA Grapalat" w:cs="GHEA Grapalat"/>
          <w:lang w:val="hy-AM"/>
        </w:rPr>
        <w:t>:</w:t>
      </w:r>
    </w:p>
    <w:p w14:paraId="66B5805B" w14:textId="596F744A" w:rsidR="00E0645E" w:rsidRDefault="00E0645E" w:rsidP="00054C35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</w:p>
    <w:p w14:paraId="7A44D9FF" w14:textId="7D11E823" w:rsidR="00465088" w:rsidRPr="00264252" w:rsidRDefault="00465088" w:rsidP="00465088">
      <w:pPr>
        <w:pStyle w:val="Caption"/>
        <w:keepNext/>
        <w:rPr>
          <w:rFonts w:ascii="GHEA Grapalat" w:hAnsi="GHEA Grapalat"/>
          <w:b/>
          <w:color w:val="auto"/>
          <w:lang w:val="hy-AM"/>
        </w:rPr>
      </w:pPr>
      <w:r w:rsidRPr="00A225BE">
        <w:rPr>
          <w:rFonts w:ascii="GHEA Grapalat" w:hAnsi="GHEA Grapalat"/>
          <w:b/>
          <w:color w:val="auto"/>
          <w:lang w:val="hy-AM"/>
        </w:rPr>
        <w:t>Աղյուսակ</w:t>
      </w:r>
      <w:r w:rsidR="009B7913" w:rsidRPr="00A225BE">
        <w:rPr>
          <w:rFonts w:ascii="GHEA Grapalat" w:hAnsi="GHEA Grapalat"/>
          <w:b/>
          <w:color w:val="auto"/>
          <w:lang w:val="hy-AM"/>
        </w:rPr>
        <w:t xml:space="preserve"> 1</w:t>
      </w:r>
      <w:r w:rsidR="00264252" w:rsidRPr="00A225BE">
        <w:rPr>
          <w:rFonts w:ascii="GHEA Grapalat" w:hAnsi="GHEA Grapalat"/>
          <w:b/>
          <w:color w:val="auto"/>
          <w:lang w:val="hy-AM"/>
        </w:rPr>
        <w:t>2</w:t>
      </w:r>
      <w:r w:rsidR="009B7913" w:rsidRPr="00A225BE">
        <w:rPr>
          <w:rFonts w:ascii="GHEA Grapalat" w:hAnsi="GHEA Grapalat"/>
          <w:b/>
          <w:color w:val="auto"/>
          <w:lang w:val="hy-AM"/>
        </w:rPr>
        <w:t xml:space="preserve">.  </w:t>
      </w:r>
      <w:r w:rsidRPr="00A225BE">
        <w:rPr>
          <w:rFonts w:ascii="GHEA Grapalat" w:hAnsi="GHEA Grapalat"/>
          <w:b/>
          <w:color w:val="auto"/>
          <w:lang w:val="hy-AM"/>
        </w:rPr>
        <w:t>ՀՀ պետական</w:t>
      </w:r>
      <w:r w:rsidRPr="009B7913">
        <w:rPr>
          <w:rFonts w:ascii="GHEA Grapalat" w:hAnsi="GHEA Grapalat"/>
          <w:b/>
          <w:color w:val="auto"/>
          <w:lang w:val="hy-AM"/>
        </w:rPr>
        <w:t xml:space="preserve"> բյուջեի դե</w:t>
      </w:r>
      <w:r w:rsidR="009B7913">
        <w:rPr>
          <w:rFonts w:ascii="GHEA Grapalat" w:hAnsi="GHEA Grapalat"/>
          <w:b/>
          <w:color w:val="auto"/>
          <w:lang w:val="hy-AM"/>
        </w:rPr>
        <w:t>ֆիցիտի ֆինանսավորման աղբյուրներ</w:t>
      </w:r>
      <w:r w:rsidR="009B7913" w:rsidRPr="00264252">
        <w:rPr>
          <w:rFonts w:ascii="GHEA Grapalat" w:hAnsi="GHEA Grapalat"/>
          <w:b/>
          <w:color w:val="auto"/>
          <w:lang w:val="hy-AM"/>
        </w:rPr>
        <w:t>ը (մլրդ դրամ)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969"/>
        <w:gridCol w:w="1418"/>
        <w:gridCol w:w="1538"/>
        <w:gridCol w:w="1372"/>
        <w:gridCol w:w="1734"/>
      </w:tblGrid>
      <w:tr w:rsidR="00E0645E" w:rsidRPr="00E0645E" w14:paraId="513D4726" w14:textId="77777777" w:rsidTr="00F163D0">
        <w:trPr>
          <w:trHeight w:val="1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1552" w14:textId="77777777" w:rsidR="00E0645E" w:rsidRPr="00264252" w:rsidRDefault="00E0645E" w:rsidP="00E0645E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64252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9B80A" w14:textId="77777777" w:rsidR="00E0645E" w:rsidRPr="009B7913" w:rsidRDefault="00E0645E" w:rsidP="00F163D0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6425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br/>
            </w:r>
            <w:r w:rsidRPr="009B7913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2020թ. ինն ամիսների</w:t>
            </w:r>
            <w:r w:rsidRPr="009B7913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63BE4" w14:textId="77777777" w:rsidR="00E0645E" w:rsidRPr="009B7913" w:rsidRDefault="00E0645E" w:rsidP="00F163D0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B7913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2021թ. ինն ամիսների ճշտված պլան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44EA7" w14:textId="77777777" w:rsidR="00E0645E" w:rsidRPr="009B7913" w:rsidRDefault="00E0645E" w:rsidP="00F163D0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B7913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2021թ. ինն ամիսների</w:t>
            </w:r>
            <w:r w:rsidRPr="009B7913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2EDF4C8" w14:textId="77777777" w:rsidR="00F163D0" w:rsidRDefault="00F163D0" w:rsidP="00F163D0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Կ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ատարո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ղականը ճշտված պլանի նկատմամբ</w:t>
            </w:r>
          </w:p>
          <w:p w14:paraId="655A38AE" w14:textId="7DD43D06" w:rsidR="00E0645E" w:rsidRPr="009B7913" w:rsidRDefault="00F163D0" w:rsidP="00F163D0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(%)</w:t>
            </w:r>
          </w:p>
        </w:tc>
      </w:tr>
      <w:tr w:rsidR="00E0645E" w:rsidRPr="00E0645E" w14:paraId="14EF5AD8" w14:textId="77777777" w:rsidTr="00F163D0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51C6" w14:textId="4BA6936F" w:rsidR="00E0645E" w:rsidRPr="009B7913" w:rsidRDefault="00B727E5" w:rsidP="00E0645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B7913">
              <w:rPr>
                <w:rFonts w:ascii="GHEA Grapalat" w:hAnsi="GHEA Grapalat" w:cs="Calibri"/>
                <w:b/>
                <w:bCs/>
                <w:sz w:val="20"/>
                <w:szCs w:val="20"/>
              </w:rPr>
              <w:t>Պետական բյուջեի դեֆիցիտի ֆինանսավորման աղբյուրները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F205" w14:textId="1B4BA7A1" w:rsidR="00E0645E" w:rsidRPr="009B7913" w:rsidRDefault="00E0645E" w:rsidP="009B7913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B7913">
              <w:rPr>
                <w:rFonts w:ascii="GHEA Grapalat" w:hAnsi="GHEA Grapalat" w:cs="Calibri"/>
                <w:b/>
                <w:bCs/>
                <w:sz w:val="20"/>
                <w:szCs w:val="20"/>
              </w:rPr>
              <w:t>154.8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8288" w14:textId="14E9FCD0" w:rsidR="00E0645E" w:rsidRPr="009B7913" w:rsidRDefault="00E0645E" w:rsidP="009B7913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B7913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346.3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77A5" w14:textId="6F9471A1" w:rsidR="00E0645E" w:rsidRPr="009B7913" w:rsidRDefault="00E0645E" w:rsidP="009B7913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B7913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147.5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BF6C" w14:textId="77777777" w:rsidR="00E0645E" w:rsidRPr="009B7913" w:rsidRDefault="00E0645E" w:rsidP="009B7913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B7913">
              <w:rPr>
                <w:rFonts w:ascii="GHEA Grapalat" w:hAnsi="GHEA Grapalat" w:cs="Calibri"/>
                <w:b/>
                <w:bCs/>
                <w:sz w:val="20"/>
                <w:szCs w:val="20"/>
              </w:rPr>
              <w:t>42.6%</w:t>
            </w:r>
          </w:p>
        </w:tc>
      </w:tr>
      <w:tr w:rsidR="00E0645E" w:rsidRPr="00E0645E" w14:paraId="50CB3682" w14:textId="77777777" w:rsidTr="00F163D0">
        <w:trPr>
          <w:trHeight w:val="4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C452" w14:textId="77777777" w:rsidR="00E0645E" w:rsidRPr="009B7913" w:rsidRDefault="00E0645E" w:rsidP="009B7913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9B7913">
              <w:rPr>
                <w:rFonts w:ascii="GHEA Grapalat" w:hAnsi="GHEA Grapalat" w:cs="Calibri"/>
                <w:sz w:val="20"/>
                <w:szCs w:val="20"/>
              </w:rPr>
              <w:t>Ներքին աղբյուրներ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4BF0" w14:textId="3C0F5419" w:rsidR="00E0645E" w:rsidRPr="009B7913" w:rsidRDefault="00E0645E" w:rsidP="009B7913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B7913">
              <w:rPr>
                <w:rFonts w:ascii="GHEA Grapalat" w:hAnsi="GHEA Grapalat" w:cs="Calibri"/>
                <w:sz w:val="20"/>
                <w:szCs w:val="20"/>
              </w:rPr>
              <w:t xml:space="preserve">173.6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2156" w14:textId="62178332" w:rsidR="00E0645E" w:rsidRPr="009B7913" w:rsidRDefault="00E0645E" w:rsidP="009B7913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B7913">
              <w:rPr>
                <w:rFonts w:ascii="GHEA Grapalat" w:hAnsi="GHEA Grapalat" w:cs="Calibri"/>
                <w:sz w:val="20"/>
                <w:szCs w:val="20"/>
              </w:rPr>
              <w:t xml:space="preserve">87.1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B07D" w14:textId="7B0D601A" w:rsidR="00E0645E" w:rsidRPr="009B7913" w:rsidRDefault="00E0645E" w:rsidP="009B7913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B7913">
              <w:rPr>
                <w:rFonts w:ascii="GHEA Grapalat" w:hAnsi="GHEA Grapalat" w:cs="Calibri"/>
                <w:sz w:val="20"/>
                <w:szCs w:val="20"/>
              </w:rPr>
              <w:t>(92.3)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99DB" w14:textId="77777777" w:rsidR="00E0645E" w:rsidRPr="009B7913" w:rsidRDefault="00E0645E" w:rsidP="009B7913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B7913">
              <w:rPr>
                <w:rFonts w:ascii="GHEA Grapalat" w:hAnsi="GHEA Grapalat" w:cs="Calibri"/>
                <w:sz w:val="20"/>
                <w:szCs w:val="20"/>
              </w:rPr>
              <w:t>-106.0%</w:t>
            </w:r>
          </w:p>
        </w:tc>
      </w:tr>
      <w:tr w:rsidR="00E0645E" w:rsidRPr="00E0645E" w14:paraId="7DBC961D" w14:textId="77777777" w:rsidTr="00F163D0">
        <w:trPr>
          <w:trHeight w:val="4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EBCD" w14:textId="77777777" w:rsidR="00E0645E" w:rsidRPr="009B7913" w:rsidRDefault="00E0645E" w:rsidP="009B7913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9B7913">
              <w:rPr>
                <w:rFonts w:ascii="GHEA Grapalat" w:hAnsi="GHEA Grapalat" w:cs="Calibri"/>
                <w:sz w:val="20"/>
                <w:szCs w:val="20"/>
              </w:rPr>
              <w:t>Արտաքին աղբյուրներ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D165" w14:textId="0CF3CE7A" w:rsidR="00E0645E" w:rsidRPr="009B7913" w:rsidRDefault="00E0645E" w:rsidP="009B7913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B7913">
              <w:rPr>
                <w:rFonts w:ascii="GHEA Grapalat" w:hAnsi="GHEA Grapalat" w:cs="Calibri"/>
                <w:sz w:val="20"/>
                <w:szCs w:val="20"/>
              </w:rPr>
              <w:t>(18.8)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D2D3" w14:textId="6FB7E6B0" w:rsidR="00E0645E" w:rsidRPr="009B7913" w:rsidRDefault="00E0645E" w:rsidP="009B7913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B7913">
              <w:rPr>
                <w:rFonts w:ascii="GHEA Grapalat" w:hAnsi="GHEA Grapalat" w:cs="Calibri"/>
                <w:sz w:val="20"/>
                <w:szCs w:val="20"/>
              </w:rPr>
              <w:t xml:space="preserve">259.2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DF44" w14:textId="4B2CB4A3" w:rsidR="00E0645E" w:rsidRPr="009B7913" w:rsidRDefault="00E0645E" w:rsidP="009B7913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B7913">
              <w:rPr>
                <w:rFonts w:ascii="GHEA Grapalat" w:hAnsi="GHEA Grapalat" w:cs="Calibri"/>
                <w:sz w:val="20"/>
                <w:szCs w:val="20"/>
              </w:rPr>
              <w:t xml:space="preserve">239.8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12CA" w14:textId="77777777" w:rsidR="00E0645E" w:rsidRPr="009B7913" w:rsidRDefault="00E0645E" w:rsidP="009B7913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B7913">
              <w:rPr>
                <w:rFonts w:ascii="GHEA Grapalat" w:hAnsi="GHEA Grapalat" w:cs="Calibri"/>
                <w:sz w:val="20"/>
                <w:szCs w:val="20"/>
              </w:rPr>
              <w:t>92.5%</w:t>
            </w:r>
          </w:p>
        </w:tc>
      </w:tr>
    </w:tbl>
    <w:p w14:paraId="1BCAF294" w14:textId="77777777" w:rsidR="00E0645E" w:rsidRPr="00F163D0" w:rsidRDefault="00E0645E" w:rsidP="00F163D0">
      <w:pPr>
        <w:spacing w:line="360" w:lineRule="auto"/>
        <w:jc w:val="both"/>
        <w:rPr>
          <w:rFonts w:ascii="GHEA Grapalat" w:hAnsi="GHEA Grapalat" w:cs="GHEA Grapalat"/>
          <w:color w:val="000000"/>
        </w:rPr>
      </w:pPr>
    </w:p>
    <w:sectPr w:rsidR="00E0645E" w:rsidRPr="00F163D0" w:rsidSect="00417E4B">
      <w:footerReference w:type="even" r:id="rId8"/>
      <w:footerReference w:type="default" r:id="rId9"/>
      <w:pgSz w:w="11907" w:h="16839" w:code="9"/>
      <w:pgMar w:top="1134" w:right="567" w:bottom="567" w:left="1134" w:header="720" w:footer="62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3F5C" w16cex:dateUtc="2021-04-23T08:43:00Z"/>
  <w16cex:commentExtensible w16cex:durableId="242D5254" w16cex:dateUtc="2021-04-23T10:04:00Z"/>
  <w16cex:commentExtensible w16cex:durableId="242D52CC" w16cex:dateUtc="2021-04-23T10:06:00Z"/>
  <w16cex:commentExtensible w16cex:durableId="242D5364" w16cex:dateUtc="2021-04-23T10:08:00Z"/>
  <w16cex:commentExtensible w16cex:durableId="242D53AF" w16cex:dateUtc="2021-04-23T10:09:00Z"/>
  <w16cex:commentExtensible w16cex:durableId="242D53ED" w16cex:dateUtc="2021-04-23T10:1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77E42" w14:textId="77777777" w:rsidR="00D84150" w:rsidRDefault="00D84150" w:rsidP="00F178F6">
      <w:r>
        <w:separator/>
      </w:r>
    </w:p>
  </w:endnote>
  <w:endnote w:type="continuationSeparator" w:id="0">
    <w:p w14:paraId="69DA84BD" w14:textId="77777777" w:rsidR="00D84150" w:rsidRDefault="00D84150" w:rsidP="00F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1702A" w14:textId="77777777" w:rsidR="007A7AEF" w:rsidRDefault="007A7AEF" w:rsidP="00225E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B8DF96" w14:textId="77777777" w:rsidR="007A7AEF" w:rsidRDefault="007A7AEF" w:rsidP="00225E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03B31" w14:textId="441F7A0C" w:rsidR="007A7AEF" w:rsidRPr="000E33E1" w:rsidRDefault="007A7AEF" w:rsidP="00225E96">
    <w:pPr>
      <w:pStyle w:val="Footer"/>
      <w:framePr w:wrap="around" w:vAnchor="text" w:hAnchor="margin" w:xAlign="right" w:y="1"/>
      <w:rPr>
        <w:rStyle w:val="PageNumber"/>
        <w:rFonts w:ascii="GHEA Grapalat" w:hAnsi="GHEA Grapalat"/>
      </w:rPr>
    </w:pPr>
    <w:r w:rsidRPr="000E33E1">
      <w:rPr>
        <w:rStyle w:val="PageNumber"/>
        <w:rFonts w:ascii="GHEA Grapalat" w:hAnsi="GHEA Grapalat"/>
      </w:rPr>
      <w:fldChar w:fldCharType="begin"/>
    </w:r>
    <w:r w:rsidRPr="000E33E1">
      <w:rPr>
        <w:rStyle w:val="PageNumber"/>
        <w:rFonts w:ascii="GHEA Grapalat" w:hAnsi="GHEA Grapalat"/>
      </w:rPr>
      <w:instrText xml:space="preserve">PAGE  </w:instrText>
    </w:r>
    <w:r w:rsidRPr="000E33E1">
      <w:rPr>
        <w:rStyle w:val="PageNumber"/>
        <w:rFonts w:ascii="GHEA Grapalat" w:hAnsi="GHEA Grapalat"/>
      </w:rPr>
      <w:fldChar w:fldCharType="separate"/>
    </w:r>
    <w:r w:rsidR="001B3817">
      <w:rPr>
        <w:rStyle w:val="PageNumber"/>
        <w:rFonts w:ascii="GHEA Grapalat" w:hAnsi="GHEA Grapalat"/>
        <w:noProof/>
      </w:rPr>
      <w:t>2</w:t>
    </w:r>
    <w:r w:rsidRPr="000E33E1">
      <w:rPr>
        <w:rStyle w:val="PageNumber"/>
        <w:rFonts w:ascii="GHEA Grapalat" w:hAnsi="GHEA Grapalat"/>
      </w:rPr>
      <w:fldChar w:fldCharType="end"/>
    </w:r>
  </w:p>
  <w:p w14:paraId="619BC979" w14:textId="77777777" w:rsidR="007A7AEF" w:rsidRDefault="007A7AEF" w:rsidP="00225E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A839F" w14:textId="77777777" w:rsidR="00D84150" w:rsidRDefault="00D84150" w:rsidP="00F178F6">
      <w:r>
        <w:separator/>
      </w:r>
    </w:p>
  </w:footnote>
  <w:footnote w:type="continuationSeparator" w:id="0">
    <w:p w14:paraId="75F38807" w14:textId="77777777" w:rsidR="00D84150" w:rsidRDefault="00D84150" w:rsidP="00F17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F6"/>
    <w:rsid w:val="0000084F"/>
    <w:rsid w:val="00000A3E"/>
    <w:rsid w:val="00001D5B"/>
    <w:rsid w:val="0000235A"/>
    <w:rsid w:val="00002AF5"/>
    <w:rsid w:val="00002DB1"/>
    <w:rsid w:val="000032D5"/>
    <w:rsid w:val="00003B1E"/>
    <w:rsid w:val="00004260"/>
    <w:rsid w:val="0000539F"/>
    <w:rsid w:val="0000763C"/>
    <w:rsid w:val="000079CC"/>
    <w:rsid w:val="00011199"/>
    <w:rsid w:val="00011283"/>
    <w:rsid w:val="0001150F"/>
    <w:rsid w:val="0001161C"/>
    <w:rsid w:val="000125D6"/>
    <w:rsid w:val="00012A87"/>
    <w:rsid w:val="00012FA6"/>
    <w:rsid w:val="00012FF9"/>
    <w:rsid w:val="0001308B"/>
    <w:rsid w:val="000157B5"/>
    <w:rsid w:val="00015F84"/>
    <w:rsid w:val="00017782"/>
    <w:rsid w:val="0002023B"/>
    <w:rsid w:val="0002063C"/>
    <w:rsid w:val="0002148D"/>
    <w:rsid w:val="000216B5"/>
    <w:rsid w:val="000231BE"/>
    <w:rsid w:val="00023481"/>
    <w:rsid w:val="00023731"/>
    <w:rsid w:val="00024217"/>
    <w:rsid w:val="0002447C"/>
    <w:rsid w:val="00024F0E"/>
    <w:rsid w:val="00026007"/>
    <w:rsid w:val="000270C2"/>
    <w:rsid w:val="00030109"/>
    <w:rsid w:val="00030BF3"/>
    <w:rsid w:val="00031AAD"/>
    <w:rsid w:val="000323DC"/>
    <w:rsid w:val="00033220"/>
    <w:rsid w:val="00033D71"/>
    <w:rsid w:val="0003401B"/>
    <w:rsid w:val="00034555"/>
    <w:rsid w:val="00035260"/>
    <w:rsid w:val="000359D2"/>
    <w:rsid w:val="00036BA9"/>
    <w:rsid w:val="00037BB6"/>
    <w:rsid w:val="00041605"/>
    <w:rsid w:val="000419FE"/>
    <w:rsid w:val="000427C5"/>
    <w:rsid w:val="00044AFC"/>
    <w:rsid w:val="00044F29"/>
    <w:rsid w:val="00045336"/>
    <w:rsid w:val="00046299"/>
    <w:rsid w:val="000471EE"/>
    <w:rsid w:val="0005016A"/>
    <w:rsid w:val="0005090B"/>
    <w:rsid w:val="0005201E"/>
    <w:rsid w:val="00053BBE"/>
    <w:rsid w:val="00054C35"/>
    <w:rsid w:val="0005539C"/>
    <w:rsid w:val="0005600A"/>
    <w:rsid w:val="0005668F"/>
    <w:rsid w:val="00056F48"/>
    <w:rsid w:val="00056F4D"/>
    <w:rsid w:val="0005729E"/>
    <w:rsid w:val="000605F3"/>
    <w:rsid w:val="00060DAA"/>
    <w:rsid w:val="00060F73"/>
    <w:rsid w:val="000617F8"/>
    <w:rsid w:val="00061D0D"/>
    <w:rsid w:val="00061DD5"/>
    <w:rsid w:val="00063471"/>
    <w:rsid w:val="00063760"/>
    <w:rsid w:val="00063B4C"/>
    <w:rsid w:val="00065CD4"/>
    <w:rsid w:val="00065D15"/>
    <w:rsid w:val="00066CEA"/>
    <w:rsid w:val="0006751E"/>
    <w:rsid w:val="00067BAF"/>
    <w:rsid w:val="000711DA"/>
    <w:rsid w:val="00072C7D"/>
    <w:rsid w:val="00073150"/>
    <w:rsid w:val="00074703"/>
    <w:rsid w:val="00074E1E"/>
    <w:rsid w:val="000753BE"/>
    <w:rsid w:val="000758B4"/>
    <w:rsid w:val="00075C2C"/>
    <w:rsid w:val="000761A8"/>
    <w:rsid w:val="00076335"/>
    <w:rsid w:val="000824BE"/>
    <w:rsid w:val="00082F8C"/>
    <w:rsid w:val="000848ED"/>
    <w:rsid w:val="00085BF0"/>
    <w:rsid w:val="00086CE6"/>
    <w:rsid w:val="00087314"/>
    <w:rsid w:val="00087499"/>
    <w:rsid w:val="0008770F"/>
    <w:rsid w:val="00087D57"/>
    <w:rsid w:val="00087FE3"/>
    <w:rsid w:val="00091A95"/>
    <w:rsid w:val="000920EE"/>
    <w:rsid w:val="00092E4B"/>
    <w:rsid w:val="00095EA7"/>
    <w:rsid w:val="0009603E"/>
    <w:rsid w:val="000960D3"/>
    <w:rsid w:val="00096151"/>
    <w:rsid w:val="00097AA9"/>
    <w:rsid w:val="000A0587"/>
    <w:rsid w:val="000A1A80"/>
    <w:rsid w:val="000A24A1"/>
    <w:rsid w:val="000A3DB8"/>
    <w:rsid w:val="000A4EBC"/>
    <w:rsid w:val="000A5936"/>
    <w:rsid w:val="000A6A74"/>
    <w:rsid w:val="000A7238"/>
    <w:rsid w:val="000A7A5D"/>
    <w:rsid w:val="000B0230"/>
    <w:rsid w:val="000B0F7D"/>
    <w:rsid w:val="000B1226"/>
    <w:rsid w:val="000B1475"/>
    <w:rsid w:val="000B19DD"/>
    <w:rsid w:val="000B1CBE"/>
    <w:rsid w:val="000B1E20"/>
    <w:rsid w:val="000B3C76"/>
    <w:rsid w:val="000B3ECA"/>
    <w:rsid w:val="000B550C"/>
    <w:rsid w:val="000B5A94"/>
    <w:rsid w:val="000B5CAC"/>
    <w:rsid w:val="000B60E1"/>
    <w:rsid w:val="000B60F4"/>
    <w:rsid w:val="000B6195"/>
    <w:rsid w:val="000B691C"/>
    <w:rsid w:val="000B7A05"/>
    <w:rsid w:val="000C04F1"/>
    <w:rsid w:val="000C06DF"/>
    <w:rsid w:val="000C0B4D"/>
    <w:rsid w:val="000C14C6"/>
    <w:rsid w:val="000C15F9"/>
    <w:rsid w:val="000C4203"/>
    <w:rsid w:val="000C44DB"/>
    <w:rsid w:val="000C635A"/>
    <w:rsid w:val="000C6D57"/>
    <w:rsid w:val="000C6EE2"/>
    <w:rsid w:val="000C72FA"/>
    <w:rsid w:val="000C75E2"/>
    <w:rsid w:val="000D0CDE"/>
    <w:rsid w:val="000D284E"/>
    <w:rsid w:val="000D31B8"/>
    <w:rsid w:val="000D38A9"/>
    <w:rsid w:val="000D59A7"/>
    <w:rsid w:val="000D7974"/>
    <w:rsid w:val="000E0102"/>
    <w:rsid w:val="000E1CAD"/>
    <w:rsid w:val="000E1CED"/>
    <w:rsid w:val="000E33E1"/>
    <w:rsid w:val="000E3C5D"/>
    <w:rsid w:val="000E3D19"/>
    <w:rsid w:val="000E484A"/>
    <w:rsid w:val="000E575C"/>
    <w:rsid w:val="000E6544"/>
    <w:rsid w:val="000E6A2D"/>
    <w:rsid w:val="000E719F"/>
    <w:rsid w:val="000E736F"/>
    <w:rsid w:val="000F09FD"/>
    <w:rsid w:val="000F131C"/>
    <w:rsid w:val="000F14B8"/>
    <w:rsid w:val="000F2E07"/>
    <w:rsid w:val="000F2E93"/>
    <w:rsid w:val="000F38D4"/>
    <w:rsid w:val="000F4D7D"/>
    <w:rsid w:val="000F5CCC"/>
    <w:rsid w:val="000F74A8"/>
    <w:rsid w:val="000F7A93"/>
    <w:rsid w:val="0010042E"/>
    <w:rsid w:val="001006A7"/>
    <w:rsid w:val="00101727"/>
    <w:rsid w:val="0010243A"/>
    <w:rsid w:val="0010299E"/>
    <w:rsid w:val="00103304"/>
    <w:rsid w:val="00103A81"/>
    <w:rsid w:val="00104C87"/>
    <w:rsid w:val="00104D6C"/>
    <w:rsid w:val="00104EC5"/>
    <w:rsid w:val="00104FAD"/>
    <w:rsid w:val="00106052"/>
    <w:rsid w:val="00107D53"/>
    <w:rsid w:val="001113A6"/>
    <w:rsid w:val="00112617"/>
    <w:rsid w:val="00112ADA"/>
    <w:rsid w:val="00112B01"/>
    <w:rsid w:val="00112CB5"/>
    <w:rsid w:val="00112CED"/>
    <w:rsid w:val="00112E53"/>
    <w:rsid w:val="0011314B"/>
    <w:rsid w:val="00113424"/>
    <w:rsid w:val="00113C2E"/>
    <w:rsid w:val="0011457B"/>
    <w:rsid w:val="001146DA"/>
    <w:rsid w:val="00114F1E"/>
    <w:rsid w:val="001162EF"/>
    <w:rsid w:val="0011752B"/>
    <w:rsid w:val="00120663"/>
    <w:rsid w:val="00120B25"/>
    <w:rsid w:val="00120CA2"/>
    <w:rsid w:val="00121061"/>
    <w:rsid w:val="001213FA"/>
    <w:rsid w:val="00121BF5"/>
    <w:rsid w:val="0012209A"/>
    <w:rsid w:val="0012415E"/>
    <w:rsid w:val="0012428E"/>
    <w:rsid w:val="0012553C"/>
    <w:rsid w:val="00125898"/>
    <w:rsid w:val="00126404"/>
    <w:rsid w:val="001273F5"/>
    <w:rsid w:val="00127C0D"/>
    <w:rsid w:val="00130437"/>
    <w:rsid w:val="001306B6"/>
    <w:rsid w:val="00130B6B"/>
    <w:rsid w:val="00131530"/>
    <w:rsid w:val="00131EF2"/>
    <w:rsid w:val="001320ED"/>
    <w:rsid w:val="001324B3"/>
    <w:rsid w:val="001324C5"/>
    <w:rsid w:val="00132929"/>
    <w:rsid w:val="00132A4B"/>
    <w:rsid w:val="00134E14"/>
    <w:rsid w:val="00135285"/>
    <w:rsid w:val="00135A81"/>
    <w:rsid w:val="00135FF9"/>
    <w:rsid w:val="00136F19"/>
    <w:rsid w:val="00140777"/>
    <w:rsid w:val="00141170"/>
    <w:rsid w:val="0014360A"/>
    <w:rsid w:val="00144292"/>
    <w:rsid w:val="00144F86"/>
    <w:rsid w:val="0014518B"/>
    <w:rsid w:val="00146820"/>
    <w:rsid w:val="001475D0"/>
    <w:rsid w:val="001477EC"/>
    <w:rsid w:val="0015031B"/>
    <w:rsid w:val="00152182"/>
    <w:rsid w:val="0015281F"/>
    <w:rsid w:val="001530B4"/>
    <w:rsid w:val="00153172"/>
    <w:rsid w:val="00153432"/>
    <w:rsid w:val="00153672"/>
    <w:rsid w:val="00153A9F"/>
    <w:rsid w:val="00153E6A"/>
    <w:rsid w:val="00154F03"/>
    <w:rsid w:val="00155194"/>
    <w:rsid w:val="00155B0D"/>
    <w:rsid w:val="00155FC0"/>
    <w:rsid w:val="00156351"/>
    <w:rsid w:val="00160301"/>
    <w:rsid w:val="00160442"/>
    <w:rsid w:val="0016068A"/>
    <w:rsid w:val="001610B2"/>
    <w:rsid w:val="0016273C"/>
    <w:rsid w:val="00162A25"/>
    <w:rsid w:val="0016451B"/>
    <w:rsid w:val="00164BE2"/>
    <w:rsid w:val="0016544B"/>
    <w:rsid w:val="001655AD"/>
    <w:rsid w:val="001657FA"/>
    <w:rsid w:val="00165AA2"/>
    <w:rsid w:val="00165F15"/>
    <w:rsid w:val="00166C16"/>
    <w:rsid w:val="0016709E"/>
    <w:rsid w:val="001672E9"/>
    <w:rsid w:val="00171990"/>
    <w:rsid w:val="00171A0F"/>
    <w:rsid w:val="00172502"/>
    <w:rsid w:val="0017347B"/>
    <w:rsid w:val="00173744"/>
    <w:rsid w:val="00173E19"/>
    <w:rsid w:val="00174209"/>
    <w:rsid w:val="00175376"/>
    <w:rsid w:val="00175F52"/>
    <w:rsid w:val="001762FE"/>
    <w:rsid w:val="001768E4"/>
    <w:rsid w:val="00176A4A"/>
    <w:rsid w:val="001776B7"/>
    <w:rsid w:val="00180713"/>
    <w:rsid w:val="00180778"/>
    <w:rsid w:val="00182016"/>
    <w:rsid w:val="00182040"/>
    <w:rsid w:val="0018281A"/>
    <w:rsid w:val="00184872"/>
    <w:rsid w:val="001848AF"/>
    <w:rsid w:val="00184BA5"/>
    <w:rsid w:val="0018579D"/>
    <w:rsid w:val="00186572"/>
    <w:rsid w:val="00186A30"/>
    <w:rsid w:val="00186CD4"/>
    <w:rsid w:val="001907BD"/>
    <w:rsid w:val="00190EA4"/>
    <w:rsid w:val="0019160C"/>
    <w:rsid w:val="00191955"/>
    <w:rsid w:val="001919DE"/>
    <w:rsid w:val="001929F3"/>
    <w:rsid w:val="0019343C"/>
    <w:rsid w:val="00193A65"/>
    <w:rsid w:val="00193D73"/>
    <w:rsid w:val="00195EE6"/>
    <w:rsid w:val="001963B9"/>
    <w:rsid w:val="00196D02"/>
    <w:rsid w:val="00196D66"/>
    <w:rsid w:val="00197959"/>
    <w:rsid w:val="001A111B"/>
    <w:rsid w:val="001A1335"/>
    <w:rsid w:val="001A3E7C"/>
    <w:rsid w:val="001A4448"/>
    <w:rsid w:val="001A5BA4"/>
    <w:rsid w:val="001A5E4F"/>
    <w:rsid w:val="001A5E5B"/>
    <w:rsid w:val="001A6C37"/>
    <w:rsid w:val="001A6FF0"/>
    <w:rsid w:val="001A7B45"/>
    <w:rsid w:val="001A7ED4"/>
    <w:rsid w:val="001B052D"/>
    <w:rsid w:val="001B07FB"/>
    <w:rsid w:val="001B0A3E"/>
    <w:rsid w:val="001B3817"/>
    <w:rsid w:val="001B3D79"/>
    <w:rsid w:val="001B417F"/>
    <w:rsid w:val="001B5283"/>
    <w:rsid w:val="001B5355"/>
    <w:rsid w:val="001B59FB"/>
    <w:rsid w:val="001B5EFF"/>
    <w:rsid w:val="001B67B9"/>
    <w:rsid w:val="001B70DF"/>
    <w:rsid w:val="001B761C"/>
    <w:rsid w:val="001C310B"/>
    <w:rsid w:val="001C31F7"/>
    <w:rsid w:val="001C7A91"/>
    <w:rsid w:val="001D0746"/>
    <w:rsid w:val="001D0E2A"/>
    <w:rsid w:val="001D182E"/>
    <w:rsid w:val="001D2CA5"/>
    <w:rsid w:val="001D399D"/>
    <w:rsid w:val="001D411F"/>
    <w:rsid w:val="001D4BE6"/>
    <w:rsid w:val="001D4E7B"/>
    <w:rsid w:val="001D7B9A"/>
    <w:rsid w:val="001E1CC6"/>
    <w:rsid w:val="001E2664"/>
    <w:rsid w:val="001E3115"/>
    <w:rsid w:val="001E317C"/>
    <w:rsid w:val="001E341A"/>
    <w:rsid w:val="001E3AC6"/>
    <w:rsid w:val="001E476E"/>
    <w:rsid w:val="001E6B1F"/>
    <w:rsid w:val="001E7648"/>
    <w:rsid w:val="001E7B6C"/>
    <w:rsid w:val="001F1D8A"/>
    <w:rsid w:val="001F1E14"/>
    <w:rsid w:val="001F1E69"/>
    <w:rsid w:val="001F27FF"/>
    <w:rsid w:val="001F3386"/>
    <w:rsid w:val="001F3E4F"/>
    <w:rsid w:val="001F496E"/>
    <w:rsid w:val="001F4B5E"/>
    <w:rsid w:val="001F4C57"/>
    <w:rsid w:val="001F4CCB"/>
    <w:rsid w:val="001F4F14"/>
    <w:rsid w:val="001F5291"/>
    <w:rsid w:val="001F5C3D"/>
    <w:rsid w:val="001F5E72"/>
    <w:rsid w:val="001F6246"/>
    <w:rsid w:val="001F6726"/>
    <w:rsid w:val="001F73B8"/>
    <w:rsid w:val="001F7624"/>
    <w:rsid w:val="001F7CCF"/>
    <w:rsid w:val="00200026"/>
    <w:rsid w:val="0020231A"/>
    <w:rsid w:val="002034FE"/>
    <w:rsid w:val="00203C20"/>
    <w:rsid w:val="00203CC9"/>
    <w:rsid w:val="00203D68"/>
    <w:rsid w:val="00203F1E"/>
    <w:rsid w:val="002040BE"/>
    <w:rsid w:val="0020579E"/>
    <w:rsid w:val="00205F35"/>
    <w:rsid w:val="00205FEB"/>
    <w:rsid w:val="002060A8"/>
    <w:rsid w:val="002074A5"/>
    <w:rsid w:val="00210505"/>
    <w:rsid w:val="002115A2"/>
    <w:rsid w:val="00212D70"/>
    <w:rsid w:val="00214A0B"/>
    <w:rsid w:val="00217B9B"/>
    <w:rsid w:val="00217C66"/>
    <w:rsid w:val="0022073F"/>
    <w:rsid w:val="00223E36"/>
    <w:rsid w:val="00224244"/>
    <w:rsid w:val="00224E77"/>
    <w:rsid w:val="002255E6"/>
    <w:rsid w:val="0022596E"/>
    <w:rsid w:val="00225C1C"/>
    <w:rsid w:val="00225E96"/>
    <w:rsid w:val="002264CA"/>
    <w:rsid w:val="00230942"/>
    <w:rsid w:val="00230A3F"/>
    <w:rsid w:val="002314CC"/>
    <w:rsid w:val="002329D9"/>
    <w:rsid w:val="00232C4E"/>
    <w:rsid w:val="002330D1"/>
    <w:rsid w:val="002330DE"/>
    <w:rsid w:val="00233C93"/>
    <w:rsid w:val="002353CD"/>
    <w:rsid w:val="00236952"/>
    <w:rsid w:val="00236BEF"/>
    <w:rsid w:val="00236FC8"/>
    <w:rsid w:val="0023799B"/>
    <w:rsid w:val="00237EB4"/>
    <w:rsid w:val="00237EC0"/>
    <w:rsid w:val="00240053"/>
    <w:rsid w:val="00241761"/>
    <w:rsid w:val="00242F14"/>
    <w:rsid w:val="002456B7"/>
    <w:rsid w:val="00245A43"/>
    <w:rsid w:val="00246262"/>
    <w:rsid w:val="002472A9"/>
    <w:rsid w:val="002473B7"/>
    <w:rsid w:val="00247ADB"/>
    <w:rsid w:val="00247B05"/>
    <w:rsid w:val="00251012"/>
    <w:rsid w:val="00251CE5"/>
    <w:rsid w:val="002532A5"/>
    <w:rsid w:val="0025402B"/>
    <w:rsid w:val="00255ABD"/>
    <w:rsid w:val="002602D9"/>
    <w:rsid w:val="00264252"/>
    <w:rsid w:val="00264C92"/>
    <w:rsid w:val="0026589D"/>
    <w:rsid w:val="00265CFF"/>
    <w:rsid w:val="0026636F"/>
    <w:rsid w:val="00266BB7"/>
    <w:rsid w:val="00266BF7"/>
    <w:rsid w:val="00266C40"/>
    <w:rsid w:val="00266C9D"/>
    <w:rsid w:val="00267077"/>
    <w:rsid w:val="00267B38"/>
    <w:rsid w:val="00267BBA"/>
    <w:rsid w:val="00270407"/>
    <w:rsid w:val="00271042"/>
    <w:rsid w:val="00272A34"/>
    <w:rsid w:val="00272C34"/>
    <w:rsid w:val="00272F9A"/>
    <w:rsid w:val="002741E6"/>
    <w:rsid w:val="00274426"/>
    <w:rsid w:val="00274B5E"/>
    <w:rsid w:val="002756FB"/>
    <w:rsid w:val="0027598B"/>
    <w:rsid w:val="00276FDF"/>
    <w:rsid w:val="00281308"/>
    <w:rsid w:val="0028244B"/>
    <w:rsid w:val="00284374"/>
    <w:rsid w:val="00284392"/>
    <w:rsid w:val="00284419"/>
    <w:rsid w:val="00284494"/>
    <w:rsid w:val="00285C8B"/>
    <w:rsid w:val="0029091A"/>
    <w:rsid w:val="00290EA1"/>
    <w:rsid w:val="0029162A"/>
    <w:rsid w:val="00292A69"/>
    <w:rsid w:val="00292E49"/>
    <w:rsid w:val="00292FD7"/>
    <w:rsid w:val="00293594"/>
    <w:rsid w:val="00295072"/>
    <w:rsid w:val="0029683B"/>
    <w:rsid w:val="00296E15"/>
    <w:rsid w:val="00296EFE"/>
    <w:rsid w:val="00297F5E"/>
    <w:rsid w:val="002A0340"/>
    <w:rsid w:val="002A07D3"/>
    <w:rsid w:val="002A17E4"/>
    <w:rsid w:val="002A24A9"/>
    <w:rsid w:val="002A30BC"/>
    <w:rsid w:val="002A377B"/>
    <w:rsid w:val="002A4689"/>
    <w:rsid w:val="002A4994"/>
    <w:rsid w:val="002A4B8D"/>
    <w:rsid w:val="002A4CFE"/>
    <w:rsid w:val="002A53E8"/>
    <w:rsid w:val="002A5889"/>
    <w:rsid w:val="002A6062"/>
    <w:rsid w:val="002A61C7"/>
    <w:rsid w:val="002A675F"/>
    <w:rsid w:val="002A69F2"/>
    <w:rsid w:val="002A6DC7"/>
    <w:rsid w:val="002A6FB8"/>
    <w:rsid w:val="002A7157"/>
    <w:rsid w:val="002A7988"/>
    <w:rsid w:val="002B0F42"/>
    <w:rsid w:val="002B1FB5"/>
    <w:rsid w:val="002B21E3"/>
    <w:rsid w:val="002B307D"/>
    <w:rsid w:val="002B3AA7"/>
    <w:rsid w:val="002B41E5"/>
    <w:rsid w:val="002B5F5C"/>
    <w:rsid w:val="002B65E7"/>
    <w:rsid w:val="002C0C67"/>
    <w:rsid w:val="002C1722"/>
    <w:rsid w:val="002C17A1"/>
    <w:rsid w:val="002C1B78"/>
    <w:rsid w:val="002C388C"/>
    <w:rsid w:val="002C5809"/>
    <w:rsid w:val="002C5995"/>
    <w:rsid w:val="002C7EDB"/>
    <w:rsid w:val="002D01E4"/>
    <w:rsid w:val="002D079C"/>
    <w:rsid w:val="002D085B"/>
    <w:rsid w:val="002D0E8F"/>
    <w:rsid w:val="002D1FAB"/>
    <w:rsid w:val="002D222A"/>
    <w:rsid w:val="002D3C51"/>
    <w:rsid w:val="002D486A"/>
    <w:rsid w:val="002D4AB9"/>
    <w:rsid w:val="002D6E59"/>
    <w:rsid w:val="002D73AD"/>
    <w:rsid w:val="002D77A4"/>
    <w:rsid w:val="002E0168"/>
    <w:rsid w:val="002E211A"/>
    <w:rsid w:val="002E2A30"/>
    <w:rsid w:val="002E2B7F"/>
    <w:rsid w:val="002E2C2F"/>
    <w:rsid w:val="002E3E66"/>
    <w:rsid w:val="002E4E3E"/>
    <w:rsid w:val="002E57D6"/>
    <w:rsid w:val="002E59F6"/>
    <w:rsid w:val="002E5A8B"/>
    <w:rsid w:val="002E5FC8"/>
    <w:rsid w:val="002E745B"/>
    <w:rsid w:val="002E7B88"/>
    <w:rsid w:val="002E7D7C"/>
    <w:rsid w:val="002F0345"/>
    <w:rsid w:val="002F0FA0"/>
    <w:rsid w:val="002F1827"/>
    <w:rsid w:val="002F3411"/>
    <w:rsid w:val="002F3650"/>
    <w:rsid w:val="002F39E4"/>
    <w:rsid w:val="002F3D65"/>
    <w:rsid w:val="002F3F4E"/>
    <w:rsid w:val="002F3FBD"/>
    <w:rsid w:val="002F4231"/>
    <w:rsid w:val="002F484C"/>
    <w:rsid w:val="002F4B62"/>
    <w:rsid w:val="002F5596"/>
    <w:rsid w:val="002F570A"/>
    <w:rsid w:val="002F5C73"/>
    <w:rsid w:val="00300235"/>
    <w:rsid w:val="00300EFF"/>
    <w:rsid w:val="003016A2"/>
    <w:rsid w:val="00302F21"/>
    <w:rsid w:val="00303C54"/>
    <w:rsid w:val="00303D36"/>
    <w:rsid w:val="00303E89"/>
    <w:rsid w:val="0030417B"/>
    <w:rsid w:val="00305828"/>
    <w:rsid w:val="00305A9C"/>
    <w:rsid w:val="003066F7"/>
    <w:rsid w:val="00306F4A"/>
    <w:rsid w:val="00310392"/>
    <w:rsid w:val="003109D4"/>
    <w:rsid w:val="00311B70"/>
    <w:rsid w:val="003126D7"/>
    <w:rsid w:val="00314699"/>
    <w:rsid w:val="00314C75"/>
    <w:rsid w:val="00317345"/>
    <w:rsid w:val="0032099F"/>
    <w:rsid w:val="00320D68"/>
    <w:rsid w:val="00321A41"/>
    <w:rsid w:val="0032319F"/>
    <w:rsid w:val="003234C3"/>
    <w:rsid w:val="00323E3A"/>
    <w:rsid w:val="00326BAB"/>
    <w:rsid w:val="003270AC"/>
    <w:rsid w:val="0033044D"/>
    <w:rsid w:val="00330AAB"/>
    <w:rsid w:val="0033177F"/>
    <w:rsid w:val="00331BD5"/>
    <w:rsid w:val="0033294D"/>
    <w:rsid w:val="00332B28"/>
    <w:rsid w:val="003330A9"/>
    <w:rsid w:val="00336AA9"/>
    <w:rsid w:val="00336FA4"/>
    <w:rsid w:val="003375FE"/>
    <w:rsid w:val="003379BF"/>
    <w:rsid w:val="00340D0D"/>
    <w:rsid w:val="00341DB4"/>
    <w:rsid w:val="00342220"/>
    <w:rsid w:val="00343D7E"/>
    <w:rsid w:val="00344645"/>
    <w:rsid w:val="00345438"/>
    <w:rsid w:val="0034588D"/>
    <w:rsid w:val="003458D3"/>
    <w:rsid w:val="00345E87"/>
    <w:rsid w:val="00346456"/>
    <w:rsid w:val="0034664A"/>
    <w:rsid w:val="003513AC"/>
    <w:rsid w:val="003514C6"/>
    <w:rsid w:val="003526CF"/>
    <w:rsid w:val="00354A03"/>
    <w:rsid w:val="00356B3D"/>
    <w:rsid w:val="00356BC4"/>
    <w:rsid w:val="00360EEC"/>
    <w:rsid w:val="00361EE3"/>
    <w:rsid w:val="003624BA"/>
    <w:rsid w:val="0036321E"/>
    <w:rsid w:val="00363BD5"/>
    <w:rsid w:val="0036401C"/>
    <w:rsid w:val="00364E3D"/>
    <w:rsid w:val="00365E82"/>
    <w:rsid w:val="0036654A"/>
    <w:rsid w:val="00366991"/>
    <w:rsid w:val="00367B53"/>
    <w:rsid w:val="003720B6"/>
    <w:rsid w:val="003738C8"/>
    <w:rsid w:val="00373A92"/>
    <w:rsid w:val="00374D4A"/>
    <w:rsid w:val="0037518E"/>
    <w:rsid w:val="003759D1"/>
    <w:rsid w:val="00375EE8"/>
    <w:rsid w:val="00376371"/>
    <w:rsid w:val="003768D2"/>
    <w:rsid w:val="00377194"/>
    <w:rsid w:val="00380726"/>
    <w:rsid w:val="00380F3B"/>
    <w:rsid w:val="003819BB"/>
    <w:rsid w:val="00382059"/>
    <w:rsid w:val="0038254F"/>
    <w:rsid w:val="00382A91"/>
    <w:rsid w:val="00382F33"/>
    <w:rsid w:val="0038346A"/>
    <w:rsid w:val="0038444A"/>
    <w:rsid w:val="003849C4"/>
    <w:rsid w:val="00384DB1"/>
    <w:rsid w:val="003856DC"/>
    <w:rsid w:val="00386008"/>
    <w:rsid w:val="0038658E"/>
    <w:rsid w:val="00386AE5"/>
    <w:rsid w:val="00386BA0"/>
    <w:rsid w:val="00387B7C"/>
    <w:rsid w:val="00387CE1"/>
    <w:rsid w:val="00390227"/>
    <w:rsid w:val="00392300"/>
    <w:rsid w:val="00392B98"/>
    <w:rsid w:val="00393119"/>
    <w:rsid w:val="00394013"/>
    <w:rsid w:val="00394E77"/>
    <w:rsid w:val="0039538B"/>
    <w:rsid w:val="00395B85"/>
    <w:rsid w:val="00396793"/>
    <w:rsid w:val="00396851"/>
    <w:rsid w:val="003970B8"/>
    <w:rsid w:val="003971C2"/>
    <w:rsid w:val="003977B8"/>
    <w:rsid w:val="0039783C"/>
    <w:rsid w:val="003A0CA4"/>
    <w:rsid w:val="003A1110"/>
    <w:rsid w:val="003A1EF1"/>
    <w:rsid w:val="003A23F6"/>
    <w:rsid w:val="003A39C6"/>
    <w:rsid w:val="003A3B13"/>
    <w:rsid w:val="003A3BB2"/>
    <w:rsid w:val="003A5D11"/>
    <w:rsid w:val="003A7A9A"/>
    <w:rsid w:val="003B0130"/>
    <w:rsid w:val="003B0399"/>
    <w:rsid w:val="003B11AC"/>
    <w:rsid w:val="003B1AE7"/>
    <w:rsid w:val="003B1F56"/>
    <w:rsid w:val="003B2C01"/>
    <w:rsid w:val="003B38D1"/>
    <w:rsid w:val="003B433C"/>
    <w:rsid w:val="003B45C2"/>
    <w:rsid w:val="003B53B8"/>
    <w:rsid w:val="003B5DFA"/>
    <w:rsid w:val="003B6D6D"/>
    <w:rsid w:val="003B70A2"/>
    <w:rsid w:val="003B785C"/>
    <w:rsid w:val="003C0363"/>
    <w:rsid w:val="003C0CF3"/>
    <w:rsid w:val="003C0FA7"/>
    <w:rsid w:val="003C1293"/>
    <w:rsid w:val="003C16DC"/>
    <w:rsid w:val="003C1EEC"/>
    <w:rsid w:val="003C24E4"/>
    <w:rsid w:val="003C29D0"/>
    <w:rsid w:val="003C4339"/>
    <w:rsid w:val="003C4348"/>
    <w:rsid w:val="003C4873"/>
    <w:rsid w:val="003C61D1"/>
    <w:rsid w:val="003C77D0"/>
    <w:rsid w:val="003D0D50"/>
    <w:rsid w:val="003D1C40"/>
    <w:rsid w:val="003D3023"/>
    <w:rsid w:val="003D390A"/>
    <w:rsid w:val="003D3FED"/>
    <w:rsid w:val="003D5B7B"/>
    <w:rsid w:val="003D5DF8"/>
    <w:rsid w:val="003D6321"/>
    <w:rsid w:val="003E04B9"/>
    <w:rsid w:val="003E0B42"/>
    <w:rsid w:val="003E138C"/>
    <w:rsid w:val="003E17F4"/>
    <w:rsid w:val="003E1BF8"/>
    <w:rsid w:val="003E3733"/>
    <w:rsid w:val="003E3ABA"/>
    <w:rsid w:val="003E3AC8"/>
    <w:rsid w:val="003E491A"/>
    <w:rsid w:val="003E4A96"/>
    <w:rsid w:val="003E58BD"/>
    <w:rsid w:val="003E61C7"/>
    <w:rsid w:val="003E661F"/>
    <w:rsid w:val="003E6A4C"/>
    <w:rsid w:val="003E6F82"/>
    <w:rsid w:val="003F012D"/>
    <w:rsid w:val="003F2B74"/>
    <w:rsid w:val="003F43E1"/>
    <w:rsid w:val="003F4B8E"/>
    <w:rsid w:val="003F5E32"/>
    <w:rsid w:val="003F6165"/>
    <w:rsid w:val="003F6B3E"/>
    <w:rsid w:val="003F7941"/>
    <w:rsid w:val="004001F5"/>
    <w:rsid w:val="00400370"/>
    <w:rsid w:val="004003AA"/>
    <w:rsid w:val="00400E8E"/>
    <w:rsid w:val="00401DA4"/>
    <w:rsid w:val="0040256D"/>
    <w:rsid w:val="00403307"/>
    <w:rsid w:val="00403B62"/>
    <w:rsid w:val="0040501D"/>
    <w:rsid w:val="00406C88"/>
    <w:rsid w:val="00407F96"/>
    <w:rsid w:val="004100E0"/>
    <w:rsid w:val="004107E6"/>
    <w:rsid w:val="00410A56"/>
    <w:rsid w:val="00410B93"/>
    <w:rsid w:val="00411374"/>
    <w:rsid w:val="0041171B"/>
    <w:rsid w:val="00411851"/>
    <w:rsid w:val="0041347E"/>
    <w:rsid w:val="004139E3"/>
    <w:rsid w:val="00414145"/>
    <w:rsid w:val="004141AF"/>
    <w:rsid w:val="0041697E"/>
    <w:rsid w:val="00416BB6"/>
    <w:rsid w:val="00417DAB"/>
    <w:rsid w:val="00417E4B"/>
    <w:rsid w:val="00420568"/>
    <w:rsid w:val="00420FDA"/>
    <w:rsid w:val="0042116B"/>
    <w:rsid w:val="00421AB4"/>
    <w:rsid w:val="004226A0"/>
    <w:rsid w:val="004229C2"/>
    <w:rsid w:val="0042343B"/>
    <w:rsid w:val="00424548"/>
    <w:rsid w:val="0042477F"/>
    <w:rsid w:val="00426F45"/>
    <w:rsid w:val="004303A8"/>
    <w:rsid w:val="0043092F"/>
    <w:rsid w:val="004310E4"/>
    <w:rsid w:val="00431B29"/>
    <w:rsid w:val="0043229A"/>
    <w:rsid w:val="00432393"/>
    <w:rsid w:val="00432F7B"/>
    <w:rsid w:val="004365E4"/>
    <w:rsid w:val="00437C15"/>
    <w:rsid w:val="00437C79"/>
    <w:rsid w:val="00441ECE"/>
    <w:rsid w:val="004425D8"/>
    <w:rsid w:val="00443C5A"/>
    <w:rsid w:val="004450D0"/>
    <w:rsid w:val="00445823"/>
    <w:rsid w:val="00446311"/>
    <w:rsid w:val="00446446"/>
    <w:rsid w:val="00446CDE"/>
    <w:rsid w:val="00446EED"/>
    <w:rsid w:val="004507E3"/>
    <w:rsid w:val="004508C5"/>
    <w:rsid w:val="00450FD0"/>
    <w:rsid w:val="00451145"/>
    <w:rsid w:val="004518B9"/>
    <w:rsid w:val="00451E8E"/>
    <w:rsid w:val="0045346B"/>
    <w:rsid w:val="0045418D"/>
    <w:rsid w:val="00454AD5"/>
    <w:rsid w:val="004550A8"/>
    <w:rsid w:val="0045549B"/>
    <w:rsid w:val="004557F0"/>
    <w:rsid w:val="004568F8"/>
    <w:rsid w:val="00456D95"/>
    <w:rsid w:val="004575E4"/>
    <w:rsid w:val="004576B0"/>
    <w:rsid w:val="0046045F"/>
    <w:rsid w:val="00460CA8"/>
    <w:rsid w:val="0046216C"/>
    <w:rsid w:val="004631EA"/>
    <w:rsid w:val="00463FF9"/>
    <w:rsid w:val="004649FF"/>
    <w:rsid w:val="00464D80"/>
    <w:rsid w:val="00465088"/>
    <w:rsid w:val="00465990"/>
    <w:rsid w:val="00465D65"/>
    <w:rsid w:val="00465E9A"/>
    <w:rsid w:val="00466983"/>
    <w:rsid w:val="004701B2"/>
    <w:rsid w:val="00470F2B"/>
    <w:rsid w:val="004724ED"/>
    <w:rsid w:val="004727EE"/>
    <w:rsid w:val="00475365"/>
    <w:rsid w:val="00475A0A"/>
    <w:rsid w:val="00475D01"/>
    <w:rsid w:val="00475E8E"/>
    <w:rsid w:val="00476A8A"/>
    <w:rsid w:val="00476DA8"/>
    <w:rsid w:val="00477A3D"/>
    <w:rsid w:val="00480C14"/>
    <w:rsid w:val="0048187F"/>
    <w:rsid w:val="004824B8"/>
    <w:rsid w:val="00482599"/>
    <w:rsid w:val="00482EEC"/>
    <w:rsid w:val="00483BAD"/>
    <w:rsid w:val="00483E9E"/>
    <w:rsid w:val="0048529B"/>
    <w:rsid w:val="00486510"/>
    <w:rsid w:val="00486739"/>
    <w:rsid w:val="00487F55"/>
    <w:rsid w:val="0049067F"/>
    <w:rsid w:val="00493A51"/>
    <w:rsid w:val="00493B86"/>
    <w:rsid w:val="004956E1"/>
    <w:rsid w:val="00495E29"/>
    <w:rsid w:val="00496050"/>
    <w:rsid w:val="00496DB7"/>
    <w:rsid w:val="00497F2C"/>
    <w:rsid w:val="004A03B5"/>
    <w:rsid w:val="004A04B5"/>
    <w:rsid w:val="004A0AD0"/>
    <w:rsid w:val="004A1608"/>
    <w:rsid w:val="004A1AF1"/>
    <w:rsid w:val="004A211E"/>
    <w:rsid w:val="004A2E07"/>
    <w:rsid w:val="004A30E5"/>
    <w:rsid w:val="004A32A5"/>
    <w:rsid w:val="004A39B2"/>
    <w:rsid w:val="004A4ADA"/>
    <w:rsid w:val="004A50BF"/>
    <w:rsid w:val="004A54F3"/>
    <w:rsid w:val="004A62B2"/>
    <w:rsid w:val="004A6641"/>
    <w:rsid w:val="004A6E00"/>
    <w:rsid w:val="004A758C"/>
    <w:rsid w:val="004A7685"/>
    <w:rsid w:val="004A7E8C"/>
    <w:rsid w:val="004B003A"/>
    <w:rsid w:val="004B055E"/>
    <w:rsid w:val="004B0AE3"/>
    <w:rsid w:val="004B12C3"/>
    <w:rsid w:val="004B1BF4"/>
    <w:rsid w:val="004B1DE2"/>
    <w:rsid w:val="004B2076"/>
    <w:rsid w:val="004B3300"/>
    <w:rsid w:val="004B40A9"/>
    <w:rsid w:val="004B41FA"/>
    <w:rsid w:val="004B430E"/>
    <w:rsid w:val="004B67B7"/>
    <w:rsid w:val="004B6FAB"/>
    <w:rsid w:val="004B708E"/>
    <w:rsid w:val="004B7189"/>
    <w:rsid w:val="004C001E"/>
    <w:rsid w:val="004C17AD"/>
    <w:rsid w:val="004C2020"/>
    <w:rsid w:val="004C2B4D"/>
    <w:rsid w:val="004C365C"/>
    <w:rsid w:val="004C55EA"/>
    <w:rsid w:val="004C5D9B"/>
    <w:rsid w:val="004C6CC8"/>
    <w:rsid w:val="004C7934"/>
    <w:rsid w:val="004C7EE3"/>
    <w:rsid w:val="004D0ADE"/>
    <w:rsid w:val="004D1464"/>
    <w:rsid w:val="004D1E19"/>
    <w:rsid w:val="004D2A71"/>
    <w:rsid w:val="004D2F71"/>
    <w:rsid w:val="004D51BA"/>
    <w:rsid w:val="004D53B6"/>
    <w:rsid w:val="004D55B2"/>
    <w:rsid w:val="004D65D4"/>
    <w:rsid w:val="004D65D6"/>
    <w:rsid w:val="004D7EAE"/>
    <w:rsid w:val="004D7F00"/>
    <w:rsid w:val="004D7F8D"/>
    <w:rsid w:val="004E0029"/>
    <w:rsid w:val="004E043D"/>
    <w:rsid w:val="004E1A18"/>
    <w:rsid w:val="004E2F55"/>
    <w:rsid w:val="004E316B"/>
    <w:rsid w:val="004E3172"/>
    <w:rsid w:val="004E34BD"/>
    <w:rsid w:val="004E598D"/>
    <w:rsid w:val="004E5DF9"/>
    <w:rsid w:val="004E7E24"/>
    <w:rsid w:val="004F057D"/>
    <w:rsid w:val="004F0E68"/>
    <w:rsid w:val="004F0F3D"/>
    <w:rsid w:val="004F1AC0"/>
    <w:rsid w:val="004F1BE6"/>
    <w:rsid w:val="004F34F4"/>
    <w:rsid w:val="004F3ADE"/>
    <w:rsid w:val="004F4465"/>
    <w:rsid w:val="004F5BB9"/>
    <w:rsid w:val="004F6092"/>
    <w:rsid w:val="004F65B0"/>
    <w:rsid w:val="004F6B8E"/>
    <w:rsid w:val="004F6FE2"/>
    <w:rsid w:val="004F7907"/>
    <w:rsid w:val="00500F75"/>
    <w:rsid w:val="0050103A"/>
    <w:rsid w:val="00501917"/>
    <w:rsid w:val="005021CA"/>
    <w:rsid w:val="00502ACC"/>
    <w:rsid w:val="00502B09"/>
    <w:rsid w:val="005044B5"/>
    <w:rsid w:val="0051054E"/>
    <w:rsid w:val="0051163D"/>
    <w:rsid w:val="00511A00"/>
    <w:rsid w:val="00511AB2"/>
    <w:rsid w:val="0051388B"/>
    <w:rsid w:val="00513F9E"/>
    <w:rsid w:val="005141C4"/>
    <w:rsid w:val="00514A1E"/>
    <w:rsid w:val="00516455"/>
    <w:rsid w:val="00516456"/>
    <w:rsid w:val="00517D8E"/>
    <w:rsid w:val="00520C70"/>
    <w:rsid w:val="00520F7D"/>
    <w:rsid w:val="0052111B"/>
    <w:rsid w:val="0052149F"/>
    <w:rsid w:val="00521FB0"/>
    <w:rsid w:val="005222D7"/>
    <w:rsid w:val="00523636"/>
    <w:rsid w:val="005247DD"/>
    <w:rsid w:val="00524CFF"/>
    <w:rsid w:val="0052599B"/>
    <w:rsid w:val="00526095"/>
    <w:rsid w:val="00526CFC"/>
    <w:rsid w:val="005273E1"/>
    <w:rsid w:val="0052753D"/>
    <w:rsid w:val="00527D3B"/>
    <w:rsid w:val="005302C8"/>
    <w:rsid w:val="0053035A"/>
    <w:rsid w:val="00530FD5"/>
    <w:rsid w:val="005315EB"/>
    <w:rsid w:val="0053213A"/>
    <w:rsid w:val="00532607"/>
    <w:rsid w:val="005326F9"/>
    <w:rsid w:val="00533925"/>
    <w:rsid w:val="00534005"/>
    <w:rsid w:val="00535BC7"/>
    <w:rsid w:val="00536023"/>
    <w:rsid w:val="005367D5"/>
    <w:rsid w:val="00537ED6"/>
    <w:rsid w:val="00540215"/>
    <w:rsid w:val="00540F5A"/>
    <w:rsid w:val="005415F8"/>
    <w:rsid w:val="00542C6A"/>
    <w:rsid w:val="005449BB"/>
    <w:rsid w:val="00545B7D"/>
    <w:rsid w:val="00545CFA"/>
    <w:rsid w:val="0054783C"/>
    <w:rsid w:val="00547F4B"/>
    <w:rsid w:val="00550CD3"/>
    <w:rsid w:val="00550F23"/>
    <w:rsid w:val="0055179D"/>
    <w:rsid w:val="005520DD"/>
    <w:rsid w:val="00552BB7"/>
    <w:rsid w:val="00552F55"/>
    <w:rsid w:val="00554260"/>
    <w:rsid w:val="00554D50"/>
    <w:rsid w:val="005559B3"/>
    <w:rsid w:val="00556AE2"/>
    <w:rsid w:val="00556D21"/>
    <w:rsid w:val="00560CAD"/>
    <w:rsid w:val="00561A18"/>
    <w:rsid w:val="00561AD8"/>
    <w:rsid w:val="00561C4B"/>
    <w:rsid w:val="00561CC7"/>
    <w:rsid w:val="0056237B"/>
    <w:rsid w:val="00562CBF"/>
    <w:rsid w:val="00562CEA"/>
    <w:rsid w:val="00562E5C"/>
    <w:rsid w:val="0056350B"/>
    <w:rsid w:val="00564CAD"/>
    <w:rsid w:val="00565F67"/>
    <w:rsid w:val="00566773"/>
    <w:rsid w:val="00567084"/>
    <w:rsid w:val="00567088"/>
    <w:rsid w:val="00567D5D"/>
    <w:rsid w:val="00567DA5"/>
    <w:rsid w:val="00567F6A"/>
    <w:rsid w:val="00570506"/>
    <w:rsid w:val="00571160"/>
    <w:rsid w:val="005724F6"/>
    <w:rsid w:val="00573233"/>
    <w:rsid w:val="00574580"/>
    <w:rsid w:val="00574B05"/>
    <w:rsid w:val="0057604B"/>
    <w:rsid w:val="00580D98"/>
    <w:rsid w:val="00581834"/>
    <w:rsid w:val="00583625"/>
    <w:rsid w:val="00583CE8"/>
    <w:rsid w:val="00583DF6"/>
    <w:rsid w:val="005848C3"/>
    <w:rsid w:val="005864F2"/>
    <w:rsid w:val="0058686A"/>
    <w:rsid w:val="0059009F"/>
    <w:rsid w:val="005903BF"/>
    <w:rsid w:val="00591348"/>
    <w:rsid w:val="00591AEA"/>
    <w:rsid w:val="00592643"/>
    <w:rsid w:val="0059265E"/>
    <w:rsid w:val="00593868"/>
    <w:rsid w:val="00593DD4"/>
    <w:rsid w:val="005943C8"/>
    <w:rsid w:val="00595103"/>
    <w:rsid w:val="00595856"/>
    <w:rsid w:val="0059655E"/>
    <w:rsid w:val="00597111"/>
    <w:rsid w:val="005977B7"/>
    <w:rsid w:val="005A1A4F"/>
    <w:rsid w:val="005A3AF2"/>
    <w:rsid w:val="005A3CA0"/>
    <w:rsid w:val="005A510F"/>
    <w:rsid w:val="005A70AA"/>
    <w:rsid w:val="005A7924"/>
    <w:rsid w:val="005A7DF9"/>
    <w:rsid w:val="005B064D"/>
    <w:rsid w:val="005B1BEE"/>
    <w:rsid w:val="005B384D"/>
    <w:rsid w:val="005B50FD"/>
    <w:rsid w:val="005B5728"/>
    <w:rsid w:val="005B5830"/>
    <w:rsid w:val="005B74A9"/>
    <w:rsid w:val="005C010F"/>
    <w:rsid w:val="005C0473"/>
    <w:rsid w:val="005C0768"/>
    <w:rsid w:val="005C0948"/>
    <w:rsid w:val="005C0CA8"/>
    <w:rsid w:val="005C0CD8"/>
    <w:rsid w:val="005C0DFC"/>
    <w:rsid w:val="005C24CC"/>
    <w:rsid w:val="005C2F31"/>
    <w:rsid w:val="005C45A6"/>
    <w:rsid w:val="005C4620"/>
    <w:rsid w:val="005C4896"/>
    <w:rsid w:val="005C6B03"/>
    <w:rsid w:val="005C7E69"/>
    <w:rsid w:val="005C7ED8"/>
    <w:rsid w:val="005D0A34"/>
    <w:rsid w:val="005D210D"/>
    <w:rsid w:val="005D2627"/>
    <w:rsid w:val="005D2724"/>
    <w:rsid w:val="005D3056"/>
    <w:rsid w:val="005D46E1"/>
    <w:rsid w:val="005D4E7A"/>
    <w:rsid w:val="005D5A34"/>
    <w:rsid w:val="005D6422"/>
    <w:rsid w:val="005E0FA0"/>
    <w:rsid w:val="005E1756"/>
    <w:rsid w:val="005E247C"/>
    <w:rsid w:val="005E25FA"/>
    <w:rsid w:val="005E2798"/>
    <w:rsid w:val="005E27D5"/>
    <w:rsid w:val="005E434B"/>
    <w:rsid w:val="005E4F7D"/>
    <w:rsid w:val="005E5D2D"/>
    <w:rsid w:val="005E6750"/>
    <w:rsid w:val="005E6AD1"/>
    <w:rsid w:val="005E6CBA"/>
    <w:rsid w:val="005E6DFD"/>
    <w:rsid w:val="005E7738"/>
    <w:rsid w:val="005F0DCB"/>
    <w:rsid w:val="005F16FE"/>
    <w:rsid w:val="005F3F44"/>
    <w:rsid w:val="005F490F"/>
    <w:rsid w:val="005F4E09"/>
    <w:rsid w:val="005F4FDF"/>
    <w:rsid w:val="005F5181"/>
    <w:rsid w:val="005F57B7"/>
    <w:rsid w:val="005F7022"/>
    <w:rsid w:val="005F7B00"/>
    <w:rsid w:val="005F7E70"/>
    <w:rsid w:val="00601EBA"/>
    <w:rsid w:val="006035F5"/>
    <w:rsid w:val="00603A1B"/>
    <w:rsid w:val="00604059"/>
    <w:rsid w:val="00604124"/>
    <w:rsid w:val="006045B4"/>
    <w:rsid w:val="00605EE2"/>
    <w:rsid w:val="0060608A"/>
    <w:rsid w:val="0060667A"/>
    <w:rsid w:val="00606900"/>
    <w:rsid w:val="00606BCF"/>
    <w:rsid w:val="006111B8"/>
    <w:rsid w:val="006117EE"/>
    <w:rsid w:val="00611A8E"/>
    <w:rsid w:val="00611BB0"/>
    <w:rsid w:val="00611BCB"/>
    <w:rsid w:val="006121A1"/>
    <w:rsid w:val="00612C33"/>
    <w:rsid w:val="006137A1"/>
    <w:rsid w:val="00613C79"/>
    <w:rsid w:val="00614039"/>
    <w:rsid w:val="00614114"/>
    <w:rsid w:val="0061417A"/>
    <w:rsid w:val="00614444"/>
    <w:rsid w:val="0061527B"/>
    <w:rsid w:val="0061590C"/>
    <w:rsid w:val="00616798"/>
    <w:rsid w:val="0061692E"/>
    <w:rsid w:val="00617D58"/>
    <w:rsid w:val="006215B2"/>
    <w:rsid w:val="006223E4"/>
    <w:rsid w:val="0062275B"/>
    <w:rsid w:val="00623DB2"/>
    <w:rsid w:val="00625FFB"/>
    <w:rsid w:val="00626069"/>
    <w:rsid w:val="00626DDF"/>
    <w:rsid w:val="00627337"/>
    <w:rsid w:val="0062769E"/>
    <w:rsid w:val="00630711"/>
    <w:rsid w:val="00631E7D"/>
    <w:rsid w:val="006321BA"/>
    <w:rsid w:val="0063428C"/>
    <w:rsid w:val="006342E8"/>
    <w:rsid w:val="00634F9C"/>
    <w:rsid w:val="00635B22"/>
    <w:rsid w:val="00636B69"/>
    <w:rsid w:val="006403E0"/>
    <w:rsid w:val="00641900"/>
    <w:rsid w:val="00643943"/>
    <w:rsid w:val="00643E9C"/>
    <w:rsid w:val="00644770"/>
    <w:rsid w:val="006469E0"/>
    <w:rsid w:val="006470CA"/>
    <w:rsid w:val="00650A4A"/>
    <w:rsid w:val="00650B8A"/>
    <w:rsid w:val="00650BE0"/>
    <w:rsid w:val="00650CFF"/>
    <w:rsid w:val="00651122"/>
    <w:rsid w:val="00651CD9"/>
    <w:rsid w:val="00652054"/>
    <w:rsid w:val="00652328"/>
    <w:rsid w:val="006548F9"/>
    <w:rsid w:val="006554E5"/>
    <w:rsid w:val="0065556D"/>
    <w:rsid w:val="006558E1"/>
    <w:rsid w:val="00656807"/>
    <w:rsid w:val="00657E19"/>
    <w:rsid w:val="0066134E"/>
    <w:rsid w:val="0066166C"/>
    <w:rsid w:val="00661C43"/>
    <w:rsid w:val="00661EC4"/>
    <w:rsid w:val="006633B7"/>
    <w:rsid w:val="00665730"/>
    <w:rsid w:val="00666054"/>
    <w:rsid w:val="00666345"/>
    <w:rsid w:val="0066745A"/>
    <w:rsid w:val="00670A91"/>
    <w:rsid w:val="00671363"/>
    <w:rsid w:val="006723CC"/>
    <w:rsid w:val="00672CD8"/>
    <w:rsid w:val="00675021"/>
    <w:rsid w:val="0067722B"/>
    <w:rsid w:val="00681856"/>
    <w:rsid w:val="00681A92"/>
    <w:rsid w:val="00682587"/>
    <w:rsid w:val="00682E29"/>
    <w:rsid w:val="006848A3"/>
    <w:rsid w:val="00685322"/>
    <w:rsid w:val="006855F9"/>
    <w:rsid w:val="0068585E"/>
    <w:rsid w:val="006860F8"/>
    <w:rsid w:val="0068613D"/>
    <w:rsid w:val="006863F1"/>
    <w:rsid w:val="006868BF"/>
    <w:rsid w:val="00686BE7"/>
    <w:rsid w:val="00686FF5"/>
    <w:rsid w:val="00687E7C"/>
    <w:rsid w:val="00690C11"/>
    <w:rsid w:val="00690C1E"/>
    <w:rsid w:val="00690E87"/>
    <w:rsid w:val="006912A3"/>
    <w:rsid w:val="00691324"/>
    <w:rsid w:val="00691B23"/>
    <w:rsid w:val="00691FA3"/>
    <w:rsid w:val="00693E2D"/>
    <w:rsid w:val="00694ACA"/>
    <w:rsid w:val="00694ED5"/>
    <w:rsid w:val="00697DB1"/>
    <w:rsid w:val="006A0378"/>
    <w:rsid w:val="006A07DA"/>
    <w:rsid w:val="006A16B2"/>
    <w:rsid w:val="006A25EE"/>
    <w:rsid w:val="006A2A4C"/>
    <w:rsid w:val="006A2AC3"/>
    <w:rsid w:val="006A35C5"/>
    <w:rsid w:val="006A42D0"/>
    <w:rsid w:val="006A7253"/>
    <w:rsid w:val="006B2653"/>
    <w:rsid w:val="006B318C"/>
    <w:rsid w:val="006B32D8"/>
    <w:rsid w:val="006B3665"/>
    <w:rsid w:val="006B4AB7"/>
    <w:rsid w:val="006B5625"/>
    <w:rsid w:val="006B616B"/>
    <w:rsid w:val="006B6E62"/>
    <w:rsid w:val="006B789A"/>
    <w:rsid w:val="006B7DD7"/>
    <w:rsid w:val="006C0320"/>
    <w:rsid w:val="006C0641"/>
    <w:rsid w:val="006C0E26"/>
    <w:rsid w:val="006C1750"/>
    <w:rsid w:val="006C1A1C"/>
    <w:rsid w:val="006C2838"/>
    <w:rsid w:val="006C2A03"/>
    <w:rsid w:val="006C3A3F"/>
    <w:rsid w:val="006C3ABF"/>
    <w:rsid w:val="006C3DDB"/>
    <w:rsid w:val="006C49A7"/>
    <w:rsid w:val="006C5597"/>
    <w:rsid w:val="006C57ED"/>
    <w:rsid w:val="006C5F66"/>
    <w:rsid w:val="006C5FE3"/>
    <w:rsid w:val="006C6DED"/>
    <w:rsid w:val="006D0BEF"/>
    <w:rsid w:val="006D0F33"/>
    <w:rsid w:val="006D1B2A"/>
    <w:rsid w:val="006D2972"/>
    <w:rsid w:val="006D2B5F"/>
    <w:rsid w:val="006D2CA5"/>
    <w:rsid w:val="006D2EE7"/>
    <w:rsid w:val="006D3C6F"/>
    <w:rsid w:val="006D3F73"/>
    <w:rsid w:val="006D4266"/>
    <w:rsid w:val="006D47F3"/>
    <w:rsid w:val="006D5D6E"/>
    <w:rsid w:val="006E1597"/>
    <w:rsid w:val="006E1A7B"/>
    <w:rsid w:val="006E1AA0"/>
    <w:rsid w:val="006E2134"/>
    <w:rsid w:val="006E315C"/>
    <w:rsid w:val="006E3223"/>
    <w:rsid w:val="006E3ADC"/>
    <w:rsid w:val="006E5355"/>
    <w:rsid w:val="006E5623"/>
    <w:rsid w:val="006E5633"/>
    <w:rsid w:val="006E5B09"/>
    <w:rsid w:val="006E7F10"/>
    <w:rsid w:val="006F0334"/>
    <w:rsid w:val="006F0414"/>
    <w:rsid w:val="006F0567"/>
    <w:rsid w:val="006F24B0"/>
    <w:rsid w:val="006F32FB"/>
    <w:rsid w:val="006F3398"/>
    <w:rsid w:val="006F3C8E"/>
    <w:rsid w:val="006F4E28"/>
    <w:rsid w:val="006F55EE"/>
    <w:rsid w:val="006F5D4B"/>
    <w:rsid w:val="006F5FB8"/>
    <w:rsid w:val="006F6703"/>
    <w:rsid w:val="006F6E77"/>
    <w:rsid w:val="006F7B0A"/>
    <w:rsid w:val="0070039D"/>
    <w:rsid w:val="00700640"/>
    <w:rsid w:val="00701844"/>
    <w:rsid w:val="00702048"/>
    <w:rsid w:val="00703680"/>
    <w:rsid w:val="0070566B"/>
    <w:rsid w:val="00705CEA"/>
    <w:rsid w:val="0070657D"/>
    <w:rsid w:val="0070764F"/>
    <w:rsid w:val="00710344"/>
    <w:rsid w:val="00710AD1"/>
    <w:rsid w:val="00710B40"/>
    <w:rsid w:val="0071107F"/>
    <w:rsid w:val="00711849"/>
    <w:rsid w:val="007123D9"/>
    <w:rsid w:val="00712F70"/>
    <w:rsid w:val="0071303D"/>
    <w:rsid w:val="00713B2E"/>
    <w:rsid w:val="00713DFE"/>
    <w:rsid w:val="0071411D"/>
    <w:rsid w:val="00716C39"/>
    <w:rsid w:val="00716D2D"/>
    <w:rsid w:val="00716FE8"/>
    <w:rsid w:val="00717EE6"/>
    <w:rsid w:val="0072090C"/>
    <w:rsid w:val="0072139B"/>
    <w:rsid w:val="00723C29"/>
    <w:rsid w:val="00726BC9"/>
    <w:rsid w:val="00726E9B"/>
    <w:rsid w:val="0072787E"/>
    <w:rsid w:val="00727BFD"/>
    <w:rsid w:val="00727C17"/>
    <w:rsid w:val="00730186"/>
    <w:rsid w:val="00730B48"/>
    <w:rsid w:val="007340E2"/>
    <w:rsid w:val="0073421A"/>
    <w:rsid w:val="00734505"/>
    <w:rsid w:val="0073557D"/>
    <w:rsid w:val="007357FF"/>
    <w:rsid w:val="00735B2E"/>
    <w:rsid w:val="00736147"/>
    <w:rsid w:val="00736A9D"/>
    <w:rsid w:val="00737D97"/>
    <w:rsid w:val="00740627"/>
    <w:rsid w:val="00741286"/>
    <w:rsid w:val="007434FB"/>
    <w:rsid w:val="00744951"/>
    <w:rsid w:val="00744FEA"/>
    <w:rsid w:val="00745A76"/>
    <w:rsid w:val="00745A84"/>
    <w:rsid w:val="00747466"/>
    <w:rsid w:val="007479ED"/>
    <w:rsid w:val="007513E1"/>
    <w:rsid w:val="0075169D"/>
    <w:rsid w:val="00751802"/>
    <w:rsid w:val="00752D13"/>
    <w:rsid w:val="007531E2"/>
    <w:rsid w:val="007534E4"/>
    <w:rsid w:val="007545A3"/>
    <w:rsid w:val="00754D76"/>
    <w:rsid w:val="00754F92"/>
    <w:rsid w:val="00755BF9"/>
    <w:rsid w:val="00756147"/>
    <w:rsid w:val="00756C1A"/>
    <w:rsid w:val="00757724"/>
    <w:rsid w:val="007621FE"/>
    <w:rsid w:val="00762FAE"/>
    <w:rsid w:val="00764166"/>
    <w:rsid w:val="00764C30"/>
    <w:rsid w:val="00764C70"/>
    <w:rsid w:val="00764F76"/>
    <w:rsid w:val="00765D49"/>
    <w:rsid w:val="007665A3"/>
    <w:rsid w:val="007667A3"/>
    <w:rsid w:val="00770426"/>
    <w:rsid w:val="00770EA8"/>
    <w:rsid w:val="00772625"/>
    <w:rsid w:val="00773AE6"/>
    <w:rsid w:val="00774DD5"/>
    <w:rsid w:val="007750F8"/>
    <w:rsid w:val="007760A9"/>
    <w:rsid w:val="00776259"/>
    <w:rsid w:val="00776DBD"/>
    <w:rsid w:val="0078047B"/>
    <w:rsid w:val="0078049C"/>
    <w:rsid w:val="00781180"/>
    <w:rsid w:val="00781FE2"/>
    <w:rsid w:val="007828B0"/>
    <w:rsid w:val="00782BDD"/>
    <w:rsid w:val="00785736"/>
    <w:rsid w:val="00785B89"/>
    <w:rsid w:val="00786C37"/>
    <w:rsid w:val="0078751D"/>
    <w:rsid w:val="007876B0"/>
    <w:rsid w:val="00787952"/>
    <w:rsid w:val="007911D5"/>
    <w:rsid w:val="0079261D"/>
    <w:rsid w:val="00793287"/>
    <w:rsid w:val="00793F78"/>
    <w:rsid w:val="00794332"/>
    <w:rsid w:val="00794BAE"/>
    <w:rsid w:val="00795C97"/>
    <w:rsid w:val="00795EF9"/>
    <w:rsid w:val="007968A2"/>
    <w:rsid w:val="0079768A"/>
    <w:rsid w:val="00797EE6"/>
    <w:rsid w:val="007A06DD"/>
    <w:rsid w:val="007A184A"/>
    <w:rsid w:val="007A2122"/>
    <w:rsid w:val="007A234B"/>
    <w:rsid w:val="007A245D"/>
    <w:rsid w:val="007A2D46"/>
    <w:rsid w:val="007A4B49"/>
    <w:rsid w:val="007A4DE3"/>
    <w:rsid w:val="007A4F71"/>
    <w:rsid w:val="007A51F9"/>
    <w:rsid w:val="007A5AB7"/>
    <w:rsid w:val="007A6A39"/>
    <w:rsid w:val="007A73AB"/>
    <w:rsid w:val="007A7AEF"/>
    <w:rsid w:val="007A7DE1"/>
    <w:rsid w:val="007A7E27"/>
    <w:rsid w:val="007B0448"/>
    <w:rsid w:val="007B0E14"/>
    <w:rsid w:val="007B1049"/>
    <w:rsid w:val="007B1A07"/>
    <w:rsid w:val="007B4366"/>
    <w:rsid w:val="007B4DBC"/>
    <w:rsid w:val="007B5146"/>
    <w:rsid w:val="007B5326"/>
    <w:rsid w:val="007B60B9"/>
    <w:rsid w:val="007B68F0"/>
    <w:rsid w:val="007B6B83"/>
    <w:rsid w:val="007C0532"/>
    <w:rsid w:val="007C0F57"/>
    <w:rsid w:val="007C1BB2"/>
    <w:rsid w:val="007C2D1A"/>
    <w:rsid w:val="007C3786"/>
    <w:rsid w:val="007C391B"/>
    <w:rsid w:val="007C3BEA"/>
    <w:rsid w:val="007C49B9"/>
    <w:rsid w:val="007C4A0E"/>
    <w:rsid w:val="007C4FB9"/>
    <w:rsid w:val="007C5A7B"/>
    <w:rsid w:val="007C6E98"/>
    <w:rsid w:val="007D1237"/>
    <w:rsid w:val="007D29E9"/>
    <w:rsid w:val="007D2F8F"/>
    <w:rsid w:val="007D2FC8"/>
    <w:rsid w:val="007D399E"/>
    <w:rsid w:val="007D45C3"/>
    <w:rsid w:val="007D506A"/>
    <w:rsid w:val="007D6B78"/>
    <w:rsid w:val="007D78B2"/>
    <w:rsid w:val="007E0EF0"/>
    <w:rsid w:val="007E26DC"/>
    <w:rsid w:val="007E2FC4"/>
    <w:rsid w:val="007E36AB"/>
    <w:rsid w:val="007E466F"/>
    <w:rsid w:val="007E5055"/>
    <w:rsid w:val="007E5B19"/>
    <w:rsid w:val="007E6C77"/>
    <w:rsid w:val="007F08D7"/>
    <w:rsid w:val="007F0C1C"/>
    <w:rsid w:val="007F1AA1"/>
    <w:rsid w:val="007F22AB"/>
    <w:rsid w:val="007F2578"/>
    <w:rsid w:val="007F2864"/>
    <w:rsid w:val="007F310B"/>
    <w:rsid w:val="007F59A7"/>
    <w:rsid w:val="007F671B"/>
    <w:rsid w:val="00802CB7"/>
    <w:rsid w:val="00802D8C"/>
    <w:rsid w:val="00803895"/>
    <w:rsid w:val="00803AB5"/>
    <w:rsid w:val="0080492D"/>
    <w:rsid w:val="00805098"/>
    <w:rsid w:val="00805499"/>
    <w:rsid w:val="00805850"/>
    <w:rsid w:val="00806096"/>
    <w:rsid w:val="00806DEC"/>
    <w:rsid w:val="00806F4F"/>
    <w:rsid w:val="00807727"/>
    <w:rsid w:val="00807C5F"/>
    <w:rsid w:val="008107F3"/>
    <w:rsid w:val="00811EDA"/>
    <w:rsid w:val="008124FF"/>
    <w:rsid w:val="0081276A"/>
    <w:rsid w:val="008132FD"/>
    <w:rsid w:val="0081345E"/>
    <w:rsid w:val="0081424C"/>
    <w:rsid w:val="00814BDE"/>
    <w:rsid w:val="008152CE"/>
    <w:rsid w:val="00815C03"/>
    <w:rsid w:val="00815CA2"/>
    <w:rsid w:val="00816C8B"/>
    <w:rsid w:val="00816F8E"/>
    <w:rsid w:val="008171E0"/>
    <w:rsid w:val="00820244"/>
    <w:rsid w:val="00820463"/>
    <w:rsid w:val="00820991"/>
    <w:rsid w:val="00820A03"/>
    <w:rsid w:val="00820DBB"/>
    <w:rsid w:val="00821199"/>
    <w:rsid w:val="00821AB2"/>
    <w:rsid w:val="00823524"/>
    <w:rsid w:val="00823859"/>
    <w:rsid w:val="00823961"/>
    <w:rsid w:val="00825863"/>
    <w:rsid w:val="00825D58"/>
    <w:rsid w:val="0082618D"/>
    <w:rsid w:val="00826860"/>
    <w:rsid w:val="00826A13"/>
    <w:rsid w:val="00826B53"/>
    <w:rsid w:val="00826EA2"/>
    <w:rsid w:val="00827803"/>
    <w:rsid w:val="00830286"/>
    <w:rsid w:val="008309AD"/>
    <w:rsid w:val="00830AE5"/>
    <w:rsid w:val="008312A7"/>
    <w:rsid w:val="0083133B"/>
    <w:rsid w:val="008331D7"/>
    <w:rsid w:val="00833738"/>
    <w:rsid w:val="0083397B"/>
    <w:rsid w:val="00833F8E"/>
    <w:rsid w:val="0083433F"/>
    <w:rsid w:val="008361DC"/>
    <w:rsid w:val="008371F8"/>
    <w:rsid w:val="00840A2D"/>
    <w:rsid w:val="00841401"/>
    <w:rsid w:val="0084164B"/>
    <w:rsid w:val="0084166C"/>
    <w:rsid w:val="0084222D"/>
    <w:rsid w:val="00842E42"/>
    <w:rsid w:val="0084339A"/>
    <w:rsid w:val="0084377E"/>
    <w:rsid w:val="00843B7E"/>
    <w:rsid w:val="00843BEC"/>
    <w:rsid w:val="00844876"/>
    <w:rsid w:val="008460EF"/>
    <w:rsid w:val="0084680E"/>
    <w:rsid w:val="00846AB1"/>
    <w:rsid w:val="00850D25"/>
    <w:rsid w:val="00851451"/>
    <w:rsid w:val="0085171B"/>
    <w:rsid w:val="00851D9A"/>
    <w:rsid w:val="00853288"/>
    <w:rsid w:val="00853976"/>
    <w:rsid w:val="00854C9D"/>
    <w:rsid w:val="00854DBA"/>
    <w:rsid w:val="00854E38"/>
    <w:rsid w:val="00854EBE"/>
    <w:rsid w:val="00855027"/>
    <w:rsid w:val="008551F1"/>
    <w:rsid w:val="008552C0"/>
    <w:rsid w:val="00856C2D"/>
    <w:rsid w:val="00857535"/>
    <w:rsid w:val="0085762E"/>
    <w:rsid w:val="00857EA1"/>
    <w:rsid w:val="00860A4C"/>
    <w:rsid w:val="00860F37"/>
    <w:rsid w:val="008614D9"/>
    <w:rsid w:val="00863764"/>
    <w:rsid w:val="008659AB"/>
    <w:rsid w:val="00866919"/>
    <w:rsid w:val="00866FBD"/>
    <w:rsid w:val="00867327"/>
    <w:rsid w:val="0087015F"/>
    <w:rsid w:val="00870A0C"/>
    <w:rsid w:val="00870AC9"/>
    <w:rsid w:val="00871F7B"/>
    <w:rsid w:val="00872F0E"/>
    <w:rsid w:val="0087326D"/>
    <w:rsid w:val="0087412F"/>
    <w:rsid w:val="00874DC8"/>
    <w:rsid w:val="008754DA"/>
    <w:rsid w:val="00876A47"/>
    <w:rsid w:val="008771FC"/>
    <w:rsid w:val="00877B46"/>
    <w:rsid w:val="00880AEF"/>
    <w:rsid w:val="00880CB1"/>
    <w:rsid w:val="008825F9"/>
    <w:rsid w:val="00883B06"/>
    <w:rsid w:val="00885361"/>
    <w:rsid w:val="008855D6"/>
    <w:rsid w:val="0088597C"/>
    <w:rsid w:val="00886405"/>
    <w:rsid w:val="00886CDC"/>
    <w:rsid w:val="008870E6"/>
    <w:rsid w:val="008903DB"/>
    <w:rsid w:val="008904DC"/>
    <w:rsid w:val="00890791"/>
    <w:rsid w:val="00890A97"/>
    <w:rsid w:val="00892224"/>
    <w:rsid w:val="008923AF"/>
    <w:rsid w:val="00892534"/>
    <w:rsid w:val="0089371C"/>
    <w:rsid w:val="00895D92"/>
    <w:rsid w:val="0089644B"/>
    <w:rsid w:val="008973A5"/>
    <w:rsid w:val="00897F8D"/>
    <w:rsid w:val="008A008B"/>
    <w:rsid w:val="008A030D"/>
    <w:rsid w:val="008A180C"/>
    <w:rsid w:val="008A1ED1"/>
    <w:rsid w:val="008A682F"/>
    <w:rsid w:val="008A7142"/>
    <w:rsid w:val="008A79AB"/>
    <w:rsid w:val="008B1A0B"/>
    <w:rsid w:val="008B2581"/>
    <w:rsid w:val="008B4448"/>
    <w:rsid w:val="008B4E8E"/>
    <w:rsid w:val="008B5E00"/>
    <w:rsid w:val="008B69F1"/>
    <w:rsid w:val="008B7B62"/>
    <w:rsid w:val="008B7C99"/>
    <w:rsid w:val="008B7D3C"/>
    <w:rsid w:val="008B7DEE"/>
    <w:rsid w:val="008B7F1E"/>
    <w:rsid w:val="008C0A6F"/>
    <w:rsid w:val="008C0BEE"/>
    <w:rsid w:val="008C0EE9"/>
    <w:rsid w:val="008C158C"/>
    <w:rsid w:val="008C1DB3"/>
    <w:rsid w:val="008C2DA2"/>
    <w:rsid w:val="008C363B"/>
    <w:rsid w:val="008C449A"/>
    <w:rsid w:val="008C61E2"/>
    <w:rsid w:val="008C6CD4"/>
    <w:rsid w:val="008C6FE6"/>
    <w:rsid w:val="008C74A9"/>
    <w:rsid w:val="008C74EE"/>
    <w:rsid w:val="008C7BA4"/>
    <w:rsid w:val="008D043B"/>
    <w:rsid w:val="008D06D0"/>
    <w:rsid w:val="008D36AA"/>
    <w:rsid w:val="008D38A4"/>
    <w:rsid w:val="008D3C6D"/>
    <w:rsid w:val="008D4709"/>
    <w:rsid w:val="008D6580"/>
    <w:rsid w:val="008D6E05"/>
    <w:rsid w:val="008D7762"/>
    <w:rsid w:val="008E0300"/>
    <w:rsid w:val="008E1845"/>
    <w:rsid w:val="008E229B"/>
    <w:rsid w:val="008E2385"/>
    <w:rsid w:val="008E297B"/>
    <w:rsid w:val="008E2E76"/>
    <w:rsid w:val="008E34E2"/>
    <w:rsid w:val="008E4B2A"/>
    <w:rsid w:val="008E50F5"/>
    <w:rsid w:val="008E55C9"/>
    <w:rsid w:val="008E5A2E"/>
    <w:rsid w:val="008E691A"/>
    <w:rsid w:val="008F0BFC"/>
    <w:rsid w:val="008F0D11"/>
    <w:rsid w:val="008F0E66"/>
    <w:rsid w:val="008F0F37"/>
    <w:rsid w:val="008F123B"/>
    <w:rsid w:val="008F16A9"/>
    <w:rsid w:val="008F2E89"/>
    <w:rsid w:val="008F3E1B"/>
    <w:rsid w:val="008F43D4"/>
    <w:rsid w:val="008F62F4"/>
    <w:rsid w:val="008F695E"/>
    <w:rsid w:val="008F6FB9"/>
    <w:rsid w:val="008F723A"/>
    <w:rsid w:val="008F7B58"/>
    <w:rsid w:val="0090023D"/>
    <w:rsid w:val="009008E3"/>
    <w:rsid w:val="009012B1"/>
    <w:rsid w:val="009012DC"/>
    <w:rsid w:val="00901957"/>
    <w:rsid w:val="00904386"/>
    <w:rsid w:val="009049A7"/>
    <w:rsid w:val="00905E46"/>
    <w:rsid w:val="009062C0"/>
    <w:rsid w:val="0091063B"/>
    <w:rsid w:val="0091110A"/>
    <w:rsid w:val="0091195F"/>
    <w:rsid w:val="00911D47"/>
    <w:rsid w:val="00912988"/>
    <w:rsid w:val="0091303D"/>
    <w:rsid w:val="009140BC"/>
    <w:rsid w:val="0091410C"/>
    <w:rsid w:val="00914121"/>
    <w:rsid w:val="0091538F"/>
    <w:rsid w:val="00915A7F"/>
    <w:rsid w:val="00915F1C"/>
    <w:rsid w:val="00916858"/>
    <w:rsid w:val="00917B46"/>
    <w:rsid w:val="00920F24"/>
    <w:rsid w:val="00921D8B"/>
    <w:rsid w:val="009225F0"/>
    <w:rsid w:val="00922A9A"/>
    <w:rsid w:val="00923B9D"/>
    <w:rsid w:val="0092489C"/>
    <w:rsid w:val="00924CFB"/>
    <w:rsid w:val="0092516B"/>
    <w:rsid w:val="009258F0"/>
    <w:rsid w:val="00925D37"/>
    <w:rsid w:val="00925E61"/>
    <w:rsid w:val="00926474"/>
    <w:rsid w:val="00926682"/>
    <w:rsid w:val="009269D8"/>
    <w:rsid w:val="009271A8"/>
    <w:rsid w:val="009308BE"/>
    <w:rsid w:val="0093187C"/>
    <w:rsid w:val="009319F6"/>
    <w:rsid w:val="00931F3E"/>
    <w:rsid w:val="009327A7"/>
    <w:rsid w:val="0093361D"/>
    <w:rsid w:val="00933A80"/>
    <w:rsid w:val="009340A6"/>
    <w:rsid w:val="00934263"/>
    <w:rsid w:val="00934771"/>
    <w:rsid w:val="0093639A"/>
    <w:rsid w:val="009366CD"/>
    <w:rsid w:val="00940563"/>
    <w:rsid w:val="0094091A"/>
    <w:rsid w:val="00942DC0"/>
    <w:rsid w:val="00943223"/>
    <w:rsid w:val="009435B3"/>
    <w:rsid w:val="00943677"/>
    <w:rsid w:val="00943F2B"/>
    <w:rsid w:val="0094450D"/>
    <w:rsid w:val="00944B7C"/>
    <w:rsid w:val="009458B1"/>
    <w:rsid w:val="009468F5"/>
    <w:rsid w:val="0094750C"/>
    <w:rsid w:val="0095001E"/>
    <w:rsid w:val="00950C88"/>
    <w:rsid w:val="009519D4"/>
    <w:rsid w:val="00951C7B"/>
    <w:rsid w:val="00952170"/>
    <w:rsid w:val="00952271"/>
    <w:rsid w:val="0095229B"/>
    <w:rsid w:val="00952CDD"/>
    <w:rsid w:val="00953C0F"/>
    <w:rsid w:val="0095525D"/>
    <w:rsid w:val="00955C91"/>
    <w:rsid w:val="00955F76"/>
    <w:rsid w:val="009561C3"/>
    <w:rsid w:val="009574A9"/>
    <w:rsid w:val="009602E2"/>
    <w:rsid w:val="0096245A"/>
    <w:rsid w:val="009638D0"/>
    <w:rsid w:val="00963F68"/>
    <w:rsid w:val="00964D6E"/>
    <w:rsid w:val="0096505C"/>
    <w:rsid w:val="009650F0"/>
    <w:rsid w:val="00965C7F"/>
    <w:rsid w:val="00965FE5"/>
    <w:rsid w:val="00967729"/>
    <w:rsid w:val="00970998"/>
    <w:rsid w:val="00970EE2"/>
    <w:rsid w:val="00972051"/>
    <w:rsid w:val="00974B57"/>
    <w:rsid w:val="00975122"/>
    <w:rsid w:val="0097527A"/>
    <w:rsid w:val="0097527B"/>
    <w:rsid w:val="00975F21"/>
    <w:rsid w:val="00976713"/>
    <w:rsid w:val="0097740B"/>
    <w:rsid w:val="00977E0A"/>
    <w:rsid w:val="0098018B"/>
    <w:rsid w:val="00980933"/>
    <w:rsid w:val="00982628"/>
    <w:rsid w:val="0098299A"/>
    <w:rsid w:val="00982ECB"/>
    <w:rsid w:val="0098458F"/>
    <w:rsid w:val="00984FAF"/>
    <w:rsid w:val="00985AFC"/>
    <w:rsid w:val="0098620A"/>
    <w:rsid w:val="0098661F"/>
    <w:rsid w:val="00986C77"/>
    <w:rsid w:val="00990B8D"/>
    <w:rsid w:val="009914B6"/>
    <w:rsid w:val="009918B7"/>
    <w:rsid w:val="00991B5D"/>
    <w:rsid w:val="00991B75"/>
    <w:rsid w:val="00994862"/>
    <w:rsid w:val="00996355"/>
    <w:rsid w:val="009963F5"/>
    <w:rsid w:val="009A028E"/>
    <w:rsid w:val="009A0B7C"/>
    <w:rsid w:val="009A28B5"/>
    <w:rsid w:val="009A2CAF"/>
    <w:rsid w:val="009A3C2A"/>
    <w:rsid w:val="009A48B4"/>
    <w:rsid w:val="009A5581"/>
    <w:rsid w:val="009A5F6D"/>
    <w:rsid w:val="009A6608"/>
    <w:rsid w:val="009A6F76"/>
    <w:rsid w:val="009A7170"/>
    <w:rsid w:val="009A7E0A"/>
    <w:rsid w:val="009B0F7D"/>
    <w:rsid w:val="009B2DB9"/>
    <w:rsid w:val="009B3756"/>
    <w:rsid w:val="009B3BAA"/>
    <w:rsid w:val="009B4078"/>
    <w:rsid w:val="009B471A"/>
    <w:rsid w:val="009B4781"/>
    <w:rsid w:val="009B4E8A"/>
    <w:rsid w:val="009B5A20"/>
    <w:rsid w:val="009B5B59"/>
    <w:rsid w:val="009B5D54"/>
    <w:rsid w:val="009B70AB"/>
    <w:rsid w:val="009B7438"/>
    <w:rsid w:val="009B7913"/>
    <w:rsid w:val="009C0B1D"/>
    <w:rsid w:val="009C24C6"/>
    <w:rsid w:val="009C28AA"/>
    <w:rsid w:val="009C3933"/>
    <w:rsid w:val="009C3AEE"/>
    <w:rsid w:val="009C503B"/>
    <w:rsid w:val="009C5122"/>
    <w:rsid w:val="009C55A2"/>
    <w:rsid w:val="009C614F"/>
    <w:rsid w:val="009D0F7C"/>
    <w:rsid w:val="009D1E23"/>
    <w:rsid w:val="009D3385"/>
    <w:rsid w:val="009D438D"/>
    <w:rsid w:val="009D5614"/>
    <w:rsid w:val="009D5768"/>
    <w:rsid w:val="009D6A33"/>
    <w:rsid w:val="009D728A"/>
    <w:rsid w:val="009E0336"/>
    <w:rsid w:val="009E049B"/>
    <w:rsid w:val="009E0E37"/>
    <w:rsid w:val="009E1E91"/>
    <w:rsid w:val="009E250F"/>
    <w:rsid w:val="009E2626"/>
    <w:rsid w:val="009E2CBF"/>
    <w:rsid w:val="009E3B1D"/>
    <w:rsid w:val="009E3BFA"/>
    <w:rsid w:val="009E4336"/>
    <w:rsid w:val="009E5499"/>
    <w:rsid w:val="009E6D6B"/>
    <w:rsid w:val="009E6E79"/>
    <w:rsid w:val="009F0187"/>
    <w:rsid w:val="009F03D6"/>
    <w:rsid w:val="009F06DC"/>
    <w:rsid w:val="009F107F"/>
    <w:rsid w:val="009F2167"/>
    <w:rsid w:val="009F32D7"/>
    <w:rsid w:val="009F46AD"/>
    <w:rsid w:val="009F49DC"/>
    <w:rsid w:val="009F5B7A"/>
    <w:rsid w:val="009F71C5"/>
    <w:rsid w:val="00A01653"/>
    <w:rsid w:val="00A019DF"/>
    <w:rsid w:val="00A02FA2"/>
    <w:rsid w:val="00A032CE"/>
    <w:rsid w:val="00A039F6"/>
    <w:rsid w:val="00A04FE1"/>
    <w:rsid w:val="00A05EFA"/>
    <w:rsid w:val="00A065E8"/>
    <w:rsid w:val="00A066A2"/>
    <w:rsid w:val="00A13258"/>
    <w:rsid w:val="00A13622"/>
    <w:rsid w:val="00A147C3"/>
    <w:rsid w:val="00A1765B"/>
    <w:rsid w:val="00A17F8E"/>
    <w:rsid w:val="00A207E8"/>
    <w:rsid w:val="00A21BCE"/>
    <w:rsid w:val="00A21DFA"/>
    <w:rsid w:val="00A21F1F"/>
    <w:rsid w:val="00A225BE"/>
    <w:rsid w:val="00A22C86"/>
    <w:rsid w:val="00A23AC2"/>
    <w:rsid w:val="00A23D63"/>
    <w:rsid w:val="00A242B3"/>
    <w:rsid w:val="00A24B0D"/>
    <w:rsid w:val="00A256F8"/>
    <w:rsid w:val="00A30B52"/>
    <w:rsid w:val="00A30E70"/>
    <w:rsid w:val="00A30F12"/>
    <w:rsid w:val="00A31277"/>
    <w:rsid w:val="00A322C1"/>
    <w:rsid w:val="00A329A1"/>
    <w:rsid w:val="00A33DEB"/>
    <w:rsid w:val="00A3488C"/>
    <w:rsid w:val="00A34FCA"/>
    <w:rsid w:val="00A3716A"/>
    <w:rsid w:val="00A37F2A"/>
    <w:rsid w:val="00A41280"/>
    <w:rsid w:val="00A41A8F"/>
    <w:rsid w:val="00A41F8C"/>
    <w:rsid w:val="00A42612"/>
    <w:rsid w:val="00A42F7F"/>
    <w:rsid w:val="00A4303C"/>
    <w:rsid w:val="00A441DE"/>
    <w:rsid w:val="00A4446F"/>
    <w:rsid w:val="00A44E19"/>
    <w:rsid w:val="00A46B6D"/>
    <w:rsid w:val="00A50EAC"/>
    <w:rsid w:val="00A5186B"/>
    <w:rsid w:val="00A51E35"/>
    <w:rsid w:val="00A5248E"/>
    <w:rsid w:val="00A525C1"/>
    <w:rsid w:val="00A53256"/>
    <w:rsid w:val="00A53579"/>
    <w:rsid w:val="00A5439F"/>
    <w:rsid w:val="00A5443E"/>
    <w:rsid w:val="00A5487F"/>
    <w:rsid w:val="00A54B00"/>
    <w:rsid w:val="00A559CE"/>
    <w:rsid w:val="00A55F0B"/>
    <w:rsid w:val="00A5673D"/>
    <w:rsid w:val="00A57E91"/>
    <w:rsid w:val="00A607CD"/>
    <w:rsid w:val="00A60CE2"/>
    <w:rsid w:val="00A62925"/>
    <w:rsid w:val="00A6354A"/>
    <w:rsid w:val="00A64D14"/>
    <w:rsid w:val="00A64DFE"/>
    <w:rsid w:val="00A64F69"/>
    <w:rsid w:val="00A65DB9"/>
    <w:rsid w:val="00A6656D"/>
    <w:rsid w:val="00A6701D"/>
    <w:rsid w:val="00A67726"/>
    <w:rsid w:val="00A67E12"/>
    <w:rsid w:val="00A700D0"/>
    <w:rsid w:val="00A70589"/>
    <w:rsid w:val="00A70B6D"/>
    <w:rsid w:val="00A70DF9"/>
    <w:rsid w:val="00A7136A"/>
    <w:rsid w:val="00A716B3"/>
    <w:rsid w:val="00A7182A"/>
    <w:rsid w:val="00A72221"/>
    <w:rsid w:val="00A73DA8"/>
    <w:rsid w:val="00A75650"/>
    <w:rsid w:val="00A759ED"/>
    <w:rsid w:val="00A763B4"/>
    <w:rsid w:val="00A76C1F"/>
    <w:rsid w:val="00A8054D"/>
    <w:rsid w:val="00A8079A"/>
    <w:rsid w:val="00A80F72"/>
    <w:rsid w:val="00A8276F"/>
    <w:rsid w:val="00A84B26"/>
    <w:rsid w:val="00A85A63"/>
    <w:rsid w:val="00A85AC7"/>
    <w:rsid w:val="00A85C77"/>
    <w:rsid w:val="00A85F7B"/>
    <w:rsid w:val="00A86DD9"/>
    <w:rsid w:val="00A87EAD"/>
    <w:rsid w:val="00A91DEA"/>
    <w:rsid w:val="00A91FF6"/>
    <w:rsid w:val="00A91FFE"/>
    <w:rsid w:val="00A931D2"/>
    <w:rsid w:val="00A93406"/>
    <w:rsid w:val="00A95974"/>
    <w:rsid w:val="00A95FE3"/>
    <w:rsid w:val="00A971AB"/>
    <w:rsid w:val="00A97D6E"/>
    <w:rsid w:val="00AA01F8"/>
    <w:rsid w:val="00AA0EAE"/>
    <w:rsid w:val="00AA1DE7"/>
    <w:rsid w:val="00AA30C6"/>
    <w:rsid w:val="00AA357B"/>
    <w:rsid w:val="00AA4E6B"/>
    <w:rsid w:val="00AA6315"/>
    <w:rsid w:val="00AA6690"/>
    <w:rsid w:val="00AA7A36"/>
    <w:rsid w:val="00AA7B9D"/>
    <w:rsid w:val="00AA7FE8"/>
    <w:rsid w:val="00AB118E"/>
    <w:rsid w:val="00AB1B19"/>
    <w:rsid w:val="00AB1C7F"/>
    <w:rsid w:val="00AB214E"/>
    <w:rsid w:val="00AB226C"/>
    <w:rsid w:val="00AB289C"/>
    <w:rsid w:val="00AB2E9F"/>
    <w:rsid w:val="00AB30F5"/>
    <w:rsid w:val="00AB3EED"/>
    <w:rsid w:val="00AB4107"/>
    <w:rsid w:val="00AB45C9"/>
    <w:rsid w:val="00AB4A96"/>
    <w:rsid w:val="00AB4CDB"/>
    <w:rsid w:val="00AB5A01"/>
    <w:rsid w:val="00AB6BE9"/>
    <w:rsid w:val="00AB6C69"/>
    <w:rsid w:val="00AB6DDC"/>
    <w:rsid w:val="00AC0EB9"/>
    <w:rsid w:val="00AC116D"/>
    <w:rsid w:val="00AC18F6"/>
    <w:rsid w:val="00AC1962"/>
    <w:rsid w:val="00AC1E72"/>
    <w:rsid w:val="00AC2648"/>
    <w:rsid w:val="00AC2C13"/>
    <w:rsid w:val="00AC30BD"/>
    <w:rsid w:val="00AC3461"/>
    <w:rsid w:val="00AC389D"/>
    <w:rsid w:val="00AC4EB3"/>
    <w:rsid w:val="00AC6BE0"/>
    <w:rsid w:val="00AC6E6C"/>
    <w:rsid w:val="00AD032A"/>
    <w:rsid w:val="00AD1530"/>
    <w:rsid w:val="00AD19BE"/>
    <w:rsid w:val="00AD272D"/>
    <w:rsid w:val="00AD3515"/>
    <w:rsid w:val="00AD54B0"/>
    <w:rsid w:val="00AD5683"/>
    <w:rsid w:val="00AD5CC1"/>
    <w:rsid w:val="00AD778F"/>
    <w:rsid w:val="00AE04BB"/>
    <w:rsid w:val="00AE056B"/>
    <w:rsid w:val="00AE0615"/>
    <w:rsid w:val="00AE0827"/>
    <w:rsid w:val="00AE0DC8"/>
    <w:rsid w:val="00AE24E1"/>
    <w:rsid w:val="00AE26AD"/>
    <w:rsid w:val="00AE27B7"/>
    <w:rsid w:val="00AE28F3"/>
    <w:rsid w:val="00AE31ED"/>
    <w:rsid w:val="00AE37C0"/>
    <w:rsid w:val="00AE4258"/>
    <w:rsid w:val="00AE4833"/>
    <w:rsid w:val="00AE4C35"/>
    <w:rsid w:val="00AE7BB3"/>
    <w:rsid w:val="00AF1BA3"/>
    <w:rsid w:val="00AF24A8"/>
    <w:rsid w:val="00AF2792"/>
    <w:rsid w:val="00AF2828"/>
    <w:rsid w:val="00AF3252"/>
    <w:rsid w:val="00AF37C4"/>
    <w:rsid w:val="00AF3983"/>
    <w:rsid w:val="00AF476B"/>
    <w:rsid w:val="00AF56E1"/>
    <w:rsid w:val="00AF667C"/>
    <w:rsid w:val="00AF70E0"/>
    <w:rsid w:val="00AF766B"/>
    <w:rsid w:val="00AF7DAB"/>
    <w:rsid w:val="00B010F8"/>
    <w:rsid w:val="00B01720"/>
    <w:rsid w:val="00B02352"/>
    <w:rsid w:val="00B039B3"/>
    <w:rsid w:val="00B051E1"/>
    <w:rsid w:val="00B05433"/>
    <w:rsid w:val="00B05972"/>
    <w:rsid w:val="00B07AEA"/>
    <w:rsid w:val="00B10186"/>
    <w:rsid w:val="00B10479"/>
    <w:rsid w:val="00B115AA"/>
    <w:rsid w:val="00B115E5"/>
    <w:rsid w:val="00B11BF7"/>
    <w:rsid w:val="00B123CF"/>
    <w:rsid w:val="00B12464"/>
    <w:rsid w:val="00B12DEA"/>
    <w:rsid w:val="00B130E2"/>
    <w:rsid w:val="00B141E6"/>
    <w:rsid w:val="00B155C2"/>
    <w:rsid w:val="00B162A1"/>
    <w:rsid w:val="00B16462"/>
    <w:rsid w:val="00B17BEC"/>
    <w:rsid w:val="00B22BC7"/>
    <w:rsid w:val="00B22E40"/>
    <w:rsid w:val="00B22FF7"/>
    <w:rsid w:val="00B233F9"/>
    <w:rsid w:val="00B23CFC"/>
    <w:rsid w:val="00B23D30"/>
    <w:rsid w:val="00B24D0D"/>
    <w:rsid w:val="00B251B0"/>
    <w:rsid w:val="00B259B6"/>
    <w:rsid w:val="00B25F29"/>
    <w:rsid w:val="00B26C67"/>
    <w:rsid w:val="00B26D57"/>
    <w:rsid w:val="00B27845"/>
    <w:rsid w:val="00B31059"/>
    <w:rsid w:val="00B313BE"/>
    <w:rsid w:val="00B31628"/>
    <w:rsid w:val="00B31F0F"/>
    <w:rsid w:val="00B320B6"/>
    <w:rsid w:val="00B33DDF"/>
    <w:rsid w:val="00B3548F"/>
    <w:rsid w:val="00B354EB"/>
    <w:rsid w:val="00B3677D"/>
    <w:rsid w:val="00B43277"/>
    <w:rsid w:val="00B43A77"/>
    <w:rsid w:val="00B43B04"/>
    <w:rsid w:val="00B441FC"/>
    <w:rsid w:val="00B45349"/>
    <w:rsid w:val="00B45ACD"/>
    <w:rsid w:val="00B46B26"/>
    <w:rsid w:val="00B46DEB"/>
    <w:rsid w:val="00B47BCE"/>
    <w:rsid w:val="00B47BD3"/>
    <w:rsid w:val="00B47C12"/>
    <w:rsid w:val="00B47D0E"/>
    <w:rsid w:val="00B50AA7"/>
    <w:rsid w:val="00B511FA"/>
    <w:rsid w:val="00B51A90"/>
    <w:rsid w:val="00B5386B"/>
    <w:rsid w:val="00B541FF"/>
    <w:rsid w:val="00B5426C"/>
    <w:rsid w:val="00B54C0B"/>
    <w:rsid w:val="00B557AE"/>
    <w:rsid w:val="00B5581A"/>
    <w:rsid w:val="00B56F39"/>
    <w:rsid w:val="00B575E3"/>
    <w:rsid w:val="00B57A65"/>
    <w:rsid w:val="00B57B19"/>
    <w:rsid w:val="00B57C02"/>
    <w:rsid w:val="00B57D5C"/>
    <w:rsid w:val="00B6019A"/>
    <w:rsid w:val="00B6156F"/>
    <w:rsid w:val="00B6190A"/>
    <w:rsid w:val="00B621DA"/>
    <w:rsid w:val="00B622AA"/>
    <w:rsid w:val="00B6277A"/>
    <w:rsid w:val="00B64A60"/>
    <w:rsid w:val="00B661EA"/>
    <w:rsid w:val="00B66295"/>
    <w:rsid w:val="00B66554"/>
    <w:rsid w:val="00B6684A"/>
    <w:rsid w:val="00B70D29"/>
    <w:rsid w:val="00B70E67"/>
    <w:rsid w:val="00B70FF0"/>
    <w:rsid w:val="00B71024"/>
    <w:rsid w:val="00B71792"/>
    <w:rsid w:val="00B71F6D"/>
    <w:rsid w:val="00B722D3"/>
    <w:rsid w:val="00B726B6"/>
    <w:rsid w:val="00B7273E"/>
    <w:rsid w:val="00B727E5"/>
    <w:rsid w:val="00B728AD"/>
    <w:rsid w:val="00B7389F"/>
    <w:rsid w:val="00B7438C"/>
    <w:rsid w:val="00B74A00"/>
    <w:rsid w:val="00B75382"/>
    <w:rsid w:val="00B75C7D"/>
    <w:rsid w:val="00B75D10"/>
    <w:rsid w:val="00B77367"/>
    <w:rsid w:val="00B81712"/>
    <w:rsid w:val="00B81B1F"/>
    <w:rsid w:val="00B81EC4"/>
    <w:rsid w:val="00B8246D"/>
    <w:rsid w:val="00B835F9"/>
    <w:rsid w:val="00B84C0B"/>
    <w:rsid w:val="00B84E95"/>
    <w:rsid w:val="00B86939"/>
    <w:rsid w:val="00B86DA0"/>
    <w:rsid w:val="00B873F2"/>
    <w:rsid w:val="00B87C5D"/>
    <w:rsid w:val="00B91F76"/>
    <w:rsid w:val="00B91F7D"/>
    <w:rsid w:val="00B93082"/>
    <w:rsid w:val="00B93322"/>
    <w:rsid w:val="00B935C9"/>
    <w:rsid w:val="00B93AFC"/>
    <w:rsid w:val="00B94320"/>
    <w:rsid w:val="00B943EE"/>
    <w:rsid w:val="00B95467"/>
    <w:rsid w:val="00B965D0"/>
    <w:rsid w:val="00B96F63"/>
    <w:rsid w:val="00BA0392"/>
    <w:rsid w:val="00BA0751"/>
    <w:rsid w:val="00BA097E"/>
    <w:rsid w:val="00BA0D78"/>
    <w:rsid w:val="00BA16C2"/>
    <w:rsid w:val="00BA1C06"/>
    <w:rsid w:val="00BA221F"/>
    <w:rsid w:val="00BA2D04"/>
    <w:rsid w:val="00BA5374"/>
    <w:rsid w:val="00BA63B8"/>
    <w:rsid w:val="00BB1FFA"/>
    <w:rsid w:val="00BB2C5E"/>
    <w:rsid w:val="00BB38E6"/>
    <w:rsid w:val="00BB3A57"/>
    <w:rsid w:val="00BB3BBA"/>
    <w:rsid w:val="00BB44D3"/>
    <w:rsid w:val="00BB47D5"/>
    <w:rsid w:val="00BB50B3"/>
    <w:rsid w:val="00BB5D2D"/>
    <w:rsid w:val="00BB625E"/>
    <w:rsid w:val="00BC10CD"/>
    <w:rsid w:val="00BC119E"/>
    <w:rsid w:val="00BC3C9C"/>
    <w:rsid w:val="00BC4C27"/>
    <w:rsid w:val="00BC5327"/>
    <w:rsid w:val="00BC535C"/>
    <w:rsid w:val="00BC5665"/>
    <w:rsid w:val="00BC64B2"/>
    <w:rsid w:val="00BC6D2E"/>
    <w:rsid w:val="00BD0625"/>
    <w:rsid w:val="00BD0EFD"/>
    <w:rsid w:val="00BD35E2"/>
    <w:rsid w:val="00BD4CD6"/>
    <w:rsid w:val="00BD53C2"/>
    <w:rsid w:val="00BD67BF"/>
    <w:rsid w:val="00BD7066"/>
    <w:rsid w:val="00BD72C5"/>
    <w:rsid w:val="00BE02A9"/>
    <w:rsid w:val="00BE03A2"/>
    <w:rsid w:val="00BE143C"/>
    <w:rsid w:val="00BE2DA6"/>
    <w:rsid w:val="00BE3657"/>
    <w:rsid w:val="00BE4E5E"/>
    <w:rsid w:val="00BE53C7"/>
    <w:rsid w:val="00BE6441"/>
    <w:rsid w:val="00BE6A31"/>
    <w:rsid w:val="00BE73E4"/>
    <w:rsid w:val="00BF1756"/>
    <w:rsid w:val="00BF1B03"/>
    <w:rsid w:val="00BF21A5"/>
    <w:rsid w:val="00BF3F14"/>
    <w:rsid w:val="00BF43A1"/>
    <w:rsid w:val="00BF449B"/>
    <w:rsid w:val="00BF44B8"/>
    <w:rsid w:val="00BF48F3"/>
    <w:rsid w:val="00BF50C4"/>
    <w:rsid w:val="00BF57C0"/>
    <w:rsid w:val="00BF5917"/>
    <w:rsid w:val="00BF653C"/>
    <w:rsid w:val="00BF66C7"/>
    <w:rsid w:val="00BF7025"/>
    <w:rsid w:val="00BF73CF"/>
    <w:rsid w:val="00BF7C5C"/>
    <w:rsid w:val="00C01414"/>
    <w:rsid w:val="00C01627"/>
    <w:rsid w:val="00C01D4B"/>
    <w:rsid w:val="00C01EBB"/>
    <w:rsid w:val="00C04240"/>
    <w:rsid w:val="00C05CE3"/>
    <w:rsid w:val="00C06695"/>
    <w:rsid w:val="00C074BB"/>
    <w:rsid w:val="00C07DFD"/>
    <w:rsid w:val="00C10C3D"/>
    <w:rsid w:val="00C1150D"/>
    <w:rsid w:val="00C12050"/>
    <w:rsid w:val="00C121AD"/>
    <w:rsid w:val="00C123D7"/>
    <w:rsid w:val="00C1332B"/>
    <w:rsid w:val="00C15403"/>
    <w:rsid w:val="00C15B2E"/>
    <w:rsid w:val="00C15F80"/>
    <w:rsid w:val="00C16132"/>
    <w:rsid w:val="00C1662A"/>
    <w:rsid w:val="00C1797E"/>
    <w:rsid w:val="00C204BE"/>
    <w:rsid w:val="00C2053D"/>
    <w:rsid w:val="00C21C26"/>
    <w:rsid w:val="00C21F82"/>
    <w:rsid w:val="00C22098"/>
    <w:rsid w:val="00C22767"/>
    <w:rsid w:val="00C23F14"/>
    <w:rsid w:val="00C2464C"/>
    <w:rsid w:val="00C256DB"/>
    <w:rsid w:val="00C25B40"/>
    <w:rsid w:val="00C25B96"/>
    <w:rsid w:val="00C27519"/>
    <w:rsid w:val="00C27907"/>
    <w:rsid w:val="00C31566"/>
    <w:rsid w:val="00C31574"/>
    <w:rsid w:val="00C315F2"/>
    <w:rsid w:val="00C319B1"/>
    <w:rsid w:val="00C31C21"/>
    <w:rsid w:val="00C32C2B"/>
    <w:rsid w:val="00C336B8"/>
    <w:rsid w:val="00C337A6"/>
    <w:rsid w:val="00C34432"/>
    <w:rsid w:val="00C35594"/>
    <w:rsid w:val="00C3628B"/>
    <w:rsid w:val="00C362C1"/>
    <w:rsid w:val="00C3658E"/>
    <w:rsid w:val="00C36BC8"/>
    <w:rsid w:val="00C36ECB"/>
    <w:rsid w:val="00C40492"/>
    <w:rsid w:val="00C40541"/>
    <w:rsid w:val="00C4086A"/>
    <w:rsid w:val="00C40A6D"/>
    <w:rsid w:val="00C40C11"/>
    <w:rsid w:val="00C42005"/>
    <w:rsid w:val="00C426E2"/>
    <w:rsid w:val="00C42725"/>
    <w:rsid w:val="00C42933"/>
    <w:rsid w:val="00C43880"/>
    <w:rsid w:val="00C439E4"/>
    <w:rsid w:val="00C43C60"/>
    <w:rsid w:val="00C449CC"/>
    <w:rsid w:val="00C44D9B"/>
    <w:rsid w:val="00C44F77"/>
    <w:rsid w:val="00C45406"/>
    <w:rsid w:val="00C45F18"/>
    <w:rsid w:val="00C4790A"/>
    <w:rsid w:val="00C5093D"/>
    <w:rsid w:val="00C52815"/>
    <w:rsid w:val="00C52CA0"/>
    <w:rsid w:val="00C532EF"/>
    <w:rsid w:val="00C54B90"/>
    <w:rsid w:val="00C5500D"/>
    <w:rsid w:val="00C554FB"/>
    <w:rsid w:val="00C55D45"/>
    <w:rsid w:val="00C5605D"/>
    <w:rsid w:val="00C566C6"/>
    <w:rsid w:val="00C56750"/>
    <w:rsid w:val="00C567C2"/>
    <w:rsid w:val="00C571FE"/>
    <w:rsid w:val="00C57AD4"/>
    <w:rsid w:val="00C60203"/>
    <w:rsid w:val="00C6044A"/>
    <w:rsid w:val="00C60554"/>
    <w:rsid w:val="00C623A5"/>
    <w:rsid w:val="00C627B1"/>
    <w:rsid w:val="00C63DF3"/>
    <w:rsid w:val="00C6589F"/>
    <w:rsid w:val="00C65E4B"/>
    <w:rsid w:val="00C66957"/>
    <w:rsid w:val="00C6749C"/>
    <w:rsid w:val="00C67CE2"/>
    <w:rsid w:val="00C71090"/>
    <w:rsid w:val="00C7157B"/>
    <w:rsid w:val="00C718E1"/>
    <w:rsid w:val="00C7218F"/>
    <w:rsid w:val="00C72673"/>
    <w:rsid w:val="00C73B7F"/>
    <w:rsid w:val="00C74DAE"/>
    <w:rsid w:val="00C75234"/>
    <w:rsid w:val="00C756D3"/>
    <w:rsid w:val="00C76396"/>
    <w:rsid w:val="00C7641C"/>
    <w:rsid w:val="00C77203"/>
    <w:rsid w:val="00C778CB"/>
    <w:rsid w:val="00C77977"/>
    <w:rsid w:val="00C80865"/>
    <w:rsid w:val="00C82E14"/>
    <w:rsid w:val="00C8474A"/>
    <w:rsid w:val="00C86A45"/>
    <w:rsid w:val="00C90B46"/>
    <w:rsid w:val="00C915B7"/>
    <w:rsid w:val="00C915E7"/>
    <w:rsid w:val="00C92EBE"/>
    <w:rsid w:val="00C93051"/>
    <w:rsid w:val="00C93455"/>
    <w:rsid w:val="00C9374E"/>
    <w:rsid w:val="00C941AB"/>
    <w:rsid w:val="00C943C7"/>
    <w:rsid w:val="00C959DE"/>
    <w:rsid w:val="00C96BFC"/>
    <w:rsid w:val="00C96D9C"/>
    <w:rsid w:val="00C975D7"/>
    <w:rsid w:val="00C97C5B"/>
    <w:rsid w:val="00C97D48"/>
    <w:rsid w:val="00CA0375"/>
    <w:rsid w:val="00CA0378"/>
    <w:rsid w:val="00CA0A4D"/>
    <w:rsid w:val="00CA13ED"/>
    <w:rsid w:val="00CA33A4"/>
    <w:rsid w:val="00CA3F27"/>
    <w:rsid w:val="00CA49E7"/>
    <w:rsid w:val="00CA59F3"/>
    <w:rsid w:val="00CA5FBA"/>
    <w:rsid w:val="00CA6049"/>
    <w:rsid w:val="00CA63C4"/>
    <w:rsid w:val="00CA6A7C"/>
    <w:rsid w:val="00CA74F3"/>
    <w:rsid w:val="00CB1A70"/>
    <w:rsid w:val="00CB2E60"/>
    <w:rsid w:val="00CB339A"/>
    <w:rsid w:val="00CB4740"/>
    <w:rsid w:val="00CB484E"/>
    <w:rsid w:val="00CB74A3"/>
    <w:rsid w:val="00CC01B8"/>
    <w:rsid w:val="00CC0486"/>
    <w:rsid w:val="00CC37BC"/>
    <w:rsid w:val="00CC4C90"/>
    <w:rsid w:val="00CC577F"/>
    <w:rsid w:val="00CC60ED"/>
    <w:rsid w:val="00CD0000"/>
    <w:rsid w:val="00CD04DF"/>
    <w:rsid w:val="00CD0662"/>
    <w:rsid w:val="00CD0828"/>
    <w:rsid w:val="00CD09A0"/>
    <w:rsid w:val="00CD2667"/>
    <w:rsid w:val="00CD4485"/>
    <w:rsid w:val="00CD672B"/>
    <w:rsid w:val="00CD6F11"/>
    <w:rsid w:val="00CD736E"/>
    <w:rsid w:val="00CD78EF"/>
    <w:rsid w:val="00CD7A44"/>
    <w:rsid w:val="00CD7C5F"/>
    <w:rsid w:val="00CE0E6D"/>
    <w:rsid w:val="00CE1B5D"/>
    <w:rsid w:val="00CE2C65"/>
    <w:rsid w:val="00CE3562"/>
    <w:rsid w:val="00CE3ABA"/>
    <w:rsid w:val="00CE4267"/>
    <w:rsid w:val="00CE4D88"/>
    <w:rsid w:val="00CF03EC"/>
    <w:rsid w:val="00CF096B"/>
    <w:rsid w:val="00CF2354"/>
    <w:rsid w:val="00CF33B3"/>
    <w:rsid w:val="00CF364C"/>
    <w:rsid w:val="00CF49E7"/>
    <w:rsid w:val="00CF547E"/>
    <w:rsid w:val="00CF6E73"/>
    <w:rsid w:val="00CF6EB0"/>
    <w:rsid w:val="00CF7252"/>
    <w:rsid w:val="00D02967"/>
    <w:rsid w:val="00D02BEF"/>
    <w:rsid w:val="00D03CA3"/>
    <w:rsid w:val="00D03E84"/>
    <w:rsid w:val="00D0419D"/>
    <w:rsid w:val="00D04D0E"/>
    <w:rsid w:val="00D05CAD"/>
    <w:rsid w:val="00D06380"/>
    <w:rsid w:val="00D068C4"/>
    <w:rsid w:val="00D069BE"/>
    <w:rsid w:val="00D07D1E"/>
    <w:rsid w:val="00D10D1A"/>
    <w:rsid w:val="00D11573"/>
    <w:rsid w:val="00D11972"/>
    <w:rsid w:val="00D11BF0"/>
    <w:rsid w:val="00D1208C"/>
    <w:rsid w:val="00D12752"/>
    <w:rsid w:val="00D146A8"/>
    <w:rsid w:val="00D15FF3"/>
    <w:rsid w:val="00D1605E"/>
    <w:rsid w:val="00D1666C"/>
    <w:rsid w:val="00D16A43"/>
    <w:rsid w:val="00D17D6B"/>
    <w:rsid w:val="00D202B5"/>
    <w:rsid w:val="00D20601"/>
    <w:rsid w:val="00D21EF6"/>
    <w:rsid w:val="00D21F14"/>
    <w:rsid w:val="00D22482"/>
    <w:rsid w:val="00D2248B"/>
    <w:rsid w:val="00D22E66"/>
    <w:rsid w:val="00D2302F"/>
    <w:rsid w:val="00D23882"/>
    <w:rsid w:val="00D252C9"/>
    <w:rsid w:val="00D258B8"/>
    <w:rsid w:val="00D2596C"/>
    <w:rsid w:val="00D26BBE"/>
    <w:rsid w:val="00D27804"/>
    <w:rsid w:val="00D27901"/>
    <w:rsid w:val="00D3026D"/>
    <w:rsid w:val="00D3107B"/>
    <w:rsid w:val="00D31B5C"/>
    <w:rsid w:val="00D3230B"/>
    <w:rsid w:val="00D33940"/>
    <w:rsid w:val="00D33A79"/>
    <w:rsid w:val="00D34EFC"/>
    <w:rsid w:val="00D3520D"/>
    <w:rsid w:val="00D359D0"/>
    <w:rsid w:val="00D36230"/>
    <w:rsid w:val="00D368A0"/>
    <w:rsid w:val="00D369F5"/>
    <w:rsid w:val="00D37117"/>
    <w:rsid w:val="00D4036D"/>
    <w:rsid w:val="00D409A8"/>
    <w:rsid w:val="00D413DF"/>
    <w:rsid w:val="00D41874"/>
    <w:rsid w:val="00D42393"/>
    <w:rsid w:val="00D444FA"/>
    <w:rsid w:val="00D4459B"/>
    <w:rsid w:val="00D45576"/>
    <w:rsid w:val="00D463E3"/>
    <w:rsid w:val="00D474F5"/>
    <w:rsid w:val="00D47624"/>
    <w:rsid w:val="00D478F1"/>
    <w:rsid w:val="00D5129A"/>
    <w:rsid w:val="00D52121"/>
    <w:rsid w:val="00D527C5"/>
    <w:rsid w:val="00D52EDC"/>
    <w:rsid w:val="00D52FB0"/>
    <w:rsid w:val="00D530C2"/>
    <w:rsid w:val="00D534C7"/>
    <w:rsid w:val="00D534FC"/>
    <w:rsid w:val="00D53796"/>
    <w:rsid w:val="00D53E14"/>
    <w:rsid w:val="00D55415"/>
    <w:rsid w:val="00D55B6F"/>
    <w:rsid w:val="00D55B8C"/>
    <w:rsid w:val="00D56B81"/>
    <w:rsid w:val="00D56F79"/>
    <w:rsid w:val="00D570A0"/>
    <w:rsid w:val="00D57A86"/>
    <w:rsid w:val="00D61BEC"/>
    <w:rsid w:val="00D61F06"/>
    <w:rsid w:val="00D626DD"/>
    <w:rsid w:val="00D62B72"/>
    <w:rsid w:val="00D632A8"/>
    <w:rsid w:val="00D6393D"/>
    <w:rsid w:val="00D642F1"/>
    <w:rsid w:val="00D64595"/>
    <w:rsid w:val="00D646B2"/>
    <w:rsid w:val="00D64A33"/>
    <w:rsid w:val="00D653AB"/>
    <w:rsid w:val="00D65F23"/>
    <w:rsid w:val="00D65FCF"/>
    <w:rsid w:val="00D6776D"/>
    <w:rsid w:val="00D70A1A"/>
    <w:rsid w:val="00D70EFF"/>
    <w:rsid w:val="00D71C8D"/>
    <w:rsid w:val="00D72999"/>
    <w:rsid w:val="00D742DD"/>
    <w:rsid w:val="00D7516A"/>
    <w:rsid w:val="00D756A6"/>
    <w:rsid w:val="00D75BF7"/>
    <w:rsid w:val="00D75C4C"/>
    <w:rsid w:val="00D76AE1"/>
    <w:rsid w:val="00D772DC"/>
    <w:rsid w:val="00D803AE"/>
    <w:rsid w:val="00D8080B"/>
    <w:rsid w:val="00D80B9D"/>
    <w:rsid w:val="00D8179D"/>
    <w:rsid w:val="00D8227E"/>
    <w:rsid w:val="00D825A9"/>
    <w:rsid w:val="00D82FD5"/>
    <w:rsid w:val="00D8301B"/>
    <w:rsid w:val="00D838C9"/>
    <w:rsid w:val="00D84150"/>
    <w:rsid w:val="00D85193"/>
    <w:rsid w:val="00D85983"/>
    <w:rsid w:val="00D85C35"/>
    <w:rsid w:val="00D86CA4"/>
    <w:rsid w:val="00D90363"/>
    <w:rsid w:val="00D91052"/>
    <w:rsid w:val="00D917CA"/>
    <w:rsid w:val="00D92B9D"/>
    <w:rsid w:val="00D93BBB"/>
    <w:rsid w:val="00D95A50"/>
    <w:rsid w:val="00D9631A"/>
    <w:rsid w:val="00D966D7"/>
    <w:rsid w:val="00D96DDD"/>
    <w:rsid w:val="00D976E6"/>
    <w:rsid w:val="00D978F8"/>
    <w:rsid w:val="00D97AD6"/>
    <w:rsid w:val="00D97C93"/>
    <w:rsid w:val="00DA0407"/>
    <w:rsid w:val="00DA0DB0"/>
    <w:rsid w:val="00DA1A70"/>
    <w:rsid w:val="00DA2189"/>
    <w:rsid w:val="00DA46FE"/>
    <w:rsid w:val="00DA5E69"/>
    <w:rsid w:val="00DA7585"/>
    <w:rsid w:val="00DA7A3D"/>
    <w:rsid w:val="00DA7B97"/>
    <w:rsid w:val="00DA7C15"/>
    <w:rsid w:val="00DB08C4"/>
    <w:rsid w:val="00DB1505"/>
    <w:rsid w:val="00DB1775"/>
    <w:rsid w:val="00DB1FFC"/>
    <w:rsid w:val="00DB2584"/>
    <w:rsid w:val="00DB2950"/>
    <w:rsid w:val="00DB2EB6"/>
    <w:rsid w:val="00DB367F"/>
    <w:rsid w:val="00DB3F58"/>
    <w:rsid w:val="00DB4063"/>
    <w:rsid w:val="00DB507D"/>
    <w:rsid w:val="00DB55DD"/>
    <w:rsid w:val="00DB6669"/>
    <w:rsid w:val="00DB687A"/>
    <w:rsid w:val="00DB6984"/>
    <w:rsid w:val="00DB7134"/>
    <w:rsid w:val="00DB7259"/>
    <w:rsid w:val="00DB7AAA"/>
    <w:rsid w:val="00DB7DA6"/>
    <w:rsid w:val="00DC03D6"/>
    <w:rsid w:val="00DC202D"/>
    <w:rsid w:val="00DC24A4"/>
    <w:rsid w:val="00DC2C14"/>
    <w:rsid w:val="00DC2E5C"/>
    <w:rsid w:val="00DC3321"/>
    <w:rsid w:val="00DC42E7"/>
    <w:rsid w:val="00DC4328"/>
    <w:rsid w:val="00DC4A5A"/>
    <w:rsid w:val="00DC4A5D"/>
    <w:rsid w:val="00DC4C20"/>
    <w:rsid w:val="00DC5756"/>
    <w:rsid w:val="00DC61BC"/>
    <w:rsid w:val="00DC626F"/>
    <w:rsid w:val="00DC6431"/>
    <w:rsid w:val="00DC6548"/>
    <w:rsid w:val="00DC6754"/>
    <w:rsid w:val="00DC690C"/>
    <w:rsid w:val="00DC79BB"/>
    <w:rsid w:val="00DC7BE6"/>
    <w:rsid w:val="00DD0F07"/>
    <w:rsid w:val="00DD14E4"/>
    <w:rsid w:val="00DD18B4"/>
    <w:rsid w:val="00DD1C4A"/>
    <w:rsid w:val="00DD3D2B"/>
    <w:rsid w:val="00DD41E0"/>
    <w:rsid w:val="00DD42D1"/>
    <w:rsid w:val="00DD460C"/>
    <w:rsid w:val="00DD48EC"/>
    <w:rsid w:val="00DD5C3F"/>
    <w:rsid w:val="00DD5DDA"/>
    <w:rsid w:val="00DD6CFC"/>
    <w:rsid w:val="00DE0D0A"/>
    <w:rsid w:val="00DE13FA"/>
    <w:rsid w:val="00DE1C4B"/>
    <w:rsid w:val="00DE2E55"/>
    <w:rsid w:val="00DE2F28"/>
    <w:rsid w:val="00DE3E22"/>
    <w:rsid w:val="00DE40D2"/>
    <w:rsid w:val="00DF1A12"/>
    <w:rsid w:val="00DF381F"/>
    <w:rsid w:val="00DF4A0E"/>
    <w:rsid w:val="00DF51A1"/>
    <w:rsid w:val="00DF57D1"/>
    <w:rsid w:val="00DF663E"/>
    <w:rsid w:val="00DF6DF1"/>
    <w:rsid w:val="00DF6FAF"/>
    <w:rsid w:val="00E006FF"/>
    <w:rsid w:val="00E0092A"/>
    <w:rsid w:val="00E00CA2"/>
    <w:rsid w:val="00E01348"/>
    <w:rsid w:val="00E01C4A"/>
    <w:rsid w:val="00E027A8"/>
    <w:rsid w:val="00E03BE3"/>
    <w:rsid w:val="00E03EC7"/>
    <w:rsid w:val="00E0405A"/>
    <w:rsid w:val="00E04261"/>
    <w:rsid w:val="00E04721"/>
    <w:rsid w:val="00E04EFA"/>
    <w:rsid w:val="00E0645E"/>
    <w:rsid w:val="00E110EB"/>
    <w:rsid w:val="00E124ED"/>
    <w:rsid w:val="00E142EF"/>
    <w:rsid w:val="00E147A5"/>
    <w:rsid w:val="00E14CF9"/>
    <w:rsid w:val="00E14DAD"/>
    <w:rsid w:val="00E15EAD"/>
    <w:rsid w:val="00E16436"/>
    <w:rsid w:val="00E178D1"/>
    <w:rsid w:val="00E17B64"/>
    <w:rsid w:val="00E20195"/>
    <w:rsid w:val="00E207F4"/>
    <w:rsid w:val="00E213B0"/>
    <w:rsid w:val="00E213DF"/>
    <w:rsid w:val="00E21E1E"/>
    <w:rsid w:val="00E24614"/>
    <w:rsid w:val="00E25035"/>
    <w:rsid w:val="00E25E07"/>
    <w:rsid w:val="00E2782D"/>
    <w:rsid w:val="00E30211"/>
    <w:rsid w:val="00E30CB1"/>
    <w:rsid w:val="00E311A7"/>
    <w:rsid w:val="00E31C06"/>
    <w:rsid w:val="00E3226E"/>
    <w:rsid w:val="00E34539"/>
    <w:rsid w:val="00E3462F"/>
    <w:rsid w:val="00E36AD9"/>
    <w:rsid w:val="00E36BCA"/>
    <w:rsid w:val="00E41428"/>
    <w:rsid w:val="00E44F39"/>
    <w:rsid w:val="00E45199"/>
    <w:rsid w:val="00E45688"/>
    <w:rsid w:val="00E4585E"/>
    <w:rsid w:val="00E46412"/>
    <w:rsid w:val="00E468A5"/>
    <w:rsid w:val="00E52ED5"/>
    <w:rsid w:val="00E531D3"/>
    <w:rsid w:val="00E53777"/>
    <w:rsid w:val="00E538A0"/>
    <w:rsid w:val="00E54193"/>
    <w:rsid w:val="00E55CB9"/>
    <w:rsid w:val="00E56068"/>
    <w:rsid w:val="00E56772"/>
    <w:rsid w:val="00E5698A"/>
    <w:rsid w:val="00E572AD"/>
    <w:rsid w:val="00E627FF"/>
    <w:rsid w:val="00E6482D"/>
    <w:rsid w:val="00E653DC"/>
    <w:rsid w:val="00E65553"/>
    <w:rsid w:val="00E666ED"/>
    <w:rsid w:val="00E67140"/>
    <w:rsid w:val="00E67144"/>
    <w:rsid w:val="00E67D1C"/>
    <w:rsid w:val="00E67DB5"/>
    <w:rsid w:val="00E70132"/>
    <w:rsid w:val="00E702BC"/>
    <w:rsid w:val="00E70920"/>
    <w:rsid w:val="00E7190C"/>
    <w:rsid w:val="00E7198B"/>
    <w:rsid w:val="00E739BE"/>
    <w:rsid w:val="00E741D1"/>
    <w:rsid w:val="00E74ED7"/>
    <w:rsid w:val="00E76E81"/>
    <w:rsid w:val="00E76F14"/>
    <w:rsid w:val="00E7707F"/>
    <w:rsid w:val="00E77489"/>
    <w:rsid w:val="00E77AD1"/>
    <w:rsid w:val="00E80D35"/>
    <w:rsid w:val="00E81CCD"/>
    <w:rsid w:val="00E81F81"/>
    <w:rsid w:val="00E84525"/>
    <w:rsid w:val="00E84AE8"/>
    <w:rsid w:val="00E85903"/>
    <w:rsid w:val="00E8769B"/>
    <w:rsid w:val="00E90383"/>
    <w:rsid w:val="00E91A95"/>
    <w:rsid w:val="00E92783"/>
    <w:rsid w:val="00E93D3C"/>
    <w:rsid w:val="00E93FD5"/>
    <w:rsid w:val="00E94A74"/>
    <w:rsid w:val="00E94B9C"/>
    <w:rsid w:val="00E959D0"/>
    <w:rsid w:val="00E9646D"/>
    <w:rsid w:val="00E96B8E"/>
    <w:rsid w:val="00E976BF"/>
    <w:rsid w:val="00EA0025"/>
    <w:rsid w:val="00EA12A8"/>
    <w:rsid w:val="00EA28E0"/>
    <w:rsid w:val="00EA2D31"/>
    <w:rsid w:val="00EA436F"/>
    <w:rsid w:val="00EA4A35"/>
    <w:rsid w:val="00EA4CCB"/>
    <w:rsid w:val="00EA52BA"/>
    <w:rsid w:val="00EA53BC"/>
    <w:rsid w:val="00EA5DA2"/>
    <w:rsid w:val="00EA6CBF"/>
    <w:rsid w:val="00EA740B"/>
    <w:rsid w:val="00EB013A"/>
    <w:rsid w:val="00EB36AB"/>
    <w:rsid w:val="00EB3D0A"/>
    <w:rsid w:val="00EB4554"/>
    <w:rsid w:val="00EB5D80"/>
    <w:rsid w:val="00EB6C1A"/>
    <w:rsid w:val="00EC2292"/>
    <w:rsid w:val="00EC3F14"/>
    <w:rsid w:val="00EC4227"/>
    <w:rsid w:val="00EC6425"/>
    <w:rsid w:val="00ED1487"/>
    <w:rsid w:val="00ED3185"/>
    <w:rsid w:val="00ED397C"/>
    <w:rsid w:val="00ED41BB"/>
    <w:rsid w:val="00ED4840"/>
    <w:rsid w:val="00ED48EC"/>
    <w:rsid w:val="00ED4A66"/>
    <w:rsid w:val="00ED4C0A"/>
    <w:rsid w:val="00ED6517"/>
    <w:rsid w:val="00ED684B"/>
    <w:rsid w:val="00ED7BE8"/>
    <w:rsid w:val="00ED7E58"/>
    <w:rsid w:val="00ED7FEE"/>
    <w:rsid w:val="00EE0788"/>
    <w:rsid w:val="00EE1749"/>
    <w:rsid w:val="00EE18CA"/>
    <w:rsid w:val="00EE1E9E"/>
    <w:rsid w:val="00EE1F9B"/>
    <w:rsid w:val="00EE20B2"/>
    <w:rsid w:val="00EE597C"/>
    <w:rsid w:val="00EE7B13"/>
    <w:rsid w:val="00EE7B1F"/>
    <w:rsid w:val="00EF1932"/>
    <w:rsid w:val="00EF2292"/>
    <w:rsid w:val="00EF3056"/>
    <w:rsid w:val="00EF3C48"/>
    <w:rsid w:val="00EF469C"/>
    <w:rsid w:val="00EF4B36"/>
    <w:rsid w:val="00EF5DEC"/>
    <w:rsid w:val="00EF6EA6"/>
    <w:rsid w:val="00EF784F"/>
    <w:rsid w:val="00F012A0"/>
    <w:rsid w:val="00F01840"/>
    <w:rsid w:val="00F02CAC"/>
    <w:rsid w:val="00F02E21"/>
    <w:rsid w:val="00F036B9"/>
    <w:rsid w:val="00F03DFF"/>
    <w:rsid w:val="00F0464B"/>
    <w:rsid w:val="00F0521D"/>
    <w:rsid w:val="00F0555C"/>
    <w:rsid w:val="00F0573F"/>
    <w:rsid w:val="00F05BB5"/>
    <w:rsid w:val="00F05D97"/>
    <w:rsid w:val="00F07CD1"/>
    <w:rsid w:val="00F1183D"/>
    <w:rsid w:val="00F12621"/>
    <w:rsid w:val="00F14CF2"/>
    <w:rsid w:val="00F1534E"/>
    <w:rsid w:val="00F1613E"/>
    <w:rsid w:val="00F1622C"/>
    <w:rsid w:val="00F163D0"/>
    <w:rsid w:val="00F178F6"/>
    <w:rsid w:val="00F2143F"/>
    <w:rsid w:val="00F21CB4"/>
    <w:rsid w:val="00F21FAA"/>
    <w:rsid w:val="00F22DF8"/>
    <w:rsid w:val="00F24CD8"/>
    <w:rsid w:val="00F254D2"/>
    <w:rsid w:val="00F26538"/>
    <w:rsid w:val="00F26793"/>
    <w:rsid w:val="00F31F00"/>
    <w:rsid w:val="00F32AE4"/>
    <w:rsid w:val="00F32D77"/>
    <w:rsid w:val="00F3353E"/>
    <w:rsid w:val="00F33555"/>
    <w:rsid w:val="00F33B5F"/>
    <w:rsid w:val="00F34B5B"/>
    <w:rsid w:val="00F3521A"/>
    <w:rsid w:val="00F37D86"/>
    <w:rsid w:val="00F37DC4"/>
    <w:rsid w:val="00F40385"/>
    <w:rsid w:val="00F40F70"/>
    <w:rsid w:val="00F411C9"/>
    <w:rsid w:val="00F413DC"/>
    <w:rsid w:val="00F42031"/>
    <w:rsid w:val="00F422A5"/>
    <w:rsid w:val="00F42DD2"/>
    <w:rsid w:val="00F4327A"/>
    <w:rsid w:val="00F43C10"/>
    <w:rsid w:val="00F46711"/>
    <w:rsid w:val="00F475E0"/>
    <w:rsid w:val="00F47938"/>
    <w:rsid w:val="00F50E17"/>
    <w:rsid w:val="00F52886"/>
    <w:rsid w:val="00F52AA4"/>
    <w:rsid w:val="00F52EAC"/>
    <w:rsid w:val="00F52F30"/>
    <w:rsid w:val="00F53724"/>
    <w:rsid w:val="00F54162"/>
    <w:rsid w:val="00F548EF"/>
    <w:rsid w:val="00F54AB3"/>
    <w:rsid w:val="00F54B5D"/>
    <w:rsid w:val="00F54DF6"/>
    <w:rsid w:val="00F57918"/>
    <w:rsid w:val="00F57E68"/>
    <w:rsid w:val="00F615BE"/>
    <w:rsid w:val="00F61F38"/>
    <w:rsid w:val="00F623FE"/>
    <w:rsid w:val="00F62FB5"/>
    <w:rsid w:val="00F63272"/>
    <w:rsid w:val="00F6398D"/>
    <w:rsid w:val="00F63C8B"/>
    <w:rsid w:val="00F642E7"/>
    <w:rsid w:val="00F64AF9"/>
    <w:rsid w:val="00F6509E"/>
    <w:rsid w:val="00F650A3"/>
    <w:rsid w:val="00F65FD3"/>
    <w:rsid w:val="00F66BF8"/>
    <w:rsid w:val="00F66F1E"/>
    <w:rsid w:val="00F670B6"/>
    <w:rsid w:val="00F71026"/>
    <w:rsid w:val="00F71C34"/>
    <w:rsid w:val="00F72A3A"/>
    <w:rsid w:val="00F72AFB"/>
    <w:rsid w:val="00F72B6D"/>
    <w:rsid w:val="00F72E49"/>
    <w:rsid w:val="00F738A4"/>
    <w:rsid w:val="00F73EBA"/>
    <w:rsid w:val="00F740FB"/>
    <w:rsid w:val="00F74589"/>
    <w:rsid w:val="00F74D44"/>
    <w:rsid w:val="00F757E1"/>
    <w:rsid w:val="00F824D6"/>
    <w:rsid w:val="00F8255C"/>
    <w:rsid w:val="00F82C0B"/>
    <w:rsid w:val="00F835F3"/>
    <w:rsid w:val="00F84F7D"/>
    <w:rsid w:val="00F855FE"/>
    <w:rsid w:val="00F85FD6"/>
    <w:rsid w:val="00F903AD"/>
    <w:rsid w:val="00F90ABA"/>
    <w:rsid w:val="00F90C80"/>
    <w:rsid w:val="00F90D03"/>
    <w:rsid w:val="00F91C38"/>
    <w:rsid w:val="00F91DC4"/>
    <w:rsid w:val="00F92660"/>
    <w:rsid w:val="00F92F9D"/>
    <w:rsid w:val="00F943A8"/>
    <w:rsid w:val="00F951B5"/>
    <w:rsid w:val="00F96794"/>
    <w:rsid w:val="00F967B7"/>
    <w:rsid w:val="00F96A62"/>
    <w:rsid w:val="00F979D3"/>
    <w:rsid w:val="00F97DF3"/>
    <w:rsid w:val="00FA14F4"/>
    <w:rsid w:val="00FA1775"/>
    <w:rsid w:val="00FA1CFD"/>
    <w:rsid w:val="00FA27F6"/>
    <w:rsid w:val="00FA28D1"/>
    <w:rsid w:val="00FA2948"/>
    <w:rsid w:val="00FA3681"/>
    <w:rsid w:val="00FA3EF2"/>
    <w:rsid w:val="00FA5DFF"/>
    <w:rsid w:val="00FA66BF"/>
    <w:rsid w:val="00FA6AFD"/>
    <w:rsid w:val="00FA6B0D"/>
    <w:rsid w:val="00FA7DBF"/>
    <w:rsid w:val="00FB09E3"/>
    <w:rsid w:val="00FB0A23"/>
    <w:rsid w:val="00FB24A0"/>
    <w:rsid w:val="00FB2738"/>
    <w:rsid w:val="00FB279C"/>
    <w:rsid w:val="00FB2F2B"/>
    <w:rsid w:val="00FB3350"/>
    <w:rsid w:val="00FB3A9A"/>
    <w:rsid w:val="00FB402B"/>
    <w:rsid w:val="00FB45E6"/>
    <w:rsid w:val="00FB49B0"/>
    <w:rsid w:val="00FB6621"/>
    <w:rsid w:val="00FB6E9D"/>
    <w:rsid w:val="00FC0721"/>
    <w:rsid w:val="00FC0DBB"/>
    <w:rsid w:val="00FC1126"/>
    <w:rsid w:val="00FC182F"/>
    <w:rsid w:val="00FC2211"/>
    <w:rsid w:val="00FC2389"/>
    <w:rsid w:val="00FC2A36"/>
    <w:rsid w:val="00FC2AD2"/>
    <w:rsid w:val="00FC3BD9"/>
    <w:rsid w:val="00FC520E"/>
    <w:rsid w:val="00FC5401"/>
    <w:rsid w:val="00FC5896"/>
    <w:rsid w:val="00FC5E1C"/>
    <w:rsid w:val="00FC7140"/>
    <w:rsid w:val="00FD0E1E"/>
    <w:rsid w:val="00FD1B5A"/>
    <w:rsid w:val="00FD2191"/>
    <w:rsid w:val="00FD2570"/>
    <w:rsid w:val="00FD3380"/>
    <w:rsid w:val="00FD4A6B"/>
    <w:rsid w:val="00FD4F7F"/>
    <w:rsid w:val="00FD61B0"/>
    <w:rsid w:val="00FD6220"/>
    <w:rsid w:val="00FD6B3F"/>
    <w:rsid w:val="00FD7826"/>
    <w:rsid w:val="00FD7EAB"/>
    <w:rsid w:val="00FE0006"/>
    <w:rsid w:val="00FE0AEF"/>
    <w:rsid w:val="00FE1238"/>
    <w:rsid w:val="00FE1E82"/>
    <w:rsid w:val="00FE3837"/>
    <w:rsid w:val="00FE43E2"/>
    <w:rsid w:val="00FE4BF1"/>
    <w:rsid w:val="00FE5D1A"/>
    <w:rsid w:val="00FE5D28"/>
    <w:rsid w:val="00FE5E39"/>
    <w:rsid w:val="00FE5F3E"/>
    <w:rsid w:val="00FE5FE9"/>
    <w:rsid w:val="00FF0647"/>
    <w:rsid w:val="00FF0EA9"/>
    <w:rsid w:val="00FF19CE"/>
    <w:rsid w:val="00FF1B85"/>
    <w:rsid w:val="00FF1DDC"/>
    <w:rsid w:val="00FF1E7C"/>
    <w:rsid w:val="00FF27A2"/>
    <w:rsid w:val="00FF291D"/>
    <w:rsid w:val="00FF312D"/>
    <w:rsid w:val="00FF5214"/>
    <w:rsid w:val="00FF5290"/>
    <w:rsid w:val="00FF5F49"/>
    <w:rsid w:val="00FF6C4E"/>
    <w:rsid w:val="00FF6EC3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F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20"/>
    <w:rPr>
      <w:rFonts w:ascii="GHEA Grapalat" w:hAnsi="GHEA Grapalat"/>
      <w:color w:val="0070C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5A20"/>
    <w:rPr>
      <w:rFonts w:ascii="GHEA Grapalat" w:eastAsia="Times New Roman" w:hAnsi="GHEA Grapalat"/>
      <w:color w:val="0070C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aliases w:val="Akapit z listą BS,List Paragraph2,Bullets,List Paragraph nowy,List Paragraph (numbered (a)),Liste 1,List Paragraph 1,List_Paragraph,Multilevel para_II,References,IBL List Paragraph,Numbered List Paragraph,Bullet1,List Paragraph4,OBC Bulle"/>
    <w:basedOn w:val="Normal"/>
    <w:link w:val="ListParagraphChar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54F03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ListParagraphChar">
    <w:name w:val="List Paragraph Char"/>
    <w:aliases w:val="Akapit z listą BS Char,List Paragraph2 Char,Bullets Char,List Paragraph nowy Char,List Paragraph (numbered (a)) Char,Liste 1 Char,List Paragraph 1 Char,List_Paragraph Char,Multilevel para_II Char,References Char,Bullet1 Char"/>
    <w:link w:val="ListParagraph"/>
    <w:qFormat/>
    <w:locked/>
    <w:rsid w:val="00990B8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20"/>
    <w:rPr>
      <w:rFonts w:ascii="GHEA Grapalat" w:hAnsi="GHEA Grapalat"/>
      <w:color w:val="0070C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5A20"/>
    <w:rPr>
      <w:rFonts w:ascii="GHEA Grapalat" w:eastAsia="Times New Roman" w:hAnsi="GHEA Grapalat"/>
      <w:color w:val="0070C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aliases w:val="Akapit z listą BS,List Paragraph2,Bullets,List Paragraph nowy,List Paragraph (numbered (a)),Liste 1,List Paragraph 1,List_Paragraph,Multilevel para_II,References,IBL List Paragraph,Numbered List Paragraph,Bullet1,List Paragraph4,OBC Bulle"/>
    <w:basedOn w:val="Normal"/>
    <w:link w:val="ListParagraphChar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54F03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ListParagraphChar">
    <w:name w:val="List Paragraph Char"/>
    <w:aliases w:val="Akapit z listą BS Char,List Paragraph2 Char,Bullets Char,List Paragraph nowy Char,List Paragraph (numbered (a)) Char,Liste 1 Char,List Paragraph 1 Char,List_Paragraph Char,Multilevel para_II Char,References Char,Bullet1 Char"/>
    <w:link w:val="ListParagraph"/>
    <w:qFormat/>
    <w:locked/>
    <w:rsid w:val="00990B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D9CF-E873-4CD1-B8D6-86F31409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19</Pages>
  <Words>5179</Words>
  <Characters>29524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Varduhi</dc:creator>
  <cp:keywords>https:/mul2-minfin.gov.am/tasks/371599/oneclick/August.docx?token=44c2bf31e8b651e8cd98923d7eeb175f</cp:keywords>
  <cp:lastModifiedBy>Emma Ghaytanjyan</cp:lastModifiedBy>
  <cp:revision>27</cp:revision>
  <cp:lastPrinted>2021-10-29T07:06:00Z</cp:lastPrinted>
  <dcterms:created xsi:type="dcterms:W3CDTF">2021-10-29T11:47:00Z</dcterms:created>
  <dcterms:modified xsi:type="dcterms:W3CDTF">2021-11-08T11:29:00Z</dcterms:modified>
</cp:coreProperties>
</file>