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B5" w:rsidRPr="003A059B" w:rsidRDefault="00B675B5" w:rsidP="00B675B5">
      <w:pPr>
        <w:spacing w:line="360" w:lineRule="auto"/>
        <w:jc w:val="center"/>
        <w:rPr>
          <w:rFonts w:ascii="GHEA Grapalat" w:hAnsi="GHEA Grapalat" w:cs="GHEA Grapalat"/>
          <w:b/>
        </w:rPr>
      </w:pPr>
      <w:bookmarkStart w:id="0" w:name="OLE_LINK1"/>
      <w:r w:rsidRPr="003A059B">
        <w:rPr>
          <w:rFonts w:ascii="GHEA Grapalat" w:hAnsi="GHEA Grapalat" w:cs="GHEA Grapalat"/>
          <w:b/>
        </w:rPr>
        <w:t xml:space="preserve">ՀՀ պետական բյուջեի կատարման ամփոփ բնութագիր </w:t>
      </w:r>
    </w:p>
    <w:p w:rsidR="00B675B5" w:rsidRPr="003A059B" w:rsidRDefault="00B675B5" w:rsidP="00B675B5">
      <w:pPr>
        <w:spacing w:line="360" w:lineRule="auto"/>
        <w:jc w:val="center"/>
        <w:rPr>
          <w:rFonts w:ascii="GHEA Grapalat" w:hAnsi="GHEA Grapalat" w:cs="GHEA Grapalat"/>
          <w:b/>
        </w:rPr>
      </w:pPr>
      <w:r w:rsidRPr="003A059B">
        <w:rPr>
          <w:rFonts w:ascii="GHEA Grapalat" w:hAnsi="GHEA Grapalat" w:cs="GHEA Grapalat"/>
          <w:b/>
        </w:rPr>
        <w:t xml:space="preserve">2023 թվականի </w:t>
      </w:r>
      <w:r w:rsidRPr="003A059B">
        <w:rPr>
          <w:rFonts w:ascii="GHEA Grapalat" w:hAnsi="GHEA Grapalat" w:cs="Sylfaen"/>
          <w:b/>
        </w:rPr>
        <w:t>հունվար-</w:t>
      </w:r>
      <w:r w:rsidR="004256F0">
        <w:rPr>
          <w:rFonts w:ascii="GHEA Grapalat" w:hAnsi="GHEA Grapalat" w:cs="Sylfaen"/>
          <w:b/>
        </w:rPr>
        <w:t>օգոստոս</w:t>
      </w:r>
      <w:r w:rsidRPr="003A059B">
        <w:rPr>
          <w:rFonts w:ascii="GHEA Grapalat" w:hAnsi="GHEA Grapalat" w:cs="GHEA Grapalat"/>
          <w:color w:val="000000"/>
        </w:rPr>
        <w:t xml:space="preserve"> </w:t>
      </w:r>
      <w:r w:rsidRPr="003A059B">
        <w:rPr>
          <w:rFonts w:ascii="GHEA Grapalat" w:hAnsi="GHEA Grapalat" w:cs="Sylfaen"/>
          <w:b/>
        </w:rPr>
        <w:t>ամիսներին</w:t>
      </w:r>
      <w:r w:rsidRPr="003A059B">
        <w:rPr>
          <w:rStyle w:val="FootnoteReference"/>
          <w:rFonts w:ascii="GHEA Grapalat" w:hAnsi="GHEA Grapalat" w:cs="GHEA Grapalat"/>
          <w:b/>
        </w:rPr>
        <w:footnoteReference w:id="1"/>
      </w:r>
    </w:p>
    <w:p w:rsidR="003862E9" w:rsidRPr="003A059B" w:rsidRDefault="003862E9" w:rsidP="003862E9">
      <w:pPr>
        <w:spacing w:line="360" w:lineRule="auto"/>
        <w:jc w:val="center"/>
        <w:rPr>
          <w:rFonts w:ascii="GHEA Grapalat" w:hAnsi="GHEA Grapalat" w:cs="GHEA Grapalat"/>
          <w:b/>
        </w:rPr>
      </w:pPr>
    </w:p>
    <w:bookmarkEnd w:id="0"/>
    <w:p w:rsidR="00901957" w:rsidRPr="003A059B" w:rsidRDefault="00D10047" w:rsidP="003862E9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3A059B">
        <w:rPr>
          <w:rFonts w:ascii="GHEA Grapalat" w:hAnsi="GHEA Grapalat" w:cs="GHEA Grapalat"/>
          <w:color w:val="000000"/>
        </w:rPr>
        <w:t xml:space="preserve">2023 թվականի </w:t>
      </w:r>
      <w:r w:rsidR="00B675B5" w:rsidRPr="003A059B">
        <w:rPr>
          <w:rFonts w:ascii="GHEA Grapalat" w:hAnsi="GHEA Grapalat" w:cs="GHEA Grapalat"/>
          <w:color w:val="000000"/>
        </w:rPr>
        <w:t>հունվար-</w:t>
      </w:r>
      <w:r w:rsidR="004256F0">
        <w:rPr>
          <w:rFonts w:ascii="GHEA Grapalat" w:hAnsi="GHEA Grapalat" w:cs="GHEA Grapalat"/>
          <w:color w:val="000000"/>
        </w:rPr>
        <w:t>օգոստոս</w:t>
      </w:r>
      <w:r w:rsidR="00B675B5" w:rsidRPr="003A059B">
        <w:rPr>
          <w:rFonts w:ascii="GHEA Grapalat" w:hAnsi="GHEA Grapalat" w:cs="GHEA Grapalat"/>
          <w:color w:val="000000"/>
        </w:rPr>
        <w:t xml:space="preserve"> ամիսներին </w:t>
      </w:r>
      <w:r w:rsidR="00FD61B0" w:rsidRPr="003A059B">
        <w:rPr>
          <w:rFonts w:ascii="GHEA Grapalat" w:hAnsi="GHEA Grapalat" w:cs="GHEA Grapalat"/>
          <w:color w:val="000000"/>
        </w:rPr>
        <w:t xml:space="preserve">ՀՀ պետական բյուջեի եկամուտները կազմել են </w:t>
      </w:r>
      <w:r w:rsidR="003F78CD" w:rsidRPr="003A059B">
        <w:rPr>
          <w:rFonts w:ascii="GHEA Grapalat" w:hAnsi="GHEA Grapalat" w:cs="GHEA Grapalat"/>
          <w:color w:val="000000"/>
        </w:rPr>
        <w:t>1,</w:t>
      </w:r>
      <w:r w:rsidR="00795916">
        <w:rPr>
          <w:rFonts w:ascii="GHEA Grapalat" w:hAnsi="GHEA Grapalat" w:cs="GHEA Grapalat"/>
          <w:color w:val="000000"/>
        </w:rPr>
        <w:t>502</w:t>
      </w:r>
      <w:r w:rsidR="001C7954" w:rsidRPr="003A059B">
        <w:rPr>
          <w:rFonts w:ascii="GHEA Grapalat" w:hAnsi="GHEA Grapalat" w:cs="GHEA Grapalat"/>
          <w:color w:val="000000"/>
        </w:rPr>
        <w:t>.</w:t>
      </w:r>
      <w:r w:rsidR="00795916">
        <w:rPr>
          <w:rFonts w:ascii="GHEA Grapalat" w:hAnsi="GHEA Grapalat" w:cs="GHEA Grapalat"/>
          <w:color w:val="000000"/>
        </w:rPr>
        <w:t>2</w:t>
      </w:r>
      <w:r w:rsidR="003F78CD" w:rsidRPr="003A059B">
        <w:rPr>
          <w:rFonts w:ascii="GHEA Grapalat" w:hAnsi="GHEA Grapalat" w:cs="GHEA Grapalat"/>
          <w:color w:val="000000"/>
        </w:rPr>
        <w:t xml:space="preserve"> </w:t>
      </w:r>
      <w:r w:rsidR="00FD61B0" w:rsidRPr="003A059B">
        <w:rPr>
          <w:rFonts w:ascii="GHEA Grapalat" w:hAnsi="GHEA Grapalat" w:cs="GHEA Grapalat"/>
          <w:color w:val="000000"/>
        </w:rPr>
        <w:t xml:space="preserve">մլրդ դրամ, ծախսերը` </w:t>
      </w:r>
      <w:r w:rsidR="003F78CD" w:rsidRPr="003A059B">
        <w:rPr>
          <w:rFonts w:ascii="GHEA Grapalat" w:hAnsi="GHEA Grapalat" w:cs="GHEA Grapalat"/>
          <w:color w:val="000000"/>
        </w:rPr>
        <w:t>1,</w:t>
      </w:r>
      <w:r w:rsidR="00795916">
        <w:rPr>
          <w:rFonts w:ascii="GHEA Grapalat" w:hAnsi="GHEA Grapalat" w:cs="GHEA Grapalat"/>
          <w:color w:val="000000"/>
        </w:rPr>
        <w:t>430</w:t>
      </w:r>
      <w:r w:rsidR="003F78CD" w:rsidRPr="003A059B">
        <w:rPr>
          <w:rFonts w:ascii="GHEA Grapalat" w:hAnsi="GHEA Grapalat" w:cs="GHEA Grapalat"/>
          <w:color w:val="000000"/>
        </w:rPr>
        <w:t>.</w:t>
      </w:r>
      <w:r w:rsidR="001C7954" w:rsidRPr="003A059B">
        <w:rPr>
          <w:rFonts w:ascii="GHEA Grapalat" w:hAnsi="GHEA Grapalat" w:cs="GHEA Grapalat"/>
          <w:color w:val="000000"/>
        </w:rPr>
        <w:t>6</w:t>
      </w:r>
      <w:r w:rsidR="003F78CD" w:rsidRPr="003A059B">
        <w:rPr>
          <w:rFonts w:ascii="GHEA Grapalat" w:hAnsi="GHEA Grapalat" w:cs="GHEA Grapalat"/>
          <w:color w:val="000000"/>
        </w:rPr>
        <w:t xml:space="preserve"> </w:t>
      </w:r>
      <w:r w:rsidR="00FD61B0" w:rsidRPr="003A059B">
        <w:rPr>
          <w:rFonts w:ascii="GHEA Grapalat" w:hAnsi="GHEA Grapalat" w:cs="GHEA Grapalat"/>
          <w:color w:val="000000"/>
        </w:rPr>
        <w:t xml:space="preserve">մլրդ դրամ, </w:t>
      </w:r>
      <w:r w:rsidR="00B34557" w:rsidRPr="003A059B">
        <w:rPr>
          <w:rFonts w:ascii="GHEA Grapalat" w:hAnsi="GHEA Grapalat" w:cs="GHEA Grapalat"/>
          <w:color w:val="000000"/>
        </w:rPr>
        <w:t>հավել</w:t>
      </w:r>
      <w:r w:rsidR="00FD61B0" w:rsidRPr="003A059B">
        <w:rPr>
          <w:rFonts w:ascii="GHEA Grapalat" w:hAnsi="GHEA Grapalat" w:cs="GHEA Grapalat"/>
          <w:color w:val="000000"/>
        </w:rPr>
        <w:t>ուրդը՝</w:t>
      </w:r>
      <w:r w:rsidR="001C7954" w:rsidRPr="003A059B">
        <w:rPr>
          <w:rFonts w:ascii="GHEA Grapalat" w:hAnsi="GHEA Grapalat" w:cs="GHEA Grapalat"/>
          <w:color w:val="000000"/>
        </w:rPr>
        <w:t xml:space="preserve"> </w:t>
      </w:r>
      <w:r w:rsidR="00795916">
        <w:rPr>
          <w:rFonts w:ascii="GHEA Grapalat" w:hAnsi="GHEA Grapalat" w:cs="GHEA Grapalat"/>
          <w:color w:val="000000"/>
        </w:rPr>
        <w:t>71</w:t>
      </w:r>
      <w:r w:rsidR="001C7954" w:rsidRPr="003A059B">
        <w:rPr>
          <w:rFonts w:ascii="GHEA Grapalat" w:hAnsi="GHEA Grapalat" w:cs="GHEA Grapalat"/>
          <w:color w:val="000000"/>
        </w:rPr>
        <w:t>.</w:t>
      </w:r>
      <w:r w:rsidR="00795916">
        <w:rPr>
          <w:rFonts w:ascii="GHEA Grapalat" w:hAnsi="GHEA Grapalat" w:cs="GHEA Grapalat"/>
          <w:color w:val="000000"/>
        </w:rPr>
        <w:t>6</w:t>
      </w:r>
      <w:r w:rsidR="001C7954" w:rsidRPr="003A059B">
        <w:rPr>
          <w:rFonts w:ascii="GHEA Grapalat" w:hAnsi="GHEA Grapalat" w:cs="GHEA Grapalat"/>
          <w:color w:val="000000"/>
        </w:rPr>
        <w:t xml:space="preserve"> </w:t>
      </w:r>
      <w:r w:rsidR="000C77FF" w:rsidRPr="003A059B">
        <w:rPr>
          <w:rFonts w:ascii="GHEA Grapalat" w:hAnsi="GHEA Grapalat" w:cs="GHEA Grapalat"/>
          <w:color w:val="000000"/>
        </w:rPr>
        <w:t xml:space="preserve">մլրդ դրամ: </w:t>
      </w:r>
      <w:r w:rsidR="004576B0" w:rsidRPr="003A059B">
        <w:rPr>
          <w:rFonts w:ascii="GHEA Grapalat" w:hAnsi="GHEA Grapalat" w:cs="GHEA Grapalat"/>
          <w:color w:val="000000"/>
        </w:rPr>
        <w:t>Պետական բյուջեի</w:t>
      </w:r>
      <w:r w:rsidR="00FD61B0" w:rsidRPr="003A059B">
        <w:rPr>
          <w:rFonts w:ascii="GHEA Grapalat" w:hAnsi="GHEA Grapalat" w:cs="GHEA Grapalat"/>
          <w:color w:val="000000"/>
        </w:rPr>
        <w:t xml:space="preserve"> ծրագրային և փաստացի</w:t>
      </w:r>
      <w:r w:rsidR="004576B0" w:rsidRPr="003A059B">
        <w:rPr>
          <w:rFonts w:ascii="GHEA Grapalat" w:hAnsi="GHEA Grapalat" w:cs="GHEA Grapalat"/>
          <w:color w:val="000000"/>
        </w:rPr>
        <w:t xml:space="preserve"> ցուցանիշներում, պետության դրամական միջոցների համախմբված հաշվառման նպատակով, ներառվել են առանց սահմանափակման կատարվող վճարումները և վերջիններիս արդյունքում ձևավորված եկամուտները՝ ելնելով</w:t>
      </w:r>
      <w:r w:rsidR="004576B0" w:rsidRPr="003A059B" w:rsidDel="004576B0">
        <w:rPr>
          <w:rFonts w:ascii="GHEA Grapalat" w:hAnsi="GHEA Grapalat" w:cs="GHEA Grapalat"/>
          <w:color w:val="000000"/>
        </w:rPr>
        <w:t xml:space="preserve"> </w:t>
      </w:r>
      <w:r w:rsidR="00901957" w:rsidRPr="003A059B">
        <w:rPr>
          <w:rFonts w:ascii="GHEA Grapalat" w:hAnsi="GHEA Grapalat" w:cs="GHEA Grapalat"/>
          <w:color w:val="000000"/>
        </w:rPr>
        <w:t>«Հայաստանի Հանրապետության 202</w:t>
      </w:r>
      <w:r w:rsidR="00302220" w:rsidRPr="003A059B">
        <w:rPr>
          <w:rFonts w:ascii="GHEA Grapalat" w:hAnsi="GHEA Grapalat" w:cs="GHEA Grapalat"/>
          <w:color w:val="000000"/>
        </w:rPr>
        <w:t>3</w:t>
      </w:r>
      <w:r w:rsidR="00901957" w:rsidRPr="003A059B">
        <w:rPr>
          <w:rFonts w:ascii="GHEA Grapalat" w:hAnsi="GHEA Grapalat" w:cs="GHEA Grapalat"/>
          <w:color w:val="000000"/>
        </w:rPr>
        <w:t xml:space="preserve"> թվականի պետ</w:t>
      </w:r>
      <w:r w:rsidR="005C0DFC" w:rsidRPr="003A059B">
        <w:rPr>
          <w:rFonts w:ascii="GHEA Grapalat" w:hAnsi="GHEA Grapalat" w:cs="GHEA Grapalat"/>
          <w:color w:val="000000"/>
        </w:rPr>
        <w:t>ական բյուջեի մասին» ՀՀ օրենքի 9</w:t>
      </w:r>
      <w:r w:rsidR="005C0DFC" w:rsidRPr="003A059B">
        <w:rPr>
          <w:rFonts w:ascii="GHEA Grapalat" w:hAnsi="GHEA Grapalat" w:cs="GHEA Grapalat"/>
          <w:color w:val="000000"/>
        </w:rPr>
        <w:noBreakHyphen/>
      </w:r>
      <w:r w:rsidR="00901957" w:rsidRPr="003A059B">
        <w:rPr>
          <w:rFonts w:ascii="GHEA Grapalat" w:hAnsi="GHEA Grapalat" w:cs="GHEA Grapalat"/>
          <w:color w:val="000000"/>
        </w:rPr>
        <w:t>րդ հոդվածի 2</w:t>
      </w:r>
      <w:r w:rsidR="00901957" w:rsidRPr="003A059B">
        <w:rPr>
          <w:rFonts w:ascii="GHEA Grapalat" w:hAnsi="GHEA Grapalat" w:cs="GHEA Grapalat"/>
          <w:color w:val="000000"/>
        </w:rPr>
        <w:noBreakHyphen/>
        <w:t>րդ կետի պահանջներից:</w:t>
      </w:r>
      <w:r w:rsidR="004576B0" w:rsidRPr="003A059B">
        <w:rPr>
          <w:rFonts w:ascii="GHEA Grapalat" w:hAnsi="GHEA Grapalat" w:cs="GHEA Grapalat"/>
          <w:color w:val="000000"/>
        </w:rPr>
        <w:t xml:space="preserve"> Նշենք, որ հաշվետու ժամանակահատվածում ապահովվել է պետական բյուջեի ծախսային ծրագրերի շրջանակներում պետական մարմինների կողմից սահմանված կարգով ստանձնված պարտավորությունների ամբողջական կատարումը:</w:t>
      </w:r>
    </w:p>
    <w:p w:rsidR="004576B0" w:rsidRPr="003A059B" w:rsidRDefault="004576B0" w:rsidP="004B3974">
      <w:pPr>
        <w:ind w:firstLine="567"/>
        <w:jc w:val="both"/>
        <w:rPr>
          <w:rFonts w:ascii="GHEA Grapalat" w:hAnsi="GHEA Grapalat" w:cs="GHEA Grapalat"/>
          <w:color w:val="000000"/>
        </w:rPr>
      </w:pPr>
    </w:p>
    <w:p w:rsidR="00154F03" w:rsidRPr="003A059B" w:rsidRDefault="00B727E5" w:rsidP="00A938E6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before="120" w:after="120"/>
        <w:ind w:left="3402" w:hanging="3402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>ՀՀ</w:t>
      </w:r>
      <w:r w:rsidR="00154F03"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պետական բյուջեի ցուցանիշները</w:t>
      </w:r>
      <w:r w:rsidR="00E0092A"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(մլրդ դրամ</w:t>
      </w:r>
      <w:r w:rsidR="005B064D"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660"/>
        <w:gridCol w:w="1884"/>
        <w:gridCol w:w="1842"/>
      </w:tblGrid>
      <w:tr w:rsidR="00CB06E9" w:rsidRPr="003A059B" w:rsidTr="00137DE0">
        <w:trPr>
          <w:trHeight w:val="105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6E9" w:rsidRPr="003A059B" w:rsidRDefault="00CB06E9" w:rsidP="00AA669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A059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6E9" w:rsidRPr="003A059B" w:rsidRDefault="00C557FF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</w:t>
            </w:r>
            <w:r w:rsidR="00CB06E9"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ինն ամիսների ճշտված պլան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6E9" w:rsidRPr="003A059B" w:rsidRDefault="00CB06E9" w:rsidP="00CB06E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6E9" w:rsidRPr="003A059B" w:rsidRDefault="00CB06E9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Կատարողա-կանն ինն ամիսների ճշտված պլանի նկատմամբ (%)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6E9" w:rsidRPr="003A059B" w:rsidRDefault="00CB06E9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Կատարողա-կանը տարեկան ճշտված պլանի նկատմամբ</w:t>
            </w:r>
          </w:p>
          <w:p w:rsidR="00CB06E9" w:rsidRPr="003A059B" w:rsidRDefault="00CB06E9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F267A4" w:rsidRPr="003A059B" w:rsidTr="00137DE0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Pr="003A059B" w:rsidRDefault="00F267A4" w:rsidP="00AA669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color w:val="000000"/>
                <w:sz w:val="20"/>
                <w:szCs w:val="20"/>
              </w:rPr>
              <w:t>Եկամուտներ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1,683.4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1,502.2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89.2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64.6</w:t>
            </w:r>
          </w:p>
        </w:tc>
      </w:tr>
      <w:tr w:rsidR="00F267A4" w:rsidRPr="003A059B" w:rsidTr="00137DE0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Pr="003A059B" w:rsidRDefault="00F267A4" w:rsidP="00AA669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1,926.5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1,430.6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74.3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55.2</w:t>
            </w:r>
          </w:p>
        </w:tc>
      </w:tr>
      <w:tr w:rsidR="00F267A4" w:rsidRPr="003A059B" w:rsidTr="00137DE0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Pr="003A059B" w:rsidRDefault="00F267A4" w:rsidP="00AA669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color w:val="000000"/>
                <w:sz w:val="20"/>
                <w:szCs w:val="20"/>
              </w:rPr>
              <w:t>Պակասուրդ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243.1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(71.6)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 w:rsidP="00EB750D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(29.</w:t>
            </w:r>
            <w:r w:rsidR="00EB750D">
              <w:rPr>
                <w:rFonts w:ascii="GHEA Grapalat" w:hAnsi="GHEA Grapalat" w:cs="Calibri"/>
                <w:sz w:val="20"/>
                <w:szCs w:val="20"/>
              </w:rPr>
              <w:t>4</w:t>
            </w:r>
            <w:r>
              <w:rPr>
                <w:rFonts w:ascii="GHEA Grapalat" w:hAnsi="GHEA Grapalat" w:cs="Calibri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7A4" w:rsidRDefault="00F267A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(26.8)</w:t>
            </w:r>
          </w:p>
        </w:tc>
      </w:tr>
    </w:tbl>
    <w:p w:rsidR="00154F03" w:rsidRPr="003A059B" w:rsidRDefault="00154F03" w:rsidP="00B727E5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901957" w:rsidRPr="003A059B" w:rsidRDefault="00901957" w:rsidP="00901957">
      <w:pPr>
        <w:spacing w:line="480" w:lineRule="auto"/>
        <w:ind w:firstLine="567"/>
        <w:jc w:val="both"/>
        <w:rPr>
          <w:rFonts w:ascii="GHEA Grapalat" w:hAnsi="GHEA Grapalat" w:cs="GHEA Grapalat"/>
          <w:b/>
          <w:i/>
          <w:u w:val="single"/>
        </w:rPr>
      </w:pPr>
      <w:r w:rsidRPr="003A059B">
        <w:rPr>
          <w:rFonts w:ascii="GHEA Grapalat" w:hAnsi="GHEA Grapalat" w:cs="GHEA Grapalat"/>
          <w:b/>
          <w:i/>
          <w:u w:val="single"/>
        </w:rPr>
        <w:t>ՀՀ պետական բյուջեի եկամուտները</w:t>
      </w:r>
    </w:p>
    <w:p w:rsidR="00901957" w:rsidRPr="003A059B" w:rsidRDefault="00901957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3A059B">
        <w:rPr>
          <w:rFonts w:ascii="GHEA Grapalat" w:hAnsi="GHEA Grapalat" w:cs="GHEA Grapalat"/>
          <w:color w:val="000000"/>
        </w:rPr>
        <w:t>202</w:t>
      </w:r>
      <w:r w:rsidR="00593328" w:rsidRPr="003A059B">
        <w:rPr>
          <w:rFonts w:ascii="GHEA Grapalat" w:hAnsi="GHEA Grapalat" w:cs="GHEA Grapalat"/>
          <w:color w:val="000000"/>
        </w:rPr>
        <w:t>2</w:t>
      </w:r>
      <w:r w:rsidRPr="003A059B">
        <w:rPr>
          <w:rFonts w:ascii="GHEA Grapalat" w:hAnsi="GHEA Grapalat" w:cs="GHEA Grapalat"/>
          <w:color w:val="000000"/>
        </w:rPr>
        <w:t xml:space="preserve"> թվականի </w:t>
      </w:r>
      <w:r w:rsidR="00B675B5" w:rsidRPr="003A059B">
        <w:rPr>
          <w:rFonts w:ascii="GHEA Grapalat" w:hAnsi="GHEA Grapalat" w:cs="GHEA Grapalat"/>
          <w:color w:val="000000"/>
        </w:rPr>
        <w:t>հունվար-</w:t>
      </w:r>
      <w:r w:rsidR="004256F0">
        <w:rPr>
          <w:rFonts w:ascii="GHEA Grapalat" w:hAnsi="GHEA Grapalat" w:cs="GHEA Grapalat"/>
          <w:color w:val="000000"/>
        </w:rPr>
        <w:t>օգոստոս</w:t>
      </w:r>
      <w:r w:rsidR="00B675B5" w:rsidRPr="003A059B">
        <w:rPr>
          <w:rFonts w:ascii="GHEA Grapalat" w:hAnsi="GHEA Grapalat" w:cs="GHEA Grapalat"/>
          <w:color w:val="000000"/>
        </w:rPr>
        <w:t xml:space="preserve"> ամիսների </w:t>
      </w:r>
      <w:r w:rsidRPr="003A059B">
        <w:rPr>
          <w:rFonts w:ascii="GHEA Grapalat" w:hAnsi="GHEA Grapalat" w:cs="GHEA Grapalat"/>
          <w:color w:val="000000"/>
        </w:rPr>
        <w:t xml:space="preserve">համեմատ պետական բյուջեի եկամուտներն աճել են </w:t>
      </w:r>
      <w:r w:rsidR="00302220" w:rsidRPr="003A059B">
        <w:rPr>
          <w:rFonts w:ascii="GHEA Grapalat" w:hAnsi="GHEA Grapalat" w:cs="GHEA Grapalat"/>
          <w:color w:val="000000"/>
        </w:rPr>
        <w:t>1</w:t>
      </w:r>
      <w:r w:rsidR="00633CE8">
        <w:rPr>
          <w:rFonts w:ascii="GHEA Grapalat" w:hAnsi="GHEA Grapalat" w:cs="GHEA Grapalat"/>
          <w:color w:val="000000"/>
        </w:rPr>
        <w:t>4.</w:t>
      </w:r>
      <w:r w:rsidR="001C7954" w:rsidRPr="003A059B">
        <w:rPr>
          <w:rFonts w:ascii="GHEA Grapalat" w:hAnsi="GHEA Grapalat" w:cs="GHEA Grapalat"/>
          <w:color w:val="000000"/>
        </w:rPr>
        <w:t>5</w:t>
      </w:r>
      <w:r w:rsidRPr="003A059B">
        <w:rPr>
          <w:rFonts w:ascii="GHEA Grapalat" w:hAnsi="GHEA Grapalat" w:cs="GHEA Grapalat"/>
          <w:color w:val="000000"/>
        </w:rPr>
        <w:t>%</w:t>
      </w:r>
      <w:r w:rsidRPr="003A059B">
        <w:rPr>
          <w:rFonts w:ascii="GHEA Grapalat" w:hAnsi="GHEA Grapalat" w:cs="GHEA Grapalat"/>
          <w:color w:val="000000"/>
        </w:rPr>
        <w:noBreakHyphen/>
        <w:t>ով կամ</w:t>
      </w:r>
      <w:r w:rsidR="00045336" w:rsidRPr="003A059B">
        <w:rPr>
          <w:rFonts w:ascii="GHEA Grapalat" w:hAnsi="GHEA Grapalat" w:cs="GHEA Grapalat"/>
          <w:color w:val="000000"/>
        </w:rPr>
        <w:t xml:space="preserve"> </w:t>
      </w:r>
      <w:r w:rsidR="00390CEE" w:rsidRPr="003A059B">
        <w:rPr>
          <w:rFonts w:ascii="GHEA Grapalat" w:hAnsi="GHEA Grapalat" w:cs="GHEA Grapalat"/>
          <w:color w:val="000000"/>
        </w:rPr>
        <w:t>1</w:t>
      </w:r>
      <w:r w:rsidR="00633CE8">
        <w:rPr>
          <w:rFonts w:ascii="GHEA Grapalat" w:hAnsi="GHEA Grapalat" w:cs="GHEA Grapalat"/>
          <w:color w:val="000000"/>
        </w:rPr>
        <w:t>90</w:t>
      </w:r>
      <w:r w:rsidR="00597C87" w:rsidRPr="003A059B">
        <w:rPr>
          <w:rFonts w:ascii="GHEA Grapalat" w:hAnsi="GHEA Grapalat" w:cs="GHEA Grapalat"/>
          <w:color w:val="000000"/>
        </w:rPr>
        <w:t>.</w:t>
      </w:r>
      <w:r w:rsidR="00633CE8">
        <w:rPr>
          <w:rFonts w:ascii="GHEA Grapalat" w:hAnsi="GHEA Grapalat" w:cs="GHEA Grapalat"/>
          <w:color w:val="000000"/>
        </w:rPr>
        <w:t>3</w:t>
      </w:r>
      <w:r w:rsidR="00D37E6E" w:rsidRPr="003A059B">
        <w:rPr>
          <w:rFonts w:ascii="GHEA Grapalat" w:hAnsi="GHEA Grapalat" w:cs="GHEA Grapalat"/>
          <w:color w:val="000000"/>
        </w:rPr>
        <w:t xml:space="preserve"> </w:t>
      </w:r>
      <w:r w:rsidRPr="003A059B">
        <w:rPr>
          <w:rFonts w:ascii="GHEA Grapalat" w:hAnsi="GHEA Grapalat" w:cs="GHEA Grapalat"/>
          <w:color w:val="000000"/>
        </w:rPr>
        <w:t xml:space="preserve">մլրդ դրամով, որը </w:t>
      </w:r>
      <w:r w:rsidR="00FC00B2" w:rsidRPr="003A059B">
        <w:rPr>
          <w:rFonts w:ascii="GHEA Grapalat" w:hAnsi="GHEA Grapalat" w:cs="GHEA Grapalat"/>
          <w:color w:val="000000"/>
        </w:rPr>
        <w:t xml:space="preserve">հիմնականում </w:t>
      </w:r>
      <w:r w:rsidRPr="003A059B">
        <w:rPr>
          <w:rFonts w:ascii="GHEA Grapalat" w:hAnsi="GHEA Grapalat" w:cs="GHEA Grapalat"/>
          <w:color w:val="000000"/>
        </w:rPr>
        <w:t>պայմանավորված է հարկային եկամուտների աճով:</w:t>
      </w:r>
    </w:p>
    <w:p w:rsidR="001A4448" w:rsidRPr="003A059B" w:rsidRDefault="001A4448" w:rsidP="001A444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3A059B">
        <w:rPr>
          <w:rFonts w:ascii="GHEA Grapalat" w:hAnsi="GHEA Grapalat" w:cs="GHEA Grapalat"/>
          <w:color w:val="000000"/>
        </w:rPr>
        <w:t>202</w:t>
      </w:r>
      <w:r w:rsidR="00593328" w:rsidRPr="003A059B">
        <w:rPr>
          <w:rFonts w:ascii="GHEA Grapalat" w:hAnsi="GHEA Grapalat" w:cs="GHEA Grapalat"/>
          <w:color w:val="000000"/>
        </w:rPr>
        <w:t>3</w:t>
      </w:r>
      <w:r w:rsidRPr="003A059B">
        <w:rPr>
          <w:rFonts w:ascii="GHEA Grapalat" w:hAnsi="GHEA Grapalat" w:cs="GHEA Grapalat"/>
          <w:color w:val="000000"/>
        </w:rPr>
        <w:t xml:space="preserve"> թվականի </w:t>
      </w:r>
      <w:r w:rsidR="00B675B5" w:rsidRPr="003A059B">
        <w:rPr>
          <w:rFonts w:ascii="GHEA Grapalat" w:hAnsi="GHEA Grapalat" w:cs="GHEA Grapalat"/>
          <w:color w:val="000000"/>
        </w:rPr>
        <w:t>հունվար-</w:t>
      </w:r>
      <w:r w:rsidR="004256F0">
        <w:rPr>
          <w:rFonts w:ascii="GHEA Grapalat" w:hAnsi="GHEA Grapalat" w:cs="GHEA Grapalat"/>
          <w:color w:val="000000"/>
        </w:rPr>
        <w:t>օգոստոս</w:t>
      </w:r>
      <w:r w:rsidR="00B675B5" w:rsidRPr="003A059B">
        <w:rPr>
          <w:rFonts w:ascii="GHEA Grapalat" w:hAnsi="GHEA Grapalat" w:cs="GHEA Grapalat"/>
          <w:color w:val="000000"/>
        </w:rPr>
        <w:t xml:space="preserve"> ամիսներին </w:t>
      </w:r>
      <w:r w:rsidRPr="003A059B">
        <w:rPr>
          <w:rFonts w:ascii="GHEA Grapalat" w:hAnsi="GHEA Grapalat" w:cs="GHEA Grapalat"/>
          <w:color w:val="000000"/>
        </w:rPr>
        <w:t xml:space="preserve">ՀՀ պետական բյուջե են մուտքագրվել </w:t>
      </w:r>
      <w:r w:rsidR="0092747C" w:rsidRPr="003A059B">
        <w:rPr>
          <w:rFonts w:ascii="GHEA Grapalat" w:hAnsi="GHEA Grapalat" w:cs="GHEA Grapalat"/>
          <w:color w:val="000000"/>
        </w:rPr>
        <w:t xml:space="preserve">ավելի քան </w:t>
      </w:r>
      <w:r w:rsidR="00597C87" w:rsidRPr="003A059B">
        <w:rPr>
          <w:rFonts w:ascii="GHEA Grapalat" w:hAnsi="GHEA Grapalat" w:cs="GHEA Grapalat"/>
          <w:color w:val="000000"/>
        </w:rPr>
        <w:t>1,</w:t>
      </w:r>
      <w:r w:rsidR="00E8262A">
        <w:rPr>
          <w:rFonts w:ascii="GHEA Grapalat" w:hAnsi="GHEA Grapalat" w:cs="GHEA Grapalat"/>
          <w:color w:val="000000"/>
        </w:rPr>
        <w:t>422</w:t>
      </w:r>
      <w:r w:rsidR="00597C87" w:rsidRPr="003A059B">
        <w:rPr>
          <w:rFonts w:ascii="GHEA Grapalat" w:hAnsi="GHEA Grapalat" w:cs="GHEA Grapalat"/>
          <w:color w:val="000000"/>
        </w:rPr>
        <w:t>.</w:t>
      </w:r>
      <w:r w:rsidR="00E8262A">
        <w:rPr>
          <w:rFonts w:ascii="GHEA Grapalat" w:hAnsi="GHEA Grapalat" w:cs="GHEA Grapalat"/>
          <w:color w:val="000000"/>
        </w:rPr>
        <w:t>9</w:t>
      </w:r>
      <w:r w:rsidR="00597C87" w:rsidRPr="003A059B">
        <w:rPr>
          <w:rFonts w:ascii="GHEA Grapalat" w:hAnsi="GHEA Grapalat" w:cs="GHEA Grapalat"/>
          <w:color w:val="000000"/>
        </w:rPr>
        <w:t xml:space="preserve"> </w:t>
      </w:r>
      <w:r w:rsidRPr="003A059B">
        <w:rPr>
          <w:rFonts w:ascii="GHEA Grapalat" w:hAnsi="GHEA Grapalat" w:cs="GHEA Grapalat"/>
          <w:color w:val="000000"/>
        </w:rPr>
        <w:t xml:space="preserve">մլրդ </w:t>
      </w:r>
      <w:r w:rsidRPr="00E8262A">
        <w:rPr>
          <w:rFonts w:ascii="GHEA Grapalat" w:hAnsi="GHEA Grapalat" w:cs="GHEA Grapalat"/>
          <w:color w:val="000000"/>
        </w:rPr>
        <w:t xml:space="preserve">դրամ </w:t>
      </w:r>
      <w:r w:rsidRPr="00E8262A">
        <w:rPr>
          <w:rFonts w:ascii="GHEA Grapalat" w:hAnsi="GHEA Grapalat" w:cs="GHEA Grapalat"/>
          <w:i/>
          <w:color w:val="000000"/>
        </w:rPr>
        <w:t>հարկային եկամուտներ և պետական տուրքեր</w:t>
      </w:r>
      <w:r w:rsidRPr="00E8262A">
        <w:rPr>
          <w:rFonts w:ascii="GHEA Grapalat" w:hAnsi="GHEA Grapalat" w:cs="GHEA Grapalat"/>
          <w:color w:val="000000"/>
        </w:rPr>
        <w:t xml:space="preserve">, </w:t>
      </w:r>
      <w:r w:rsidR="00B675B5" w:rsidRPr="00E8262A">
        <w:rPr>
          <w:rFonts w:ascii="GHEA Grapalat" w:hAnsi="GHEA Grapalat" w:cs="GHEA Grapalat"/>
          <w:color w:val="000000"/>
        </w:rPr>
        <w:t>որոնք</w:t>
      </w:r>
      <w:r w:rsidR="00B675B5" w:rsidRPr="003A059B">
        <w:rPr>
          <w:rFonts w:ascii="GHEA Grapalat" w:hAnsi="GHEA Grapalat" w:cs="GHEA Grapalat"/>
          <w:color w:val="000000"/>
        </w:rPr>
        <w:t xml:space="preserve"> կազմել են իննամսյա ծրագրային ցուցանիշի </w:t>
      </w:r>
      <w:r w:rsidR="00E8262A">
        <w:rPr>
          <w:rFonts w:ascii="GHEA Grapalat" w:hAnsi="GHEA Grapalat" w:cs="GHEA Grapalat"/>
          <w:color w:val="000000"/>
        </w:rPr>
        <w:t>8</w:t>
      </w:r>
      <w:r w:rsidR="00B675B5" w:rsidRPr="003A059B">
        <w:rPr>
          <w:rFonts w:ascii="GHEA Grapalat" w:hAnsi="GHEA Grapalat" w:cs="GHEA Grapalat"/>
          <w:color w:val="000000"/>
        </w:rPr>
        <w:t>7.</w:t>
      </w:r>
      <w:r w:rsidR="00E8262A">
        <w:rPr>
          <w:rFonts w:ascii="GHEA Grapalat" w:hAnsi="GHEA Grapalat" w:cs="GHEA Grapalat"/>
          <w:color w:val="000000"/>
        </w:rPr>
        <w:t>9</w:t>
      </w:r>
      <w:r w:rsidR="00B675B5" w:rsidRPr="003A059B">
        <w:rPr>
          <w:rFonts w:ascii="GHEA Grapalat" w:hAnsi="GHEA Grapalat" w:cs="GHEA Grapalat"/>
          <w:color w:val="000000"/>
        </w:rPr>
        <w:t xml:space="preserve">%-ը: </w:t>
      </w:r>
      <w:r w:rsidRPr="003A059B">
        <w:rPr>
          <w:rFonts w:ascii="GHEA Grapalat" w:hAnsi="GHEA Grapalat" w:cs="GHEA Grapalat"/>
          <w:color w:val="000000"/>
        </w:rPr>
        <w:t>202</w:t>
      </w:r>
      <w:r w:rsidR="0049019F" w:rsidRPr="003A059B">
        <w:rPr>
          <w:rFonts w:ascii="GHEA Grapalat" w:hAnsi="GHEA Grapalat" w:cs="GHEA Grapalat"/>
          <w:color w:val="000000"/>
        </w:rPr>
        <w:t>2</w:t>
      </w:r>
      <w:r w:rsidRPr="003A059B">
        <w:rPr>
          <w:rFonts w:ascii="GHEA Grapalat" w:hAnsi="GHEA Grapalat" w:cs="GHEA Grapalat"/>
          <w:color w:val="000000"/>
        </w:rPr>
        <w:t xml:space="preserve"> թվականի նույն ժամանակահատվածի </w:t>
      </w:r>
      <w:r w:rsidRPr="003A059B">
        <w:rPr>
          <w:rFonts w:ascii="GHEA Grapalat" w:hAnsi="GHEA Grapalat" w:cs="GHEA Grapalat"/>
          <w:color w:val="000000"/>
        </w:rPr>
        <w:lastRenderedPageBreak/>
        <w:t xml:space="preserve">համեմատ հարկային եկամուտներն ու պետական տուրքերն աճել են </w:t>
      </w:r>
      <w:r w:rsidR="00597C87" w:rsidRPr="003A059B">
        <w:rPr>
          <w:rFonts w:ascii="GHEA Grapalat" w:hAnsi="GHEA Grapalat" w:cs="GHEA Grapalat"/>
          <w:color w:val="000000"/>
        </w:rPr>
        <w:t>1</w:t>
      </w:r>
      <w:r w:rsidR="00633CE8">
        <w:rPr>
          <w:rFonts w:ascii="GHEA Grapalat" w:hAnsi="GHEA Grapalat" w:cs="GHEA Grapalat"/>
          <w:color w:val="000000"/>
        </w:rPr>
        <w:t>5.5</w:t>
      </w:r>
      <w:r w:rsidRPr="003A059B">
        <w:rPr>
          <w:rFonts w:ascii="GHEA Grapalat" w:hAnsi="GHEA Grapalat" w:cs="GHEA Grapalat"/>
          <w:color w:val="000000"/>
        </w:rPr>
        <w:t>%</w:t>
      </w:r>
      <w:r w:rsidRPr="003A059B">
        <w:rPr>
          <w:rFonts w:ascii="GHEA Grapalat" w:hAnsi="GHEA Grapalat" w:cs="GHEA Grapalat"/>
          <w:color w:val="000000"/>
        </w:rPr>
        <w:noBreakHyphen/>
        <w:t xml:space="preserve">ով կամ </w:t>
      </w:r>
      <w:r w:rsidR="0092747C" w:rsidRPr="003A059B">
        <w:rPr>
          <w:rFonts w:ascii="GHEA Grapalat" w:hAnsi="GHEA Grapalat" w:cs="GHEA Grapalat"/>
          <w:color w:val="000000"/>
        </w:rPr>
        <w:t>1</w:t>
      </w:r>
      <w:r w:rsidR="00633CE8">
        <w:rPr>
          <w:rFonts w:ascii="GHEA Grapalat" w:hAnsi="GHEA Grapalat" w:cs="GHEA Grapalat"/>
          <w:color w:val="000000"/>
        </w:rPr>
        <w:t>90.8</w:t>
      </w:r>
      <w:r w:rsidR="00BF5C00" w:rsidRPr="003A059B">
        <w:rPr>
          <w:rFonts w:ascii="Calibri" w:hAnsi="Calibri" w:cs="Calibri"/>
          <w:color w:val="000000"/>
        </w:rPr>
        <w:t> </w:t>
      </w:r>
      <w:r w:rsidR="00444621" w:rsidRPr="003A059B">
        <w:rPr>
          <w:rFonts w:ascii="GHEA Grapalat" w:hAnsi="GHEA Grapalat" w:cs="GHEA Grapalat"/>
          <w:color w:val="000000"/>
        </w:rPr>
        <w:t>մլրդ</w:t>
      </w:r>
      <w:r w:rsidR="0049019F" w:rsidRPr="003A059B">
        <w:rPr>
          <w:rFonts w:ascii="GHEA Grapalat" w:hAnsi="GHEA Grapalat" w:cs="GHEA Grapalat"/>
          <w:color w:val="000000"/>
        </w:rPr>
        <w:t xml:space="preserve"> </w:t>
      </w:r>
      <w:r w:rsidRPr="003A059B">
        <w:rPr>
          <w:rFonts w:ascii="GHEA Grapalat" w:hAnsi="GHEA Grapalat" w:cs="GHEA Grapalat"/>
          <w:color w:val="000000"/>
        </w:rPr>
        <w:t xml:space="preserve">դրամով, </w:t>
      </w:r>
      <w:r w:rsidR="00444621" w:rsidRPr="003A059B">
        <w:rPr>
          <w:rFonts w:ascii="GHEA Grapalat" w:hAnsi="GHEA Grapalat" w:cs="GHEA Grapalat"/>
          <w:color w:val="000000"/>
        </w:rPr>
        <w:t xml:space="preserve">որը հիմնականում պայմանավորված է </w:t>
      </w:r>
      <w:r w:rsidR="00390CEE" w:rsidRPr="003A059B">
        <w:rPr>
          <w:rFonts w:ascii="GHEA Grapalat" w:hAnsi="GHEA Grapalat" w:cs="GHEA Grapalat"/>
          <w:color w:val="000000"/>
        </w:rPr>
        <w:t xml:space="preserve">շահութահարկի, </w:t>
      </w:r>
      <w:r w:rsidR="0049019F" w:rsidRPr="003A059B">
        <w:rPr>
          <w:rFonts w:ascii="GHEA Grapalat" w:hAnsi="GHEA Grapalat" w:cs="GHEA Grapalat"/>
          <w:color w:val="000000"/>
        </w:rPr>
        <w:t>ավելացված արժեքի հարկի</w:t>
      </w:r>
      <w:r w:rsidR="00FC00B2" w:rsidRPr="003A059B">
        <w:rPr>
          <w:rFonts w:ascii="GHEA Grapalat" w:hAnsi="GHEA Grapalat" w:cs="GHEA Grapalat"/>
          <w:color w:val="000000"/>
        </w:rPr>
        <w:t xml:space="preserve"> և</w:t>
      </w:r>
      <w:r w:rsidR="00BD1262" w:rsidRPr="003A059B">
        <w:rPr>
          <w:rFonts w:ascii="GHEA Grapalat" w:hAnsi="GHEA Grapalat" w:cs="GHEA Grapalat"/>
          <w:color w:val="000000"/>
        </w:rPr>
        <w:t xml:space="preserve"> </w:t>
      </w:r>
      <w:r w:rsidR="00F97B6D" w:rsidRPr="003A059B">
        <w:rPr>
          <w:rFonts w:ascii="GHEA Grapalat" w:hAnsi="GHEA Grapalat" w:cs="GHEA Grapalat"/>
          <w:color w:val="000000"/>
        </w:rPr>
        <w:t>եկամտային հարկի</w:t>
      </w:r>
      <w:r w:rsidR="00390CEE" w:rsidRPr="003A059B">
        <w:rPr>
          <w:rFonts w:ascii="GHEA Grapalat" w:hAnsi="GHEA Grapalat" w:cs="GHEA Grapalat"/>
          <w:color w:val="000000"/>
        </w:rPr>
        <w:t xml:space="preserve"> </w:t>
      </w:r>
      <w:r w:rsidRPr="003A059B">
        <w:rPr>
          <w:rFonts w:ascii="GHEA Grapalat" w:hAnsi="GHEA Grapalat" w:cs="GHEA Grapalat"/>
          <w:color w:val="000000"/>
        </w:rPr>
        <w:t>գծով մուտքերի աճով:</w:t>
      </w:r>
      <w:r w:rsidR="00D37E6E" w:rsidRPr="003A059B">
        <w:rPr>
          <w:rFonts w:ascii="GHEA Grapalat" w:hAnsi="GHEA Grapalat" w:cs="GHEA Grapalat"/>
          <w:color w:val="000000"/>
        </w:rPr>
        <w:t xml:space="preserve"> </w:t>
      </w:r>
    </w:p>
    <w:p w:rsidR="00901957" w:rsidRPr="003A059B" w:rsidRDefault="00901957" w:rsidP="004B3974">
      <w:pPr>
        <w:ind w:firstLine="567"/>
        <w:jc w:val="both"/>
        <w:rPr>
          <w:rFonts w:ascii="GHEA Grapalat" w:hAnsi="GHEA Grapalat" w:cs="GHEA Grapalat"/>
          <w:strike/>
          <w:color w:val="000000"/>
        </w:rPr>
      </w:pPr>
    </w:p>
    <w:p w:rsidR="00154F03" w:rsidRPr="003A059B" w:rsidRDefault="00154F03" w:rsidP="00A938E6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before="120"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>ՀՀ</w:t>
      </w:r>
      <w:r w:rsidR="0043142E"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</w:t>
      </w: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>պետական բյուջեի եկամուտները</w:t>
      </w:r>
      <w:r w:rsidR="005B064D"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(մլրդ դրամ) </w:t>
      </w:r>
    </w:p>
    <w:tbl>
      <w:tblPr>
        <w:tblW w:w="10102" w:type="dxa"/>
        <w:tblInd w:w="108" w:type="dxa"/>
        <w:tblLook w:val="04A0" w:firstRow="1" w:lastRow="0" w:firstColumn="1" w:lastColumn="0" w:noHBand="0" w:noVBand="1"/>
      </w:tblPr>
      <w:tblGrid>
        <w:gridCol w:w="4537"/>
        <w:gridCol w:w="1313"/>
        <w:gridCol w:w="1417"/>
        <w:gridCol w:w="1418"/>
        <w:gridCol w:w="1417"/>
      </w:tblGrid>
      <w:tr w:rsidR="00CB06E9" w:rsidRPr="003A059B" w:rsidTr="002A614B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6E9" w:rsidRPr="003A059B" w:rsidRDefault="00CB06E9" w:rsidP="001A4448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E9" w:rsidRPr="003A059B" w:rsidRDefault="00CB06E9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2022թ.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6E9" w:rsidRPr="003A059B" w:rsidRDefault="00CB06E9" w:rsidP="00CB06E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3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տ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արեկան 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6E9" w:rsidRPr="003A059B" w:rsidRDefault="00CB06E9" w:rsidP="00CB06E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ինն ամիսների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6E9" w:rsidRPr="003A059B" w:rsidRDefault="00CB06E9" w:rsidP="00CB06E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</w:tr>
      <w:tr w:rsidR="001B5242" w:rsidRPr="003A059B" w:rsidTr="00C118ED">
        <w:trPr>
          <w:trHeight w:val="2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242" w:rsidRPr="003A059B" w:rsidRDefault="001B5242" w:rsidP="00282CF7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Պետական բյուջեի եկամուտներ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2" w:rsidRDefault="001B5242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1,311.9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2,325.6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1,683.4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1,502.2</w:t>
            </w:r>
          </w:p>
        </w:tc>
      </w:tr>
      <w:tr w:rsidR="001B5242" w:rsidRPr="003A059B" w:rsidTr="00C118ED">
        <w:trPr>
          <w:trHeight w:val="2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42" w:rsidRPr="003A059B" w:rsidRDefault="001B5242" w:rsidP="00282CF7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Հարկային եկամուտներ և պետական տուրքեր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1,232.1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2,224.8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1,618.0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1,422.9</w:t>
            </w:r>
          </w:p>
        </w:tc>
      </w:tr>
      <w:tr w:rsidR="001B5242" w:rsidRPr="003A059B" w:rsidTr="00C118E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42" w:rsidRPr="003A059B" w:rsidRDefault="001B5242" w:rsidP="00282CF7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5.5</w:t>
            </w:r>
          </w:p>
        </w:tc>
      </w:tr>
      <w:tr w:rsidR="001B5242" w:rsidRPr="003A059B" w:rsidTr="00C118ED">
        <w:trPr>
          <w:trHeight w:val="1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42" w:rsidRPr="003A059B" w:rsidRDefault="001B5242" w:rsidP="00282CF7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68.1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73.8</w:t>
            </w:r>
          </w:p>
        </w:tc>
      </w:tr>
      <w:tr w:rsidR="004D1C6B" w:rsidRPr="003A059B" w:rsidTr="004D1C6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6B" w:rsidRPr="003A059B" w:rsidRDefault="004D1C6B" w:rsidP="00282CF7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եկամուտների մեջ (%)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6B" w:rsidRPr="003A059B" w:rsidRDefault="004D1C6B" w:rsidP="00282CF7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6B" w:rsidRPr="003A059B" w:rsidRDefault="004D1C6B" w:rsidP="00282CF7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6B" w:rsidRPr="003A059B" w:rsidRDefault="004D1C6B" w:rsidP="00282CF7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6B" w:rsidRPr="003A059B" w:rsidRDefault="004D1C6B" w:rsidP="00282CF7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100.0</w:t>
            </w:r>
          </w:p>
        </w:tc>
      </w:tr>
      <w:tr w:rsidR="001B5242" w:rsidRPr="003A059B" w:rsidTr="00C118E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42" w:rsidRPr="003A059B" w:rsidRDefault="001B5242" w:rsidP="00282CF7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Հարկեր և տուրքեր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93.9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94.7</w:t>
            </w:r>
          </w:p>
        </w:tc>
      </w:tr>
      <w:tr w:rsidR="001B5242" w:rsidRPr="003A059B" w:rsidTr="00C118E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42" w:rsidRPr="003A059B" w:rsidRDefault="001B5242" w:rsidP="00282CF7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</w:tr>
      <w:tr w:rsidR="001B5242" w:rsidRPr="003A059B" w:rsidTr="00C118E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42" w:rsidRPr="003A059B" w:rsidRDefault="001B5242" w:rsidP="00282CF7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42" w:rsidRDefault="001B5242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4.9</w:t>
            </w:r>
          </w:p>
        </w:tc>
      </w:tr>
    </w:tbl>
    <w:p w:rsidR="002A4689" w:rsidRPr="003A059B" w:rsidRDefault="002A4689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390CEE" w:rsidRPr="003A059B" w:rsidRDefault="00901957" w:rsidP="00390CEE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3A059B">
        <w:rPr>
          <w:rFonts w:ascii="GHEA Grapalat" w:hAnsi="GHEA Grapalat" w:cs="GHEA Grapalat"/>
          <w:color w:val="000000"/>
        </w:rPr>
        <w:t xml:space="preserve">Հաշվետու </w:t>
      </w:r>
      <w:r w:rsidRPr="001B1067">
        <w:rPr>
          <w:rFonts w:ascii="GHEA Grapalat" w:hAnsi="GHEA Grapalat" w:cs="GHEA Grapalat"/>
          <w:color w:val="000000"/>
        </w:rPr>
        <w:t xml:space="preserve">ժամանակահատվածի հարկային եկամուտների և պետական տուրքերի </w:t>
      </w:r>
      <w:r w:rsidR="000E0FDF" w:rsidRPr="001B1067">
        <w:rPr>
          <w:rFonts w:ascii="GHEA Grapalat" w:hAnsi="GHEA Grapalat" w:cs="GHEA Grapalat"/>
          <w:color w:val="000000"/>
        </w:rPr>
        <w:t>3</w:t>
      </w:r>
      <w:r w:rsidR="00633CE8" w:rsidRPr="001B1067">
        <w:rPr>
          <w:rFonts w:ascii="GHEA Grapalat" w:hAnsi="GHEA Grapalat" w:cs="GHEA Grapalat"/>
          <w:color w:val="000000"/>
        </w:rPr>
        <w:t>3.</w:t>
      </w:r>
      <w:r w:rsidR="0092747C" w:rsidRPr="001B1067">
        <w:rPr>
          <w:rFonts w:ascii="GHEA Grapalat" w:hAnsi="GHEA Grapalat" w:cs="GHEA Grapalat"/>
          <w:color w:val="000000"/>
        </w:rPr>
        <w:t>2</w:t>
      </w:r>
      <w:r w:rsidRPr="001B1067">
        <w:rPr>
          <w:rFonts w:ascii="GHEA Grapalat" w:hAnsi="GHEA Grapalat" w:cs="GHEA Grapalat"/>
          <w:color w:val="000000"/>
        </w:rPr>
        <w:t>%</w:t>
      </w:r>
      <w:r w:rsidRPr="001B1067">
        <w:rPr>
          <w:rFonts w:ascii="GHEA Grapalat" w:hAnsi="GHEA Grapalat" w:cs="GHEA Grapalat"/>
          <w:color w:val="000000"/>
        </w:rPr>
        <w:noBreakHyphen/>
        <w:t>ն ապահովվել է ավելացված արժեքի հարկի</w:t>
      </w:r>
      <w:r w:rsidRPr="003A059B">
        <w:rPr>
          <w:rFonts w:ascii="GHEA Grapalat" w:hAnsi="GHEA Grapalat" w:cs="GHEA Grapalat"/>
          <w:color w:val="000000"/>
        </w:rPr>
        <w:t xml:space="preserve"> հաշվին: </w:t>
      </w:r>
      <w:r w:rsidR="00390CEE" w:rsidRPr="003A059B">
        <w:rPr>
          <w:rFonts w:ascii="GHEA Grapalat" w:hAnsi="GHEA Grapalat" w:cs="GHEA Grapalat"/>
          <w:color w:val="000000"/>
        </w:rPr>
        <w:t xml:space="preserve">Նախորդ տարվա նույն ժամանակահատվածի համեմատ ավելացված արժեքի հարկի մուտքերի աճը պայմանավորված է </w:t>
      </w:r>
      <w:r w:rsidR="00D96FBD" w:rsidRPr="003A059B">
        <w:rPr>
          <w:rFonts w:ascii="GHEA Grapalat" w:hAnsi="GHEA Grapalat" w:cs="GHEA Grapalat"/>
          <w:color w:val="000000"/>
        </w:rPr>
        <w:t>Ե</w:t>
      </w:r>
      <w:r w:rsidR="00BD54A7" w:rsidRPr="003A059B">
        <w:rPr>
          <w:rFonts w:ascii="GHEA Grapalat" w:hAnsi="GHEA Grapalat" w:cs="GHEA Grapalat"/>
          <w:color w:val="000000"/>
        </w:rPr>
        <w:t>Ա</w:t>
      </w:r>
      <w:r w:rsidR="00D96FBD" w:rsidRPr="003A059B">
        <w:rPr>
          <w:rFonts w:ascii="GHEA Grapalat" w:hAnsi="GHEA Grapalat" w:cs="GHEA Grapalat"/>
          <w:color w:val="000000"/>
        </w:rPr>
        <w:t xml:space="preserve">ՏՄ անդամ չհանդիսացող պետություններից </w:t>
      </w:r>
      <w:r w:rsidR="00390CEE" w:rsidRPr="003A059B">
        <w:rPr>
          <w:rFonts w:ascii="GHEA Grapalat" w:hAnsi="GHEA Grapalat" w:cs="GHEA Grapalat"/>
          <w:color w:val="000000"/>
        </w:rPr>
        <w:t>ներմուծվող ապրանքներից</w:t>
      </w:r>
      <w:r w:rsidR="002B36D4" w:rsidRPr="003A059B">
        <w:rPr>
          <w:rFonts w:ascii="GHEA Grapalat" w:hAnsi="GHEA Grapalat" w:cs="GHEA Grapalat"/>
          <w:color w:val="000000"/>
        </w:rPr>
        <w:t xml:space="preserve"> </w:t>
      </w:r>
      <w:r w:rsidR="00BD54A7" w:rsidRPr="003A059B">
        <w:rPr>
          <w:rFonts w:ascii="GHEA Grapalat" w:hAnsi="GHEA Grapalat" w:cs="GHEA Grapalat"/>
          <w:color w:val="000000"/>
        </w:rPr>
        <w:t>ստացված մուտքերի աճով:</w:t>
      </w:r>
    </w:p>
    <w:p w:rsidR="000E79DF" w:rsidRPr="003A059B" w:rsidRDefault="000E79DF" w:rsidP="00390CEE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5B064D" w:rsidRPr="003A059B" w:rsidRDefault="00F1622C" w:rsidP="00A938E6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before="120"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>ԱԱՀ-ի</w:t>
      </w:r>
      <w:r w:rsidR="00B727E5"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գծով ՀՀ պետական բյուջեի</w:t>
      </w: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մուտքերը</w:t>
      </w:r>
      <w:r w:rsidR="005B064D"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(մլրդ դրամ)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984"/>
        <w:gridCol w:w="1701"/>
      </w:tblGrid>
      <w:tr w:rsidR="004E38F3" w:rsidRPr="003A059B" w:rsidTr="002849B2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3" w:rsidRPr="003A059B" w:rsidRDefault="004E38F3" w:rsidP="00D917CA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2022թ.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F3" w:rsidRPr="003A059B" w:rsidRDefault="004E38F3" w:rsidP="004E38F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2023թ. 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ը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2022թ. 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ի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F3" w:rsidRPr="003A059B" w:rsidRDefault="004E38F3" w:rsidP="00EB30CE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և 2022թ. տարբերու-թյունը</w:t>
            </w:r>
          </w:p>
        </w:tc>
      </w:tr>
      <w:tr w:rsidR="00462A05" w:rsidRPr="003A059B" w:rsidTr="0018327C">
        <w:trPr>
          <w:trHeight w:val="4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05" w:rsidRPr="003A059B" w:rsidRDefault="00462A05" w:rsidP="00282CF7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Ավելացված արժեքի հարկ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403.4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5" w:rsidRDefault="00462A0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472.9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117.2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69.6</w:t>
            </w:r>
          </w:p>
        </w:tc>
      </w:tr>
      <w:tr w:rsidR="00462A05" w:rsidRPr="003A059B" w:rsidTr="0018327C">
        <w:trPr>
          <w:trHeight w:val="3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5" w:rsidRPr="003A059B" w:rsidRDefault="00462A05" w:rsidP="00282CF7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Ներմուծումից, այդ թվում՝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250.2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333.9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83.7</w:t>
            </w:r>
          </w:p>
        </w:tc>
      </w:tr>
      <w:tr w:rsidR="00462A05" w:rsidRPr="003A059B" w:rsidTr="0018327C">
        <w:trPr>
          <w:trHeight w:val="4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5" w:rsidRPr="003A059B" w:rsidRDefault="00462A05" w:rsidP="00282CF7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 ԵԱՏՄ երկրներից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(4.6)</w:t>
            </w:r>
          </w:p>
        </w:tc>
      </w:tr>
      <w:tr w:rsidR="00462A05" w:rsidRPr="003A059B" w:rsidTr="0018327C">
        <w:trPr>
          <w:trHeight w:val="3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5" w:rsidRPr="003A059B" w:rsidRDefault="00462A05" w:rsidP="00282CF7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Ներքին շրջանառությունից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139.0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A05" w:rsidRDefault="00462A0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(14.1)</w:t>
            </w:r>
          </w:p>
        </w:tc>
      </w:tr>
    </w:tbl>
    <w:p w:rsidR="00EF469C" w:rsidRPr="003A059B" w:rsidRDefault="00EF469C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031C06" w:rsidRPr="003A059B" w:rsidRDefault="00593328" w:rsidP="00031C06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3A059B">
        <w:rPr>
          <w:rFonts w:ascii="GHEA Grapalat" w:hAnsi="GHEA Grapalat" w:cs="GHEA Grapalat"/>
          <w:color w:val="000000"/>
        </w:rPr>
        <w:lastRenderedPageBreak/>
        <w:t>2023</w:t>
      </w:r>
      <w:r w:rsidR="00BC69AC" w:rsidRPr="003A059B">
        <w:rPr>
          <w:rFonts w:ascii="GHEA Grapalat" w:hAnsi="GHEA Grapalat" w:cs="GHEA Grapalat"/>
          <w:color w:val="000000"/>
        </w:rPr>
        <w:t xml:space="preserve"> թվականի</w:t>
      </w:r>
      <w:r w:rsidR="00B675B5" w:rsidRPr="003A059B">
        <w:rPr>
          <w:rFonts w:ascii="GHEA Grapalat" w:hAnsi="GHEA Grapalat" w:cs="GHEA Grapalat"/>
          <w:color w:val="000000"/>
        </w:rPr>
        <w:t xml:space="preserve"> հունվար-</w:t>
      </w:r>
      <w:r w:rsidR="004256F0">
        <w:rPr>
          <w:rFonts w:ascii="GHEA Grapalat" w:hAnsi="GHEA Grapalat" w:cs="GHEA Grapalat"/>
          <w:color w:val="000000"/>
        </w:rPr>
        <w:t>օգոստոս</w:t>
      </w:r>
      <w:r w:rsidR="00B675B5" w:rsidRPr="003A059B">
        <w:rPr>
          <w:rFonts w:ascii="GHEA Grapalat" w:hAnsi="GHEA Grapalat" w:cs="GHEA Grapalat"/>
          <w:color w:val="000000"/>
        </w:rPr>
        <w:t xml:space="preserve"> ամիսներին </w:t>
      </w:r>
      <w:r w:rsidR="000427C5" w:rsidRPr="001B1067">
        <w:rPr>
          <w:rFonts w:ascii="GHEA Grapalat" w:hAnsi="GHEA Grapalat" w:cs="GHEA Grapalat"/>
          <w:color w:val="000000"/>
        </w:rPr>
        <w:t>պետական բյուջե մուտքագրված</w:t>
      </w:r>
      <w:r w:rsidR="00901957" w:rsidRPr="001B1067">
        <w:rPr>
          <w:rFonts w:ascii="GHEA Grapalat" w:hAnsi="GHEA Grapalat" w:cs="GHEA Grapalat"/>
          <w:color w:val="000000"/>
        </w:rPr>
        <w:t xml:space="preserve"> հարկային եկամուտների ու պետական տուրքերի </w:t>
      </w:r>
      <w:r w:rsidR="00A97B53" w:rsidRPr="001B1067">
        <w:rPr>
          <w:rFonts w:ascii="GHEA Grapalat" w:hAnsi="GHEA Grapalat" w:cs="GHEA Grapalat"/>
          <w:color w:val="000000"/>
        </w:rPr>
        <w:t>6</w:t>
      </w:r>
      <w:r w:rsidR="00901957" w:rsidRPr="001B1067">
        <w:rPr>
          <w:rFonts w:ascii="GHEA Grapalat" w:hAnsi="GHEA Grapalat" w:cs="GHEA Grapalat"/>
          <w:color w:val="000000"/>
        </w:rPr>
        <w:t>%-ն ապահովվել է ակցիզային հարկի</w:t>
      </w:r>
      <w:r w:rsidR="00901957" w:rsidRPr="003A059B">
        <w:rPr>
          <w:rFonts w:ascii="GHEA Grapalat" w:hAnsi="GHEA Grapalat" w:cs="GHEA Grapalat"/>
          <w:color w:val="000000"/>
        </w:rPr>
        <w:t xml:space="preserve"> հաշվին: </w:t>
      </w:r>
      <w:r w:rsidR="00031C06" w:rsidRPr="003A059B">
        <w:rPr>
          <w:rFonts w:ascii="GHEA Grapalat" w:hAnsi="GHEA Grapalat" w:cs="GHEA Grapalat"/>
          <w:color w:val="000000"/>
        </w:rPr>
        <w:t xml:space="preserve">Նախորդ տարվա նույն ժամանակահատվածի համեմատ ակցիզային հարկի մուտքերի աճը </w:t>
      </w:r>
      <w:r w:rsidR="002B36D4" w:rsidRPr="003A059B">
        <w:rPr>
          <w:rFonts w:ascii="GHEA Grapalat" w:hAnsi="GHEA Grapalat" w:cs="GHEA Grapalat"/>
          <w:color w:val="000000"/>
        </w:rPr>
        <w:t xml:space="preserve">հիմնականում </w:t>
      </w:r>
      <w:r w:rsidR="00031C06" w:rsidRPr="003A059B">
        <w:rPr>
          <w:rFonts w:ascii="GHEA Grapalat" w:hAnsi="GHEA Grapalat" w:cs="GHEA Grapalat"/>
          <w:color w:val="000000"/>
        </w:rPr>
        <w:t xml:space="preserve">պայմանավորված է </w:t>
      </w:r>
      <w:r w:rsidR="00C72DB9" w:rsidRPr="003A059B">
        <w:rPr>
          <w:rFonts w:ascii="GHEA Grapalat" w:hAnsi="GHEA Grapalat" w:cs="GHEA Grapalat"/>
          <w:color w:val="000000"/>
        </w:rPr>
        <w:t>ներմուծվող</w:t>
      </w:r>
      <w:r w:rsidR="002B36D4" w:rsidRPr="003A059B">
        <w:rPr>
          <w:rFonts w:ascii="GHEA Grapalat" w:hAnsi="GHEA Grapalat" w:cs="GHEA Grapalat"/>
          <w:color w:val="000000"/>
        </w:rPr>
        <w:t xml:space="preserve"> </w:t>
      </w:r>
      <w:r w:rsidR="00031C06" w:rsidRPr="003A059B">
        <w:rPr>
          <w:rFonts w:ascii="GHEA Grapalat" w:hAnsi="GHEA Grapalat" w:cs="GHEA Grapalat"/>
          <w:color w:val="000000"/>
        </w:rPr>
        <w:t>ենթաակցիզային ապրանքների գծով մուտքերի աճով:</w:t>
      </w:r>
    </w:p>
    <w:p w:rsidR="008A7320" w:rsidRPr="003A059B" w:rsidRDefault="008A7320" w:rsidP="00031C06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770426" w:rsidRPr="003A059B" w:rsidRDefault="00B727E5" w:rsidP="00A938E6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before="120"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>Ա</w:t>
      </w:r>
      <w:r w:rsidR="00770426"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>կցիզային հարկի</w:t>
      </w: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գծով ՀՀ պետական բյուջեի</w:t>
      </w:r>
      <w:r w:rsidR="00770426"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մուտքերը (մլրդ դրամ)</w:t>
      </w:r>
    </w:p>
    <w:tbl>
      <w:tblPr>
        <w:tblW w:w="10097" w:type="dxa"/>
        <w:tblInd w:w="108" w:type="dxa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937"/>
        <w:gridCol w:w="1356"/>
      </w:tblGrid>
      <w:tr w:rsidR="004E38F3" w:rsidRPr="003A059B" w:rsidTr="007D22EE">
        <w:trPr>
          <w:trHeight w:val="8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3" w:rsidRPr="003A059B" w:rsidRDefault="004E38F3" w:rsidP="00D917CA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2022թ.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2023թ. 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ը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2022թ. 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ի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 (%)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և 2022թ. տարբերու-թյունը</w:t>
            </w:r>
          </w:p>
        </w:tc>
      </w:tr>
      <w:tr w:rsidR="00266CF3" w:rsidRPr="003A059B" w:rsidTr="00147E87">
        <w:trPr>
          <w:trHeight w:val="3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F3" w:rsidRPr="003A059B" w:rsidRDefault="00266CF3" w:rsidP="0077042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84.8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115.4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11.3</w:t>
            </w:r>
          </w:p>
        </w:tc>
      </w:tr>
      <w:tr w:rsidR="00266CF3" w:rsidRPr="003A059B" w:rsidTr="00C118ED">
        <w:trPr>
          <w:trHeight w:val="2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CF3" w:rsidRPr="003A059B" w:rsidRDefault="00266CF3" w:rsidP="0077042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Ներմուծվող ենթաակցիզային ապրանքներից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44.8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10.7 </w:t>
            </w:r>
          </w:p>
        </w:tc>
      </w:tr>
      <w:tr w:rsidR="00266CF3" w:rsidRPr="003A059B" w:rsidTr="00C118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CF3" w:rsidRPr="003A059B" w:rsidRDefault="00266CF3" w:rsidP="00D917C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ՀՀ-ում արտադրվող ենթաակցիզային ապրանքներից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40.1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0.6</w:t>
            </w:r>
          </w:p>
        </w:tc>
      </w:tr>
    </w:tbl>
    <w:p w:rsidR="00770426" w:rsidRPr="003A059B" w:rsidRDefault="00770426" w:rsidP="00C915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BC69AC" w:rsidRPr="003A059B" w:rsidRDefault="00BC69AC" w:rsidP="00BC69A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A96696">
        <w:rPr>
          <w:rFonts w:ascii="GHEA Grapalat" w:hAnsi="GHEA Grapalat" w:cs="GHEA Grapalat"/>
          <w:color w:val="000000"/>
        </w:rPr>
        <w:t>202</w:t>
      </w:r>
      <w:r w:rsidR="00D516A5" w:rsidRPr="00A96696">
        <w:rPr>
          <w:rFonts w:ascii="GHEA Grapalat" w:hAnsi="GHEA Grapalat" w:cs="GHEA Grapalat"/>
          <w:color w:val="000000"/>
        </w:rPr>
        <w:t>3</w:t>
      </w:r>
      <w:r w:rsidRPr="00A96696">
        <w:rPr>
          <w:rFonts w:ascii="GHEA Grapalat" w:hAnsi="GHEA Grapalat" w:cs="GHEA Grapalat"/>
          <w:color w:val="000000"/>
        </w:rPr>
        <w:t xml:space="preserve"> թվականի</w:t>
      </w:r>
      <w:r w:rsidRPr="003A059B">
        <w:rPr>
          <w:rFonts w:ascii="GHEA Grapalat" w:hAnsi="GHEA Grapalat" w:cs="GHEA Grapalat"/>
          <w:color w:val="000000"/>
        </w:rPr>
        <w:t xml:space="preserve"> </w:t>
      </w:r>
      <w:r w:rsidR="00375C74" w:rsidRPr="003A059B">
        <w:rPr>
          <w:rFonts w:ascii="GHEA Grapalat" w:hAnsi="GHEA Grapalat" w:cs="GHEA Grapalat"/>
          <w:color w:val="000000"/>
        </w:rPr>
        <w:t>հունվար-</w:t>
      </w:r>
      <w:r w:rsidR="004256F0">
        <w:rPr>
          <w:rFonts w:ascii="GHEA Grapalat" w:hAnsi="GHEA Grapalat" w:cs="GHEA Grapalat"/>
          <w:color w:val="000000"/>
        </w:rPr>
        <w:t>օգոստոս</w:t>
      </w:r>
      <w:r w:rsidR="00375C74" w:rsidRPr="003A059B">
        <w:rPr>
          <w:rFonts w:ascii="GHEA Grapalat" w:hAnsi="GHEA Grapalat" w:cs="GHEA Grapalat"/>
          <w:color w:val="000000"/>
        </w:rPr>
        <w:t xml:space="preserve"> ամիսներին </w:t>
      </w:r>
      <w:r w:rsidRPr="003A059B">
        <w:rPr>
          <w:rFonts w:ascii="GHEA Grapalat" w:hAnsi="GHEA Grapalat" w:cs="GHEA Grapalat"/>
          <w:color w:val="000000"/>
        </w:rPr>
        <w:t>պետական բյուջե մուտքագրված առանձին հարկատեսակների վերաբերյալ տեղեկատվությունը ներկայացված է Աղյուսակ 5</w:t>
      </w:r>
      <w:r w:rsidRPr="003A059B">
        <w:rPr>
          <w:rFonts w:ascii="GHEA Grapalat" w:hAnsi="GHEA Grapalat" w:cs="GHEA Grapalat"/>
          <w:color w:val="000000"/>
        </w:rPr>
        <w:noBreakHyphen/>
      </w:r>
      <w:r w:rsidRPr="003A059B">
        <w:rPr>
          <w:rFonts w:ascii="GHEA Grapalat" w:hAnsi="GHEA Grapalat" w:cs="GHEA Grapalat"/>
          <w:color w:val="000000"/>
          <w:lang w:val="hy-AM"/>
        </w:rPr>
        <w:t>ում:</w:t>
      </w:r>
    </w:p>
    <w:p w:rsidR="00C15DAF" w:rsidRPr="003A059B" w:rsidRDefault="00C15DAF" w:rsidP="00BC69A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CD01EC" w:rsidRPr="003A059B" w:rsidRDefault="00CD01EC" w:rsidP="00CD01EC">
      <w:pPr>
        <w:pStyle w:val="Caption"/>
        <w:keepNext/>
        <w:numPr>
          <w:ilvl w:val="0"/>
          <w:numId w:val="3"/>
        </w:numPr>
        <w:tabs>
          <w:tab w:val="left" w:pos="1134"/>
          <w:tab w:val="left" w:pos="1276"/>
        </w:tabs>
        <w:spacing w:before="120" w:after="120"/>
        <w:ind w:left="0" w:firstLine="0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հարկային եկամուտների և պետական տուրքերի փաստացի ցուցանիշները (մլրդ դրամ)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4219"/>
        <w:gridCol w:w="1418"/>
        <w:gridCol w:w="1313"/>
        <w:gridCol w:w="1841"/>
        <w:gridCol w:w="1277"/>
      </w:tblGrid>
      <w:tr w:rsidR="004E38F3" w:rsidRPr="003A059B" w:rsidTr="00E568AA">
        <w:trPr>
          <w:trHeight w:val="11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3" w:rsidRPr="003A059B" w:rsidRDefault="004E38F3" w:rsidP="007D22EE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2022թ.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2023թ. 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ը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2022թ. 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ի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 (%)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և 2022թ. տարբերու-թյունը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CD01EC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Հարկային եկամուտներ և 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պետական 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1,232.1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1,422.9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115.5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190.8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1,152.1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1,382.9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120.0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230.9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403.4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472.9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117.2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69.6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73.5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84.8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115.4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11.3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170.3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247.3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145.2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77.0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36.5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48.6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133.1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12.1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306.2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356.8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116.6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50.7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lastRenderedPageBreak/>
              <w:t>Շրջանառության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37.1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130.1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8.6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 գծով)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40.9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59.0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144.4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18.2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58.1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28.4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48.8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(29.8)</w:t>
            </w:r>
          </w:p>
        </w:tc>
      </w:tr>
      <w:tr w:rsidR="00266CF3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34.7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48.0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138.1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13.3</w:t>
            </w:r>
          </w:p>
        </w:tc>
      </w:tr>
      <w:tr w:rsidR="00E8262A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62A" w:rsidRPr="003A059B" w:rsidRDefault="00E8262A" w:rsidP="007D22EE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2A" w:rsidRDefault="00E8262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80.1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2A" w:rsidRDefault="00E8262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40.0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2A" w:rsidRDefault="00E8262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49.9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2A" w:rsidRDefault="00E8262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(40.1)</w:t>
            </w:r>
          </w:p>
        </w:tc>
      </w:tr>
      <w:tr w:rsidR="00E568AA" w:rsidRPr="003A059B" w:rsidTr="00E568A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AA" w:rsidRPr="003A059B" w:rsidRDefault="00E568AA" w:rsidP="007D22EE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հարկերի և տուրքերի մեջ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8AA" w:rsidRPr="003A059B" w:rsidRDefault="00E568AA" w:rsidP="00E568A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AA" w:rsidRPr="003A059B" w:rsidRDefault="00E568AA" w:rsidP="00E568A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8AA" w:rsidRPr="003A059B" w:rsidRDefault="00E568AA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8AA" w:rsidRPr="003A059B" w:rsidRDefault="00E568AA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93.5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97.2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32.7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6.0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17.4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25.1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4.7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2.0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266CF3" w:rsidRPr="003A059B" w:rsidTr="00C118ED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F3" w:rsidRPr="003A059B" w:rsidRDefault="00266CF3" w:rsidP="007D22EE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F3" w:rsidRDefault="00266CF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CF3" w:rsidRPr="003A059B" w:rsidRDefault="00266CF3" w:rsidP="004476F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</w:tr>
    </w:tbl>
    <w:p w:rsidR="00CD01EC" w:rsidRPr="003A059B" w:rsidRDefault="00CD01EC" w:rsidP="00BC69A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62694A" w:rsidRPr="001616E6" w:rsidRDefault="00901957" w:rsidP="0062694A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3A059B">
        <w:rPr>
          <w:rFonts w:ascii="GHEA Grapalat" w:hAnsi="GHEA Grapalat" w:cs="GHEA Grapalat"/>
          <w:color w:val="000000"/>
        </w:rPr>
        <w:t xml:space="preserve">Հաշվետու ժամանակահատվածում կուտակային </w:t>
      </w:r>
      <w:r w:rsidRPr="00806238">
        <w:rPr>
          <w:rFonts w:ascii="GHEA Grapalat" w:hAnsi="GHEA Grapalat" w:cs="GHEA Grapalat"/>
          <w:color w:val="000000"/>
        </w:rPr>
        <w:t xml:space="preserve">կենսաթոշակային բաղադրիչի մասնակիցների կողմից պետական բյուջե է փոխանցվել </w:t>
      </w:r>
      <w:r w:rsidR="00A96696" w:rsidRPr="00806238">
        <w:rPr>
          <w:rFonts w:ascii="GHEA Grapalat" w:hAnsi="GHEA Grapalat" w:cs="GHEA Grapalat"/>
          <w:color w:val="000000"/>
        </w:rPr>
        <w:t>59</w:t>
      </w:r>
      <w:r w:rsidR="00C029A5" w:rsidRPr="00806238">
        <w:rPr>
          <w:rFonts w:ascii="GHEA Grapalat" w:hAnsi="GHEA Grapalat" w:cs="GHEA Grapalat"/>
          <w:color w:val="000000"/>
        </w:rPr>
        <w:t xml:space="preserve"> </w:t>
      </w:r>
      <w:r w:rsidRPr="00806238">
        <w:rPr>
          <w:rFonts w:ascii="GHEA Grapalat" w:hAnsi="GHEA Grapalat" w:cs="GHEA Grapalat"/>
          <w:color w:val="000000"/>
        </w:rPr>
        <w:t xml:space="preserve">մլրդ դրամ սոցիալական վճար` ապահովելով հարկային եկամուտների </w:t>
      </w:r>
      <w:r w:rsidRPr="001616E6">
        <w:rPr>
          <w:rFonts w:ascii="GHEA Grapalat" w:hAnsi="GHEA Grapalat" w:cs="GHEA Grapalat"/>
          <w:color w:val="000000"/>
        </w:rPr>
        <w:t xml:space="preserve">և պետական տուրքերի </w:t>
      </w:r>
      <w:r w:rsidR="00C72DB9" w:rsidRPr="001616E6">
        <w:rPr>
          <w:rFonts w:ascii="GHEA Grapalat" w:hAnsi="GHEA Grapalat" w:cs="GHEA Grapalat"/>
          <w:color w:val="000000"/>
        </w:rPr>
        <w:t>4</w:t>
      </w:r>
      <w:r w:rsidR="00517FDD" w:rsidRPr="001616E6">
        <w:rPr>
          <w:rFonts w:ascii="GHEA Grapalat" w:hAnsi="GHEA Grapalat" w:cs="GHEA Grapalat"/>
          <w:color w:val="000000"/>
        </w:rPr>
        <w:t>.1</w:t>
      </w:r>
      <w:r w:rsidRPr="001616E6">
        <w:rPr>
          <w:rFonts w:ascii="GHEA Grapalat" w:hAnsi="GHEA Grapalat" w:cs="GHEA Grapalat"/>
          <w:color w:val="000000"/>
        </w:rPr>
        <w:t xml:space="preserve">%-ը և </w:t>
      </w:r>
      <w:r w:rsidR="001B2207" w:rsidRPr="001616E6">
        <w:rPr>
          <w:rFonts w:ascii="GHEA Grapalat" w:hAnsi="GHEA Grapalat" w:cs="GHEA Grapalat"/>
          <w:color w:val="000000"/>
        </w:rPr>
        <w:t>4</w:t>
      </w:r>
      <w:r w:rsidR="00A96696" w:rsidRPr="001616E6">
        <w:rPr>
          <w:rFonts w:ascii="GHEA Grapalat" w:hAnsi="GHEA Grapalat" w:cs="GHEA Grapalat"/>
          <w:color w:val="000000"/>
        </w:rPr>
        <w:t>4</w:t>
      </w:r>
      <w:r w:rsidR="00517FDD" w:rsidRPr="001616E6">
        <w:rPr>
          <w:rFonts w:ascii="GHEA Grapalat" w:hAnsi="GHEA Grapalat" w:cs="GHEA Grapalat"/>
          <w:color w:val="000000"/>
        </w:rPr>
        <w:t>.4</w:t>
      </w:r>
      <w:r w:rsidR="00AC5546" w:rsidRPr="001616E6">
        <w:rPr>
          <w:rFonts w:ascii="GHEA Grapalat" w:hAnsi="GHEA Grapalat" w:cs="GHEA Grapalat"/>
          <w:color w:val="000000"/>
        </w:rPr>
        <w:t xml:space="preserve">%-ով կամ </w:t>
      </w:r>
      <w:r w:rsidR="0066647A" w:rsidRPr="001616E6">
        <w:rPr>
          <w:rFonts w:ascii="GHEA Grapalat" w:hAnsi="GHEA Grapalat" w:cs="GHEA Grapalat"/>
          <w:color w:val="000000"/>
        </w:rPr>
        <w:t>1</w:t>
      </w:r>
      <w:r w:rsidR="00A96696" w:rsidRPr="001616E6">
        <w:rPr>
          <w:rFonts w:ascii="GHEA Grapalat" w:hAnsi="GHEA Grapalat" w:cs="GHEA Grapalat"/>
          <w:color w:val="000000"/>
        </w:rPr>
        <w:t>8.2</w:t>
      </w:r>
      <w:r w:rsidR="00F415DD" w:rsidRPr="001616E6">
        <w:rPr>
          <w:rFonts w:ascii="Courier New" w:hAnsi="Courier New" w:cs="Courier New"/>
          <w:color w:val="000000"/>
        </w:rPr>
        <w:t> </w:t>
      </w:r>
      <w:r w:rsidRPr="001616E6">
        <w:rPr>
          <w:rFonts w:ascii="GHEA Grapalat" w:hAnsi="GHEA Grapalat" w:cs="GHEA Grapalat"/>
          <w:color w:val="000000"/>
        </w:rPr>
        <w:t>մլրդ դրամով գերազանցելով նախորդ տարվա նույն ժամանակահատվածի ցուցանիշը:</w:t>
      </w:r>
      <w:r w:rsidR="00BD1262" w:rsidRPr="001616E6">
        <w:rPr>
          <w:rFonts w:ascii="GHEA Grapalat" w:hAnsi="GHEA Grapalat" w:cs="GHEA Grapalat"/>
          <w:color w:val="000000"/>
        </w:rPr>
        <w:t xml:space="preserve"> </w:t>
      </w:r>
      <w:r w:rsidR="0062694A" w:rsidRPr="001616E6">
        <w:rPr>
          <w:rFonts w:ascii="GHEA Grapalat" w:hAnsi="GHEA Grapalat" w:cs="GHEA Grapalat"/>
          <w:color w:val="000000"/>
        </w:rPr>
        <w:t>Աճը հիմնականում պայմանավորված է</w:t>
      </w:r>
      <w:r w:rsidR="003C50F0" w:rsidRPr="001616E6">
        <w:rPr>
          <w:rFonts w:ascii="GHEA Grapalat" w:hAnsi="GHEA Grapalat" w:cs="GHEA Grapalat"/>
          <w:color w:val="000000"/>
        </w:rPr>
        <w:t xml:space="preserve"> 2023 թվականի հունվարի 1-ից</w:t>
      </w:r>
      <w:r w:rsidR="0062694A" w:rsidRPr="001616E6">
        <w:rPr>
          <w:rFonts w:ascii="GHEA Grapalat" w:hAnsi="GHEA Grapalat" w:cs="GHEA Grapalat"/>
          <w:color w:val="000000"/>
        </w:rPr>
        <w:t xml:space="preserve"> սոցիալական վճարի անհատի մասնաբաժնում աշխատողի մասնակցության </w:t>
      </w:r>
      <w:r w:rsidR="003C50F0" w:rsidRPr="001616E6">
        <w:rPr>
          <w:rFonts w:ascii="GHEA Grapalat" w:hAnsi="GHEA Grapalat" w:cs="GHEA Grapalat"/>
          <w:color w:val="000000"/>
        </w:rPr>
        <w:t>դրույքաչափի բարձրացմամբ</w:t>
      </w:r>
      <w:r w:rsidR="0062694A" w:rsidRPr="001616E6">
        <w:rPr>
          <w:rFonts w:ascii="GHEA Grapalat" w:hAnsi="GHEA Grapalat" w:cs="GHEA Grapalat"/>
          <w:color w:val="000000"/>
        </w:rPr>
        <w:t xml:space="preserve"> 4.5%</w:t>
      </w:r>
      <w:r w:rsidR="00F415DD" w:rsidRPr="001616E6">
        <w:rPr>
          <w:rFonts w:ascii="GHEA Grapalat" w:hAnsi="GHEA Grapalat" w:cs="GHEA Grapalat"/>
          <w:color w:val="000000"/>
        </w:rPr>
        <w:noBreakHyphen/>
      </w:r>
      <w:r w:rsidR="003C50F0" w:rsidRPr="001616E6">
        <w:rPr>
          <w:rFonts w:ascii="GHEA Grapalat" w:hAnsi="GHEA Grapalat" w:cs="GHEA Grapalat"/>
          <w:color w:val="000000"/>
        </w:rPr>
        <w:t>ից</w:t>
      </w:r>
      <w:r w:rsidR="00340A22" w:rsidRPr="001616E6">
        <w:rPr>
          <w:rFonts w:ascii="GHEA Grapalat" w:hAnsi="GHEA Grapalat" w:cs="GHEA Grapalat"/>
          <w:color w:val="000000"/>
        </w:rPr>
        <w:t xml:space="preserve"> 5%</w:t>
      </w:r>
      <w:r w:rsidR="00C374FC" w:rsidRPr="001616E6">
        <w:rPr>
          <w:rFonts w:ascii="GHEA Grapalat" w:hAnsi="GHEA Grapalat" w:cs="GHEA Grapalat"/>
          <w:color w:val="000000"/>
        </w:rPr>
        <w:t xml:space="preserve"> և մասնակիցների թվի աճով</w:t>
      </w:r>
      <w:r w:rsidR="0062694A" w:rsidRPr="001616E6">
        <w:rPr>
          <w:rFonts w:ascii="GHEA Grapalat" w:hAnsi="GHEA Grapalat" w:cs="GHEA Grapalat"/>
          <w:color w:val="000000"/>
        </w:rPr>
        <w:t>:</w:t>
      </w:r>
    </w:p>
    <w:p w:rsidR="00E04915" w:rsidRPr="003A059B" w:rsidRDefault="00EE1F7B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1616E6">
        <w:rPr>
          <w:rFonts w:ascii="GHEA Grapalat" w:hAnsi="GHEA Grapalat" w:cs="GHEA Grapalat"/>
          <w:color w:val="000000"/>
        </w:rPr>
        <w:t>2</w:t>
      </w:r>
      <w:r w:rsidR="002412FA" w:rsidRPr="001616E6">
        <w:rPr>
          <w:rFonts w:ascii="GHEA Grapalat" w:hAnsi="GHEA Grapalat" w:cs="GHEA Grapalat"/>
          <w:color w:val="000000"/>
        </w:rPr>
        <w:t>023</w:t>
      </w:r>
      <w:r w:rsidRPr="001616E6">
        <w:rPr>
          <w:rFonts w:ascii="GHEA Grapalat" w:hAnsi="GHEA Grapalat" w:cs="GHEA Grapalat"/>
          <w:color w:val="000000"/>
        </w:rPr>
        <w:t xml:space="preserve"> թվականի </w:t>
      </w:r>
      <w:r w:rsidR="00375C74" w:rsidRPr="001616E6">
        <w:rPr>
          <w:rFonts w:ascii="GHEA Grapalat" w:hAnsi="GHEA Grapalat" w:cs="GHEA Grapalat"/>
          <w:color w:val="000000"/>
        </w:rPr>
        <w:t>հունվար-</w:t>
      </w:r>
      <w:r w:rsidR="004256F0" w:rsidRPr="001616E6">
        <w:rPr>
          <w:rFonts w:ascii="GHEA Grapalat" w:hAnsi="GHEA Grapalat" w:cs="GHEA Grapalat"/>
          <w:color w:val="000000"/>
        </w:rPr>
        <w:t>օգոստոս</w:t>
      </w:r>
      <w:r w:rsidR="00375C74" w:rsidRPr="001616E6">
        <w:rPr>
          <w:rFonts w:ascii="GHEA Grapalat" w:hAnsi="GHEA Grapalat" w:cs="GHEA Grapalat"/>
          <w:color w:val="000000"/>
        </w:rPr>
        <w:t xml:space="preserve"> ամիսներին </w:t>
      </w:r>
      <w:r w:rsidR="00901957" w:rsidRPr="001616E6">
        <w:rPr>
          <w:rFonts w:ascii="GHEA Grapalat" w:hAnsi="GHEA Grapalat" w:cs="GHEA Grapalat"/>
          <w:color w:val="000000"/>
        </w:rPr>
        <w:t xml:space="preserve">բնապահպանական հարկի և </w:t>
      </w:r>
      <w:r w:rsidR="00D05892" w:rsidRPr="001616E6">
        <w:rPr>
          <w:rFonts w:ascii="GHEA Grapalat" w:hAnsi="GHEA Grapalat" w:cs="GHEA Grapalat"/>
          <w:color w:val="000000"/>
        </w:rPr>
        <w:t>բնօգտագործման վճարների գծով</w:t>
      </w:r>
      <w:r w:rsidR="00DC1736" w:rsidRPr="001616E6">
        <w:rPr>
          <w:rFonts w:ascii="GHEA Grapalat" w:hAnsi="GHEA Grapalat" w:cs="GHEA Grapalat"/>
          <w:color w:val="000000"/>
        </w:rPr>
        <w:t xml:space="preserve"> </w:t>
      </w:r>
      <w:r w:rsidR="0011397E" w:rsidRPr="001616E6">
        <w:rPr>
          <w:rFonts w:ascii="GHEA Grapalat" w:hAnsi="GHEA Grapalat" w:cs="GHEA Grapalat"/>
          <w:color w:val="000000"/>
        </w:rPr>
        <w:t xml:space="preserve">մուտքերը կազմել են </w:t>
      </w:r>
      <w:r w:rsidR="00517FDD" w:rsidRPr="001616E6">
        <w:rPr>
          <w:rFonts w:ascii="GHEA Grapalat" w:hAnsi="GHEA Grapalat" w:cs="GHEA Grapalat"/>
          <w:color w:val="000000"/>
        </w:rPr>
        <w:t xml:space="preserve">շուրջ </w:t>
      </w:r>
      <w:r w:rsidR="0066647A" w:rsidRPr="001616E6">
        <w:rPr>
          <w:rFonts w:ascii="GHEA Grapalat" w:hAnsi="GHEA Grapalat" w:cs="GHEA Grapalat"/>
          <w:color w:val="000000"/>
        </w:rPr>
        <w:t>2</w:t>
      </w:r>
      <w:r w:rsidR="00A96696" w:rsidRPr="001616E6">
        <w:rPr>
          <w:rFonts w:ascii="GHEA Grapalat" w:hAnsi="GHEA Grapalat" w:cs="GHEA Grapalat"/>
          <w:color w:val="000000"/>
        </w:rPr>
        <w:t>8.4</w:t>
      </w:r>
      <w:r w:rsidR="0011397E" w:rsidRPr="001616E6">
        <w:rPr>
          <w:rFonts w:ascii="GHEA Grapalat" w:hAnsi="GHEA Grapalat" w:cs="GHEA Grapalat"/>
          <w:color w:val="000000"/>
        </w:rPr>
        <w:t xml:space="preserve"> մլրդ դրամ՝ ապահովելով պետական բյուջեի հարկային եկամուտների և պետական</w:t>
      </w:r>
      <w:r w:rsidR="0011397E" w:rsidRPr="003A059B">
        <w:rPr>
          <w:rFonts w:ascii="GHEA Grapalat" w:hAnsi="GHEA Grapalat" w:cs="GHEA Grapalat"/>
          <w:color w:val="000000"/>
        </w:rPr>
        <w:t xml:space="preserve"> տուրքերի </w:t>
      </w:r>
      <w:r w:rsidR="0066647A" w:rsidRPr="003A059B">
        <w:rPr>
          <w:rFonts w:ascii="GHEA Grapalat" w:hAnsi="GHEA Grapalat" w:cs="GHEA Grapalat"/>
          <w:color w:val="000000"/>
        </w:rPr>
        <w:t>2</w:t>
      </w:r>
      <w:r w:rsidR="0011397E" w:rsidRPr="003A059B">
        <w:rPr>
          <w:rFonts w:ascii="GHEA Grapalat" w:hAnsi="GHEA Grapalat" w:cs="GHEA Grapalat"/>
          <w:color w:val="000000"/>
        </w:rPr>
        <w:t>%</w:t>
      </w:r>
      <w:r w:rsidR="0011397E" w:rsidRPr="003A059B">
        <w:rPr>
          <w:rFonts w:ascii="GHEA Grapalat" w:hAnsi="GHEA Grapalat" w:cs="GHEA Grapalat"/>
          <w:color w:val="000000"/>
        </w:rPr>
        <w:noBreakHyphen/>
        <w:t>ը: Նախորդ տարվա նույն ժամանակահատվածի համեմատ բնապահպանական հարկի և բնօգտագործման վճարների գծով մուտքեր</w:t>
      </w:r>
      <w:r w:rsidR="00C934E0" w:rsidRPr="003A059B">
        <w:rPr>
          <w:rFonts w:ascii="GHEA Grapalat" w:hAnsi="GHEA Grapalat" w:cs="GHEA Grapalat"/>
          <w:color w:val="000000"/>
        </w:rPr>
        <w:t>ի</w:t>
      </w:r>
      <w:r w:rsidR="004E4711" w:rsidRPr="003A059B">
        <w:rPr>
          <w:rFonts w:ascii="GHEA Grapalat" w:hAnsi="GHEA Grapalat" w:cs="GHEA Grapalat"/>
          <w:color w:val="000000"/>
        </w:rPr>
        <w:t xml:space="preserve"> </w:t>
      </w:r>
      <w:r w:rsidR="00A76082" w:rsidRPr="003A059B">
        <w:rPr>
          <w:rFonts w:ascii="GHEA Grapalat" w:hAnsi="GHEA Grapalat" w:cs="GHEA Grapalat"/>
          <w:color w:val="000000"/>
        </w:rPr>
        <w:t>ն</w:t>
      </w:r>
      <w:r w:rsidR="004E4711" w:rsidRPr="003A059B">
        <w:rPr>
          <w:rFonts w:ascii="GHEA Grapalat" w:hAnsi="GHEA Grapalat" w:cs="GHEA Grapalat"/>
          <w:color w:val="000000"/>
        </w:rPr>
        <w:t xml:space="preserve">վազումը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</w:t>
      </w:r>
      <w:r w:rsidR="00EB769E" w:rsidRPr="003A059B">
        <w:rPr>
          <w:rFonts w:ascii="GHEA Grapalat" w:hAnsi="GHEA Grapalat" w:cs="GHEA Grapalat"/>
          <w:color w:val="000000"/>
        </w:rPr>
        <w:t>6</w:t>
      </w:r>
      <w:r w:rsidR="00A96696">
        <w:rPr>
          <w:rFonts w:ascii="GHEA Grapalat" w:hAnsi="GHEA Grapalat" w:cs="GHEA Grapalat"/>
          <w:color w:val="000000"/>
        </w:rPr>
        <w:t>6.8</w:t>
      </w:r>
      <w:r w:rsidR="004E4711" w:rsidRPr="003A059B">
        <w:rPr>
          <w:rFonts w:ascii="GHEA Grapalat" w:hAnsi="GHEA Grapalat" w:cs="GHEA Grapalat"/>
          <w:color w:val="000000"/>
        </w:rPr>
        <w:t>% (</w:t>
      </w:r>
      <w:r w:rsidR="00EB769E" w:rsidRPr="003A059B">
        <w:rPr>
          <w:rFonts w:ascii="GHEA Grapalat" w:hAnsi="GHEA Grapalat" w:cs="GHEA Grapalat"/>
          <w:color w:val="000000"/>
        </w:rPr>
        <w:t>3</w:t>
      </w:r>
      <w:r w:rsidR="00A96696">
        <w:rPr>
          <w:rFonts w:ascii="GHEA Grapalat" w:hAnsi="GHEA Grapalat" w:cs="GHEA Grapalat"/>
          <w:color w:val="000000"/>
        </w:rPr>
        <w:t>3</w:t>
      </w:r>
      <w:r w:rsidR="003A09E9" w:rsidRPr="003A059B">
        <w:rPr>
          <w:rFonts w:ascii="GHEA Grapalat" w:hAnsi="GHEA Grapalat" w:cs="GHEA Grapalat"/>
          <w:color w:val="000000"/>
        </w:rPr>
        <w:t xml:space="preserve"> </w:t>
      </w:r>
      <w:r w:rsidR="004E4711" w:rsidRPr="003A059B">
        <w:rPr>
          <w:rFonts w:ascii="GHEA Grapalat" w:hAnsi="GHEA Grapalat" w:cs="GHEA Grapalat"/>
          <w:color w:val="000000"/>
        </w:rPr>
        <w:t xml:space="preserve">մլրդ դրամ) նվազմամբ: Միևնույն ժամանակ, </w:t>
      </w:r>
      <w:r w:rsidR="0011397E" w:rsidRPr="003A059B">
        <w:rPr>
          <w:rFonts w:ascii="GHEA Grapalat" w:hAnsi="GHEA Grapalat" w:cs="GHEA Grapalat"/>
          <w:color w:val="000000"/>
        </w:rPr>
        <w:t xml:space="preserve">ՀՀ ներմուծվող շրջակա միջավայրին վնաս պատճառող </w:t>
      </w:r>
      <w:r w:rsidR="0011397E" w:rsidRPr="003A059B">
        <w:rPr>
          <w:rFonts w:ascii="GHEA Grapalat" w:hAnsi="GHEA Grapalat" w:cs="GHEA Grapalat"/>
          <w:color w:val="000000"/>
        </w:rPr>
        <w:lastRenderedPageBreak/>
        <w:t xml:space="preserve">ապրանքների համար գանձված բնապահպանական հարկի և օգտակար հանածոների արդյունահանման դիմաց ստացված բնօգտագործման վճարների գծով </w:t>
      </w:r>
      <w:r w:rsidR="00A76082" w:rsidRPr="003A059B">
        <w:rPr>
          <w:rFonts w:ascii="GHEA Grapalat" w:hAnsi="GHEA Grapalat" w:cs="GHEA Grapalat"/>
          <w:color w:val="000000"/>
        </w:rPr>
        <w:t xml:space="preserve">արձանագրվել է </w:t>
      </w:r>
      <w:r w:rsidR="0011397E" w:rsidRPr="003A059B">
        <w:rPr>
          <w:rFonts w:ascii="GHEA Grapalat" w:hAnsi="GHEA Grapalat" w:cs="GHEA Grapalat"/>
          <w:color w:val="000000"/>
        </w:rPr>
        <w:t xml:space="preserve">համապատասխանաբար </w:t>
      </w:r>
      <w:r w:rsidR="00A96696">
        <w:rPr>
          <w:rFonts w:ascii="GHEA Grapalat" w:hAnsi="GHEA Grapalat" w:cs="GHEA Grapalat"/>
          <w:color w:val="000000"/>
        </w:rPr>
        <w:t>58.</w:t>
      </w:r>
      <w:r w:rsidR="00517FDD" w:rsidRPr="003A059B">
        <w:rPr>
          <w:rFonts w:ascii="GHEA Grapalat" w:hAnsi="GHEA Grapalat" w:cs="GHEA Grapalat"/>
          <w:color w:val="000000"/>
        </w:rPr>
        <w:t>9</w:t>
      </w:r>
      <w:r w:rsidR="0011397E" w:rsidRPr="003A059B">
        <w:rPr>
          <w:rFonts w:ascii="GHEA Grapalat" w:hAnsi="GHEA Grapalat" w:cs="GHEA Grapalat"/>
          <w:color w:val="000000"/>
        </w:rPr>
        <w:t>%</w:t>
      </w:r>
      <w:r w:rsidR="00A76082" w:rsidRPr="003A059B">
        <w:rPr>
          <w:rFonts w:ascii="GHEA Grapalat" w:hAnsi="GHEA Grapalat" w:cs="GHEA Grapalat"/>
          <w:color w:val="000000"/>
        </w:rPr>
        <w:t xml:space="preserve"> (</w:t>
      </w:r>
      <w:r w:rsidR="00517FDD" w:rsidRPr="003A059B">
        <w:rPr>
          <w:rFonts w:ascii="GHEA Grapalat" w:hAnsi="GHEA Grapalat" w:cs="GHEA Grapalat"/>
          <w:color w:val="000000"/>
        </w:rPr>
        <w:t>2</w:t>
      </w:r>
      <w:r w:rsidR="00A96696">
        <w:rPr>
          <w:rFonts w:ascii="GHEA Grapalat" w:hAnsi="GHEA Grapalat" w:cs="GHEA Grapalat"/>
          <w:color w:val="000000"/>
        </w:rPr>
        <w:t>.1</w:t>
      </w:r>
      <w:r w:rsidR="00A76082" w:rsidRPr="003A059B">
        <w:rPr>
          <w:rFonts w:ascii="GHEA Grapalat" w:hAnsi="GHEA Grapalat" w:cs="GHEA Grapalat"/>
          <w:color w:val="000000"/>
        </w:rPr>
        <w:t> </w:t>
      </w:r>
      <w:r w:rsidR="004E4711" w:rsidRPr="003A059B">
        <w:rPr>
          <w:rFonts w:ascii="GHEA Grapalat" w:hAnsi="GHEA Grapalat" w:cs="GHEA Grapalat"/>
          <w:color w:val="000000"/>
        </w:rPr>
        <w:t>մլրդ</w:t>
      </w:r>
      <w:r w:rsidR="00A76082" w:rsidRPr="003A059B">
        <w:rPr>
          <w:rFonts w:ascii="GHEA Grapalat" w:hAnsi="GHEA Grapalat" w:cs="GHEA Grapalat"/>
          <w:color w:val="000000"/>
        </w:rPr>
        <w:t xml:space="preserve"> դրամ</w:t>
      </w:r>
      <w:r w:rsidR="00E04915" w:rsidRPr="003A059B">
        <w:rPr>
          <w:rFonts w:ascii="GHEA Grapalat" w:hAnsi="GHEA Grapalat" w:cs="GHEA Grapalat"/>
          <w:color w:val="000000"/>
        </w:rPr>
        <w:t xml:space="preserve">) և </w:t>
      </w:r>
      <w:r w:rsidR="00A96696">
        <w:rPr>
          <w:rFonts w:ascii="GHEA Grapalat" w:hAnsi="GHEA Grapalat" w:cs="GHEA Grapalat"/>
          <w:color w:val="000000"/>
        </w:rPr>
        <w:t>30.</w:t>
      </w:r>
      <w:r w:rsidR="003E326F">
        <w:rPr>
          <w:rFonts w:ascii="GHEA Grapalat" w:hAnsi="GHEA Grapalat" w:cs="GHEA Grapalat"/>
          <w:color w:val="000000"/>
        </w:rPr>
        <w:t>1</w:t>
      </w:r>
      <w:r w:rsidR="00E04915" w:rsidRPr="003A059B">
        <w:rPr>
          <w:rFonts w:ascii="GHEA Grapalat" w:hAnsi="GHEA Grapalat" w:cs="GHEA Grapalat"/>
          <w:color w:val="000000"/>
        </w:rPr>
        <w:t xml:space="preserve">% </w:t>
      </w:r>
      <w:r w:rsidR="00A96696" w:rsidRPr="003A059B">
        <w:rPr>
          <w:rFonts w:ascii="GHEA Grapalat" w:hAnsi="GHEA Grapalat" w:cs="GHEA Grapalat"/>
          <w:color w:val="000000"/>
        </w:rPr>
        <w:t>(</w:t>
      </w:r>
      <w:r w:rsidR="00A96696">
        <w:rPr>
          <w:rFonts w:ascii="GHEA Grapalat" w:hAnsi="GHEA Grapalat" w:cs="GHEA Grapalat"/>
          <w:color w:val="000000"/>
        </w:rPr>
        <w:t xml:space="preserve">1.1 </w:t>
      </w:r>
      <w:r w:rsidR="00A96696" w:rsidRPr="003A059B">
        <w:rPr>
          <w:rFonts w:ascii="GHEA Grapalat" w:hAnsi="GHEA Grapalat" w:cs="GHEA Grapalat"/>
          <w:color w:val="000000"/>
        </w:rPr>
        <w:t xml:space="preserve">մլրդ դրամ) </w:t>
      </w:r>
      <w:r w:rsidR="00E04915" w:rsidRPr="003A059B">
        <w:rPr>
          <w:rFonts w:ascii="GHEA Grapalat" w:hAnsi="GHEA Grapalat" w:cs="GHEA Grapalat"/>
          <w:color w:val="000000"/>
        </w:rPr>
        <w:t>աճ</w:t>
      </w:r>
      <w:r w:rsidR="0011397E" w:rsidRPr="003A059B">
        <w:rPr>
          <w:rFonts w:ascii="GHEA Grapalat" w:hAnsi="GHEA Grapalat" w:cs="GHEA Grapalat"/>
          <w:color w:val="000000"/>
        </w:rPr>
        <w:t>:</w:t>
      </w:r>
    </w:p>
    <w:p w:rsidR="00A96696" w:rsidRPr="003A059B" w:rsidRDefault="00901957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091747">
        <w:rPr>
          <w:rFonts w:ascii="GHEA Grapalat" w:hAnsi="GHEA Grapalat" w:cs="GHEA Grapalat"/>
          <w:color w:val="000000"/>
        </w:rPr>
        <w:t xml:space="preserve">Հաշվետու ժամանակահատվածում պետական բյուջեի հարկերի և տուրքերի </w:t>
      </w:r>
      <w:r w:rsidR="002570D3" w:rsidRPr="00091747">
        <w:rPr>
          <w:rFonts w:ascii="GHEA Grapalat" w:hAnsi="GHEA Grapalat" w:cs="GHEA Grapalat"/>
          <w:color w:val="000000"/>
        </w:rPr>
        <w:t>3</w:t>
      </w:r>
      <w:r w:rsidR="00985503" w:rsidRPr="00091747">
        <w:rPr>
          <w:rFonts w:ascii="GHEA Grapalat" w:hAnsi="GHEA Grapalat" w:cs="GHEA Grapalat"/>
          <w:color w:val="000000"/>
        </w:rPr>
        <w:t>.</w:t>
      </w:r>
      <w:r w:rsidR="001616E6" w:rsidRPr="00091747">
        <w:rPr>
          <w:rFonts w:ascii="GHEA Grapalat" w:hAnsi="GHEA Grapalat" w:cs="GHEA Grapalat"/>
          <w:color w:val="000000"/>
        </w:rPr>
        <w:t>4</w:t>
      </w:r>
      <w:r w:rsidRPr="00091747">
        <w:rPr>
          <w:rFonts w:ascii="GHEA Grapalat" w:hAnsi="GHEA Grapalat" w:cs="GHEA Grapalat"/>
          <w:color w:val="000000"/>
        </w:rPr>
        <w:t xml:space="preserve">%-ը ձևավորվել է այլ հարկերի հաշվին՝ կազմելով </w:t>
      </w:r>
      <w:r w:rsidR="00A96696" w:rsidRPr="00091747">
        <w:rPr>
          <w:rFonts w:ascii="GHEA Grapalat" w:hAnsi="GHEA Grapalat" w:cs="GHEA Grapalat"/>
          <w:color w:val="000000"/>
        </w:rPr>
        <w:t>48</w:t>
      </w:r>
      <w:r w:rsidR="004B5D29" w:rsidRPr="00091747">
        <w:rPr>
          <w:rFonts w:ascii="GHEA Grapalat" w:hAnsi="GHEA Grapalat" w:cs="GHEA Grapalat"/>
          <w:color w:val="000000"/>
        </w:rPr>
        <w:t xml:space="preserve"> </w:t>
      </w:r>
      <w:r w:rsidRPr="00091747">
        <w:rPr>
          <w:rFonts w:ascii="GHEA Grapalat" w:hAnsi="GHEA Grapalat" w:cs="GHEA Grapalat"/>
          <w:color w:val="000000"/>
        </w:rPr>
        <w:t xml:space="preserve">մլրդ դրամ: Մասնավորապես` </w:t>
      </w:r>
      <w:r w:rsidR="00517FDD" w:rsidRPr="00091747">
        <w:rPr>
          <w:rFonts w:ascii="GHEA Grapalat" w:hAnsi="GHEA Grapalat" w:cs="GHEA Grapalat"/>
          <w:color w:val="000000"/>
        </w:rPr>
        <w:t>2</w:t>
      </w:r>
      <w:r w:rsidR="00A96696" w:rsidRPr="00091747">
        <w:rPr>
          <w:rFonts w:ascii="GHEA Grapalat" w:hAnsi="GHEA Grapalat" w:cs="GHEA Grapalat"/>
          <w:color w:val="000000"/>
        </w:rPr>
        <w:t>7.8</w:t>
      </w:r>
      <w:r w:rsidR="00517FDD" w:rsidRPr="00091747">
        <w:rPr>
          <w:rFonts w:ascii="GHEA Grapalat" w:hAnsi="GHEA Grapalat" w:cs="GHEA Grapalat"/>
          <w:color w:val="000000"/>
        </w:rPr>
        <w:t xml:space="preserve"> </w:t>
      </w:r>
      <w:r w:rsidRPr="00091747">
        <w:rPr>
          <w:rFonts w:ascii="GHEA Grapalat" w:hAnsi="GHEA Grapalat" w:cs="GHEA Grapalat"/>
          <w:color w:val="000000"/>
        </w:rPr>
        <w:t>մլրդ դրամ են կազմել</w:t>
      </w:r>
      <w:r w:rsidRPr="003A059B">
        <w:rPr>
          <w:rFonts w:ascii="GHEA Grapalat" w:hAnsi="GHEA Grapalat" w:cs="GHEA Grapalat"/>
          <w:color w:val="000000"/>
        </w:rPr>
        <w:t xml:space="preserve">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 վճարները,</w:t>
      </w:r>
      <w:r w:rsidR="00CD09EF" w:rsidRPr="003A059B">
        <w:rPr>
          <w:rFonts w:ascii="GHEA Grapalat" w:hAnsi="GHEA Grapalat" w:cs="GHEA Grapalat"/>
          <w:color w:val="000000"/>
        </w:rPr>
        <w:t xml:space="preserve"> </w:t>
      </w:r>
      <w:r w:rsidR="00A96696">
        <w:rPr>
          <w:rFonts w:ascii="GHEA Grapalat" w:hAnsi="GHEA Grapalat" w:cs="GHEA Grapalat"/>
          <w:color w:val="000000"/>
        </w:rPr>
        <w:t>8.2</w:t>
      </w:r>
      <w:r w:rsidRPr="003A059B">
        <w:rPr>
          <w:rFonts w:ascii="GHEA Grapalat" w:hAnsi="GHEA Grapalat" w:cs="GHEA Grapalat"/>
          <w:color w:val="000000"/>
        </w:rPr>
        <w:t xml:space="preserve"> մլրդ դրամ՝ ռադիոհաճախականության օգտագործման պարտադիր վճարը,</w:t>
      </w:r>
      <w:r w:rsidR="00CD09EF" w:rsidRPr="003A059B">
        <w:rPr>
          <w:rFonts w:ascii="GHEA Grapalat" w:hAnsi="GHEA Grapalat" w:cs="GHEA Grapalat"/>
          <w:color w:val="000000"/>
        </w:rPr>
        <w:t xml:space="preserve"> </w:t>
      </w:r>
      <w:r w:rsidR="00A96696">
        <w:rPr>
          <w:rFonts w:ascii="GHEA Grapalat" w:hAnsi="GHEA Grapalat" w:cs="GHEA Grapalat"/>
          <w:color w:val="000000"/>
        </w:rPr>
        <w:t>5.6</w:t>
      </w:r>
      <w:r w:rsidR="00985503" w:rsidRPr="003A059B">
        <w:rPr>
          <w:rFonts w:ascii="GHEA Grapalat" w:hAnsi="GHEA Grapalat" w:cs="GHEA Grapalat"/>
          <w:color w:val="000000"/>
        </w:rPr>
        <w:t xml:space="preserve"> </w:t>
      </w:r>
      <w:r w:rsidR="007E09F4" w:rsidRPr="003A059B">
        <w:rPr>
          <w:rFonts w:ascii="GHEA Grapalat" w:hAnsi="GHEA Grapalat" w:cs="GHEA Grapalat"/>
          <w:color w:val="000000"/>
        </w:rPr>
        <w:t xml:space="preserve">մլրդ </w:t>
      </w:r>
      <w:r w:rsidRPr="003A059B">
        <w:rPr>
          <w:rFonts w:ascii="GHEA Grapalat" w:hAnsi="GHEA Grapalat" w:cs="GHEA Grapalat"/>
          <w:color w:val="000000"/>
        </w:rPr>
        <w:t xml:space="preserve">դրամ՝ </w:t>
      </w:r>
      <w:r w:rsidR="00F10F79" w:rsidRPr="003A059B">
        <w:rPr>
          <w:rFonts w:ascii="GHEA Grapalat" w:hAnsi="GHEA Grapalat" w:cs="GHEA Grapalat"/>
          <w:color w:val="000000"/>
        </w:rPr>
        <w:t>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գանձվող միասնական մաքսային վճարը</w:t>
      </w:r>
      <w:r w:rsidRPr="003A059B">
        <w:rPr>
          <w:rFonts w:ascii="GHEA Grapalat" w:hAnsi="GHEA Grapalat" w:cs="GHEA Grapalat"/>
          <w:color w:val="000000"/>
        </w:rPr>
        <w:t xml:space="preserve">, </w:t>
      </w:r>
      <w:r w:rsidR="00517FDD" w:rsidRPr="003A059B">
        <w:rPr>
          <w:rFonts w:ascii="GHEA Grapalat" w:hAnsi="GHEA Grapalat" w:cs="GHEA Grapalat"/>
          <w:color w:val="000000"/>
        </w:rPr>
        <w:t>3.</w:t>
      </w:r>
      <w:r w:rsidR="00A96696">
        <w:rPr>
          <w:rFonts w:ascii="GHEA Grapalat" w:hAnsi="GHEA Grapalat" w:cs="GHEA Grapalat"/>
          <w:color w:val="000000"/>
        </w:rPr>
        <w:t>7</w:t>
      </w:r>
      <w:r w:rsidR="0057441A" w:rsidRPr="003A059B">
        <w:rPr>
          <w:rFonts w:ascii="GHEA Grapalat" w:hAnsi="GHEA Grapalat" w:cs="GHEA Grapalat"/>
          <w:color w:val="000000"/>
        </w:rPr>
        <w:t xml:space="preserve"> մլ</w:t>
      </w:r>
      <w:r w:rsidR="00CD09EF" w:rsidRPr="003A059B">
        <w:rPr>
          <w:rFonts w:ascii="GHEA Grapalat" w:hAnsi="GHEA Grapalat" w:cs="GHEA Grapalat"/>
          <w:color w:val="000000"/>
        </w:rPr>
        <w:t>րդ</w:t>
      </w:r>
      <w:r w:rsidR="0057441A" w:rsidRPr="003A059B">
        <w:rPr>
          <w:rFonts w:ascii="GHEA Grapalat" w:hAnsi="GHEA Grapalat" w:cs="GHEA Grapalat"/>
          <w:color w:val="000000"/>
        </w:rPr>
        <w:t xml:space="preserve"> դրամ՝ ճանապարհային հարկը</w:t>
      </w:r>
      <w:r w:rsidR="00CD09EF" w:rsidRPr="003A059B">
        <w:rPr>
          <w:rFonts w:ascii="GHEA Grapalat" w:hAnsi="GHEA Grapalat" w:cs="GHEA Grapalat"/>
          <w:color w:val="000000"/>
        </w:rPr>
        <w:t xml:space="preserve">, </w:t>
      </w:r>
      <w:r w:rsidR="00A96696">
        <w:rPr>
          <w:rFonts w:ascii="GHEA Grapalat" w:hAnsi="GHEA Grapalat" w:cs="GHEA Grapalat"/>
          <w:color w:val="000000"/>
        </w:rPr>
        <w:t>2</w:t>
      </w:r>
      <w:r w:rsidR="00985503" w:rsidRPr="003A059B">
        <w:rPr>
          <w:rFonts w:ascii="GHEA Grapalat" w:hAnsi="GHEA Grapalat" w:cs="GHEA Grapalat"/>
          <w:color w:val="000000"/>
        </w:rPr>
        <w:t xml:space="preserve"> մլրդ </w:t>
      </w:r>
      <w:r w:rsidR="0057441A" w:rsidRPr="003A059B">
        <w:rPr>
          <w:rFonts w:ascii="GHEA Grapalat" w:hAnsi="GHEA Grapalat" w:cs="GHEA Grapalat"/>
          <w:color w:val="000000"/>
        </w:rPr>
        <w:t>դրամ` հարկային օրենսդրության խախտման համար սահմանված տուգանքները</w:t>
      </w:r>
      <w:r w:rsidR="008E2D31" w:rsidRPr="003A059B">
        <w:rPr>
          <w:rFonts w:ascii="GHEA Grapalat" w:hAnsi="GHEA Grapalat" w:cs="GHEA Grapalat"/>
          <w:color w:val="000000"/>
        </w:rPr>
        <w:t>,</w:t>
      </w:r>
      <w:r w:rsidR="00CD09EF" w:rsidRPr="003A059B">
        <w:rPr>
          <w:rFonts w:ascii="GHEA Grapalat" w:hAnsi="GHEA Grapalat" w:cs="GHEA Grapalat"/>
          <w:color w:val="000000"/>
        </w:rPr>
        <w:t xml:space="preserve"> </w:t>
      </w:r>
      <w:r w:rsidR="00A96696">
        <w:rPr>
          <w:rFonts w:ascii="GHEA Grapalat" w:hAnsi="GHEA Grapalat" w:cs="GHEA Grapalat"/>
          <w:color w:val="000000"/>
        </w:rPr>
        <w:t>742.4</w:t>
      </w:r>
      <w:r w:rsidR="00CD09EF" w:rsidRPr="003A059B">
        <w:rPr>
          <w:rFonts w:ascii="GHEA Grapalat" w:hAnsi="GHEA Grapalat" w:cs="GHEA Grapalat"/>
        </w:rPr>
        <w:t xml:space="preserve"> մլն դրամ՝ հանրային ծառայությունների կարգավորման պարտադիր վճարները: </w:t>
      </w:r>
      <w:r w:rsidRPr="003A059B">
        <w:rPr>
          <w:rFonts w:ascii="GHEA Grapalat" w:hAnsi="GHEA Grapalat" w:cs="GHEA Grapalat"/>
          <w:color w:val="000000"/>
        </w:rPr>
        <w:t xml:space="preserve">Նախորդ տարվա </w:t>
      </w:r>
      <w:r w:rsidR="00375C74" w:rsidRPr="003A059B">
        <w:rPr>
          <w:rFonts w:ascii="GHEA Grapalat" w:hAnsi="GHEA Grapalat" w:cs="GHEA Grapalat"/>
          <w:color w:val="000000"/>
        </w:rPr>
        <w:t>հունվար-</w:t>
      </w:r>
      <w:r w:rsidR="004256F0">
        <w:rPr>
          <w:rFonts w:ascii="GHEA Grapalat" w:hAnsi="GHEA Grapalat" w:cs="GHEA Grapalat"/>
          <w:color w:val="000000"/>
        </w:rPr>
        <w:t>օգոստոս</w:t>
      </w:r>
      <w:r w:rsidR="00375C74" w:rsidRPr="003A059B">
        <w:rPr>
          <w:rFonts w:ascii="GHEA Grapalat" w:hAnsi="GHEA Grapalat" w:cs="GHEA Grapalat"/>
          <w:color w:val="000000"/>
        </w:rPr>
        <w:t xml:space="preserve"> ամիսների </w:t>
      </w:r>
      <w:r w:rsidRPr="003A059B">
        <w:rPr>
          <w:rFonts w:ascii="GHEA Grapalat" w:hAnsi="GHEA Grapalat" w:cs="GHEA Grapalat"/>
        </w:rPr>
        <w:t xml:space="preserve">համեմատ այլ հարկերի փաստացի ցուցանիշն </w:t>
      </w:r>
      <w:r w:rsidRPr="003A059B">
        <w:rPr>
          <w:rFonts w:ascii="GHEA Grapalat" w:hAnsi="GHEA Grapalat" w:cs="GHEA Grapalat"/>
          <w:color w:val="000000"/>
        </w:rPr>
        <w:t xml:space="preserve">աճել է </w:t>
      </w:r>
      <w:r w:rsidR="00517FDD" w:rsidRPr="003A059B">
        <w:rPr>
          <w:rFonts w:ascii="GHEA Grapalat" w:hAnsi="GHEA Grapalat" w:cs="GHEA Grapalat"/>
          <w:color w:val="000000"/>
        </w:rPr>
        <w:t>3</w:t>
      </w:r>
      <w:r w:rsidR="00A96696">
        <w:rPr>
          <w:rFonts w:ascii="GHEA Grapalat" w:hAnsi="GHEA Grapalat" w:cs="GHEA Grapalat"/>
          <w:color w:val="000000"/>
        </w:rPr>
        <w:t>8</w:t>
      </w:r>
      <w:r w:rsidR="00517FDD" w:rsidRPr="003A059B">
        <w:rPr>
          <w:rFonts w:ascii="GHEA Grapalat" w:hAnsi="GHEA Grapalat" w:cs="GHEA Grapalat"/>
          <w:color w:val="000000"/>
        </w:rPr>
        <w:t>.</w:t>
      </w:r>
      <w:r w:rsidR="00A96696">
        <w:rPr>
          <w:rFonts w:ascii="GHEA Grapalat" w:hAnsi="GHEA Grapalat" w:cs="GHEA Grapalat"/>
          <w:color w:val="000000"/>
        </w:rPr>
        <w:t>1</w:t>
      </w:r>
      <w:r w:rsidRPr="003A059B">
        <w:rPr>
          <w:rFonts w:ascii="GHEA Grapalat" w:hAnsi="GHEA Grapalat" w:cs="GHEA Grapalat"/>
          <w:color w:val="000000"/>
        </w:rPr>
        <w:t>%-ով կամ</w:t>
      </w:r>
      <w:r w:rsidR="00DC03D6" w:rsidRPr="003A059B">
        <w:rPr>
          <w:rFonts w:ascii="GHEA Grapalat" w:hAnsi="GHEA Grapalat" w:cs="GHEA Grapalat"/>
          <w:color w:val="000000"/>
        </w:rPr>
        <w:t xml:space="preserve"> </w:t>
      </w:r>
      <w:r w:rsidR="00517FDD" w:rsidRPr="003A059B">
        <w:rPr>
          <w:rFonts w:ascii="GHEA Grapalat" w:hAnsi="GHEA Grapalat" w:cs="GHEA Grapalat"/>
          <w:color w:val="000000"/>
        </w:rPr>
        <w:t>1</w:t>
      </w:r>
      <w:r w:rsidR="00A96696">
        <w:rPr>
          <w:rFonts w:ascii="GHEA Grapalat" w:hAnsi="GHEA Grapalat" w:cs="GHEA Grapalat"/>
          <w:color w:val="000000"/>
        </w:rPr>
        <w:t>3</w:t>
      </w:r>
      <w:r w:rsidR="00517FDD" w:rsidRPr="003A059B">
        <w:rPr>
          <w:rFonts w:ascii="GHEA Grapalat" w:hAnsi="GHEA Grapalat" w:cs="GHEA Grapalat"/>
          <w:color w:val="000000"/>
        </w:rPr>
        <w:t>.</w:t>
      </w:r>
      <w:r w:rsidR="00A96696">
        <w:rPr>
          <w:rFonts w:ascii="GHEA Grapalat" w:hAnsi="GHEA Grapalat" w:cs="GHEA Grapalat"/>
          <w:color w:val="000000"/>
        </w:rPr>
        <w:t>3</w:t>
      </w:r>
      <w:r w:rsidR="00517FDD" w:rsidRPr="003A059B">
        <w:rPr>
          <w:rFonts w:ascii="GHEA Grapalat" w:hAnsi="GHEA Grapalat" w:cs="GHEA Grapalat"/>
          <w:color w:val="000000"/>
        </w:rPr>
        <w:t xml:space="preserve"> </w:t>
      </w:r>
      <w:r w:rsidR="0057441A" w:rsidRPr="003A059B">
        <w:rPr>
          <w:rFonts w:ascii="GHEA Grapalat" w:hAnsi="GHEA Grapalat" w:cs="GHEA Grapalat"/>
          <w:color w:val="000000"/>
        </w:rPr>
        <w:t>մլ</w:t>
      </w:r>
      <w:r w:rsidR="007E09F4" w:rsidRPr="003A059B">
        <w:rPr>
          <w:rFonts w:ascii="GHEA Grapalat" w:hAnsi="GHEA Grapalat" w:cs="GHEA Grapalat"/>
          <w:color w:val="000000"/>
        </w:rPr>
        <w:t>րդ</w:t>
      </w:r>
      <w:r w:rsidR="0057441A" w:rsidRPr="003A059B">
        <w:rPr>
          <w:rFonts w:ascii="GHEA Grapalat" w:hAnsi="GHEA Grapalat" w:cs="GHEA Grapalat"/>
          <w:color w:val="000000"/>
        </w:rPr>
        <w:t xml:space="preserve"> </w:t>
      </w:r>
      <w:r w:rsidR="00ED77E0" w:rsidRPr="003A059B">
        <w:rPr>
          <w:rFonts w:ascii="GHEA Grapalat" w:hAnsi="GHEA Grapalat" w:cs="GHEA Grapalat"/>
          <w:color w:val="000000"/>
        </w:rPr>
        <w:t>դրամով: Աճը</w:t>
      </w:r>
      <w:r w:rsidRPr="003A059B">
        <w:rPr>
          <w:rFonts w:ascii="GHEA Grapalat" w:hAnsi="GHEA Grapalat" w:cs="GHEA Grapalat"/>
          <w:color w:val="000000"/>
        </w:rPr>
        <w:t xml:space="preserve"> հիմնականում</w:t>
      </w:r>
      <w:r w:rsidR="00ED77E0" w:rsidRPr="003A059B">
        <w:rPr>
          <w:rFonts w:ascii="GHEA Grapalat" w:hAnsi="GHEA Grapalat" w:cs="GHEA Grapalat"/>
          <w:color w:val="000000"/>
        </w:rPr>
        <w:t xml:space="preserve"> պայմանավորված է</w:t>
      </w:r>
      <w:r w:rsidR="00A96696">
        <w:rPr>
          <w:rFonts w:ascii="GHEA Grapalat" w:hAnsi="GHEA Grapalat" w:cs="GHEA Grapalat"/>
          <w:color w:val="000000"/>
        </w:rPr>
        <w:t xml:space="preserve"> </w:t>
      </w:r>
      <w:r w:rsidR="00375DFA" w:rsidRPr="003A059B">
        <w:rPr>
          <w:rFonts w:ascii="GHEA Grapalat" w:hAnsi="GHEA Grapalat" w:cs="GHEA Grapalat"/>
          <w:color w:val="000000"/>
        </w:rPr>
        <w:t>դրոշմանիշային վճարների</w:t>
      </w:r>
      <w:r w:rsidR="00D3030F" w:rsidRPr="003A059B">
        <w:rPr>
          <w:rFonts w:ascii="GHEA Grapalat" w:hAnsi="GHEA Grapalat" w:cs="GHEA Grapalat"/>
          <w:color w:val="000000"/>
        </w:rPr>
        <w:t xml:space="preserve"> </w:t>
      </w:r>
      <w:r w:rsidR="00091747">
        <w:rPr>
          <w:rFonts w:ascii="GHEA Grapalat" w:hAnsi="GHEA Grapalat" w:cs="GHEA Grapalat"/>
          <w:color w:val="000000"/>
        </w:rPr>
        <w:t>18.9</w:t>
      </w:r>
      <w:r w:rsidR="00091747" w:rsidRPr="003A059B">
        <w:rPr>
          <w:rFonts w:ascii="GHEA Grapalat" w:hAnsi="GHEA Grapalat" w:cs="GHEA Grapalat"/>
          <w:color w:val="000000"/>
        </w:rPr>
        <w:t xml:space="preserve">% </w:t>
      </w:r>
      <w:r w:rsidR="00D3030F" w:rsidRPr="003A059B">
        <w:rPr>
          <w:rFonts w:ascii="GHEA Grapalat" w:hAnsi="GHEA Grapalat" w:cs="GHEA Grapalat"/>
          <w:color w:val="000000"/>
        </w:rPr>
        <w:t>(</w:t>
      </w:r>
      <w:r w:rsidR="00A96696">
        <w:rPr>
          <w:rFonts w:ascii="GHEA Grapalat" w:hAnsi="GHEA Grapalat" w:cs="GHEA Grapalat"/>
          <w:color w:val="000000"/>
        </w:rPr>
        <w:t>4.4</w:t>
      </w:r>
      <w:r w:rsidR="0078024D">
        <w:rPr>
          <w:rFonts w:ascii="GHEA Grapalat" w:hAnsi="GHEA Grapalat" w:cs="GHEA Grapalat"/>
          <w:color w:val="000000"/>
        </w:rPr>
        <w:t xml:space="preserve"> մլրդ դրամ</w:t>
      </w:r>
      <w:r w:rsidR="00D3030F" w:rsidRPr="003A059B">
        <w:rPr>
          <w:rFonts w:ascii="GHEA Grapalat" w:hAnsi="GHEA Grapalat" w:cs="GHEA Grapalat"/>
          <w:color w:val="000000"/>
        </w:rPr>
        <w:t>)</w:t>
      </w:r>
      <w:r w:rsidR="00A96696">
        <w:rPr>
          <w:rFonts w:ascii="GHEA Grapalat" w:hAnsi="GHEA Grapalat" w:cs="GHEA Grapalat"/>
          <w:color w:val="000000"/>
        </w:rPr>
        <w:t xml:space="preserve">, </w:t>
      </w:r>
      <w:r w:rsidR="0057441A" w:rsidRPr="003A059B">
        <w:rPr>
          <w:rFonts w:ascii="GHEA Grapalat" w:hAnsi="GHEA Grapalat" w:cs="GHEA Grapalat"/>
          <w:color w:val="000000"/>
        </w:rPr>
        <w:t xml:space="preserve">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</w:t>
      </w:r>
      <w:r w:rsidR="00171296" w:rsidRPr="003A059B">
        <w:rPr>
          <w:rFonts w:ascii="GHEA Grapalat" w:hAnsi="GHEA Grapalat" w:cs="GHEA Grapalat"/>
          <w:color w:val="000000"/>
        </w:rPr>
        <w:t>գանձվող միասնական մաքսային վճար</w:t>
      </w:r>
      <w:r w:rsidR="0057441A" w:rsidRPr="003A059B">
        <w:rPr>
          <w:rFonts w:ascii="GHEA Grapalat" w:hAnsi="GHEA Grapalat" w:cs="GHEA Grapalat"/>
          <w:color w:val="000000"/>
        </w:rPr>
        <w:t>ի</w:t>
      </w:r>
      <w:r w:rsidR="00D3030F" w:rsidRPr="003A059B">
        <w:rPr>
          <w:rFonts w:ascii="GHEA Grapalat" w:hAnsi="GHEA Grapalat" w:cs="GHEA Grapalat"/>
          <w:color w:val="000000"/>
        </w:rPr>
        <w:t xml:space="preserve"> </w:t>
      </w:r>
      <w:r w:rsidR="00091747">
        <w:rPr>
          <w:rFonts w:ascii="GHEA Grapalat" w:hAnsi="GHEA Grapalat" w:cs="GHEA Grapalat"/>
          <w:color w:val="000000"/>
        </w:rPr>
        <w:t>3.7 անգամ</w:t>
      </w:r>
      <w:r w:rsidR="00091747" w:rsidRPr="003A059B">
        <w:rPr>
          <w:rFonts w:ascii="GHEA Grapalat" w:hAnsi="GHEA Grapalat" w:cs="GHEA Grapalat"/>
          <w:color w:val="000000"/>
        </w:rPr>
        <w:t xml:space="preserve"> </w:t>
      </w:r>
      <w:r w:rsidR="00D3030F" w:rsidRPr="003A059B">
        <w:rPr>
          <w:rFonts w:ascii="GHEA Grapalat" w:hAnsi="GHEA Grapalat" w:cs="GHEA Grapalat"/>
          <w:color w:val="000000"/>
        </w:rPr>
        <w:t>(</w:t>
      </w:r>
      <w:r w:rsidR="00A96696">
        <w:rPr>
          <w:rFonts w:ascii="GHEA Grapalat" w:hAnsi="GHEA Grapalat" w:cs="GHEA Grapalat"/>
          <w:color w:val="000000"/>
        </w:rPr>
        <w:t>4.1</w:t>
      </w:r>
      <w:r w:rsidR="00F66841" w:rsidRPr="003A059B">
        <w:rPr>
          <w:rFonts w:ascii="GHEA Grapalat" w:hAnsi="GHEA Grapalat" w:cs="GHEA Grapalat"/>
          <w:color w:val="000000"/>
        </w:rPr>
        <w:t xml:space="preserve"> մլրդ դրամ)</w:t>
      </w:r>
      <w:r w:rsidR="00A96696">
        <w:rPr>
          <w:rFonts w:ascii="GHEA Grapalat" w:hAnsi="GHEA Grapalat" w:cs="GHEA Grapalat"/>
          <w:color w:val="000000"/>
        </w:rPr>
        <w:t xml:space="preserve"> </w:t>
      </w:r>
      <w:r w:rsidR="00A96696" w:rsidRPr="003A059B">
        <w:rPr>
          <w:rFonts w:ascii="GHEA Grapalat" w:hAnsi="GHEA Grapalat" w:cs="GHEA Grapalat"/>
          <w:color w:val="000000"/>
        </w:rPr>
        <w:t xml:space="preserve">և ռադիոհաճախականության օգտագործման պարտադիր վճարի </w:t>
      </w:r>
      <w:r w:rsidR="00091747">
        <w:rPr>
          <w:rFonts w:ascii="GHEA Grapalat" w:hAnsi="GHEA Grapalat" w:cs="GHEA Grapalat"/>
          <w:color w:val="000000"/>
        </w:rPr>
        <w:t>85</w:t>
      </w:r>
      <w:r w:rsidR="00091747" w:rsidRPr="003A059B">
        <w:rPr>
          <w:rFonts w:ascii="GHEA Grapalat" w:hAnsi="GHEA Grapalat" w:cs="GHEA Grapalat"/>
          <w:color w:val="000000"/>
        </w:rPr>
        <w:t xml:space="preserve">% </w:t>
      </w:r>
      <w:r w:rsidR="00A96696" w:rsidRPr="003A059B">
        <w:rPr>
          <w:rFonts w:ascii="GHEA Grapalat" w:hAnsi="GHEA Grapalat" w:cs="GHEA Grapalat"/>
          <w:color w:val="000000"/>
        </w:rPr>
        <w:t>(3</w:t>
      </w:r>
      <w:r w:rsidR="00A96696">
        <w:rPr>
          <w:rFonts w:ascii="GHEA Grapalat" w:hAnsi="GHEA Grapalat" w:cs="GHEA Grapalat"/>
          <w:color w:val="000000"/>
        </w:rPr>
        <w:t>.8 մլրդ դրամ)</w:t>
      </w:r>
      <w:r w:rsidR="00A96696" w:rsidRPr="003A059B">
        <w:rPr>
          <w:rFonts w:ascii="GHEA Grapalat" w:hAnsi="GHEA Grapalat" w:cs="GHEA Grapalat"/>
          <w:color w:val="000000"/>
        </w:rPr>
        <w:t xml:space="preserve"> աճով:</w:t>
      </w:r>
    </w:p>
    <w:p w:rsidR="003F6424" w:rsidRPr="003A059B" w:rsidRDefault="009968EF" w:rsidP="0062734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270A9B">
        <w:rPr>
          <w:rFonts w:ascii="GHEA Grapalat" w:hAnsi="GHEA Grapalat" w:cs="GHEA Grapalat"/>
          <w:color w:val="000000"/>
        </w:rPr>
        <w:t xml:space="preserve">2023 </w:t>
      </w:r>
      <w:r w:rsidRPr="00D23A53">
        <w:rPr>
          <w:rFonts w:ascii="GHEA Grapalat" w:hAnsi="GHEA Grapalat" w:cs="GHEA Grapalat"/>
          <w:color w:val="000000"/>
        </w:rPr>
        <w:t xml:space="preserve">թվականի </w:t>
      </w:r>
      <w:r w:rsidR="00375C74" w:rsidRPr="00D23A53">
        <w:rPr>
          <w:rFonts w:ascii="GHEA Grapalat" w:hAnsi="GHEA Grapalat" w:cs="GHEA Grapalat"/>
          <w:color w:val="000000"/>
        </w:rPr>
        <w:t>հունվար-</w:t>
      </w:r>
      <w:r w:rsidR="004256F0" w:rsidRPr="00D23A53">
        <w:rPr>
          <w:rFonts w:ascii="GHEA Grapalat" w:hAnsi="GHEA Grapalat" w:cs="GHEA Grapalat"/>
          <w:color w:val="000000"/>
        </w:rPr>
        <w:t>օգոստոս</w:t>
      </w:r>
      <w:r w:rsidR="00375C74" w:rsidRPr="00D23A53">
        <w:rPr>
          <w:rFonts w:ascii="GHEA Grapalat" w:hAnsi="GHEA Grapalat" w:cs="GHEA Grapalat"/>
          <w:color w:val="000000"/>
        </w:rPr>
        <w:t xml:space="preserve"> ամիսներին </w:t>
      </w:r>
      <w:r w:rsidRPr="00D23A53">
        <w:rPr>
          <w:rFonts w:ascii="GHEA Grapalat" w:hAnsi="GHEA Grapalat" w:cs="GHEA Grapalat"/>
          <w:color w:val="000000"/>
        </w:rPr>
        <w:t>պետական բյուջե են մուտքագրվել</w:t>
      </w:r>
      <w:r w:rsidR="00563A95" w:rsidRPr="00D23A53">
        <w:rPr>
          <w:rFonts w:ascii="GHEA Grapalat" w:hAnsi="GHEA Grapalat" w:cs="GHEA Grapalat"/>
          <w:color w:val="000000"/>
        </w:rPr>
        <w:t xml:space="preserve"> </w:t>
      </w:r>
      <w:r w:rsidR="00794151" w:rsidRPr="00D23A53">
        <w:rPr>
          <w:rFonts w:ascii="GHEA Grapalat" w:hAnsi="GHEA Grapalat" w:cs="GHEA Grapalat"/>
          <w:color w:val="000000"/>
        </w:rPr>
        <w:t>շուրջ 40</w:t>
      </w:r>
      <w:r w:rsidR="0062734D" w:rsidRPr="00D23A53">
        <w:rPr>
          <w:rFonts w:ascii="Courier New" w:hAnsi="Courier New" w:cs="Courier New"/>
          <w:color w:val="000000"/>
        </w:rPr>
        <w:t> </w:t>
      </w:r>
      <w:r w:rsidRPr="00D23A53">
        <w:rPr>
          <w:rFonts w:ascii="GHEA Grapalat" w:hAnsi="GHEA Grapalat" w:cs="GHEA Grapalat"/>
          <w:color w:val="000000"/>
        </w:rPr>
        <w:t xml:space="preserve">մլրդ դրամ </w:t>
      </w:r>
      <w:r w:rsidRPr="00D23A53">
        <w:rPr>
          <w:rFonts w:ascii="GHEA Grapalat" w:hAnsi="GHEA Grapalat" w:cs="GHEA Grapalat"/>
          <w:i/>
          <w:color w:val="000000"/>
        </w:rPr>
        <w:t>պետական տուրքեր</w:t>
      </w:r>
      <w:r w:rsidRPr="00D23A53">
        <w:rPr>
          <w:rFonts w:ascii="GHEA Grapalat" w:hAnsi="GHEA Grapalat" w:cs="GHEA Grapalat"/>
          <w:color w:val="000000"/>
        </w:rPr>
        <w:t xml:space="preserve">` </w:t>
      </w:r>
      <w:r w:rsidR="00036E00" w:rsidRPr="00D23A53">
        <w:rPr>
          <w:rFonts w:ascii="GHEA Grapalat" w:hAnsi="GHEA Grapalat" w:cs="GHEA Grapalat"/>
          <w:color w:val="000000"/>
        </w:rPr>
        <w:t>1</w:t>
      </w:r>
      <w:r w:rsidR="00375C74" w:rsidRPr="00D23A53">
        <w:rPr>
          <w:rFonts w:ascii="GHEA Grapalat" w:hAnsi="GHEA Grapalat" w:cs="GHEA Grapalat"/>
          <w:color w:val="000000"/>
        </w:rPr>
        <w:t>1</w:t>
      </w:r>
      <w:r w:rsidR="00036E00" w:rsidRPr="00D23A53">
        <w:rPr>
          <w:rFonts w:ascii="GHEA Grapalat" w:hAnsi="GHEA Grapalat" w:cs="GHEA Grapalat"/>
          <w:color w:val="000000"/>
        </w:rPr>
        <w:t>.2</w:t>
      </w:r>
      <w:r w:rsidR="00375C74" w:rsidRPr="00D23A53">
        <w:rPr>
          <w:rFonts w:ascii="GHEA Grapalat" w:hAnsi="GHEA Grapalat" w:cs="GHEA Grapalat"/>
          <w:color w:val="000000"/>
        </w:rPr>
        <w:t>%</w:t>
      </w:r>
      <w:r w:rsidR="00375C74" w:rsidRPr="00D23A53">
        <w:rPr>
          <w:rFonts w:ascii="GHEA Grapalat" w:hAnsi="GHEA Grapalat" w:cs="GHEA Grapalat"/>
          <w:color w:val="000000"/>
        </w:rPr>
        <w:noBreakHyphen/>
        <w:t xml:space="preserve">ով </w:t>
      </w:r>
      <w:r w:rsidR="00036E00" w:rsidRPr="00D23A53">
        <w:rPr>
          <w:rFonts w:ascii="GHEA Grapalat" w:hAnsi="GHEA Grapalat" w:cs="GHEA Grapalat"/>
          <w:color w:val="000000"/>
        </w:rPr>
        <w:t>գերազանց</w:t>
      </w:r>
      <w:r w:rsidR="00375C74" w:rsidRPr="00D23A53">
        <w:rPr>
          <w:rFonts w:ascii="GHEA Grapalat" w:hAnsi="GHEA Grapalat" w:cs="GHEA Grapalat"/>
          <w:color w:val="000000"/>
        </w:rPr>
        <w:t xml:space="preserve">ելով իննամսյա ծրագրային ցուցանիշը: </w:t>
      </w:r>
      <w:r w:rsidR="00E509E3" w:rsidRPr="00D23A53">
        <w:rPr>
          <w:rFonts w:ascii="GHEA Grapalat" w:hAnsi="GHEA Grapalat" w:cs="GHEA Grapalat"/>
          <w:color w:val="000000"/>
        </w:rPr>
        <w:t>Ծրագրի գերազանցումը հիմնականում պայմանավորված է լիցենզավորման ենթակա կամ թույլտվություններով</w:t>
      </w:r>
      <w:r w:rsidR="00E509E3" w:rsidRPr="003A059B">
        <w:rPr>
          <w:rFonts w:ascii="GHEA Grapalat" w:hAnsi="GHEA Grapalat" w:cs="GHEA Grapalat"/>
          <w:color w:val="000000"/>
        </w:rPr>
        <w:t xml:space="preserve"> գործունեություն իրականացնելու նպատակով լիցենզիաներ, արտոնագրեր (թույլտվություններ) տալու</w:t>
      </w:r>
      <w:r w:rsidR="00E509E3">
        <w:rPr>
          <w:rFonts w:ascii="GHEA Grapalat" w:hAnsi="GHEA Grapalat" w:cs="GHEA Grapalat"/>
          <w:color w:val="000000"/>
        </w:rPr>
        <w:t xml:space="preserve"> և</w:t>
      </w:r>
      <w:r w:rsidR="00E509E3" w:rsidRPr="00E509E3">
        <w:rPr>
          <w:rFonts w:ascii="GHEA Grapalat" w:hAnsi="GHEA Grapalat" w:cs="GHEA Grapalat"/>
          <w:color w:val="000000"/>
        </w:rPr>
        <w:t xml:space="preserve"> </w:t>
      </w:r>
      <w:r w:rsidR="00E509E3">
        <w:rPr>
          <w:rFonts w:ascii="GHEA Grapalat" w:hAnsi="GHEA Grapalat" w:cs="GHEA Grapalat"/>
          <w:color w:val="000000"/>
        </w:rPr>
        <w:t>օ</w:t>
      </w:r>
      <w:r w:rsidR="00E509E3" w:rsidRPr="003A059B">
        <w:rPr>
          <w:rFonts w:ascii="GHEA Grapalat" w:hAnsi="GHEA Grapalat" w:cs="GHEA Grapalat"/>
          <w:color w:val="000000"/>
        </w:rPr>
        <w:t>րենքով սահմանված այլ ծառայությունների և գործողությունների համար գանձվող տուրքերի</w:t>
      </w:r>
      <w:r w:rsidR="00E509E3">
        <w:rPr>
          <w:rFonts w:ascii="GHEA Grapalat" w:hAnsi="GHEA Grapalat" w:cs="GHEA Grapalat"/>
          <w:color w:val="000000"/>
        </w:rPr>
        <w:t xml:space="preserve"> կատարողականով: </w:t>
      </w:r>
      <w:r w:rsidR="003715B1" w:rsidRPr="003A059B">
        <w:rPr>
          <w:rFonts w:ascii="GHEA Grapalat" w:hAnsi="GHEA Grapalat" w:cs="GHEA Grapalat"/>
          <w:color w:val="000000"/>
        </w:rPr>
        <w:t>Պետական տուրքեր</w:t>
      </w:r>
      <w:r w:rsidR="00D23A53">
        <w:rPr>
          <w:rFonts w:ascii="GHEA Grapalat" w:hAnsi="GHEA Grapalat" w:cs="GHEA Grapalat"/>
          <w:color w:val="000000"/>
        </w:rPr>
        <w:t>ում</w:t>
      </w:r>
      <w:r w:rsidR="003715B1" w:rsidRPr="003A059B">
        <w:rPr>
          <w:rFonts w:ascii="GHEA Grapalat" w:hAnsi="GHEA Grapalat" w:cs="GHEA Grapalat"/>
          <w:color w:val="000000"/>
        </w:rPr>
        <w:t xml:space="preserve"> 3</w:t>
      </w:r>
      <w:r w:rsidR="0062734D" w:rsidRPr="003A059B">
        <w:rPr>
          <w:rFonts w:ascii="GHEA Grapalat" w:hAnsi="GHEA Grapalat" w:cs="GHEA Grapalat"/>
          <w:color w:val="000000"/>
        </w:rPr>
        <w:t>7.</w:t>
      </w:r>
      <w:r w:rsidR="00036E00">
        <w:rPr>
          <w:rFonts w:ascii="GHEA Grapalat" w:hAnsi="GHEA Grapalat" w:cs="GHEA Grapalat"/>
          <w:color w:val="000000"/>
        </w:rPr>
        <w:t>2</w:t>
      </w:r>
      <w:r w:rsidR="003715B1" w:rsidRPr="003A059B">
        <w:rPr>
          <w:rFonts w:ascii="GHEA Grapalat" w:hAnsi="GHEA Grapalat" w:cs="GHEA Grapalat"/>
          <w:color w:val="000000"/>
        </w:rPr>
        <w:t>%</w:t>
      </w:r>
      <w:r w:rsidR="00530BB7">
        <w:rPr>
          <w:rFonts w:ascii="GHEA Grapalat" w:hAnsi="GHEA Grapalat" w:cs="GHEA Grapalat"/>
          <w:color w:val="000000"/>
        </w:rPr>
        <w:t xml:space="preserve"> </w:t>
      </w:r>
      <w:r w:rsidR="003715B1" w:rsidRPr="003A059B">
        <w:rPr>
          <w:rFonts w:ascii="GHEA Grapalat" w:hAnsi="GHEA Grapalat" w:cs="GHEA Grapalat"/>
          <w:color w:val="000000"/>
        </w:rPr>
        <w:t xml:space="preserve">տեսակարար կշիռ ունեն </w:t>
      </w:r>
      <w:r w:rsidR="00DB0F2C" w:rsidRPr="003A059B">
        <w:rPr>
          <w:rFonts w:ascii="GHEA Grapalat" w:hAnsi="GHEA Grapalat" w:cs="GHEA Grapalat"/>
          <w:color w:val="000000"/>
        </w:rPr>
        <w:t>լիցենզավորման</w:t>
      </w:r>
      <w:r w:rsidR="00B130A6" w:rsidRPr="003A059B">
        <w:rPr>
          <w:rFonts w:ascii="GHEA Grapalat" w:hAnsi="GHEA Grapalat" w:cs="GHEA Grapalat"/>
          <w:color w:val="000000"/>
        </w:rPr>
        <w:t xml:space="preserve"> ենթակա կամ թույլտվություններով </w:t>
      </w:r>
      <w:r w:rsidR="00DB0F2C" w:rsidRPr="003A059B">
        <w:rPr>
          <w:rFonts w:ascii="GHEA Grapalat" w:hAnsi="GHEA Grapalat" w:cs="GHEA Grapalat"/>
          <w:color w:val="000000"/>
        </w:rPr>
        <w:t>գործունեություն իրականացնելու նպատակով լիցենզիաներ, արտոնագրեր (թույլտվություններ) տալու համար գանձվող տուրքերը</w:t>
      </w:r>
      <w:r w:rsidR="00530BB7">
        <w:rPr>
          <w:rFonts w:ascii="GHEA Grapalat" w:hAnsi="GHEA Grapalat" w:cs="GHEA Grapalat"/>
          <w:color w:val="000000"/>
        </w:rPr>
        <w:t xml:space="preserve">՝ կազմելով </w:t>
      </w:r>
      <w:r w:rsidR="00036E00">
        <w:rPr>
          <w:rFonts w:ascii="GHEA Grapalat" w:hAnsi="GHEA Grapalat" w:cs="GHEA Grapalat"/>
          <w:color w:val="000000"/>
        </w:rPr>
        <w:t>շուրջ</w:t>
      </w:r>
      <w:r w:rsidR="0062734D" w:rsidRPr="003A059B">
        <w:rPr>
          <w:rFonts w:ascii="GHEA Grapalat" w:hAnsi="GHEA Grapalat" w:cs="GHEA Grapalat"/>
          <w:color w:val="000000"/>
        </w:rPr>
        <w:t xml:space="preserve"> </w:t>
      </w:r>
      <w:r w:rsidR="00DB0F2C" w:rsidRPr="003A059B">
        <w:rPr>
          <w:rFonts w:ascii="GHEA Grapalat" w:hAnsi="GHEA Grapalat" w:cs="GHEA Grapalat"/>
          <w:color w:val="000000"/>
        </w:rPr>
        <w:lastRenderedPageBreak/>
        <w:t>1</w:t>
      </w:r>
      <w:r w:rsidR="00036E00">
        <w:rPr>
          <w:rFonts w:ascii="GHEA Grapalat" w:hAnsi="GHEA Grapalat" w:cs="GHEA Grapalat"/>
          <w:color w:val="000000"/>
        </w:rPr>
        <w:t>4.9</w:t>
      </w:r>
      <w:r w:rsidR="00593838">
        <w:rPr>
          <w:rFonts w:ascii="Calibri" w:hAnsi="Calibri" w:cs="Calibri"/>
          <w:color w:val="000000"/>
        </w:rPr>
        <w:t> </w:t>
      </w:r>
      <w:r w:rsidR="00DB0F2C" w:rsidRPr="003A059B">
        <w:rPr>
          <w:rFonts w:ascii="GHEA Grapalat" w:hAnsi="GHEA Grapalat" w:cs="GHEA Grapalat"/>
          <w:color w:val="000000"/>
        </w:rPr>
        <w:t>մլրդ դրամ</w:t>
      </w:r>
      <w:r w:rsidR="00530BB7">
        <w:rPr>
          <w:rFonts w:ascii="GHEA Grapalat" w:hAnsi="GHEA Grapalat" w:cs="GHEA Grapalat"/>
          <w:color w:val="000000"/>
        </w:rPr>
        <w:t xml:space="preserve"> և</w:t>
      </w:r>
      <w:r w:rsidR="00DB0F2C" w:rsidRPr="003A059B">
        <w:rPr>
          <w:rFonts w:ascii="GHEA Grapalat" w:hAnsi="GHEA Grapalat" w:cs="GHEA Grapalat"/>
          <w:color w:val="000000"/>
        </w:rPr>
        <w:t xml:space="preserve"> </w:t>
      </w:r>
      <w:r w:rsidR="00036E00">
        <w:rPr>
          <w:rFonts w:ascii="GHEA Grapalat" w:hAnsi="GHEA Grapalat" w:cs="GHEA Grapalat"/>
          <w:color w:val="000000"/>
        </w:rPr>
        <w:t>22.2</w:t>
      </w:r>
      <w:r w:rsidR="00DB0F2C" w:rsidRPr="003A059B">
        <w:rPr>
          <w:rFonts w:ascii="GHEA Grapalat" w:hAnsi="GHEA Grapalat" w:cs="GHEA Grapalat"/>
          <w:color w:val="000000"/>
        </w:rPr>
        <w:t>%</w:t>
      </w:r>
      <w:r w:rsidR="00DB0F2C" w:rsidRPr="003A059B">
        <w:rPr>
          <w:rFonts w:ascii="GHEA Grapalat" w:hAnsi="GHEA Grapalat" w:cs="GHEA Grapalat"/>
          <w:color w:val="000000"/>
        </w:rPr>
        <w:noBreakHyphen/>
        <w:t xml:space="preserve">ով գերազանցելով </w:t>
      </w:r>
      <w:r w:rsidR="00375C74" w:rsidRPr="003A059B">
        <w:rPr>
          <w:rFonts w:ascii="GHEA Grapalat" w:hAnsi="GHEA Grapalat" w:cs="GHEA Grapalat"/>
          <w:color w:val="000000"/>
        </w:rPr>
        <w:t>իննամսյա</w:t>
      </w:r>
      <w:r w:rsidR="00DB0F2C" w:rsidRPr="003A059B">
        <w:rPr>
          <w:rFonts w:ascii="GHEA Grapalat" w:hAnsi="GHEA Grapalat" w:cs="GHEA Grapalat"/>
          <w:color w:val="000000"/>
        </w:rPr>
        <w:t xml:space="preserve"> ծրագրային ցուցանիշը: Ծրագրի գերազանցումը հիմնականում պայմանավորված է</w:t>
      </w:r>
      <w:r w:rsidR="0062734D" w:rsidRPr="003A059B">
        <w:rPr>
          <w:rFonts w:ascii="GHEA Grapalat" w:hAnsi="GHEA Grapalat" w:cs="GHEA Grapalat"/>
          <w:color w:val="000000"/>
        </w:rPr>
        <w:t xml:space="preserve"> </w:t>
      </w:r>
      <w:r w:rsidR="00DB0F2C" w:rsidRPr="003A059B">
        <w:rPr>
          <w:rFonts w:ascii="GHEA Grapalat" w:hAnsi="GHEA Grapalat" w:cs="GHEA Grapalat"/>
          <w:color w:val="000000"/>
        </w:rPr>
        <w:t xml:space="preserve">վիճակախաղերի, շահումներով խաղերի և մետաղադրամով և (կամ) թղթադրամով շահագործվող ավտոմատների միջոցով սննդի առևտրի և խաղերի բնագավառից </w:t>
      </w:r>
      <w:r w:rsidR="0062734D" w:rsidRPr="003A059B">
        <w:rPr>
          <w:rFonts w:ascii="GHEA Grapalat" w:hAnsi="GHEA Grapalat" w:cs="GHEA Grapalat"/>
          <w:color w:val="000000"/>
        </w:rPr>
        <w:t xml:space="preserve">գանձվող ու մաքսային բնագավառում լիցենզավորման գծով </w:t>
      </w:r>
      <w:r w:rsidR="00DB0F2C" w:rsidRPr="003A059B">
        <w:rPr>
          <w:rFonts w:ascii="GHEA Grapalat" w:hAnsi="GHEA Grapalat" w:cs="GHEA Grapalat"/>
          <w:color w:val="000000"/>
        </w:rPr>
        <w:t>գանձվող տուրքեր</w:t>
      </w:r>
      <w:r w:rsidR="007534BA" w:rsidRPr="003A059B">
        <w:rPr>
          <w:rFonts w:ascii="GHEA Grapalat" w:hAnsi="GHEA Grapalat" w:cs="GHEA Grapalat"/>
          <w:color w:val="000000"/>
        </w:rPr>
        <w:t>ի</w:t>
      </w:r>
      <w:r w:rsidR="00B37A2F" w:rsidRPr="003A059B">
        <w:rPr>
          <w:rFonts w:ascii="GHEA Grapalat" w:hAnsi="GHEA Grapalat" w:cs="GHEA Grapalat"/>
          <w:color w:val="000000"/>
        </w:rPr>
        <w:t xml:space="preserve"> կատարողականով, որոնք կազմել են</w:t>
      </w:r>
      <w:r w:rsidR="003F6424" w:rsidRPr="003A059B">
        <w:rPr>
          <w:rFonts w:ascii="GHEA Grapalat" w:hAnsi="GHEA Grapalat" w:cs="GHEA Grapalat"/>
          <w:color w:val="000000"/>
        </w:rPr>
        <w:t xml:space="preserve"> համապատասխանաբար </w:t>
      </w:r>
      <w:r w:rsidR="00270A9B">
        <w:rPr>
          <w:rFonts w:ascii="GHEA Grapalat" w:hAnsi="GHEA Grapalat" w:cs="GHEA Grapalat"/>
          <w:color w:val="000000"/>
        </w:rPr>
        <w:t>7.2</w:t>
      </w:r>
      <w:r w:rsidR="005D30CD">
        <w:rPr>
          <w:rFonts w:ascii="Calibri" w:hAnsi="Calibri" w:cs="Calibri"/>
          <w:color w:val="000000"/>
        </w:rPr>
        <w:t> </w:t>
      </w:r>
      <w:r w:rsidR="003F6424" w:rsidRPr="003A059B">
        <w:rPr>
          <w:rFonts w:ascii="GHEA Grapalat" w:hAnsi="GHEA Grapalat" w:cs="GHEA Grapalat"/>
          <w:color w:val="000000"/>
        </w:rPr>
        <w:t xml:space="preserve">մլրդ դրամ և </w:t>
      </w:r>
      <w:r w:rsidR="00270A9B">
        <w:rPr>
          <w:rFonts w:ascii="GHEA Grapalat" w:hAnsi="GHEA Grapalat" w:cs="GHEA Grapalat"/>
          <w:color w:val="000000"/>
        </w:rPr>
        <w:t>4.</w:t>
      </w:r>
      <w:r w:rsidR="0062734D" w:rsidRPr="003A059B">
        <w:rPr>
          <w:rFonts w:ascii="GHEA Grapalat" w:hAnsi="GHEA Grapalat" w:cs="GHEA Grapalat"/>
          <w:color w:val="000000"/>
        </w:rPr>
        <w:t>3</w:t>
      </w:r>
      <w:r w:rsidR="00270A9B">
        <w:rPr>
          <w:rFonts w:ascii="GHEA Grapalat" w:hAnsi="GHEA Grapalat" w:cs="GHEA Grapalat"/>
          <w:color w:val="000000"/>
        </w:rPr>
        <w:t xml:space="preserve"> </w:t>
      </w:r>
      <w:r w:rsidR="003F6424" w:rsidRPr="003A059B">
        <w:rPr>
          <w:rFonts w:ascii="GHEA Grapalat" w:hAnsi="GHEA Grapalat" w:cs="GHEA Grapalat"/>
          <w:color w:val="000000"/>
        </w:rPr>
        <w:t xml:space="preserve">մլրդ դրամ՝ </w:t>
      </w:r>
      <w:r w:rsidR="00270A9B">
        <w:rPr>
          <w:rFonts w:ascii="GHEA Grapalat" w:hAnsi="GHEA Grapalat" w:cs="GHEA Grapalat"/>
          <w:color w:val="000000"/>
        </w:rPr>
        <w:t>35</w:t>
      </w:r>
      <w:r w:rsidR="003F6424" w:rsidRPr="003A059B">
        <w:rPr>
          <w:rFonts w:ascii="GHEA Grapalat" w:hAnsi="GHEA Grapalat" w:cs="GHEA Grapalat"/>
          <w:color w:val="000000"/>
        </w:rPr>
        <w:t>%</w:t>
      </w:r>
      <w:r w:rsidR="003F6424" w:rsidRPr="003A059B">
        <w:rPr>
          <w:rFonts w:ascii="GHEA Grapalat" w:hAnsi="GHEA Grapalat" w:cs="GHEA Grapalat"/>
          <w:color w:val="000000"/>
        </w:rPr>
        <w:noBreakHyphen/>
        <w:t xml:space="preserve">ով և </w:t>
      </w:r>
      <w:r w:rsidR="00270A9B">
        <w:rPr>
          <w:rFonts w:ascii="GHEA Grapalat" w:hAnsi="GHEA Grapalat" w:cs="GHEA Grapalat"/>
          <w:color w:val="000000"/>
        </w:rPr>
        <w:t>36.4</w:t>
      </w:r>
      <w:r w:rsidR="003F6424" w:rsidRPr="003A059B">
        <w:rPr>
          <w:rFonts w:ascii="GHEA Grapalat" w:hAnsi="GHEA Grapalat" w:cs="GHEA Grapalat"/>
          <w:color w:val="000000"/>
        </w:rPr>
        <w:t>%</w:t>
      </w:r>
      <w:r w:rsidR="003F6424" w:rsidRPr="003A059B">
        <w:rPr>
          <w:rFonts w:ascii="GHEA Grapalat" w:hAnsi="GHEA Grapalat" w:cs="GHEA Grapalat"/>
          <w:color w:val="000000"/>
        </w:rPr>
        <w:noBreakHyphen/>
        <w:t xml:space="preserve">ով գերազանցելով </w:t>
      </w:r>
      <w:r w:rsidR="00375C74" w:rsidRPr="003A059B">
        <w:rPr>
          <w:rFonts w:ascii="GHEA Grapalat" w:hAnsi="GHEA Grapalat" w:cs="GHEA Grapalat"/>
          <w:color w:val="000000"/>
        </w:rPr>
        <w:t>իննամսյա</w:t>
      </w:r>
      <w:r w:rsidR="003F6424" w:rsidRPr="003A059B">
        <w:rPr>
          <w:rFonts w:ascii="GHEA Grapalat" w:hAnsi="GHEA Grapalat" w:cs="GHEA Grapalat"/>
          <w:color w:val="000000"/>
        </w:rPr>
        <w:t xml:space="preserve"> ծրագրային ցուցանիշը: </w:t>
      </w:r>
    </w:p>
    <w:p w:rsidR="003715B1" w:rsidRPr="003A059B" w:rsidRDefault="003F6424" w:rsidP="00270A9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270A9B">
        <w:rPr>
          <w:rFonts w:ascii="GHEA Grapalat" w:hAnsi="GHEA Grapalat" w:cs="GHEA Grapalat"/>
          <w:color w:val="000000"/>
        </w:rPr>
        <w:t>Օրենքով</w:t>
      </w:r>
      <w:r w:rsidRPr="003A059B">
        <w:rPr>
          <w:rFonts w:ascii="GHEA Grapalat" w:hAnsi="GHEA Grapalat" w:cs="GHEA Grapalat"/>
          <w:color w:val="000000"/>
        </w:rPr>
        <w:t xml:space="preserve"> սահմանված այլ ծառայությունների և գործողությունների համար գանձվող տուրքերը </w:t>
      </w:r>
      <w:r w:rsidR="003715B1" w:rsidRPr="003A059B">
        <w:rPr>
          <w:rFonts w:ascii="GHEA Grapalat" w:hAnsi="GHEA Grapalat" w:cs="GHEA Grapalat"/>
          <w:color w:val="000000"/>
        </w:rPr>
        <w:t xml:space="preserve">կազմել են </w:t>
      </w:r>
      <w:r w:rsidR="00270A9B">
        <w:rPr>
          <w:rFonts w:ascii="GHEA Grapalat" w:hAnsi="GHEA Grapalat" w:cs="GHEA Grapalat"/>
          <w:color w:val="000000"/>
        </w:rPr>
        <w:t>14.7</w:t>
      </w:r>
      <w:r w:rsidR="00AA02BC" w:rsidRPr="003A059B">
        <w:rPr>
          <w:rFonts w:ascii="GHEA Grapalat" w:hAnsi="GHEA Grapalat" w:cs="GHEA Grapalat"/>
          <w:color w:val="000000"/>
        </w:rPr>
        <w:t xml:space="preserve"> </w:t>
      </w:r>
      <w:r w:rsidR="003715B1" w:rsidRPr="003A059B">
        <w:rPr>
          <w:rFonts w:ascii="GHEA Grapalat" w:hAnsi="GHEA Grapalat" w:cs="GHEA Grapalat"/>
          <w:color w:val="000000"/>
        </w:rPr>
        <w:t xml:space="preserve">մլրդ դրամ՝ </w:t>
      </w:r>
      <w:r w:rsidR="00AA02BC" w:rsidRPr="003A059B">
        <w:rPr>
          <w:rFonts w:ascii="GHEA Grapalat" w:hAnsi="GHEA Grapalat" w:cs="GHEA Grapalat"/>
          <w:color w:val="000000"/>
        </w:rPr>
        <w:t>ապահովելով</w:t>
      </w:r>
      <w:r w:rsidRPr="003A059B">
        <w:rPr>
          <w:rFonts w:ascii="GHEA Grapalat" w:hAnsi="GHEA Grapalat" w:cs="GHEA Grapalat"/>
          <w:color w:val="000000"/>
        </w:rPr>
        <w:t xml:space="preserve"> </w:t>
      </w:r>
      <w:r w:rsidR="00270A9B">
        <w:rPr>
          <w:rFonts w:ascii="GHEA Grapalat" w:hAnsi="GHEA Grapalat" w:cs="GHEA Grapalat"/>
          <w:color w:val="000000"/>
        </w:rPr>
        <w:t>պ</w:t>
      </w:r>
      <w:r w:rsidR="00270A9B" w:rsidRPr="003A059B">
        <w:rPr>
          <w:rFonts w:ascii="GHEA Grapalat" w:hAnsi="GHEA Grapalat" w:cs="GHEA Grapalat"/>
          <w:color w:val="000000"/>
        </w:rPr>
        <w:t>ետական տուրքեր</w:t>
      </w:r>
      <w:r w:rsidR="00270A9B">
        <w:rPr>
          <w:rFonts w:ascii="GHEA Grapalat" w:hAnsi="GHEA Grapalat" w:cs="GHEA Grapalat"/>
          <w:color w:val="000000"/>
        </w:rPr>
        <w:t>ի</w:t>
      </w:r>
      <w:r w:rsidR="00270A9B" w:rsidRPr="003A059B">
        <w:rPr>
          <w:rFonts w:ascii="GHEA Grapalat" w:hAnsi="GHEA Grapalat" w:cs="GHEA Grapalat"/>
          <w:color w:val="000000"/>
        </w:rPr>
        <w:t xml:space="preserve"> 3</w:t>
      </w:r>
      <w:r w:rsidR="00270A9B">
        <w:rPr>
          <w:rFonts w:ascii="GHEA Grapalat" w:hAnsi="GHEA Grapalat" w:cs="GHEA Grapalat"/>
          <w:color w:val="000000"/>
        </w:rPr>
        <w:t>6.8</w:t>
      </w:r>
      <w:r w:rsidR="00270A9B" w:rsidRPr="003A059B">
        <w:rPr>
          <w:rFonts w:ascii="GHEA Grapalat" w:hAnsi="GHEA Grapalat" w:cs="GHEA Grapalat"/>
          <w:color w:val="000000"/>
        </w:rPr>
        <w:t>%</w:t>
      </w:r>
      <w:r w:rsidR="00270A9B">
        <w:rPr>
          <w:rFonts w:ascii="GHEA Grapalat" w:hAnsi="GHEA Grapalat" w:cs="GHEA Grapalat"/>
          <w:color w:val="000000"/>
        </w:rPr>
        <w:t>-ը և 12.4</w:t>
      </w:r>
      <w:r w:rsidR="00270A9B" w:rsidRPr="003A059B">
        <w:rPr>
          <w:rFonts w:ascii="GHEA Grapalat" w:hAnsi="GHEA Grapalat" w:cs="GHEA Grapalat"/>
          <w:color w:val="000000"/>
        </w:rPr>
        <w:t>%</w:t>
      </w:r>
      <w:r w:rsidR="00270A9B" w:rsidRPr="003A059B">
        <w:rPr>
          <w:rFonts w:ascii="GHEA Grapalat" w:hAnsi="GHEA Grapalat" w:cs="GHEA Grapalat"/>
          <w:color w:val="000000"/>
        </w:rPr>
        <w:noBreakHyphen/>
        <w:t>ով գերազանցելով իննամսյա ծրագրային ցուցանիշը:</w:t>
      </w:r>
      <w:r w:rsidR="00270A9B">
        <w:rPr>
          <w:rFonts w:ascii="GHEA Grapalat" w:hAnsi="GHEA Grapalat" w:cs="GHEA Grapalat"/>
          <w:color w:val="000000"/>
        </w:rPr>
        <w:t xml:space="preserve"> </w:t>
      </w:r>
      <w:r w:rsidR="00270A9B" w:rsidRPr="003A059B">
        <w:rPr>
          <w:rFonts w:ascii="GHEA Grapalat" w:hAnsi="GHEA Grapalat" w:cs="GHEA Grapalat"/>
          <w:color w:val="000000"/>
        </w:rPr>
        <w:t>Ծրագրի գերազանցումը հիմնականում պայմանավորված է</w:t>
      </w:r>
      <w:r w:rsidR="00270A9B">
        <w:rPr>
          <w:rFonts w:ascii="GHEA Grapalat" w:hAnsi="GHEA Grapalat" w:cs="GHEA Grapalat"/>
          <w:color w:val="000000"/>
        </w:rPr>
        <w:t xml:space="preserve"> </w:t>
      </w:r>
      <w:r w:rsidRPr="003A059B">
        <w:rPr>
          <w:rFonts w:ascii="GHEA Grapalat" w:hAnsi="GHEA Grapalat" w:cs="GHEA Grapalat"/>
          <w:color w:val="000000"/>
        </w:rPr>
        <w:t xml:space="preserve">ՀՀ-ից օդային տրանսպորտի միջոցներով ֆիզիկական անձանց (օդային ուղևորների) ելքի համար գանձվող տուրքերի կատարողականով, որը կազմել է </w:t>
      </w:r>
      <w:r w:rsidR="00270A9B">
        <w:rPr>
          <w:rFonts w:ascii="GHEA Grapalat" w:hAnsi="GHEA Grapalat" w:cs="GHEA Grapalat"/>
          <w:color w:val="000000"/>
        </w:rPr>
        <w:t>11.1</w:t>
      </w:r>
      <w:r w:rsidR="006675DF">
        <w:rPr>
          <w:rFonts w:ascii="Calibri" w:hAnsi="Calibri" w:cs="Calibri"/>
          <w:color w:val="000000"/>
        </w:rPr>
        <w:t> </w:t>
      </w:r>
      <w:r w:rsidRPr="003A059B">
        <w:rPr>
          <w:rFonts w:ascii="GHEA Grapalat" w:hAnsi="GHEA Grapalat" w:cs="GHEA Grapalat"/>
          <w:color w:val="000000"/>
        </w:rPr>
        <w:t>մլրդ դրամ</w:t>
      </w:r>
      <w:r w:rsidR="00FC521B" w:rsidRPr="003A059B">
        <w:rPr>
          <w:rFonts w:ascii="GHEA Grapalat" w:hAnsi="GHEA Grapalat" w:cs="GHEA Grapalat"/>
          <w:color w:val="000000"/>
        </w:rPr>
        <w:t xml:space="preserve"> կամ</w:t>
      </w:r>
      <w:r w:rsidR="00AA02BC" w:rsidRPr="003A059B">
        <w:rPr>
          <w:rFonts w:ascii="GHEA Grapalat" w:hAnsi="GHEA Grapalat" w:cs="GHEA Grapalat"/>
          <w:color w:val="000000"/>
        </w:rPr>
        <w:t xml:space="preserve"> </w:t>
      </w:r>
      <w:r w:rsidR="00270A9B">
        <w:rPr>
          <w:rFonts w:ascii="GHEA Grapalat" w:hAnsi="GHEA Grapalat" w:cs="GHEA Grapalat"/>
          <w:color w:val="000000"/>
        </w:rPr>
        <w:t>114</w:t>
      </w:r>
      <w:r w:rsidR="00FC521B" w:rsidRPr="003A059B">
        <w:rPr>
          <w:rFonts w:ascii="GHEA Grapalat" w:hAnsi="GHEA Grapalat" w:cs="GHEA Grapalat"/>
          <w:color w:val="000000"/>
        </w:rPr>
        <w:t>%</w:t>
      </w:r>
      <w:r w:rsidRPr="003A059B">
        <w:rPr>
          <w:rFonts w:ascii="GHEA Grapalat" w:hAnsi="GHEA Grapalat" w:cs="GHEA Grapalat"/>
          <w:color w:val="000000"/>
        </w:rPr>
        <w:t xml:space="preserve">: </w:t>
      </w:r>
      <w:r w:rsidR="005A4EB0" w:rsidRPr="003A059B">
        <w:rPr>
          <w:rFonts w:ascii="GHEA Grapalat" w:hAnsi="GHEA Grapalat" w:cs="GHEA Grapalat"/>
          <w:color w:val="000000"/>
        </w:rPr>
        <w:t>Ն</w:t>
      </w:r>
      <w:r w:rsidR="003715B1" w:rsidRPr="003A059B">
        <w:rPr>
          <w:rFonts w:ascii="GHEA Grapalat" w:hAnsi="GHEA Grapalat" w:cs="GHEA Grapalat"/>
          <w:color w:val="000000"/>
        </w:rPr>
        <w:t xml:space="preserve">ախորդ տարվա </w:t>
      </w:r>
      <w:r w:rsidR="00375C74" w:rsidRPr="003A059B">
        <w:rPr>
          <w:rFonts w:ascii="GHEA Grapalat" w:hAnsi="GHEA Grapalat" w:cs="GHEA Grapalat"/>
          <w:color w:val="000000"/>
        </w:rPr>
        <w:t>հունվար-</w:t>
      </w:r>
      <w:r w:rsidR="004256F0">
        <w:rPr>
          <w:rFonts w:ascii="GHEA Grapalat" w:hAnsi="GHEA Grapalat" w:cs="GHEA Grapalat"/>
          <w:color w:val="000000"/>
        </w:rPr>
        <w:t>օգոստոս</w:t>
      </w:r>
      <w:r w:rsidR="00375C74" w:rsidRPr="003A059B">
        <w:rPr>
          <w:rFonts w:ascii="GHEA Grapalat" w:hAnsi="GHEA Grapalat" w:cs="GHEA Grapalat"/>
          <w:color w:val="000000"/>
        </w:rPr>
        <w:t xml:space="preserve"> ամիսների </w:t>
      </w:r>
      <w:r w:rsidR="003715B1" w:rsidRPr="003A059B">
        <w:rPr>
          <w:rFonts w:ascii="GHEA Grapalat" w:hAnsi="GHEA Grapalat" w:cs="GHEA Grapalat"/>
          <w:color w:val="000000"/>
        </w:rPr>
        <w:t>համեմա</w:t>
      </w:r>
      <w:r w:rsidR="005A4EB0" w:rsidRPr="003A059B">
        <w:rPr>
          <w:rFonts w:ascii="GHEA Grapalat" w:hAnsi="GHEA Grapalat" w:cs="GHEA Grapalat"/>
          <w:color w:val="000000"/>
        </w:rPr>
        <w:t>տ պետական տուրքերը նվազել են</w:t>
      </w:r>
      <w:r w:rsidR="003715B1" w:rsidRPr="003A059B">
        <w:rPr>
          <w:rFonts w:ascii="GHEA Grapalat" w:hAnsi="GHEA Grapalat" w:cs="GHEA Grapalat"/>
          <w:color w:val="000000"/>
        </w:rPr>
        <w:t xml:space="preserve"> </w:t>
      </w:r>
      <w:r w:rsidR="00376747" w:rsidRPr="003A059B">
        <w:rPr>
          <w:rFonts w:ascii="GHEA Grapalat" w:hAnsi="GHEA Grapalat" w:cs="GHEA Grapalat"/>
          <w:color w:val="000000"/>
        </w:rPr>
        <w:t>5</w:t>
      </w:r>
      <w:r w:rsidR="00270A9B">
        <w:rPr>
          <w:rFonts w:ascii="GHEA Grapalat" w:hAnsi="GHEA Grapalat" w:cs="GHEA Grapalat"/>
          <w:color w:val="000000"/>
        </w:rPr>
        <w:t>0.</w:t>
      </w:r>
      <w:r w:rsidR="00376747" w:rsidRPr="003A059B">
        <w:rPr>
          <w:rFonts w:ascii="GHEA Grapalat" w:hAnsi="GHEA Grapalat" w:cs="GHEA Grapalat"/>
          <w:color w:val="000000"/>
        </w:rPr>
        <w:t>1</w:t>
      </w:r>
      <w:r w:rsidR="003715B1" w:rsidRPr="003A059B">
        <w:rPr>
          <w:rFonts w:ascii="GHEA Grapalat" w:hAnsi="GHEA Grapalat" w:cs="GHEA Grapalat"/>
          <w:color w:val="000000"/>
        </w:rPr>
        <w:t>%</w:t>
      </w:r>
      <w:r w:rsidR="005A4EB0" w:rsidRPr="003A059B">
        <w:rPr>
          <w:rFonts w:ascii="GHEA Grapalat" w:hAnsi="GHEA Grapalat" w:cs="GHEA Grapalat"/>
          <w:color w:val="000000"/>
        </w:rPr>
        <w:t>-ով</w:t>
      </w:r>
      <w:r w:rsidR="001035CC" w:rsidRPr="003A059B">
        <w:rPr>
          <w:rFonts w:ascii="GHEA Grapalat" w:hAnsi="GHEA Grapalat" w:cs="GHEA Grapalat"/>
          <w:color w:val="000000"/>
        </w:rPr>
        <w:t xml:space="preserve"> (</w:t>
      </w:r>
      <w:r w:rsidR="0062734D" w:rsidRPr="003A059B">
        <w:rPr>
          <w:rFonts w:ascii="GHEA Grapalat" w:hAnsi="GHEA Grapalat" w:cs="GHEA Grapalat"/>
          <w:color w:val="000000"/>
        </w:rPr>
        <w:t>4</w:t>
      </w:r>
      <w:r w:rsidR="00270A9B">
        <w:rPr>
          <w:rFonts w:ascii="GHEA Grapalat" w:hAnsi="GHEA Grapalat" w:cs="GHEA Grapalat"/>
          <w:color w:val="000000"/>
        </w:rPr>
        <w:t>0.1</w:t>
      </w:r>
      <w:r w:rsidR="001035CC" w:rsidRPr="003A059B">
        <w:rPr>
          <w:rFonts w:ascii="GHEA Grapalat" w:hAnsi="GHEA Grapalat" w:cs="GHEA Grapalat"/>
          <w:color w:val="000000"/>
        </w:rPr>
        <w:t xml:space="preserve"> մլրդ դրամով)</w:t>
      </w:r>
      <w:r w:rsidR="005A4EB0" w:rsidRPr="003A059B">
        <w:rPr>
          <w:rFonts w:ascii="GHEA Grapalat" w:hAnsi="GHEA Grapalat" w:cs="GHEA Grapalat"/>
          <w:color w:val="000000"/>
        </w:rPr>
        <w:t>՝ հիմնականում պայմանավորված այն հանգամանքով, որ «Պետական տուրքի մասին» ՀՀ օրենքով 2021 թվականի սեպտեմբերից պղնձի և մոլիբդենի խտահանքեր արտահանելու լիցենզիաներ կամ թույլտվություններ կամ հավաստագրեր տրամադրելու համար սահմանված պետական տուրքը կիրառվել է մինչև 2022 թվականի սեպտեմբերի 10-ը:</w:t>
      </w:r>
    </w:p>
    <w:p w:rsidR="00AA02BC" w:rsidRPr="003A059B" w:rsidRDefault="00AA02BC" w:rsidP="003F64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9968EF" w:rsidRPr="003A059B" w:rsidRDefault="009968EF" w:rsidP="009968E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>Պետական տուրքերի գծով ՀՀ պետական բյուջեի մուտքերը (մլրդ դրամ)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1260"/>
        <w:gridCol w:w="1260"/>
        <w:gridCol w:w="1350"/>
        <w:gridCol w:w="1350"/>
      </w:tblGrid>
      <w:tr w:rsidR="004E38F3" w:rsidRPr="003A059B" w:rsidTr="004E38F3">
        <w:trPr>
          <w:trHeight w:val="1425"/>
        </w:trPr>
        <w:tc>
          <w:tcPr>
            <w:tcW w:w="3780" w:type="dxa"/>
            <w:shd w:val="clear" w:color="auto" w:fill="auto"/>
            <w:noWrap/>
            <w:hideMark/>
          </w:tcPr>
          <w:p w:rsidR="004E38F3" w:rsidRPr="003A059B" w:rsidRDefault="004E38F3" w:rsidP="00A618A5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2022թ.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  <w:tc>
          <w:tcPr>
            <w:tcW w:w="1260" w:type="dxa"/>
            <w:shd w:val="clear" w:color="000000" w:fill="FFFFFF"/>
          </w:tcPr>
          <w:p w:rsidR="004E38F3" w:rsidRPr="003A059B" w:rsidRDefault="004E38F3" w:rsidP="004E38F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ինն ամիսների ճշտված պլան</w:t>
            </w:r>
          </w:p>
        </w:tc>
        <w:tc>
          <w:tcPr>
            <w:tcW w:w="1260" w:type="dxa"/>
            <w:shd w:val="clear" w:color="000000" w:fill="FFFFFF"/>
            <w:hideMark/>
          </w:tcPr>
          <w:p w:rsidR="004E38F3" w:rsidRPr="003A059B" w:rsidRDefault="004E38F3" w:rsidP="004E38F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 փաստ</w:t>
            </w:r>
          </w:p>
        </w:tc>
        <w:tc>
          <w:tcPr>
            <w:tcW w:w="1350" w:type="dxa"/>
            <w:shd w:val="clear" w:color="000000" w:fill="FFFFFF"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ն ինն ամիսների 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պլանի նկատմամբ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350" w:type="dxa"/>
            <w:shd w:val="clear" w:color="000000" w:fill="FFFFFF"/>
            <w:hideMark/>
          </w:tcPr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2023թ. 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ը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2022թ. </w:t>
            </w:r>
          </w:p>
          <w:p w:rsidR="004E38F3" w:rsidRPr="003A059B" w:rsidRDefault="004E38F3" w:rsidP="002A614B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</w:t>
            </w:r>
            <w:r w:rsidR="004256F0"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ի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 (%)</w:t>
            </w:r>
          </w:p>
        </w:tc>
      </w:tr>
      <w:tr w:rsidR="00425CA9" w:rsidRPr="003A059B" w:rsidTr="00AC5546">
        <w:trPr>
          <w:trHeight w:val="315"/>
        </w:trPr>
        <w:tc>
          <w:tcPr>
            <w:tcW w:w="3780" w:type="dxa"/>
            <w:shd w:val="clear" w:color="auto" w:fill="auto"/>
            <w:vAlign w:val="bottom"/>
            <w:hideMark/>
          </w:tcPr>
          <w:p w:rsidR="00425CA9" w:rsidRPr="003A059B" w:rsidRDefault="00425CA9" w:rsidP="00A618A5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ետական 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80.1</w:t>
            </w:r>
          </w:p>
        </w:tc>
        <w:tc>
          <w:tcPr>
            <w:tcW w:w="126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36.0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40.0</w:t>
            </w:r>
          </w:p>
        </w:tc>
        <w:tc>
          <w:tcPr>
            <w:tcW w:w="135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111.2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49.9</w:t>
            </w:r>
          </w:p>
        </w:tc>
      </w:tr>
      <w:tr w:rsidR="00425CA9" w:rsidRPr="003A059B" w:rsidTr="00AC5546">
        <w:trPr>
          <w:trHeight w:val="315"/>
        </w:trPr>
        <w:tc>
          <w:tcPr>
            <w:tcW w:w="3780" w:type="dxa"/>
            <w:shd w:val="clear" w:color="auto" w:fill="auto"/>
            <w:hideMark/>
          </w:tcPr>
          <w:p w:rsidR="00425CA9" w:rsidRPr="003A059B" w:rsidRDefault="00425CA9" w:rsidP="00A618A5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Դատարան տրվող հայցադիմումների, դիմումների, դատարանի դատական ակտերի դեմ վերաքննիչ և վճռաբեկ բողոքների համար, ինչպես նաև դատարանի կողմից տրվող փաստաթղթերի պատճեններ (կրկնօրինակներ) տալու համար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2.0</w:t>
            </w:r>
          </w:p>
        </w:tc>
        <w:tc>
          <w:tcPr>
            <w:tcW w:w="126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2.0</w:t>
            </w:r>
          </w:p>
        </w:tc>
        <w:tc>
          <w:tcPr>
            <w:tcW w:w="135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93.8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100.1</w:t>
            </w:r>
          </w:p>
        </w:tc>
      </w:tr>
      <w:tr w:rsidR="00425CA9" w:rsidRPr="003A059B" w:rsidTr="00AC5546">
        <w:trPr>
          <w:trHeight w:val="315"/>
        </w:trPr>
        <w:tc>
          <w:tcPr>
            <w:tcW w:w="3780" w:type="dxa"/>
            <w:shd w:val="clear" w:color="auto" w:fill="auto"/>
            <w:hideMark/>
          </w:tcPr>
          <w:p w:rsidR="00425CA9" w:rsidRPr="003A059B" w:rsidRDefault="00425CA9" w:rsidP="00A618A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Հյուպատոսական ծառայությունների կամ գործողությունների համար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1.7</w:t>
            </w:r>
          </w:p>
        </w:tc>
        <w:tc>
          <w:tcPr>
            <w:tcW w:w="126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1.9</w:t>
            </w:r>
          </w:p>
        </w:tc>
        <w:tc>
          <w:tcPr>
            <w:tcW w:w="135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101.6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110.3</w:t>
            </w:r>
          </w:p>
        </w:tc>
      </w:tr>
      <w:tr w:rsidR="00425CA9" w:rsidRPr="003A059B" w:rsidTr="00AC5546">
        <w:trPr>
          <w:trHeight w:val="309"/>
        </w:trPr>
        <w:tc>
          <w:tcPr>
            <w:tcW w:w="3780" w:type="dxa"/>
            <w:shd w:val="clear" w:color="auto" w:fill="auto"/>
            <w:hideMark/>
          </w:tcPr>
          <w:p w:rsidR="00425CA9" w:rsidRPr="003A059B" w:rsidRDefault="00425CA9" w:rsidP="00A618A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lastRenderedPageBreak/>
              <w:t>Պետական գրանցման համար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26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4.0</w:t>
            </w:r>
          </w:p>
        </w:tc>
        <w:tc>
          <w:tcPr>
            <w:tcW w:w="135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102.1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127.2</w:t>
            </w:r>
          </w:p>
        </w:tc>
      </w:tr>
      <w:tr w:rsidR="00425CA9" w:rsidRPr="003A059B" w:rsidTr="00AC5546">
        <w:trPr>
          <w:trHeight w:val="315"/>
        </w:trPr>
        <w:tc>
          <w:tcPr>
            <w:tcW w:w="3780" w:type="dxa"/>
            <w:shd w:val="clear" w:color="auto" w:fill="auto"/>
            <w:vAlign w:val="bottom"/>
            <w:hideMark/>
          </w:tcPr>
          <w:p w:rsidR="00425CA9" w:rsidRPr="003A059B" w:rsidRDefault="00425CA9" w:rsidP="00A618A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Ֆիզիկական անձանց տրվող իրավաբանական նշանակություն ունեցող փաստաթղթերի, որոշակի ծառայությունների կամ գործողությունների համար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2.1</w:t>
            </w:r>
          </w:p>
        </w:tc>
        <w:tc>
          <w:tcPr>
            <w:tcW w:w="126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2.2</w:t>
            </w:r>
          </w:p>
        </w:tc>
        <w:tc>
          <w:tcPr>
            <w:tcW w:w="135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91.3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104.3</w:t>
            </w:r>
          </w:p>
        </w:tc>
      </w:tr>
      <w:tr w:rsidR="00425CA9" w:rsidRPr="003A059B" w:rsidTr="00AC5546">
        <w:trPr>
          <w:trHeight w:val="315"/>
        </w:trPr>
        <w:tc>
          <w:tcPr>
            <w:tcW w:w="3780" w:type="dxa"/>
            <w:shd w:val="clear" w:color="auto" w:fill="auto"/>
            <w:vAlign w:val="bottom"/>
            <w:hideMark/>
          </w:tcPr>
          <w:p w:rsidR="00425CA9" w:rsidRPr="003A059B" w:rsidRDefault="00425CA9" w:rsidP="00390CEE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Լիցենզավորման ենթակա կամ թույլտվություններով </w:t>
            </w:r>
            <w:r w:rsidRPr="003A059B">
              <w:rPr>
                <w:rFonts w:ascii="GHEA Grapalat" w:hAnsi="GHEA Grapalat" w:cs="GHEA Grapalat"/>
                <w:sz w:val="20"/>
                <w:szCs w:val="20"/>
              </w:rPr>
              <w:t>գործունեություն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3A059B">
              <w:rPr>
                <w:rFonts w:ascii="GHEA Grapalat" w:hAnsi="GHEA Grapalat" w:cs="GHEA Grapalat"/>
                <w:sz w:val="20"/>
                <w:szCs w:val="20"/>
              </w:rPr>
              <w:t>իրականացնելու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3A059B">
              <w:rPr>
                <w:rFonts w:ascii="GHEA Grapalat" w:hAnsi="GHEA Grapalat" w:cs="GHEA Grapalat"/>
                <w:sz w:val="20"/>
                <w:szCs w:val="20"/>
              </w:rPr>
              <w:t>նպատակով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3A059B">
              <w:rPr>
                <w:rFonts w:ascii="GHEA Grapalat" w:hAnsi="GHEA Grapalat" w:cs="GHEA Grapalat"/>
                <w:sz w:val="20"/>
                <w:szCs w:val="20"/>
              </w:rPr>
              <w:t>լիցենզիաներ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3A059B">
              <w:rPr>
                <w:rFonts w:ascii="GHEA Grapalat" w:hAnsi="GHEA Grapalat" w:cs="GHEA Grapalat"/>
                <w:sz w:val="20"/>
                <w:szCs w:val="20"/>
              </w:rPr>
              <w:t>արտոնագրեր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 (թույլտվություններ) տալու համար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58.9</w:t>
            </w:r>
          </w:p>
        </w:tc>
        <w:tc>
          <w:tcPr>
            <w:tcW w:w="126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12.2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14.9</w:t>
            </w:r>
          </w:p>
        </w:tc>
        <w:tc>
          <w:tcPr>
            <w:tcW w:w="135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122.2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25.2</w:t>
            </w:r>
          </w:p>
        </w:tc>
      </w:tr>
      <w:tr w:rsidR="00425CA9" w:rsidRPr="003A059B" w:rsidTr="00AC5546">
        <w:trPr>
          <w:trHeight w:val="315"/>
        </w:trPr>
        <w:tc>
          <w:tcPr>
            <w:tcW w:w="3780" w:type="dxa"/>
            <w:shd w:val="clear" w:color="auto" w:fill="auto"/>
            <w:vAlign w:val="bottom"/>
            <w:hideMark/>
          </w:tcPr>
          <w:p w:rsidR="00425CA9" w:rsidRPr="003A059B" w:rsidRDefault="00425CA9" w:rsidP="00A618A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Օրենքով սահմանված այլ ծառայությունների և գործողությունների համար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11.8</w:t>
            </w:r>
          </w:p>
        </w:tc>
        <w:tc>
          <w:tcPr>
            <w:tcW w:w="126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13.1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14.7</w:t>
            </w:r>
          </w:p>
        </w:tc>
        <w:tc>
          <w:tcPr>
            <w:tcW w:w="135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112.4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124.2</w:t>
            </w:r>
          </w:p>
        </w:tc>
      </w:tr>
      <w:tr w:rsidR="00425CA9" w:rsidRPr="003A059B" w:rsidTr="00AC5546">
        <w:trPr>
          <w:trHeight w:val="315"/>
        </w:trPr>
        <w:tc>
          <w:tcPr>
            <w:tcW w:w="3780" w:type="dxa"/>
            <w:shd w:val="clear" w:color="auto" w:fill="auto"/>
            <w:vAlign w:val="bottom"/>
            <w:hideMark/>
          </w:tcPr>
          <w:p w:rsidR="00425CA9" w:rsidRPr="003A059B" w:rsidRDefault="00425CA9" w:rsidP="00A618A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Այլ պետական տուրքեր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  <w:tc>
          <w:tcPr>
            <w:tcW w:w="126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  <w:tc>
          <w:tcPr>
            <w:tcW w:w="1350" w:type="dxa"/>
            <w:vAlign w:val="center"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84.3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25CA9" w:rsidRDefault="00425CA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97.9</w:t>
            </w:r>
          </w:p>
        </w:tc>
      </w:tr>
    </w:tbl>
    <w:p w:rsidR="00C15DAF" w:rsidRDefault="00C15DAF" w:rsidP="00AA02BC">
      <w:pPr>
        <w:spacing w:line="360" w:lineRule="auto"/>
        <w:jc w:val="both"/>
        <w:rPr>
          <w:rFonts w:ascii="GHEA Grapalat" w:hAnsi="GHEA Grapalat" w:cs="GHEA Grapalat"/>
          <w:color w:val="000000"/>
        </w:rPr>
      </w:pPr>
    </w:p>
    <w:p w:rsidR="00EE32D3" w:rsidRPr="003A059B" w:rsidRDefault="00EE32D3" w:rsidP="00EE32D3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3A059B">
        <w:rPr>
          <w:rFonts w:ascii="GHEA Grapalat" w:hAnsi="GHEA Grapalat" w:cs="GHEA Grapalat"/>
          <w:lang w:val="hy-AM"/>
        </w:rPr>
        <w:t xml:space="preserve">2023 թվականի </w:t>
      </w:r>
      <w:r>
        <w:rPr>
          <w:rFonts w:ascii="GHEA Grapalat" w:hAnsi="GHEA Grapalat" w:cs="GHEA Grapalat"/>
        </w:rPr>
        <w:t>հունվար-օգոստոս</w:t>
      </w:r>
      <w:r w:rsidRPr="003A059B">
        <w:rPr>
          <w:rFonts w:ascii="GHEA Grapalat" w:hAnsi="GHEA Grapalat" w:cs="GHEA Grapalat"/>
        </w:rPr>
        <w:t xml:space="preserve"> ամիսների ընթացքում</w:t>
      </w:r>
      <w:r w:rsidRPr="003A059B">
        <w:rPr>
          <w:rFonts w:ascii="GHEA Grapalat" w:hAnsi="GHEA Grapalat" w:cs="GHEA Grapalat"/>
          <w:color w:val="000000"/>
        </w:rPr>
        <w:t xml:space="preserve"> </w:t>
      </w:r>
      <w:r w:rsidRPr="003A059B">
        <w:rPr>
          <w:rFonts w:ascii="GHEA Grapalat" w:hAnsi="GHEA Grapalat" w:cs="GHEA Grapalat"/>
          <w:lang w:val="hy-AM"/>
        </w:rPr>
        <w:t xml:space="preserve">ստացվել են </w:t>
      </w:r>
      <w:r>
        <w:rPr>
          <w:rFonts w:ascii="GHEA Grapalat" w:hAnsi="GHEA Grapalat" w:cs="GHEA Grapalat"/>
        </w:rPr>
        <w:t xml:space="preserve"> շուրջ 5.5</w:t>
      </w:r>
      <w:r w:rsidRPr="003A059B">
        <w:rPr>
          <w:rFonts w:ascii="Courier New" w:hAnsi="Courier New" w:cs="Courier New"/>
          <w:lang w:val="hy-AM"/>
        </w:rPr>
        <w:t> </w:t>
      </w:r>
      <w:r w:rsidRPr="003A059B">
        <w:rPr>
          <w:rFonts w:ascii="GHEA Grapalat" w:hAnsi="GHEA Grapalat" w:cs="GHEA Grapalat"/>
          <w:lang w:val="hy-AM"/>
        </w:rPr>
        <w:t xml:space="preserve">մլրդ դրամ </w:t>
      </w:r>
      <w:r w:rsidRPr="003A059B">
        <w:rPr>
          <w:rFonts w:ascii="GHEA Grapalat" w:hAnsi="GHEA Grapalat" w:cs="GHEA Grapalat"/>
          <w:i/>
          <w:lang w:val="hy-AM"/>
        </w:rPr>
        <w:t>պաշտոնական դրամաշնորհներ՝</w:t>
      </w:r>
      <w:r w:rsidRPr="003A059B">
        <w:rPr>
          <w:rFonts w:ascii="GHEA Grapalat" w:hAnsi="GHEA Grapalat" w:cs="GHEA Grapalat"/>
          <w:lang w:val="hy-AM"/>
        </w:rPr>
        <w:t xml:space="preserve"> կազմելով ինն ամիսների համար</w:t>
      </w:r>
      <w:r w:rsidRPr="003A059B">
        <w:rPr>
          <w:rFonts w:ascii="GHEA Grapalat" w:hAnsi="GHEA Grapalat" w:cs="GHEA Grapalat"/>
          <w:color w:val="000000"/>
          <w:lang w:val="hy-AM"/>
        </w:rPr>
        <w:t xml:space="preserve"> ծրագրված մուտքերի </w:t>
      </w:r>
      <w:r w:rsidRPr="003A059B">
        <w:rPr>
          <w:rFonts w:ascii="GHEA Grapalat" w:hAnsi="GHEA Grapalat" w:cs="GHEA Grapalat"/>
          <w:color w:val="000000"/>
        </w:rPr>
        <w:t>4</w:t>
      </w:r>
      <w:r>
        <w:rPr>
          <w:rFonts w:ascii="GHEA Grapalat" w:hAnsi="GHEA Grapalat" w:cs="GHEA Grapalat"/>
          <w:color w:val="000000"/>
        </w:rPr>
        <w:t>1</w:t>
      </w:r>
      <w:r w:rsidRPr="003A059B">
        <w:rPr>
          <w:rFonts w:ascii="GHEA Grapalat" w:hAnsi="GHEA Grapalat" w:cs="GHEA Grapalat"/>
          <w:color w:val="000000"/>
        </w:rPr>
        <w:t>.</w:t>
      </w:r>
      <w:r>
        <w:rPr>
          <w:rFonts w:ascii="GHEA Grapalat" w:hAnsi="GHEA Grapalat" w:cs="GHEA Grapalat"/>
          <w:color w:val="000000"/>
        </w:rPr>
        <w:t>4</w:t>
      </w:r>
      <w:r w:rsidRPr="003A059B">
        <w:rPr>
          <w:rFonts w:ascii="GHEA Grapalat" w:hAnsi="GHEA Grapalat" w:cs="GHEA Grapalat"/>
          <w:lang w:val="hy-AM"/>
        </w:rPr>
        <w:t xml:space="preserve">%-ը, որը </w:t>
      </w:r>
      <w:r w:rsidR="00C93023">
        <w:rPr>
          <w:rFonts w:ascii="GHEA Grapalat" w:hAnsi="GHEA Grapalat" w:cs="GHEA Grapalat"/>
        </w:rPr>
        <w:t xml:space="preserve">հիմնականում </w:t>
      </w:r>
      <w:r w:rsidRPr="003A059B">
        <w:rPr>
          <w:rFonts w:ascii="GHEA Grapalat" w:hAnsi="GHEA Grapalat" w:cs="GHEA Grapalat"/>
          <w:lang w:val="hy-AM"/>
        </w:rPr>
        <w:t xml:space="preserve">պայմանավորված է նպատակային ծրագրերի կատարողականով: </w:t>
      </w:r>
    </w:p>
    <w:p w:rsidR="00EE32D3" w:rsidRPr="003A059B" w:rsidRDefault="00EE32D3" w:rsidP="00EE32D3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</w:p>
    <w:p w:rsidR="00EE32D3" w:rsidRPr="003A059B" w:rsidRDefault="00EE32D3" w:rsidP="00EE32D3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Նպատակային պաշտոնական դրամաշնորհներն ըստ դոնորների (մլն դրամ)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58"/>
        <w:gridCol w:w="1701"/>
        <w:gridCol w:w="1843"/>
      </w:tblGrid>
      <w:tr w:rsidR="00EE32D3" w:rsidRPr="003F41F3" w:rsidTr="0062552A">
        <w:trPr>
          <w:trHeight w:val="13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spacing w:line="254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3A059B" w:rsidRDefault="00EE32D3" w:rsidP="0062552A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ինն ամիսների ճշտված պլան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3A059B" w:rsidRDefault="00EE32D3" w:rsidP="0062552A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5A6015" w:rsidRDefault="00EE32D3" w:rsidP="0062552A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5A601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Կատարողա-կանն ինն ամիսների ճշտված պլանի նկատմամբ (%)</w:t>
            </w:r>
          </w:p>
        </w:tc>
      </w:tr>
      <w:tr w:rsidR="00EE32D3" w:rsidRPr="003A059B" w:rsidTr="0062552A">
        <w:trPr>
          <w:trHeight w:val="3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/>
                <w:b/>
                <w:bCs/>
                <w:sz w:val="20"/>
                <w:szCs w:val="20"/>
              </w:rPr>
              <w:t>13,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233.6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/>
                <w:b/>
                <w:bCs/>
                <w:sz w:val="20"/>
                <w:szCs w:val="20"/>
              </w:rPr>
              <w:t>5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,</w:t>
            </w:r>
            <w:r w:rsidRPr="003A059B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79</w:t>
            </w:r>
            <w:r w:rsidRPr="003A059B">
              <w:rPr>
                <w:rFonts w:ascii="GHEA Grapalat" w:hAnsi="GHEA Grapalat"/>
                <w:b/>
                <w:bCs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1.4</w:t>
            </w:r>
          </w:p>
        </w:tc>
      </w:tr>
      <w:tr w:rsidR="00EE32D3" w:rsidRPr="003A059B" w:rsidTr="0062552A">
        <w:trPr>
          <w:trHeight w:val="3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ԱՄՆ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191.7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36.0</w:t>
            </w:r>
          </w:p>
        </w:tc>
      </w:tr>
      <w:tr w:rsidR="00EE32D3" w:rsidRPr="003A059B" w:rsidTr="0062552A">
        <w:trPr>
          <w:trHeight w:val="3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Արևելյան Եվրոպայի էներգախնյողության և շրջակա միջավայրի գործընկերության հիմնադրամ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2,207.8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1,477.9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66.9</w:t>
            </w:r>
          </w:p>
        </w:tc>
      </w:tr>
      <w:tr w:rsidR="00EE32D3" w:rsidRPr="003A059B" w:rsidTr="0062552A">
        <w:trPr>
          <w:trHeight w:val="3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Գերմանիա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1,842.2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749.2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3A059B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EE32D3" w:rsidRPr="003A059B" w:rsidTr="0062552A">
        <w:trPr>
          <w:trHeight w:val="3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Գերմանիայի զարգացման և Եվրոպական միության հարևանության ներդրումային բանկ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946.5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0.1</w:t>
            </w:r>
          </w:p>
        </w:tc>
      </w:tr>
      <w:tr w:rsidR="00EE32D3" w:rsidRPr="003A059B" w:rsidTr="0062552A">
        <w:trPr>
          <w:trHeight w:val="3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Գլոբալ էկոլոգիական հիմնադրամ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537.0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339.9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63.3</w:t>
            </w:r>
          </w:p>
        </w:tc>
      </w:tr>
      <w:tr w:rsidR="00EE32D3" w:rsidRPr="003A059B" w:rsidTr="0062552A">
        <w:trPr>
          <w:trHeight w:val="3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Գլոբալ հիմնադրամ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1,170.0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1,436.1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122.7</w:t>
            </w:r>
          </w:p>
        </w:tc>
      </w:tr>
      <w:tr w:rsidR="00EE32D3" w:rsidRPr="003A059B" w:rsidTr="0062552A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ԵՄ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1,505.3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670.8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44.6</w:t>
            </w:r>
          </w:p>
        </w:tc>
      </w:tr>
      <w:tr w:rsidR="00EE32D3" w:rsidRPr="003A059B" w:rsidTr="0062552A">
        <w:trPr>
          <w:trHeight w:val="3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Եվրասիական զարգացման բանկ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1,273.9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3A059B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</w:tr>
      <w:tr w:rsidR="00EE32D3" w:rsidRPr="003A059B" w:rsidTr="0062552A">
        <w:trPr>
          <w:trHeight w:val="3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Համաշխարհային բանկ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62.8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EE32D3" w:rsidRPr="003A059B" w:rsidTr="0062552A">
        <w:trPr>
          <w:trHeight w:val="3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ՄԱԿ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3A059B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EE32D3" w:rsidRPr="003A059B" w:rsidTr="0062552A">
        <w:trPr>
          <w:trHeight w:val="3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Միացյալ Թագավորության կառավարության Հակամարտությունների, կայունության և անվտանգության հիմնադրամ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21.4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72.1</w:t>
            </w:r>
          </w:p>
        </w:tc>
      </w:tr>
      <w:tr w:rsidR="00EE32D3" w:rsidRPr="003A059B" w:rsidTr="0062552A">
        <w:trPr>
          <w:trHeight w:val="3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lastRenderedPageBreak/>
              <w:t>ՌԴ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543.0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EE32D3" w:rsidRPr="003A059B" w:rsidTr="0062552A">
        <w:trPr>
          <w:trHeight w:val="3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ՎԶԵԲ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2,499.8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12.5</w:t>
            </w:r>
          </w:p>
        </w:tc>
      </w:tr>
      <w:tr w:rsidR="00EE32D3" w:rsidRPr="003A059B" w:rsidTr="0062552A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Ֆրանսիա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297.8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A059B">
              <w:rPr>
                <w:rFonts w:ascii="GHEA Grapalat" w:hAnsi="GHEA Grapalat"/>
                <w:sz w:val="20"/>
                <w:szCs w:val="20"/>
              </w:rPr>
              <w:t>69.3</w:t>
            </w:r>
          </w:p>
        </w:tc>
      </w:tr>
    </w:tbl>
    <w:p w:rsidR="00EE32D3" w:rsidRPr="003A059B" w:rsidRDefault="00EE32D3" w:rsidP="00EE32D3">
      <w:pPr>
        <w:spacing w:line="360" w:lineRule="auto"/>
        <w:ind w:right="9" w:firstLine="567"/>
        <w:jc w:val="both"/>
        <w:rPr>
          <w:rFonts w:ascii="GHEA Grapalat" w:hAnsi="GHEA Grapalat" w:cs="GHEA Grapalat"/>
        </w:rPr>
      </w:pPr>
    </w:p>
    <w:p w:rsidR="00EE32D3" w:rsidRPr="003A059B" w:rsidRDefault="00EE32D3" w:rsidP="00EE32D3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2023 թվականի հունվար-օգոստոս</w:t>
      </w:r>
      <w:r w:rsidRPr="003A059B">
        <w:rPr>
          <w:rFonts w:ascii="GHEA Grapalat" w:hAnsi="GHEA Grapalat" w:cs="GHEA Grapalat"/>
          <w:lang w:val="hy-AM"/>
        </w:rPr>
        <w:t xml:space="preserve"> ամիսների ընթացքում պետական բյուջե մուտքագրված պաշտոնական դրամաշնորհները </w:t>
      </w:r>
      <w:r w:rsidRPr="003A059B">
        <w:rPr>
          <w:rFonts w:ascii="GHEA Grapalat" w:hAnsi="GHEA Grapalat" w:cs="GHEA Grapalat"/>
        </w:rPr>
        <w:t>5</w:t>
      </w:r>
      <w:r>
        <w:rPr>
          <w:rFonts w:ascii="GHEA Grapalat" w:hAnsi="GHEA Grapalat" w:cs="GHEA Grapalat"/>
        </w:rPr>
        <w:t>2</w:t>
      </w:r>
      <w:r w:rsidRPr="003A059B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9</w:t>
      </w:r>
      <w:r w:rsidRPr="003A059B">
        <w:rPr>
          <w:rFonts w:ascii="GHEA Grapalat" w:hAnsi="GHEA Grapalat" w:cs="GHEA Grapalat"/>
          <w:lang w:val="hy-AM"/>
        </w:rPr>
        <w:t xml:space="preserve">%-ով կամ </w:t>
      </w:r>
      <w:r>
        <w:rPr>
          <w:rFonts w:ascii="GHEA Grapalat" w:hAnsi="GHEA Grapalat" w:cs="GHEA Grapalat"/>
        </w:rPr>
        <w:t>6</w:t>
      </w:r>
      <w:r w:rsidRPr="003A059B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2</w:t>
      </w:r>
      <w:r w:rsidRPr="003A059B">
        <w:rPr>
          <w:rFonts w:ascii="GHEA Grapalat" w:hAnsi="GHEA Grapalat" w:cs="GHEA Grapalat"/>
          <w:lang w:val="hy-AM"/>
        </w:rPr>
        <w:t xml:space="preserve"> մլ</w:t>
      </w:r>
      <w:r w:rsidRPr="003A059B">
        <w:rPr>
          <w:rFonts w:ascii="GHEA Grapalat" w:hAnsi="GHEA Grapalat" w:cs="GHEA Grapalat"/>
        </w:rPr>
        <w:t>րդ</w:t>
      </w:r>
      <w:r w:rsidRPr="003A059B">
        <w:rPr>
          <w:rFonts w:ascii="GHEA Grapalat" w:hAnsi="GHEA Grapalat" w:cs="GHEA Grapalat"/>
          <w:lang w:val="hy-AM"/>
        </w:rPr>
        <w:t xml:space="preserve"> դրամով զիջել են նախորդ տարվա նույն ժամանակահատվածի ցուցանիշը, որը պայմանավորված է</w:t>
      </w:r>
      <w:r w:rsidRPr="003A059B">
        <w:rPr>
          <w:rFonts w:ascii="GHEA Grapalat" w:hAnsi="GHEA Grapalat" w:cs="GHEA Grapalat"/>
        </w:rPr>
        <w:t xml:space="preserve"> </w:t>
      </w:r>
      <w:r w:rsidRPr="003A059B">
        <w:rPr>
          <w:rFonts w:ascii="GHEA Grapalat" w:hAnsi="GHEA Grapalat" w:cs="GHEA Grapalat"/>
          <w:lang w:val="hy-AM"/>
        </w:rPr>
        <w:t>2022 թվականի</w:t>
      </w:r>
      <w:r w:rsidRPr="003A059B">
        <w:rPr>
          <w:rFonts w:ascii="GHEA Grapalat" w:hAnsi="GHEA Grapalat" w:cs="GHEA Grapalat"/>
        </w:rPr>
        <w:t>ն</w:t>
      </w:r>
      <w:r w:rsidRPr="003A059B">
        <w:rPr>
          <w:rFonts w:ascii="GHEA Grapalat" w:hAnsi="GHEA Grapalat" w:cs="GHEA Grapalat"/>
          <w:lang w:val="hy-AM"/>
        </w:rPr>
        <w:t xml:space="preserve"> բյուջետային աջակցության ծրագրերի շրջանակներում</w:t>
      </w:r>
      <w:r>
        <w:rPr>
          <w:rFonts w:ascii="GHEA Grapalat" w:hAnsi="GHEA Grapalat" w:cs="GHEA Grapalat"/>
        </w:rPr>
        <w:t xml:space="preserve"> ավելի քան</w:t>
      </w:r>
      <w:r w:rsidRPr="003A059B">
        <w:rPr>
          <w:rFonts w:ascii="GHEA Grapalat" w:hAnsi="GHEA Grapalat" w:cs="GHEA Grapalat"/>
          <w:lang w:val="hy-AM"/>
        </w:rPr>
        <w:t xml:space="preserve"> </w:t>
      </w:r>
      <w:r w:rsidRPr="003A059B">
        <w:rPr>
          <w:rFonts w:ascii="GHEA Grapalat" w:hAnsi="GHEA Grapalat" w:cs="GHEA Grapalat"/>
        </w:rPr>
        <w:t>6.2</w:t>
      </w:r>
      <w:r w:rsidRPr="003A059B">
        <w:rPr>
          <w:rFonts w:ascii="GHEA Grapalat" w:hAnsi="GHEA Grapalat" w:cs="GHEA Grapalat"/>
          <w:lang w:val="hy-AM"/>
        </w:rPr>
        <w:t xml:space="preserve"> մլ</w:t>
      </w:r>
      <w:r w:rsidRPr="003A059B">
        <w:rPr>
          <w:rFonts w:ascii="GHEA Grapalat" w:hAnsi="GHEA Grapalat" w:cs="GHEA Grapalat"/>
        </w:rPr>
        <w:t>րդ</w:t>
      </w:r>
      <w:r w:rsidRPr="003A059B">
        <w:rPr>
          <w:rFonts w:ascii="GHEA Grapalat" w:hAnsi="GHEA Grapalat" w:cs="GHEA Grapalat"/>
          <w:lang w:val="hy-AM"/>
        </w:rPr>
        <w:t xml:space="preserve"> դրամ</w:t>
      </w:r>
      <w:r w:rsidRPr="003A059B">
        <w:rPr>
          <w:rFonts w:ascii="GHEA Grapalat" w:hAnsi="GHEA Grapalat" w:cs="GHEA Grapalat"/>
        </w:rPr>
        <w:t>ի ստացմամբ</w:t>
      </w:r>
      <w:r w:rsidRPr="003A059B">
        <w:rPr>
          <w:rFonts w:ascii="GHEA Grapalat" w:hAnsi="GHEA Grapalat" w:cs="GHEA Grapalat"/>
          <w:lang w:val="hy-AM"/>
        </w:rPr>
        <w:t>:</w:t>
      </w:r>
    </w:p>
    <w:p w:rsidR="00EE32D3" w:rsidRPr="003A059B" w:rsidRDefault="00EE32D3" w:rsidP="00EE32D3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</w:p>
    <w:p w:rsidR="00EE32D3" w:rsidRPr="003A059B" w:rsidRDefault="00EE32D3" w:rsidP="00EE32D3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Պաշտոնական դրամաշնորհներ (մլրդ դրամ) </w:t>
      </w:r>
    </w:p>
    <w:tbl>
      <w:tblPr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1418"/>
        <w:gridCol w:w="1661"/>
        <w:gridCol w:w="1344"/>
      </w:tblGrid>
      <w:tr w:rsidR="00EE32D3" w:rsidRPr="003F41F3" w:rsidTr="0062552A">
        <w:trPr>
          <w:trHeight w:val="8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ind w:left="-15" w:firstLine="15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2D3" w:rsidRPr="003A059B" w:rsidRDefault="00EE32D3" w:rsidP="0062552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2022թ. հունվար-օգոստոս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3A059B" w:rsidRDefault="00EE32D3" w:rsidP="0062552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ինն ամիսների 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3A059B" w:rsidRDefault="00EE32D3" w:rsidP="0062552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3A059B" w:rsidRDefault="00EE32D3" w:rsidP="0062552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Կատարո-ղականն ինն ամիսների ճշտված պլանի նկատմամբ (%)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3A059B" w:rsidRDefault="00EE32D3" w:rsidP="0062552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հունվար-օգոստոսը 2022թ. հունվար-օգոստոս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 նկատմամբ (%)</w:t>
            </w:r>
          </w:p>
        </w:tc>
      </w:tr>
      <w:tr w:rsidR="00EE32D3" w:rsidRPr="003A059B" w:rsidTr="0062552A">
        <w:trPr>
          <w:trHeight w:val="5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sz w:val="20"/>
                <w:szCs w:val="20"/>
              </w:rPr>
              <w:t>Պաշտոնական դրամաշնորհներ</w:t>
            </w:r>
            <w:r w:rsidRPr="003A059B"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,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 այդ թվում`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11.6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13.2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  <w:r w:rsidRPr="003A059B">
              <w:rPr>
                <w:rFonts w:ascii="GHEA Grapalat" w:hAnsi="GHEA Grapalat"/>
                <w:b/>
                <w:bCs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7</w:t>
            </w:r>
            <w:r w:rsidRPr="003A059B">
              <w:rPr>
                <w:rFonts w:ascii="GHEA Grapalat" w:hAnsi="GHEA Grapalat"/>
                <w:b/>
                <w:bCs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</w:tr>
      <w:tr w:rsidR="00EE32D3" w:rsidRPr="003A059B" w:rsidTr="0062552A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Նպատակային դրամաշնորհներ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3A059B">
              <w:rPr>
                <w:rFonts w:ascii="GHEA Grapalat" w:hAnsi="GHEA Grapalat" w:cs="Arial"/>
                <w:sz w:val="20"/>
                <w:szCs w:val="20"/>
              </w:rPr>
              <w:t>13.2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3A059B">
              <w:rPr>
                <w:rFonts w:ascii="GHEA Grapalat" w:hAnsi="GHEA Grapalat" w:cs="Arial"/>
                <w:sz w:val="20"/>
                <w:szCs w:val="20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3A059B">
              <w:rPr>
                <w:rFonts w:ascii="GHEA Grapalat" w:hAnsi="GHEA Grapalat" w:cs="Arial"/>
                <w:sz w:val="20"/>
                <w:szCs w:val="20"/>
              </w:rPr>
              <w:t>.</w:t>
            </w: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/>
                <w:bCs/>
                <w:sz w:val="20"/>
                <w:szCs w:val="20"/>
              </w:rPr>
            </w:pPr>
            <w:r w:rsidRPr="003A059B">
              <w:rPr>
                <w:rFonts w:ascii="GHEA Grapalat" w:hAnsi="GHEA Grapalat"/>
                <w:bCs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01</w:t>
            </w:r>
            <w:r w:rsidRPr="003A059B">
              <w:rPr>
                <w:rFonts w:ascii="GHEA Grapalat" w:hAnsi="GHEA Grapalat"/>
                <w:bCs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8</w:t>
            </w:r>
          </w:p>
        </w:tc>
      </w:tr>
      <w:tr w:rsidR="00EE32D3" w:rsidRPr="003A059B" w:rsidTr="0062552A">
        <w:trPr>
          <w:trHeight w:val="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2D3" w:rsidRPr="003A059B" w:rsidRDefault="00EE32D3" w:rsidP="0062552A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Բյուջետային աջակցության դրամաշնորհներ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6.2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3A059B">
              <w:rPr>
                <w:rFonts w:ascii="GHEA Grapalat" w:hAnsi="GHEA Grapalat" w:cs="Arial"/>
                <w:sz w:val="20"/>
                <w:szCs w:val="20"/>
              </w:rPr>
              <w:t>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3A059B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2D3" w:rsidRPr="003A059B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3A059B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Pr="003A059B" w:rsidRDefault="00EE32D3" w:rsidP="0062552A">
            <w:pPr>
              <w:keepNext/>
              <w:jc w:val="right"/>
              <w:rPr>
                <w:rFonts w:ascii="GHEA Grapalat" w:hAnsi="GHEA Grapalat"/>
                <w:bCs/>
                <w:sz w:val="20"/>
                <w:szCs w:val="20"/>
              </w:rPr>
            </w:pPr>
            <w:r w:rsidRPr="003A059B">
              <w:rPr>
                <w:rFonts w:ascii="GHEA Grapalat" w:hAnsi="GHEA Grapalat"/>
                <w:bCs/>
                <w:sz w:val="20"/>
                <w:szCs w:val="20"/>
              </w:rPr>
              <w:t>-</w:t>
            </w:r>
          </w:p>
        </w:tc>
      </w:tr>
    </w:tbl>
    <w:p w:rsidR="00EE32D3" w:rsidRPr="003A059B" w:rsidRDefault="00EE32D3" w:rsidP="00EE32D3">
      <w:pPr>
        <w:pStyle w:val="Caption"/>
        <w:rPr>
          <w:rFonts w:ascii="GHEA Grapalat" w:hAnsi="GHEA Grapalat" w:cs="GHEA Grapalat"/>
        </w:rPr>
      </w:pPr>
    </w:p>
    <w:p w:rsidR="00EE32D3" w:rsidRPr="003A059B" w:rsidRDefault="00EE32D3" w:rsidP="00EE32D3">
      <w:pPr>
        <w:spacing w:line="360" w:lineRule="auto"/>
        <w:ind w:right="9" w:firstLine="567"/>
        <w:jc w:val="both"/>
        <w:rPr>
          <w:rFonts w:ascii="GHEA Grapalat" w:hAnsi="GHEA Grapalat" w:cs="GHEA Grapalat"/>
        </w:rPr>
      </w:pPr>
      <w:r w:rsidRPr="003A059B">
        <w:rPr>
          <w:rFonts w:ascii="GHEA Grapalat" w:hAnsi="GHEA Grapalat" w:cs="GHEA Grapalat"/>
          <w:lang w:val="hy-AM"/>
        </w:rPr>
        <w:t xml:space="preserve">Հաշվետու ժամանակահատվածում ՀՀ պետական բյուջեի այլ եկամուտները կազմել են </w:t>
      </w:r>
      <w:r>
        <w:rPr>
          <w:rFonts w:ascii="GHEA Grapalat" w:hAnsi="GHEA Grapalat" w:cs="GHEA Grapalat"/>
        </w:rPr>
        <w:t>73.8</w:t>
      </w:r>
      <w:r w:rsidRPr="003A059B">
        <w:rPr>
          <w:rFonts w:ascii="GHEA Grapalat" w:hAnsi="GHEA Grapalat" w:cs="GHEA Grapalat"/>
          <w:lang w:val="hy-AM"/>
        </w:rPr>
        <w:t xml:space="preserve"> մլրդ դրամ՝ </w:t>
      </w:r>
      <w:r>
        <w:rPr>
          <w:rFonts w:ascii="GHEA Grapalat" w:hAnsi="GHEA Grapalat" w:cs="GHEA Grapalat"/>
        </w:rPr>
        <w:t>41.5</w:t>
      </w:r>
      <w:r w:rsidRPr="003A059B">
        <w:rPr>
          <w:rFonts w:ascii="GHEA Grapalat" w:hAnsi="GHEA Grapalat" w:cs="GHEA Grapalat"/>
          <w:lang w:val="hy-AM"/>
        </w:rPr>
        <w:t>%-</w:t>
      </w:r>
      <w:r w:rsidRPr="003A059B">
        <w:rPr>
          <w:rFonts w:ascii="GHEA Grapalat" w:hAnsi="GHEA Grapalat" w:cs="GHEA Grapalat"/>
        </w:rPr>
        <w:t>ով</w:t>
      </w:r>
      <w:r w:rsidRPr="003A059B">
        <w:rPr>
          <w:rFonts w:ascii="GHEA Grapalat" w:hAnsi="GHEA Grapalat" w:cs="GHEA Grapalat"/>
          <w:lang w:val="hy-AM"/>
        </w:rPr>
        <w:t xml:space="preserve"> գերազանցելով</w:t>
      </w:r>
      <w:r w:rsidRPr="003A059B">
        <w:rPr>
          <w:rFonts w:ascii="GHEA Grapalat" w:hAnsi="GHEA Grapalat" w:cs="GHEA Grapalat"/>
          <w:color w:val="000000"/>
          <w:lang w:val="hy-AM"/>
        </w:rPr>
        <w:t xml:space="preserve"> </w:t>
      </w:r>
      <w:r w:rsidRPr="003A059B">
        <w:rPr>
          <w:rFonts w:ascii="GHEA Grapalat" w:hAnsi="GHEA Grapalat" w:cs="GHEA Grapalat"/>
          <w:color w:val="000000"/>
        </w:rPr>
        <w:t xml:space="preserve">իննամսյա </w:t>
      </w:r>
      <w:r w:rsidRPr="003A059B">
        <w:rPr>
          <w:rFonts w:ascii="GHEA Grapalat" w:hAnsi="GHEA Grapalat" w:cs="GHEA Grapalat"/>
          <w:lang w:val="hy-AM"/>
        </w:rPr>
        <w:t xml:space="preserve">ծրագրված ցուցանիշը: </w:t>
      </w:r>
      <w:r w:rsidRPr="003A059B">
        <w:rPr>
          <w:rFonts w:ascii="GHEA Grapalat" w:hAnsi="GHEA Grapalat" w:cs="GHEA Grapalat"/>
        </w:rPr>
        <w:t>Վերջինս</w:t>
      </w:r>
      <w:r w:rsidRPr="003A059B">
        <w:rPr>
          <w:rFonts w:ascii="GHEA Grapalat" w:hAnsi="GHEA Grapalat" w:cs="GHEA Grapalat"/>
          <w:lang w:val="hy-AM"/>
        </w:rPr>
        <w:t xml:space="preserve"> հիմնականում պայմանավորված է բանկերում և այլ ֆինանսավարկային հաստատություններում բյուջեի ժամանակավոր ազատ միջոցների </w:t>
      </w:r>
      <w:r w:rsidRPr="003A059B">
        <w:rPr>
          <w:rFonts w:ascii="GHEA Grapalat" w:hAnsi="GHEA Grapalat" w:cs="GHEA Grapalat"/>
        </w:rPr>
        <w:t>տեղաբաշխ</w:t>
      </w:r>
      <w:r w:rsidRPr="003A059B">
        <w:rPr>
          <w:rFonts w:ascii="GHEA Grapalat" w:hAnsi="GHEA Grapalat" w:cs="GHEA Grapalat"/>
          <w:lang w:val="hy-AM"/>
        </w:rPr>
        <w:t xml:space="preserve">ումից </w:t>
      </w:r>
      <w:r w:rsidRPr="003A059B">
        <w:rPr>
          <w:rFonts w:ascii="GHEA Grapalat" w:hAnsi="GHEA Grapalat" w:cs="GHEA Grapalat"/>
        </w:rPr>
        <w:t xml:space="preserve">ու դեպոզիտներից </w:t>
      </w:r>
      <w:r w:rsidRPr="003A059B">
        <w:rPr>
          <w:rFonts w:ascii="GHEA Grapalat" w:hAnsi="GHEA Grapalat" w:cs="GHEA Grapalat"/>
          <w:lang w:val="hy-AM"/>
        </w:rPr>
        <w:t xml:space="preserve">ստացված տոկոսավճարների </w:t>
      </w:r>
      <w:r w:rsidRPr="003A059B">
        <w:rPr>
          <w:rFonts w:ascii="GHEA Grapalat" w:hAnsi="GHEA Grapalat" w:cs="GHEA Grapalat"/>
        </w:rPr>
        <w:t>իննամ</w:t>
      </w:r>
      <w:r w:rsidRPr="003A059B">
        <w:rPr>
          <w:rFonts w:ascii="GHEA Grapalat" w:hAnsi="GHEA Grapalat" w:cs="GHEA Grapalat"/>
          <w:color w:val="000000"/>
          <w:lang w:val="hy-AM"/>
        </w:rPr>
        <w:t>ս</w:t>
      </w:r>
      <w:r w:rsidRPr="003A059B">
        <w:rPr>
          <w:rFonts w:ascii="GHEA Grapalat" w:hAnsi="GHEA Grapalat" w:cs="GHEA Grapalat"/>
          <w:lang w:val="hy-AM"/>
        </w:rPr>
        <w:t>յ</w:t>
      </w:r>
      <w:r w:rsidRPr="003A059B">
        <w:rPr>
          <w:rFonts w:ascii="GHEA Grapalat" w:hAnsi="GHEA Grapalat" w:cs="GHEA Grapalat"/>
        </w:rPr>
        <w:t>ա</w:t>
      </w:r>
      <w:r w:rsidRPr="003A059B">
        <w:rPr>
          <w:rFonts w:ascii="GHEA Grapalat" w:hAnsi="GHEA Grapalat" w:cs="GHEA Grapalat"/>
          <w:lang w:val="hy-AM"/>
        </w:rPr>
        <w:t xml:space="preserve"> ծրագր</w:t>
      </w:r>
      <w:r w:rsidRPr="003A059B">
        <w:rPr>
          <w:rFonts w:ascii="GHEA Grapalat" w:hAnsi="GHEA Grapalat" w:cs="GHEA Grapalat"/>
        </w:rPr>
        <w:t>ային ցուցանիշ</w:t>
      </w:r>
      <w:r w:rsidRPr="003A059B">
        <w:rPr>
          <w:rFonts w:ascii="GHEA Grapalat" w:hAnsi="GHEA Grapalat" w:cs="GHEA Grapalat"/>
          <w:lang w:val="hy-AM"/>
        </w:rPr>
        <w:t>ի գերազանցմամբ:</w:t>
      </w:r>
      <w:r w:rsidRPr="003A059B">
        <w:rPr>
          <w:rFonts w:ascii="GHEA Grapalat" w:hAnsi="GHEA Grapalat" w:cs="GHEA Grapalat"/>
        </w:rPr>
        <w:t xml:space="preserve"> </w:t>
      </w:r>
      <w:r w:rsidRPr="003A059B">
        <w:rPr>
          <w:rFonts w:ascii="GHEA Grapalat" w:hAnsi="GHEA Grapalat" w:cs="GHEA Grapalat"/>
          <w:lang w:val="hy-AM"/>
        </w:rPr>
        <w:t xml:space="preserve">Նախորդ տարվա նույն ժամանակահատվածի համեմատ այլ եկամուտների </w:t>
      </w:r>
      <w:r>
        <w:rPr>
          <w:rFonts w:ascii="GHEA Grapalat" w:hAnsi="GHEA Grapalat" w:cs="GHEA Grapalat"/>
        </w:rPr>
        <w:t>8</w:t>
      </w:r>
      <w:r w:rsidRPr="003A059B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4</w:t>
      </w:r>
      <w:r w:rsidRPr="003A059B">
        <w:rPr>
          <w:rFonts w:ascii="GHEA Grapalat" w:hAnsi="GHEA Grapalat" w:cs="GHEA Grapalat"/>
          <w:lang w:val="hy-AM"/>
        </w:rPr>
        <w:t>% (</w:t>
      </w:r>
      <w:r>
        <w:rPr>
          <w:rFonts w:ascii="GHEA Grapalat" w:hAnsi="GHEA Grapalat" w:cs="GHEA Grapalat"/>
        </w:rPr>
        <w:t>5.7</w:t>
      </w:r>
      <w:r w:rsidRPr="003A059B">
        <w:rPr>
          <w:rFonts w:ascii="GHEA Grapalat" w:hAnsi="GHEA Grapalat" w:cs="GHEA Grapalat"/>
          <w:lang w:val="hy-AM"/>
        </w:rPr>
        <w:t xml:space="preserve"> մլրդ դրամ) աճը հիմնականում </w:t>
      </w:r>
      <w:r w:rsidRPr="003A059B">
        <w:rPr>
          <w:rFonts w:ascii="GHEA Grapalat" w:hAnsi="GHEA Grapalat" w:cs="GHEA Grapalat"/>
        </w:rPr>
        <w:t>ձևավորվել</w:t>
      </w:r>
      <w:r w:rsidRPr="003A059B">
        <w:rPr>
          <w:rFonts w:ascii="GHEA Grapalat" w:hAnsi="GHEA Grapalat" w:cs="GHEA Grapalat"/>
          <w:lang w:val="hy-AM"/>
        </w:rPr>
        <w:t xml:space="preserve"> է բանկերում ու այլ ֆինանսավարկային հաստատություններում բյուջեի ժամանակավոր ազատ միջոցների տեղաբաշխումից </w:t>
      </w:r>
      <w:r w:rsidRPr="003A059B">
        <w:rPr>
          <w:rFonts w:ascii="GHEA Grapalat" w:hAnsi="GHEA Grapalat" w:cs="GHEA Grapalat"/>
        </w:rPr>
        <w:t>ու</w:t>
      </w:r>
      <w:r w:rsidRPr="003A059B">
        <w:rPr>
          <w:rFonts w:ascii="GHEA Grapalat" w:hAnsi="GHEA Grapalat" w:cs="GHEA Grapalat"/>
          <w:lang w:val="hy-AM"/>
        </w:rPr>
        <w:t xml:space="preserve"> դեպոզիտներից ստացված տոկոսավճարների</w:t>
      </w:r>
      <w:r w:rsidRPr="003A059B">
        <w:rPr>
          <w:rFonts w:ascii="GHEA Grapalat" w:hAnsi="GHEA Grapalat" w:cs="GHEA Grapalat"/>
        </w:rPr>
        <w:t xml:space="preserve"> և ի</w:t>
      </w:r>
      <w:r w:rsidRPr="003A059B">
        <w:rPr>
          <w:rFonts w:ascii="GHEA Grapalat" w:hAnsi="GHEA Grapalat" w:cs="GHEA Grapalat"/>
          <w:lang w:val="hy-AM"/>
        </w:rPr>
        <w:t>րավախախտումների համար կիրառվող պատժամիջոցներից ստացված մուտքերի աճ</w:t>
      </w:r>
      <w:r w:rsidRPr="003A059B">
        <w:rPr>
          <w:rFonts w:ascii="GHEA Grapalat" w:hAnsi="GHEA Grapalat" w:cs="GHEA Grapalat"/>
        </w:rPr>
        <w:t xml:space="preserve">ի և օրենքով ու իրավական </w:t>
      </w:r>
      <w:r w:rsidRPr="003A059B">
        <w:rPr>
          <w:rFonts w:ascii="GHEA Grapalat" w:hAnsi="GHEA Grapalat" w:cs="GHEA Grapalat"/>
        </w:rPr>
        <w:lastRenderedPageBreak/>
        <w:t>այլ ակտերով սահմանված՝ պետական բյուջե մուտքագրվող այլ եկամուտների նվազման արդյունքում:</w:t>
      </w:r>
    </w:p>
    <w:p w:rsidR="00EE32D3" w:rsidRPr="003A059B" w:rsidRDefault="00EE32D3" w:rsidP="00EE32D3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3A059B">
        <w:rPr>
          <w:rFonts w:ascii="GHEA Grapalat" w:hAnsi="GHEA Grapalat" w:cs="GHEA Grapalat"/>
          <w:lang w:val="hy-AM"/>
        </w:rPr>
        <w:t>Այլ եկամուտների առանձին բաղադրիչների վերաբերյալ տեղեկատվությունը ներկայացված է Աղյուսակ 9</w:t>
      </w:r>
      <w:r>
        <w:rPr>
          <w:rFonts w:ascii="GHEA Grapalat" w:hAnsi="GHEA Grapalat" w:cs="GHEA Grapalat"/>
          <w:lang w:val="hy-AM"/>
        </w:rPr>
        <w:noBreakHyphen/>
        <w:t>ում:</w:t>
      </w:r>
    </w:p>
    <w:p w:rsidR="00EE32D3" w:rsidRPr="00EE32D3" w:rsidRDefault="00EE32D3" w:rsidP="00EE32D3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</w:p>
    <w:p w:rsidR="00EE32D3" w:rsidRPr="003A059B" w:rsidRDefault="00EE32D3" w:rsidP="00EE32D3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Այլ եկամուտների գծով ՀՀ պետական բյուջեի մուտքերը (մլն դրամ)</w:t>
      </w:r>
    </w:p>
    <w:tbl>
      <w:tblPr>
        <w:tblW w:w="1020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134"/>
        <w:gridCol w:w="1275"/>
        <w:gridCol w:w="1418"/>
        <w:gridCol w:w="1418"/>
      </w:tblGrid>
      <w:tr w:rsidR="00EE32D3" w:rsidRPr="003F41F3" w:rsidTr="0062552A">
        <w:trPr>
          <w:trHeight w:val="8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3" w:rsidRPr="003A059B" w:rsidRDefault="00EE32D3" w:rsidP="0062552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2022թ. հունվար-</w:t>
            </w:r>
            <w:r w:rsidRPr="0062175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3A059B" w:rsidRDefault="00EE32D3" w:rsidP="0062552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ինն ամիս-ների ճշտված պլան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3A059B" w:rsidRDefault="00EE32D3" w:rsidP="0062552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</w:t>
            </w:r>
            <w:r w:rsidRPr="0062175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օգոստոս 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3A059B" w:rsidRDefault="00EE32D3" w:rsidP="0062552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Կատարո-ղականն ինն ամիսների ճշտված պլանի նկատմամբ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2D3" w:rsidRPr="003A059B" w:rsidRDefault="00EE32D3" w:rsidP="0062552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ր-օգոստոսը 2022թ. հունվար-օգոստոսի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 (%)</w:t>
            </w:r>
          </w:p>
        </w:tc>
      </w:tr>
      <w:tr w:rsidR="00EE32D3" w:rsidRPr="003A059B" w:rsidTr="0062552A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Այլ եկամուտներ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68,082.5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52,171.1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73,801.5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108.4</w:t>
            </w:r>
          </w:p>
        </w:tc>
      </w:tr>
      <w:tr w:rsidR="00EE32D3" w:rsidRPr="009354C5" w:rsidTr="0062552A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Պետական սեփականություն հանդիսացող գույքի վարձակալու-թյունից եկամուտներ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1,552.8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2,402.0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1,755.9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113.1</w:t>
            </w:r>
          </w:p>
        </w:tc>
      </w:tr>
      <w:tr w:rsidR="00EE32D3" w:rsidRPr="003A059B" w:rsidTr="0062552A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Տոկոսավճարներ և շահաբաժիններ, 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23,046.7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14,190.0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31,726.1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137.7</w:t>
            </w:r>
          </w:p>
        </w:tc>
      </w:tr>
      <w:tr w:rsidR="00EE32D3" w:rsidRPr="003A059B" w:rsidTr="0062552A">
        <w:trPr>
          <w:trHeight w:val="1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2D3" w:rsidRPr="003A059B" w:rsidRDefault="00EE32D3" w:rsidP="0062552A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t>բանկերում և այլ ֆինանսա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t>վարկային հաստատություններում բյուջեի ժամանակավոր ազատ միջոցների տեղաբաշխումից և դեպոզիտներից ստացվող տոկոսավճարներ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22,695.1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13,200.0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30,792.5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233.3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135.7</w:t>
            </w:r>
          </w:p>
        </w:tc>
      </w:tr>
      <w:tr w:rsidR="00EE32D3" w:rsidRPr="003A059B" w:rsidTr="0062552A">
        <w:trPr>
          <w:trHeight w:val="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2D3" w:rsidRPr="003A059B" w:rsidRDefault="00EE32D3" w:rsidP="0062552A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իրավաբանական անձանց կապիտալում կատարված ներդրումներից ստացվող շահաբաժիններ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  351.6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990.0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  933.6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265.5</w:t>
            </w:r>
          </w:p>
        </w:tc>
      </w:tr>
      <w:tr w:rsidR="00EE32D3" w:rsidRPr="003A059B" w:rsidTr="0062552A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Պետության կողմից տրված վարկերի օգտագործման դիմաց վճարներ (տոկոսներ), 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7,250.5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8,545.3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7,871.3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108.6</w:t>
            </w:r>
          </w:p>
        </w:tc>
      </w:tr>
      <w:tr w:rsidR="00EE32D3" w:rsidRPr="003A059B" w:rsidTr="0062552A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t>ռեզիդենտներին տրամադրված վարկերի օգտագործման տոկոսավճարներ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7,203.5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8,513.6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7,840.4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108.8</w:t>
            </w:r>
          </w:p>
        </w:tc>
      </w:tr>
      <w:tr w:rsidR="00EE32D3" w:rsidRPr="003A059B" w:rsidTr="0062552A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t>ոչ ռեզիդենտներին տրամադրված վարկերի օգտագործման տոկոսավճարներ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    47.0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   31.7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    30.9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65.8</w:t>
            </w:r>
          </w:p>
        </w:tc>
      </w:tr>
      <w:tr w:rsidR="00EE32D3" w:rsidRPr="003A059B" w:rsidTr="0062552A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t>Այլ կատեգորիաներում չդասակարգված տրանսֆերտներ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  198.3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  26.8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    26.8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13.5</w:t>
            </w:r>
          </w:p>
        </w:tc>
      </w:tr>
      <w:tr w:rsidR="00EE32D3" w:rsidRPr="003A059B" w:rsidTr="0062552A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Իրավախախտումների համար գործադիր, դատական մարմինների կողմից կիրառվող պատժամիջոցներից մուտքեր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11,973.8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10,565.8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14,586.8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121.8</w:t>
            </w:r>
          </w:p>
        </w:tc>
      </w:tr>
      <w:tr w:rsidR="00EE32D3" w:rsidRPr="003A059B" w:rsidTr="0062552A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t>Ապրանքների մատակարարումից և ծառայությունների մատուցումից եկամուտներ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14,484.3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14,445.8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14,959.7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103.3</w:t>
            </w:r>
          </w:p>
        </w:tc>
      </w:tr>
      <w:tr w:rsidR="00EE32D3" w:rsidRPr="003A059B" w:rsidTr="0062552A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2D3" w:rsidRPr="003A059B" w:rsidRDefault="00EE32D3" w:rsidP="0062552A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  <w:lang w:val="hy-AM"/>
              </w:rPr>
              <w:lastRenderedPageBreak/>
              <w:t>Օրենքով և իրավական այլ ակտերով սահմանված՝ պետական բյուջե մուտքագրվող այլ եկամուտներ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9,576.0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1,995.4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     2,874.8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D3" w:rsidRDefault="00EE32D3" w:rsidP="0062552A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30.0</w:t>
            </w:r>
          </w:p>
        </w:tc>
      </w:tr>
    </w:tbl>
    <w:p w:rsidR="00EE32D3" w:rsidRPr="00EE32D3" w:rsidRDefault="00EE32D3" w:rsidP="00EE32D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</w:p>
    <w:p w:rsidR="00EE32D3" w:rsidRPr="003A059B" w:rsidRDefault="00EE32D3" w:rsidP="00EE32D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  <w:r w:rsidRPr="0062552A">
        <w:rPr>
          <w:rFonts w:ascii="GHEA Grapalat" w:hAnsi="GHEA Grapalat" w:cs="Calibri"/>
          <w:bCs/>
          <w:lang w:val="hy-AM"/>
        </w:rPr>
        <w:t>Հաշվետու ժամանակահատվածում բանկերում և այլ ֆինանսավարկային</w:t>
      </w:r>
      <w:r w:rsidRPr="003A059B">
        <w:rPr>
          <w:rFonts w:ascii="GHEA Grapalat" w:hAnsi="GHEA Grapalat" w:cs="Calibri"/>
          <w:bCs/>
          <w:lang w:val="hy-AM"/>
        </w:rPr>
        <w:t xml:space="preserve"> հաստատություններում բյուջեի ժամանակավոր ազատ միջոցների տեղաբաշխումից և դեպոզիտներից ստացվել են շուրջ </w:t>
      </w:r>
      <w:r>
        <w:rPr>
          <w:rFonts w:ascii="GHEA Grapalat" w:hAnsi="GHEA Grapalat" w:cs="Calibri"/>
          <w:bCs/>
        </w:rPr>
        <w:t>30.8</w:t>
      </w:r>
      <w:r w:rsidRPr="003A059B">
        <w:rPr>
          <w:rFonts w:ascii="GHEA Grapalat" w:hAnsi="GHEA Grapalat" w:cs="Calibri"/>
          <w:bCs/>
          <w:lang w:val="hy-AM"/>
        </w:rPr>
        <w:t xml:space="preserve"> մլրդ դրամ տոկոսավճարներ, որոնք</w:t>
      </w:r>
      <w:r w:rsidRPr="003A059B">
        <w:rPr>
          <w:rFonts w:ascii="GHEA Grapalat" w:hAnsi="GHEA Grapalat" w:cs="Calibri"/>
          <w:bCs/>
        </w:rPr>
        <w:t xml:space="preserve"> </w:t>
      </w:r>
      <w:r>
        <w:rPr>
          <w:rFonts w:ascii="GHEA Grapalat" w:hAnsi="GHEA Grapalat" w:cs="Calibri"/>
          <w:bCs/>
        </w:rPr>
        <w:t>13</w:t>
      </w:r>
      <w:r w:rsidRPr="003A059B">
        <w:rPr>
          <w:rFonts w:ascii="GHEA Grapalat" w:hAnsi="GHEA Grapalat" w:cs="Calibri"/>
          <w:bCs/>
        </w:rPr>
        <w:t>3.</w:t>
      </w:r>
      <w:r>
        <w:rPr>
          <w:rFonts w:ascii="GHEA Grapalat" w:hAnsi="GHEA Grapalat" w:cs="Calibri"/>
          <w:bCs/>
        </w:rPr>
        <w:t>3</w:t>
      </w:r>
      <w:r w:rsidRPr="003A059B">
        <w:rPr>
          <w:rFonts w:ascii="GHEA Grapalat" w:hAnsi="GHEA Grapalat" w:cs="Calibri"/>
          <w:bCs/>
        </w:rPr>
        <w:t>%-ով</w:t>
      </w:r>
      <w:r w:rsidRPr="003A059B">
        <w:rPr>
          <w:rFonts w:ascii="GHEA Grapalat" w:hAnsi="GHEA Grapalat" w:cs="Calibri"/>
          <w:bCs/>
          <w:lang w:val="hy-AM"/>
        </w:rPr>
        <w:t xml:space="preserve"> (</w:t>
      </w:r>
      <w:r w:rsidRPr="003A059B">
        <w:rPr>
          <w:rFonts w:ascii="GHEA Grapalat" w:hAnsi="GHEA Grapalat" w:cs="Calibri"/>
          <w:bCs/>
        </w:rPr>
        <w:t>1</w:t>
      </w:r>
      <w:r>
        <w:rPr>
          <w:rFonts w:ascii="GHEA Grapalat" w:hAnsi="GHEA Grapalat" w:cs="Calibri"/>
          <w:bCs/>
        </w:rPr>
        <w:t>7</w:t>
      </w:r>
      <w:r w:rsidRPr="003A059B">
        <w:rPr>
          <w:rFonts w:ascii="GHEA Grapalat" w:hAnsi="GHEA Grapalat" w:cs="Calibri"/>
          <w:bCs/>
        </w:rPr>
        <w:t>.</w:t>
      </w:r>
      <w:r>
        <w:rPr>
          <w:rFonts w:ascii="GHEA Grapalat" w:hAnsi="GHEA Grapalat" w:cs="Calibri"/>
          <w:bCs/>
        </w:rPr>
        <w:t>6</w:t>
      </w:r>
      <w:r w:rsidRPr="003A059B">
        <w:rPr>
          <w:rFonts w:ascii="Calibri" w:hAnsi="Calibri" w:cs="Calibri"/>
          <w:bCs/>
        </w:rPr>
        <w:t> </w:t>
      </w:r>
      <w:r w:rsidRPr="003A059B">
        <w:rPr>
          <w:rFonts w:ascii="GHEA Grapalat" w:hAnsi="GHEA Grapalat" w:cs="Calibri"/>
          <w:bCs/>
          <w:lang w:val="hy-AM"/>
        </w:rPr>
        <w:t xml:space="preserve">մլրդ դրամով) գերազանցել են </w:t>
      </w:r>
      <w:r w:rsidRPr="003A059B">
        <w:rPr>
          <w:rFonts w:ascii="GHEA Grapalat" w:hAnsi="GHEA Grapalat" w:cs="GHEA Grapalat"/>
        </w:rPr>
        <w:t>իննամ</w:t>
      </w:r>
      <w:r w:rsidRPr="003A059B">
        <w:rPr>
          <w:rFonts w:ascii="GHEA Grapalat" w:hAnsi="GHEA Grapalat" w:cs="GHEA Grapalat"/>
          <w:color w:val="000000"/>
          <w:lang w:val="hy-AM"/>
        </w:rPr>
        <w:t>ս</w:t>
      </w:r>
      <w:r w:rsidRPr="003A059B">
        <w:rPr>
          <w:rFonts w:ascii="GHEA Grapalat" w:hAnsi="GHEA Grapalat" w:cs="GHEA Grapalat"/>
          <w:lang w:val="hy-AM"/>
        </w:rPr>
        <w:t>յ</w:t>
      </w:r>
      <w:r w:rsidRPr="003A059B">
        <w:rPr>
          <w:rFonts w:ascii="GHEA Grapalat" w:hAnsi="GHEA Grapalat" w:cs="GHEA Grapalat"/>
        </w:rPr>
        <w:t>ա</w:t>
      </w:r>
      <w:r w:rsidRPr="003A059B">
        <w:rPr>
          <w:rFonts w:ascii="GHEA Grapalat" w:hAnsi="GHEA Grapalat" w:cs="Calibri"/>
          <w:bCs/>
          <w:lang w:val="hy-AM"/>
        </w:rPr>
        <w:t xml:space="preserve"> ծրագրային ցուցանիշը և 3</w:t>
      </w:r>
      <w:r>
        <w:rPr>
          <w:rFonts w:ascii="GHEA Grapalat" w:hAnsi="GHEA Grapalat" w:cs="Calibri"/>
          <w:bCs/>
        </w:rPr>
        <w:t>5</w:t>
      </w:r>
      <w:r w:rsidRPr="003A059B">
        <w:rPr>
          <w:rFonts w:ascii="GHEA Grapalat" w:hAnsi="GHEA Grapalat" w:cs="Calibri"/>
          <w:bCs/>
        </w:rPr>
        <w:t>.</w:t>
      </w:r>
      <w:r>
        <w:rPr>
          <w:rFonts w:ascii="GHEA Grapalat" w:hAnsi="GHEA Grapalat" w:cs="Calibri"/>
          <w:bCs/>
        </w:rPr>
        <w:t>7</w:t>
      </w:r>
      <w:r w:rsidRPr="003A059B">
        <w:rPr>
          <w:rFonts w:ascii="GHEA Grapalat" w:hAnsi="GHEA Grapalat" w:cs="Calibri"/>
          <w:bCs/>
          <w:lang w:val="hy-AM"/>
        </w:rPr>
        <w:t>%-ով (</w:t>
      </w:r>
      <w:r>
        <w:rPr>
          <w:rFonts w:ascii="GHEA Grapalat" w:hAnsi="GHEA Grapalat" w:cs="Calibri"/>
          <w:bCs/>
        </w:rPr>
        <w:t>8</w:t>
      </w:r>
      <w:r w:rsidRPr="003A059B">
        <w:rPr>
          <w:rFonts w:ascii="GHEA Grapalat" w:hAnsi="GHEA Grapalat" w:cs="Calibri"/>
          <w:bCs/>
        </w:rPr>
        <w:t>.</w:t>
      </w:r>
      <w:r>
        <w:rPr>
          <w:rFonts w:ascii="GHEA Grapalat" w:hAnsi="GHEA Grapalat" w:cs="Calibri"/>
          <w:bCs/>
        </w:rPr>
        <w:t>1</w:t>
      </w:r>
      <w:r w:rsidRPr="003A059B">
        <w:rPr>
          <w:rFonts w:ascii="GHEA Grapalat" w:hAnsi="GHEA Grapalat" w:cs="Calibri"/>
          <w:bCs/>
          <w:lang w:val="hy-AM"/>
        </w:rPr>
        <w:t xml:space="preserve"> մրդ դրամով)՝ նախորդ տարվա նույն ժամանակահատվածի ցուցանիշը: Ծրագրված ցուցանիշի գերազանցումը պայմանավորված է ավանդի ներդրման տոկոսադրույքի աճով, ինչպես նաև պետական բյուջեի ելքերի համեմատ մուտքերի բարձր կատարողականով, որոնց պայմաններում առաջացել են լրացուցիչ ժամանակավոր ազատ դրամական միջոցներ, որոնք ներդրվել են՝ ապահովելով լրացուցիչ տոկոսային եկամուտներ:</w:t>
      </w:r>
    </w:p>
    <w:p w:rsidR="00EE32D3" w:rsidRPr="00FE561C" w:rsidRDefault="00EE32D3" w:rsidP="00EE32D3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  <w:r w:rsidRPr="003A059B">
        <w:rPr>
          <w:rFonts w:ascii="GHEA Grapalat" w:hAnsi="GHEA Grapalat" w:cs="Calibri"/>
          <w:bCs/>
          <w:lang w:val="hy-AM"/>
        </w:rPr>
        <w:t xml:space="preserve">2023 թվականի </w:t>
      </w:r>
      <w:r>
        <w:rPr>
          <w:rFonts w:ascii="GHEA Grapalat" w:hAnsi="GHEA Grapalat" w:cs="GHEA Grapalat"/>
          <w:lang w:val="hy-AM"/>
        </w:rPr>
        <w:t>հունվար-</w:t>
      </w:r>
      <w:r w:rsidRPr="009354C5">
        <w:rPr>
          <w:rFonts w:ascii="GHEA Grapalat" w:hAnsi="GHEA Grapalat" w:cs="GHEA Grapalat"/>
          <w:lang w:val="hy-AM"/>
        </w:rPr>
        <w:t>օգոստոս</w:t>
      </w:r>
      <w:r w:rsidRPr="003A059B">
        <w:rPr>
          <w:rFonts w:ascii="GHEA Grapalat" w:hAnsi="GHEA Grapalat" w:cs="GHEA Grapalat"/>
          <w:lang w:val="hy-AM"/>
        </w:rPr>
        <w:t xml:space="preserve"> ամիսների </w:t>
      </w:r>
      <w:r w:rsidRPr="003A059B">
        <w:rPr>
          <w:rFonts w:ascii="GHEA Grapalat" w:hAnsi="GHEA Grapalat" w:cs="Calibri"/>
          <w:bCs/>
          <w:lang w:val="hy-AM"/>
        </w:rPr>
        <w:t xml:space="preserve">ընթացքում իրավախախտումների համար գործադիր, դատական մարմինների կողմից կիրառվող պատժամիջոցներից ստացված մուտքերի՝ </w:t>
      </w:r>
      <w:r w:rsidR="00750813">
        <w:rPr>
          <w:rFonts w:ascii="GHEA Grapalat" w:hAnsi="GHEA Grapalat" w:cs="Calibri"/>
          <w:bCs/>
        </w:rPr>
        <w:t xml:space="preserve">ինն ամիսների համար </w:t>
      </w:r>
      <w:r w:rsidRPr="003A059B">
        <w:rPr>
          <w:rFonts w:ascii="GHEA Grapalat" w:hAnsi="GHEA Grapalat" w:cs="Calibri"/>
          <w:bCs/>
          <w:lang w:val="hy-AM"/>
        </w:rPr>
        <w:t xml:space="preserve">ծրագրված ցուցանիշի </w:t>
      </w:r>
      <w:r w:rsidRPr="009354C5">
        <w:rPr>
          <w:rFonts w:ascii="GHEA Grapalat" w:hAnsi="GHEA Grapalat" w:cs="Calibri"/>
          <w:bCs/>
          <w:lang w:val="hy-AM"/>
        </w:rPr>
        <w:t>38</w:t>
      </w:r>
      <w:r w:rsidRPr="003A059B">
        <w:rPr>
          <w:rFonts w:ascii="GHEA Grapalat" w:hAnsi="GHEA Grapalat" w:cs="Calibri"/>
          <w:bCs/>
          <w:lang w:val="hy-AM"/>
        </w:rPr>
        <w:t>.</w:t>
      </w:r>
      <w:r w:rsidRPr="009354C5">
        <w:rPr>
          <w:rFonts w:ascii="GHEA Grapalat" w:hAnsi="GHEA Grapalat" w:cs="Calibri"/>
          <w:bCs/>
          <w:lang w:val="hy-AM"/>
        </w:rPr>
        <w:t>1</w:t>
      </w:r>
      <w:r w:rsidRPr="003A059B">
        <w:rPr>
          <w:rFonts w:ascii="GHEA Grapalat" w:hAnsi="GHEA Grapalat" w:cs="Calibri"/>
          <w:bCs/>
          <w:lang w:val="hy-AM"/>
        </w:rPr>
        <w:t>% գերազանցումը և նախորդ տարվա նույն ժամանակահատվածի համեմատ 2</w:t>
      </w:r>
      <w:r w:rsidRPr="009354C5">
        <w:rPr>
          <w:rFonts w:ascii="GHEA Grapalat" w:hAnsi="GHEA Grapalat" w:cs="Calibri"/>
          <w:bCs/>
          <w:lang w:val="hy-AM"/>
        </w:rPr>
        <w:t>1</w:t>
      </w:r>
      <w:r>
        <w:rPr>
          <w:rFonts w:ascii="GHEA Grapalat" w:hAnsi="GHEA Grapalat" w:cs="Calibri"/>
          <w:bCs/>
          <w:lang w:val="hy-AM"/>
        </w:rPr>
        <w:t>.</w:t>
      </w:r>
      <w:r w:rsidRPr="009354C5">
        <w:rPr>
          <w:rFonts w:ascii="GHEA Grapalat" w:hAnsi="GHEA Grapalat" w:cs="Calibri"/>
          <w:bCs/>
          <w:lang w:val="hy-AM"/>
        </w:rPr>
        <w:t>8</w:t>
      </w:r>
      <w:r w:rsidRPr="003A059B">
        <w:rPr>
          <w:rFonts w:ascii="GHEA Grapalat" w:hAnsi="GHEA Grapalat" w:cs="Calibri"/>
          <w:bCs/>
          <w:lang w:val="hy-AM"/>
        </w:rPr>
        <w:t xml:space="preserve">% աճը հիմնականում պայմանավորված են ճանապարհային երթևեկության կանոնները խախտելու համար ՀՀ ոստիկանության կողմից կիրառված պատժամիջոցների արդյունքում գանձված գումարների աճով, որոնք </w:t>
      </w:r>
      <w:r>
        <w:rPr>
          <w:rFonts w:ascii="GHEA Grapalat" w:hAnsi="GHEA Grapalat" w:cs="Calibri"/>
          <w:bCs/>
          <w:lang w:val="hy-AM"/>
        </w:rPr>
        <w:t>կազմել են 11.</w:t>
      </w:r>
      <w:r w:rsidRPr="00FE561C">
        <w:rPr>
          <w:rFonts w:ascii="GHEA Grapalat" w:hAnsi="GHEA Grapalat" w:cs="Calibri"/>
          <w:bCs/>
          <w:lang w:val="hy-AM"/>
        </w:rPr>
        <w:t>5</w:t>
      </w:r>
      <w:r w:rsidRPr="003A059B">
        <w:rPr>
          <w:rFonts w:ascii="GHEA Grapalat" w:hAnsi="GHEA Grapalat" w:cs="Calibri"/>
          <w:bCs/>
          <w:lang w:val="hy-AM"/>
        </w:rPr>
        <w:t xml:space="preserve"> մլրդ դրամ՝ </w:t>
      </w:r>
      <w:r w:rsidRPr="00FE561C">
        <w:rPr>
          <w:rFonts w:ascii="GHEA Grapalat" w:hAnsi="GHEA Grapalat" w:cs="Calibri"/>
          <w:bCs/>
          <w:lang w:val="hy-AM"/>
        </w:rPr>
        <w:t>28.7</w:t>
      </w:r>
      <w:r w:rsidRPr="003A059B">
        <w:rPr>
          <w:rFonts w:ascii="GHEA Grapalat" w:hAnsi="GHEA Grapalat" w:cs="Calibri"/>
          <w:bCs/>
          <w:lang w:val="hy-AM"/>
        </w:rPr>
        <w:t>%-ով (</w:t>
      </w:r>
      <w:r w:rsidRPr="00FE561C">
        <w:rPr>
          <w:rFonts w:ascii="GHEA Grapalat" w:hAnsi="GHEA Grapalat" w:cs="Calibri"/>
          <w:bCs/>
          <w:lang w:val="hy-AM"/>
        </w:rPr>
        <w:t>2.6</w:t>
      </w:r>
      <w:r w:rsidRPr="003A059B">
        <w:rPr>
          <w:rFonts w:ascii="GHEA Grapalat" w:hAnsi="GHEA Grapalat" w:cs="Calibri"/>
          <w:bCs/>
          <w:lang w:val="hy-AM"/>
        </w:rPr>
        <w:t xml:space="preserve"> մլ</w:t>
      </w:r>
      <w:r w:rsidRPr="00FE561C">
        <w:rPr>
          <w:rFonts w:ascii="GHEA Grapalat" w:hAnsi="GHEA Grapalat" w:cs="Calibri"/>
          <w:bCs/>
          <w:lang w:val="hy-AM"/>
        </w:rPr>
        <w:t>րդ</w:t>
      </w:r>
      <w:r w:rsidRPr="003A059B">
        <w:rPr>
          <w:rFonts w:ascii="GHEA Grapalat" w:hAnsi="GHEA Grapalat" w:cs="Calibri"/>
          <w:bCs/>
          <w:lang w:val="hy-AM"/>
        </w:rPr>
        <w:t xml:space="preserve"> դրամով) գերազանցելով ծրագրված ցուցանիշը և 1</w:t>
      </w:r>
      <w:r w:rsidRPr="00FE561C">
        <w:rPr>
          <w:rFonts w:ascii="GHEA Grapalat" w:hAnsi="GHEA Grapalat" w:cs="Calibri"/>
          <w:bCs/>
          <w:lang w:val="hy-AM"/>
        </w:rPr>
        <w:t>5</w:t>
      </w:r>
      <w:r w:rsidRPr="003A059B">
        <w:rPr>
          <w:rFonts w:ascii="GHEA Grapalat" w:hAnsi="GHEA Grapalat" w:cs="Calibri"/>
          <w:bCs/>
          <w:lang w:val="hy-AM"/>
        </w:rPr>
        <w:t>.</w:t>
      </w:r>
      <w:r w:rsidRPr="00FE561C">
        <w:rPr>
          <w:rFonts w:ascii="GHEA Grapalat" w:hAnsi="GHEA Grapalat" w:cs="Calibri"/>
          <w:bCs/>
          <w:lang w:val="hy-AM"/>
        </w:rPr>
        <w:t>9</w:t>
      </w:r>
      <w:r>
        <w:rPr>
          <w:rFonts w:ascii="GHEA Grapalat" w:hAnsi="GHEA Grapalat" w:cs="Calibri"/>
          <w:bCs/>
          <w:lang w:val="hy-AM"/>
        </w:rPr>
        <w:t>%</w:t>
      </w:r>
      <w:r>
        <w:rPr>
          <w:rFonts w:ascii="GHEA Grapalat" w:hAnsi="GHEA Grapalat" w:cs="Calibri"/>
          <w:bCs/>
          <w:lang w:val="hy-AM"/>
        </w:rPr>
        <w:noBreakHyphen/>
        <w:t>ով (1.</w:t>
      </w:r>
      <w:r w:rsidRPr="00FE561C">
        <w:rPr>
          <w:rFonts w:ascii="GHEA Grapalat" w:hAnsi="GHEA Grapalat" w:cs="Calibri"/>
          <w:bCs/>
          <w:lang w:val="hy-AM"/>
        </w:rPr>
        <w:t>6</w:t>
      </w:r>
      <w:r w:rsidRPr="003A059B">
        <w:rPr>
          <w:rFonts w:ascii="GHEA Grapalat" w:hAnsi="GHEA Grapalat" w:cs="Calibri"/>
          <w:bCs/>
          <w:lang w:val="hy-AM"/>
        </w:rPr>
        <w:t xml:space="preserve"> մլրդ դրամով)՝ նախորդ տարվա նույն ժամանակահատվածի ցուցանիշը: Մուտքերի բարձր ցուցանիշը մասամբ ապահովվել է նաև ՀՀ պետական եկամուտների կոմիտեի կողմից կիրառված պատժամիջոցներից գանձվող մուտքերի հաշվին, որոնք կազմել են </w:t>
      </w:r>
      <w:r w:rsidRPr="00FE561C">
        <w:rPr>
          <w:rFonts w:ascii="GHEA Grapalat" w:hAnsi="GHEA Grapalat" w:cs="Calibri"/>
          <w:bCs/>
          <w:lang w:val="hy-AM"/>
        </w:rPr>
        <w:t xml:space="preserve"> ավելի քան 1 </w:t>
      </w:r>
      <w:r>
        <w:rPr>
          <w:rFonts w:ascii="GHEA Grapalat" w:hAnsi="GHEA Grapalat" w:cs="Calibri"/>
          <w:bCs/>
          <w:lang w:val="hy-AM"/>
        </w:rPr>
        <w:t xml:space="preserve">մլրդ դրամ՝ </w:t>
      </w:r>
      <w:r w:rsidR="00B63717">
        <w:rPr>
          <w:rFonts w:ascii="GHEA Grapalat" w:hAnsi="GHEA Grapalat" w:cs="Calibri"/>
          <w:bCs/>
        </w:rPr>
        <w:t>85.6%-ով</w:t>
      </w:r>
      <w:r w:rsidRPr="003A059B">
        <w:rPr>
          <w:rFonts w:ascii="GHEA Grapalat" w:hAnsi="GHEA Grapalat" w:cs="Calibri"/>
          <w:bCs/>
          <w:lang w:val="hy-AM"/>
        </w:rPr>
        <w:t xml:space="preserve"> (</w:t>
      </w:r>
      <w:r w:rsidRPr="00FE561C">
        <w:rPr>
          <w:rFonts w:ascii="GHEA Grapalat" w:hAnsi="GHEA Grapalat" w:cs="Calibri"/>
          <w:bCs/>
          <w:lang w:val="hy-AM"/>
        </w:rPr>
        <w:t>480.7</w:t>
      </w:r>
      <w:r w:rsidRPr="003A059B">
        <w:rPr>
          <w:rFonts w:ascii="GHEA Grapalat" w:hAnsi="GHEA Grapalat" w:cs="Calibri"/>
          <w:bCs/>
          <w:lang w:val="hy-AM"/>
        </w:rPr>
        <w:t xml:space="preserve"> մլն դրամով) գերազ</w:t>
      </w:r>
      <w:r>
        <w:rPr>
          <w:rFonts w:ascii="GHEA Grapalat" w:hAnsi="GHEA Grapalat" w:cs="Calibri"/>
          <w:bCs/>
          <w:lang w:val="hy-AM"/>
        </w:rPr>
        <w:t xml:space="preserve">անցելով ծրագրված ցուցանիշը և </w:t>
      </w:r>
      <w:r w:rsidR="00B63717">
        <w:rPr>
          <w:rFonts w:ascii="GHEA Grapalat" w:hAnsi="GHEA Grapalat" w:cs="Calibri"/>
          <w:bCs/>
        </w:rPr>
        <w:t>84.2%-ով</w:t>
      </w:r>
      <w:r w:rsidRPr="003A059B">
        <w:rPr>
          <w:rFonts w:ascii="GHEA Grapalat" w:hAnsi="GHEA Grapalat" w:cs="Calibri"/>
          <w:bCs/>
          <w:lang w:val="hy-AM"/>
        </w:rPr>
        <w:t xml:space="preserve"> (4</w:t>
      </w:r>
      <w:r w:rsidRPr="00FE561C">
        <w:rPr>
          <w:rFonts w:ascii="GHEA Grapalat" w:hAnsi="GHEA Grapalat" w:cs="Calibri"/>
          <w:bCs/>
          <w:lang w:val="hy-AM"/>
        </w:rPr>
        <w:t>76.4</w:t>
      </w:r>
      <w:r w:rsidRPr="003A059B">
        <w:rPr>
          <w:rFonts w:ascii="GHEA Grapalat" w:hAnsi="GHEA Grapalat" w:cs="Calibri"/>
          <w:bCs/>
          <w:lang w:val="hy-AM"/>
        </w:rPr>
        <w:t xml:space="preserve"> մլն դրամո</w:t>
      </w:r>
      <w:r>
        <w:rPr>
          <w:rFonts w:ascii="GHEA Grapalat" w:hAnsi="GHEA Grapalat" w:cs="Calibri"/>
          <w:bCs/>
          <w:lang w:val="hy-AM"/>
        </w:rPr>
        <w:t>վ)՝ նախորդ տարվա հունվար-օգոստոսի</w:t>
      </w:r>
      <w:r w:rsidRPr="003A059B">
        <w:rPr>
          <w:rFonts w:ascii="GHEA Grapalat" w:hAnsi="GHEA Grapalat" w:cs="Calibri"/>
          <w:bCs/>
          <w:lang w:val="hy-AM"/>
        </w:rPr>
        <w:t xml:space="preserve"> ցուցանիշը:</w:t>
      </w:r>
      <w:r w:rsidRPr="00FE561C">
        <w:rPr>
          <w:rFonts w:ascii="GHEA Grapalat" w:hAnsi="GHEA Grapalat" w:cs="Calibri"/>
          <w:bCs/>
          <w:lang w:val="hy-AM"/>
        </w:rPr>
        <w:t xml:space="preserve"> </w:t>
      </w:r>
      <w:r w:rsidRPr="001E124E">
        <w:rPr>
          <w:rFonts w:ascii="GHEA Grapalat" w:hAnsi="GHEA Grapalat" w:cs="Calibri"/>
          <w:bCs/>
          <w:lang w:val="hy-AM"/>
        </w:rPr>
        <w:t xml:space="preserve">Մուտքերի բարձր մակարդակ է գրանցվել նաև ՀՀ արդարադատության նախարության կողմից կիրառված պատժամիջոցների դիմաց գանձված գումարների գծով, որոնք կազմել են </w:t>
      </w:r>
      <w:r w:rsidRPr="00FE561C">
        <w:rPr>
          <w:rFonts w:ascii="GHEA Grapalat" w:hAnsi="GHEA Grapalat" w:cs="Calibri"/>
          <w:bCs/>
          <w:lang w:val="hy-AM"/>
        </w:rPr>
        <w:t>342.3</w:t>
      </w:r>
      <w:r w:rsidRPr="001E124E">
        <w:rPr>
          <w:rFonts w:ascii="Calibri" w:hAnsi="Calibri" w:cs="Calibri"/>
          <w:bCs/>
          <w:lang w:val="hy-AM"/>
        </w:rPr>
        <w:t> </w:t>
      </w:r>
      <w:r w:rsidRPr="001E124E">
        <w:rPr>
          <w:rFonts w:ascii="GHEA Grapalat" w:hAnsi="GHEA Grapalat" w:cs="Calibri"/>
          <w:bCs/>
          <w:lang w:val="hy-AM"/>
        </w:rPr>
        <w:t>մլն դրամ՝ 1</w:t>
      </w:r>
      <w:r w:rsidRPr="00FE561C">
        <w:rPr>
          <w:rFonts w:ascii="GHEA Grapalat" w:hAnsi="GHEA Grapalat" w:cs="Calibri"/>
          <w:bCs/>
          <w:lang w:val="hy-AM"/>
        </w:rPr>
        <w:t>3</w:t>
      </w:r>
      <w:r w:rsidRPr="001E124E">
        <w:rPr>
          <w:rFonts w:ascii="GHEA Grapalat" w:hAnsi="GHEA Grapalat" w:cs="Calibri"/>
          <w:bCs/>
          <w:lang w:val="hy-AM"/>
        </w:rPr>
        <w:t>.</w:t>
      </w:r>
      <w:r w:rsidRPr="00FE561C">
        <w:rPr>
          <w:rFonts w:ascii="GHEA Grapalat" w:hAnsi="GHEA Grapalat" w:cs="Calibri"/>
          <w:bCs/>
          <w:lang w:val="hy-AM"/>
        </w:rPr>
        <w:t>5</w:t>
      </w:r>
      <w:r w:rsidRPr="001E124E">
        <w:rPr>
          <w:rFonts w:ascii="GHEA Grapalat" w:hAnsi="GHEA Grapalat" w:cs="Calibri"/>
          <w:bCs/>
          <w:lang w:val="hy-AM"/>
        </w:rPr>
        <w:t xml:space="preserve"> անգամ գերազանցելով ծրագրված ցուցանիշը և </w:t>
      </w:r>
      <w:r w:rsidRPr="00FE561C">
        <w:rPr>
          <w:rFonts w:ascii="GHEA Grapalat" w:hAnsi="GHEA Grapalat" w:cs="Calibri"/>
          <w:bCs/>
          <w:lang w:val="hy-AM"/>
        </w:rPr>
        <w:t>5.2</w:t>
      </w:r>
      <w:r w:rsidRPr="001E124E">
        <w:rPr>
          <w:rFonts w:ascii="GHEA Grapalat" w:hAnsi="GHEA Grapalat" w:cs="Calibri"/>
          <w:bCs/>
          <w:lang w:val="hy-AM"/>
        </w:rPr>
        <w:t xml:space="preserve"> անգամ՝ նախորդ տարվա փաստացի ցուցանիշը՝ պայմանավորված պրոբացիայի ծառայության կողմից գանձված </w:t>
      </w:r>
      <w:r w:rsidRPr="003A059B">
        <w:rPr>
          <w:rFonts w:ascii="GHEA Grapalat" w:hAnsi="GHEA Grapalat" w:cs="Calibri"/>
          <w:bCs/>
          <w:lang w:val="hy-AM"/>
        </w:rPr>
        <w:t>տուգանքներ</w:t>
      </w:r>
      <w:r w:rsidRPr="005A6015">
        <w:rPr>
          <w:rFonts w:ascii="GHEA Grapalat" w:hAnsi="GHEA Grapalat" w:cs="Calibri"/>
          <w:bCs/>
          <w:lang w:val="hy-AM"/>
        </w:rPr>
        <w:t>ի աճով</w:t>
      </w:r>
      <w:r w:rsidRPr="003A059B">
        <w:rPr>
          <w:rFonts w:ascii="GHEA Grapalat" w:hAnsi="GHEA Grapalat" w:cs="Calibri"/>
          <w:bCs/>
          <w:lang w:val="hy-AM"/>
        </w:rPr>
        <w:t>:</w:t>
      </w:r>
    </w:p>
    <w:p w:rsidR="00EE32D3" w:rsidRDefault="00EE32D3" w:rsidP="00EE32D3">
      <w:pPr>
        <w:spacing w:line="360" w:lineRule="auto"/>
        <w:jc w:val="both"/>
        <w:rPr>
          <w:rFonts w:ascii="GHEA Grapalat" w:hAnsi="GHEA Grapalat" w:cs="Calibri"/>
          <w:bCs/>
          <w:lang w:val="hy-AM"/>
        </w:rPr>
      </w:pPr>
      <w:r w:rsidRPr="003A059B">
        <w:rPr>
          <w:rFonts w:ascii="GHEA Grapalat" w:hAnsi="GHEA Grapalat" w:cs="GHEA Grapalat"/>
          <w:lang w:val="hy-AM"/>
        </w:rPr>
        <w:lastRenderedPageBreak/>
        <w:t>Այլ եկամուտներից շուրջ 1</w:t>
      </w:r>
      <w:r w:rsidRPr="00FE561C">
        <w:rPr>
          <w:rFonts w:ascii="GHEA Grapalat" w:hAnsi="GHEA Grapalat" w:cs="GHEA Grapalat"/>
          <w:lang w:val="hy-AM"/>
        </w:rPr>
        <w:t>5</w:t>
      </w:r>
      <w:r w:rsidRPr="003A059B">
        <w:rPr>
          <w:rFonts w:ascii="GHEA Grapalat" w:hAnsi="GHEA Grapalat" w:cs="GHEA Grapalat"/>
          <w:lang w:val="hy-AM"/>
        </w:rPr>
        <w:t xml:space="preserve"> մլրդ դրամը ստացվել է ապրանքների մատակարարումից </w:t>
      </w:r>
      <w:r>
        <w:rPr>
          <w:rFonts w:ascii="GHEA Grapalat" w:hAnsi="GHEA Grapalat" w:cs="GHEA Grapalat"/>
          <w:lang w:val="hy-AM"/>
        </w:rPr>
        <w:t>և ծառայությունների մատուցումից</w:t>
      </w:r>
      <w:r w:rsidRPr="00FE561C">
        <w:rPr>
          <w:rFonts w:ascii="GHEA Grapalat" w:hAnsi="GHEA Grapalat" w:cs="GHEA Grapalat"/>
          <w:lang w:val="hy-AM"/>
        </w:rPr>
        <w:t>,</w:t>
      </w:r>
      <w:r w:rsidRPr="00FE561C">
        <w:rPr>
          <w:rFonts w:ascii="GHEA Grapalat" w:hAnsi="GHEA Grapalat" w:cs="Calibri"/>
          <w:bCs/>
          <w:lang w:val="hy-AM"/>
        </w:rPr>
        <w:t xml:space="preserve"> </w:t>
      </w:r>
      <w:r w:rsidRPr="003A059B">
        <w:rPr>
          <w:rFonts w:ascii="GHEA Grapalat" w:hAnsi="GHEA Grapalat" w:cs="Calibri"/>
          <w:bCs/>
          <w:lang w:val="hy-AM"/>
        </w:rPr>
        <w:t>որոնք</w:t>
      </w:r>
      <w:r w:rsidRPr="00FE561C">
        <w:rPr>
          <w:rFonts w:ascii="GHEA Grapalat" w:hAnsi="GHEA Grapalat" w:cs="Calibri"/>
          <w:bCs/>
          <w:lang w:val="hy-AM"/>
        </w:rPr>
        <w:t xml:space="preserve"> 3.6%-ով</w:t>
      </w:r>
      <w:r w:rsidRPr="003A059B">
        <w:rPr>
          <w:rFonts w:ascii="GHEA Grapalat" w:hAnsi="GHEA Grapalat" w:cs="Calibri"/>
          <w:bCs/>
          <w:lang w:val="hy-AM"/>
        </w:rPr>
        <w:t xml:space="preserve"> (</w:t>
      </w:r>
      <w:r w:rsidRPr="00FE561C">
        <w:rPr>
          <w:rFonts w:ascii="GHEA Grapalat" w:hAnsi="GHEA Grapalat" w:cs="Calibri"/>
          <w:bCs/>
          <w:lang w:val="hy-AM"/>
        </w:rPr>
        <w:t>513.9</w:t>
      </w:r>
      <w:r w:rsidRPr="00FE561C">
        <w:rPr>
          <w:rFonts w:ascii="Calibri" w:hAnsi="Calibri" w:cs="Calibri"/>
          <w:bCs/>
          <w:lang w:val="hy-AM"/>
        </w:rPr>
        <w:t> </w:t>
      </w:r>
      <w:r w:rsidRPr="003A059B">
        <w:rPr>
          <w:rFonts w:ascii="GHEA Grapalat" w:hAnsi="GHEA Grapalat" w:cs="Calibri"/>
          <w:bCs/>
          <w:lang w:val="hy-AM"/>
        </w:rPr>
        <w:t>մլ</w:t>
      </w:r>
      <w:r w:rsidRPr="00FE561C">
        <w:rPr>
          <w:rFonts w:ascii="GHEA Grapalat" w:hAnsi="GHEA Grapalat" w:cs="Calibri"/>
          <w:bCs/>
          <w:lang w:val="hy-AM"/>
        </w:rPr>
        <w:t>ն</w:t>
      </w:r>
      <w:r w:rsidRPr="003A059B">
        <w:rPr>
          <w:rFonts w:ascii="GHEA Grapalat" w:hAnsi="GHEA Grapalat" w:cs="Calibri"/>
          <w:bCs/>
          <w:lang w:val="hy-AM"/>
        </w:rPr>
        <w:t xml:space="preserve"> դրամով) գերազանցել են </w:t>
      </w:r>
      <w:r w:rsidRPr="00FE561C">
        <w:rPr>
          <w:rFonts w:ascii="GHEA Grapalat" w:hAnsi="GHEA Grapalat" w:cs="GHEA Grapalat"/>
          <w:lang w:val="hy-AM"/>
        </w:rPr>
        <w:t>իննամ</w:t>
      </w:r>
      <w:r w:rsidRPr="003A059B">
        <w:rPr>
          <w:rFonts w:ascii="GHEA Grapalat" w:hAnsi="GHEA Grapalat" w:cs="GHEA Grapalat"/>
          <w:color w:val="000000"/>
          <w:lang w:val="hy-AM"/>
        </w:rPr>
        <w:t>ս</w:t>
      </w:r>
      <w:r w:rsidRPr="003A059B">
        <w:rPr>
          <w:rFonts w:ascii="GHEA Grapalat" w:hAnsi="GHEA Grapalat" w:cs="GHEA Grapalat"/>
          <w:lang w:val="hy-AM"/>
        </w:rPr>
        <w:t>յ</w:t>
      </w:r>
      <w:r w:rsidRPr="00FE561C">
        <w:rPr>
          <w:rFonts w:ascii="GHEA Grapalat" w:hAnsi="GHEA Grapalat" w:cs="GHEA Grapalat"/>
          <w:lang w:val="hy-AM"/>
        </w:rPr>
        <w:t>ա</w:t>
      </w:r>
      <w:r w:rsidRPr="003A059B">
        <w:rPr>
          <w:rFonts w:ascii="GHEA Grapalat" w:hAnsi="GHEA Grapalat" w:cs="Calibri"/>
          <w:bCs/>
          <w:lang w:val="hy-AM"/>
        </w:rPr>
        <w:t xml:space="preserve"> ծրագրային ցուցանիշը և 3</w:t>
      </w:r>
      <w:r w:rsidRPr="00FE561C">
        <w:rPr>
          <w:rFonts w:ascii="GHEA Grapalat" w:hAnsi="GHEA Grapalat" w:cs="Calibri"/>
          <w:bCs/>
          <w:lang w:val="hy-AM"/>
        </w:rPr>
        <w:t>.3</w:t>
      </w:r>
      <w:r w:rsidRPr="003A059B">
        <w:rPr>
          <w:rFonts w:ascii="GHEA Grapalat" w:hAnsi="GHEA Grapalat" w:cs="Calibri"/>
          <w:bCs/>
          <w:lang w:val="hy-AM"/>
        </w:rPr>
        <w:t>%-ով (</w:t>
      </w:r>
      <w:r w:rsidRPr="00FE561C">
        <w:rPr>
          <w:rFonts w:ascii="GHEA Grapalat" w:hAnsi="GHEA Grapalat" w:cs="Calibri"/>
          <w:bCs/>
          <w:lang w:val="hy-AM"/>
        </w:rPr>
        <w:t>475.4</w:t>
      </w:r>
      <w:r w:rsidRPr="003A059B">
        <w:rPr>
          <w:rFonts w:ascii="GHEA Grapalat" w:hAnsi="GHEA Grapalat" w:cs="Calibri"/>
          <w:bCs/>
          <w:lang w:val="hy-AM"/>
        </w:rPr>
        <w:t xml:space="preserve"> մ</w:t>
      </w:r>
      <w:r w:rsidRPr="00FE561C">
        <w:rPr>
          <w:rFonts w:ascii="GHEA Grapalat" w:hAnsi="GHEA Grapalat" w:cs="Calibri"/>
          <w:bCs/>
          <w:lang w:val="hy-AM"/>
        </w:rPr>
        <w:t>լն</w:t>
      </w:r>
      <w:r w:rsidRPr="003A059B">
        <w:rPr>
          <w:rFonts w:ascii="GHEA Grapalat" w:hAnsi="GHEA Grapalat" w:cs="Calibri"/>
          <w:bCs/>
          <w:lang w:val="hy-AM"/>
        </w:rPr>
        <w:t xml:space="preserve"> դրամով)՝ նախորդ տարվա նույն ժամանակահատվածի ցուցանիշը:</w:t>
      </w:r>
      <w:r w:rsidRPr="00AA28C3">
        <w:rPr>
          <w:rFonts w:ascii="GHEA Grapalat" w:hAnsi="GHEA Grapalat" w:cs="Calibri"/>
          <w:bCs/>
          <w:lang w:val="hy-AM"/>
        </w:rPr>
        <w:t xml:space="preserve"> </w:t>
      </w:r>
      <w:r w:rsidRPr="003A059B">
        <w:rPr>
          <w:rFonts w:ascii="GHEA Grapalat" w:hAnsi="GHEA Grapalat" w:cs="Calibri"/>
          <w:bCs/>
          <w:lang w:val="hy-AM"/>
        </w:rPr>
        <w:t>Ծրագրված ցուցանիշի գերազանցումը</w:t>
      </w:r>
      <w:r w:rsidRPr="00CD2257">
        <w:rPr>
          <w:rFonts w:ascii="GHEA Grapalat" w:hAnsi="GHEA Grapalat" w:cs="Calibri"/>
          <w:bCs/>
          <w:lang w:val="hy-AM"/>
        </w:rPr>
        <w:t xml:space="preserve"> հիմնականում</w:t>
      </w:r>
      <w:r w:rsidRPr="003A059B">
        <w:rPr>
          <w:rFonts w:ascii="GHEA Grapalat" w:hAnsi="GHEA Grapalat" w:cs="Calibri"/>
          <w:bCs/>
          <w:lang w:val="hy-AM"/>
        </w:rPr>
        <w:t xml:space="preserve"> պայմանավորված է</w:t>
      </w:r>
      <w:r w:rsidRPr="00B77C2F">
        <w:rPr>
          <w:rFonts w:ascii="GHEA Grapalat" w:hAnsi="GHEA Grapalat" w:cs="Calibri"/>
          <w:bCs/>
          <w:lang w:val="hy-AM"/>
        </w:rPr>
        <w:t xml:space="preserve"> ՀՀ</w:t>
      </w:r>
      <w:r w:rsidRPr="00D64BC6">
        <w:rPr>
          <w:rFonts w:ascii="GHEA Grapalat" w:hAnsi="GHEA Grapalat" w:cs="Calibri"/>
          <w:bCs/>
          <w:lang w:val="hy-AM"/>
        </w:rPr>
        <w:t xml:space="preserve"> </w:t>
      </w:r>
      <w:r w:rsidRPr="00B77C2F">
        <w:rPr>
          <w:rFonts w:ascii="GHEA Grapalat" w:hAnsi="GHEA Grapalat" w:cs="Calibri"/>
          <w:bCs/>
          <w:lang w:val="hy-AM"/>
        </w:rPr>
        <w:t xml:space="preserve">ոստիկանության և ՀՀ արդարադատության նախարարության կողմից ապահովված եկամուտների բարձր մակարդակով: Մասնավորապես՝ ՀՀ ոստիկանության կողմից մատուցված ծառայություններից ստացված մուտքերը կազմել </w:t>
      </w:r>
      <w:r w:rsidRPr="00506404">
        <w:rPr>
          <w:rFonts w:ascii="GHEA Grapalat" w:hAnsi="GHEA Grapalat" w:cs="Calibri"/>
          <w:bCs/>
          <w:lang w:val="hy-AM"/>
        </w:rPr>
        <w:t>են</w:t>
      </w:r>
      <w:r w:rsidRPr="002E536A">
        <w:rPr>
          <w:rFonts w:ascii="GHEA Grapalat" w:hAnsi="GHEA Grapalat" w:cs="Calibri"/>
          <w:bCs/>
          <w:lang w:val="hy-AM"/>
        </w:rPr>
        <w:t xml:space="preserve"> </w:t>
      </w:r>
      <w:r w:rsidRPr="00AA28C3">
        <w:rPr>
          <w:rFonts w:ascii="GHEA Grapalat" w:hAnsi="GHEA Grapalat" w:cs="Calibri"/>
          <w:bCs/>
          <w:lang w:val="hy-AM"/>
        </w:rPr>
        <w:t>ավելի քան</w:t>
      </w:r>
      <w:r w:rsidRPr="00506404">
        <w:rPr>
          <w:rFonts w:ascii="GHEA Grapalat" w:hAnsi="GHEA Grapalat" w:cs="Calibri"/>
          <w:bCs/>
          <w:lang w:val="hy-AM"/>
        </w:rPr>
        <w:t xml:space="preserve"> </w:t>
      </w:r>
      <w:r w:rsidRPr="00AA28C3">
        <w:rPr>
          <w:rFonts w:ascii="GHEA Grapalat" w:hAnsi="GHEA Grapalat" w:cs="Calibri"/>
          <w:bCs/>
          <w:lang w:val="hy-AM"/>
        </w:rPr>
        <w:t>7</w:t>
      </w:r>
      <w:r w:rsidRPr="00506404">
        <w:rPr>
          <w:rFonts w:ascii="GHEA Grapalat" w:hAnsi="GHEA Grapalat" w:cs="Calibri"/>
          <w:bCs/>
          <w:lang w:val="hy-AM"/>
        </w:rPr>
        <w:t xml:space="preserve"> մլրդ դրամ՝ </w:t>
      </w:r>
      <w:r w:rsidRPr="00AA28C3">
        <w:rPr>
          <w:rFonts w:ascii="GHEA Grapalat" w:hAnsi="GHEA Grapalat" w:cs="Calibri"/>
          <w:bCs/>
          <w:lang w:val="hy-AM"/>
        </w:rPr>
        <w:t>9.6</w:t>
      </w:r>
      <w:r w:rsidRPr="00506404">
        <w:rPr>
          <w:rFonts w:ascii="GHEA Grapalat" w:hAnsi="GHEA Grapalat" w:cs="Calibri"/>
          <w:bCs/>
          <w:lang w:val="hy-AM"/>
        </w:rPr>
        <w:t>%-ով (</w:t>
      </w:r>
      <w:r w:rsidRPr="00AA28C3">
        <w:rPr>
          <w:rFonts w:ascii="GHEA Grapalat" w:hAnsi="GHEA Grapalat" w:cs="Calibri"/>
          <w:bCs/>
          <w:lang w:val="hy-AM"/>
        </w:rPr>
        <w:t>615.8</w:t>
      </w:r>
      <w:r w:rsidRPr="00506404">
        <w:rPr>
          <w:rFonts w:ascii="GHEA Grapalat" w:hAnsi="GHEA Grapalat" w:cs="Calibri"/>
          <w:bCs/>
          <w:lang w:val="hy-AM"/>
        </w:rPr>
        <w:t xml:space="preserve"> մլ</w:t>
      </w:r>
      <w:r w:rsidRPr="00AA28C3">
        <w:rPr>
          <w:rFonts w:ascii="GHEA Grapalat" w:hAnsi="GHEA Grapalat" w:cs="Calibri"/>
          <w:bCs/>
          <w:lang w:val="hy-AM"/>
        </w:rPr>
        <w:t>ն</w:t>
      </w:r>
      <w:r w:rsidRPr="00506404">
        <w:rPr>
          <w:rFonts w:ascii="GHEA Grapalat" w:hAnsi="GHEA Grapalat" w:cs="Calibri"/>
          <w:bCs/>
          <w:lang w:val="hy-AM"/>
        </w:rPr>
        <w:t xml:space="preserve"> դրամով) գերազանցելով ծրագրված ցուցանիշը և </w:t>
      </w:r>
      <w:r w:rsidRPr="00AA28C3">
        <w:rPr>
          <w:rFonts w:ascii="GHEA Grapalat" w:hAnsi="GHEA Grapalat" w:cs="Calibri"/>
          <w:bCs/>
          <w:lang w:val="hy-AM"/>
        </w:rPr>
        <w:t>7.8</w:t>
      </w:r>
      <w:r w:rsidRPr="00506404">
        <w:rPr>
          <w:rFonts w:ascii="GHEA Grapalat" w:hAnsi="GHEA Grapalat" w:cs="Calibri"/>
          <w:bCs/>
          <w:lang w:val="hy-AM"/>
        </w:rPr>
        <w:t>%-ով (</w:t>
      </w:r>
      <w:r w:rsidRPr="00AA28C3">
        <w:rPr>
          <w:rFonts w:ascii="GHEA Grapalat" w:hAnsi="GHEA Grapalat" w:cs="Calibri"/>
          <w:bCs/>
          <w:lang w:val="hy-AM"/>
        </w:rPr>
        <w:t>508.2</w:t>
      </w:r>
      <w:r w:rsidRPr="00506404">
        <w:rPr>
          <w:rFonts w:ascii="GHEA Grapalat" w:hAnsi="GHEA Grapalat" w:cs="Calibri"/>
          <w:bCs/>
          <w:lang w:val="hy-AM"/>
        </w:rPr>
        <w:t xml:space="preserve"> մլն դրամով)՝</w:t>
      </w:r>
      <w:r>
        <w:rPr>
          <w:rFonts w:ascii="GHEA Grapalat" w:hAnsi="GHEA Grapalat" w:cs="Calibri"/>
          <w:bCs/>
          <w:lang w:val="hy-AM"/>
        </w:rPr>
        <w:t xml:space="preserve"> նախորդ տարվա</w:t>
      </w:r>
      <w:r w:rsidRPr="00083996">
        <w:rPr>
          <w:rFonts w:ascii="GHEA Grapalat" w:hAnsi="GHEA Grapalat" w:cs="Calibri"/>
          <w:bCs/>
          <w:lang w:val="hy-AM"/>
        </w:rPr>
        <w:t xml:space="preserve"> նույն ժամանակահատվածի</w:t>
      </w:r>
      <w:r>
        <w:rPr>
          <w:rFonts w:ascii="GHEA Grapalat" w:hAnsi="GHEA Grapalat" w:cs="Calibri"/>
          <w:bCs/>
          <w:lang w:val="hy-AM"/>
        </w:rPr>
        <w:t xml:space="preserve"> ցուցանիշը,</w:t>
      </w:r>
      <w:r w:rsidRPr="00B77C2F">
        <w:rPr>
          <w:rFonts w:ascii="GHEA Grapalat" w:hAnsi="GHEA Grapalat" w:cs="Calibri"/>
          <w:bCs/>
          <w:lang w:val="hy-AM"/>
        </w:rPr>
        <w:t xml:space="preserve"> </w:t>
      </w:r>
      <w:r>
        <w:rPr>
          <w:rFonts w:ascii="GHEA Grapalat" w:hAnsi="GHEA Grapalat" w:cs="Calibri"/>
          <w:bCs/>
          <w:lang w:val="hy-AM"/>
        </w:rPr>
        <w:t xml:space="preserve">իսկ </w:t>
      </w:r>
      <w:r w:rsidRPr="00B77C2F">
        <w:rPr>
          <w:rFonts w:ascii="GHEA Grapalat" w:hAnsi="GHEA Grapalat" w:cs="Calibri"/>
          <w:bCs/>
          <w:lang w:val="hy-AM"/>
        </w:rPr>
        <w:t xml:space="preserve">ՀՀ արդարադատության նախարարության կողմից ծառայությունների </w:t>
      </w:r>
      <w:r w:rsidRPr="00083996">
        <w:rPr>
          <w:rFonts w:ascii="GHEA Grapalat" w:hAnsi="GHEA Grapalat" w:cs="Calibri"/>
          <w:bCs/>
          <w:lang w:val="hy-AM"/>
        </w:rPr>
        <w:t>մատուցումից ստացված</w:t>
      </w:r>
      <w:r w:rsidRPr="00B77C2F">
        <w:rPr>
          <w:rFonts w:ascii="GHEA Grapalat" w:hAnsi="GHEA Grapalat" w:cs="Calibri"/>
          <w:bCs/>
          <w:lang w:val="hy-AM"/>
        </w:rPr>
        <w:t xml:space="preserve"> եկամուտները կազմել են </w:t>
      </w:r>
      <w:r w:rsidRPr="00AA28C3">
        <w:rPr>
          <w:rFonts w:ascii="GHEA Grapalat" w:hAnsi="GHEA Grapalat" w:cs="Calibri"/>
          <w:bCs/>
          <w:lang w:val="hy-AM"/>
        </w:rPr>
        <w:t>3.3</w:t>
      </w:r>
      <w:r w:rsidRPr="00B77C2F">
        <w:rPr>
          <w:rFonts w:ascii="GHEA Grapalat" w:hAnsi="GHEA Grapalat" w:cs="Calibri"/>
          <w:bCs/>
          <w:lang w:val="hy-AM"/>
        </w:rPr>
        <w:t xml:space="preserve"> մլրդ դրամ՝ </w:t>
      </w:r>
      <w:r w:rsidRPr="00AA28C3">
        <w:rPr>
          <w:rFonts w:ascii="GHEA Grapalat" w:hAnsi="GHEA Grapalat" w:cs="Calibri"/>
          <w:bCs/>
          <w:lang w:val="hy-AM"/>
        </w:rPr>
        <w:t>37.8</w:t>
      </w:r>
      <w:r w:rsidRPr="00B77C2F">
        <w:rPr>
          <w:rFonts w:ascii="GHEA Grapalat" w:hAnsi="GHEA Grapalat" w:cs="Calibri"/>
          <w:bCs/>
          <w:lang w:val="hy-AM"/>
        </w:rPr>
        <w:t>%</w:t>
      </w:r>
      <w:r w:rsidRPr="00B77C2F">
        <w:rPr>
          <w:rFonts w:ascii="GHEA Grapalat" w:hAnsi="GHEA Grapalat" w:cs="Calibri"/>
          <w:bCs/>
          <w:lang w:val="hy-AM"/>
        </w:rPr>
        <w:noBreakHyphen/>
        <w:t xml:space="preserve">ով </w:t>
      </w:r>
      <w:r w:rsidRPr="00506404">
        <w:rPr>
          <w:rFonts w:ascii="GHEA Grapalat" w:hAnsi="GHEA Grapalat" w:cs="Calibri"/>
          <w:bCs/>
          <w:lang w:val="hy-AM"/>
        </w:rPr>
        <w:t>(</w:t>
      </w:r>
      <w:r>
        <w:rPr>
          <w:rFonts w:ascii="GHEA Grapalat" w:hAnsi="GHEA Grapalat" w:cs="Calibri"/>
          <w:bCs/>
          <w:lang w:val="hy-AM"/>
        </w:rPr>
        <w:t>9</w:t>
      </w:r>
      <w:r w:rsidRPr="00AA28C3">
        <w:rPr>
          <w:rFonts w:ascii="GHEA Grapalat" w:hAnsi="GHEA Grapalat" w:cs="Calibri"/>
          <w:bCs/>
          <w:lang w:val="hy-AM"/>
        </w:rPr>
        <w:t>12.3</w:t>
      </w:r>
      <w:r w:rsidRPr="00506404">
        <w:rPr>
          <w:rFonts w:ascii="GHEA Grapalat" w:hAnsi="GHEA Grapalat" w:cs="Calibri"/>
          <w:bCs/>
          <w:lang w:val="hy-AM"/>
        </w:rPr>
        <w:t xml:space="preserve"> մլ</w:t>
      </w:r>
      <w:r w:rsidRPr="00B77C2F">
        <w:rPr>
          <w:rFonts w:ascii="GHEA Grapalat" w:hAnsi="GHEA Grapalat" w:cs="Calibri"/>
          <w:bCs/>
          <w:lang w:val="hy-AM"/>
        </w:rPr>
        <w:t>ն</w:t>
      </w:r>
      <w:r w:rsidRPr="00506404">
        <w:rPr>
          <w:rFonts w:ascii="GHEA Grapalat" w:hAnsi="GHEA Grapalat" w:cs="Calibri"/>
          <w:bCs/>
          <w:lang w:val="hy-AM"/>
        </w:rPr>
        <w:t xml:space="preserve"> դրամով) գերազանցելով ծրագրված ցուցանիշը և </w:t>
      </w:r>
      <w:r w:rsidRPr="00AA28C3">
        <w:rPr>
          <w:rFonts w:ascii="GHEA Grapalat" w:hAnsi="GHEA Grapalat" w:cs="Calibri"/>
          <w:bCs/>
          <w:lang w:val="hy-AM"/>
        </w:rPr>
        <w:t>18.3</w:t>
      </w:r>
      <w:r w:rsidRPr="00506404">
        <w:rPr>
          <w:rFonts w:ascii="GHEA Grapalat" w:hAnsi="GHEA Grapalat" w:cs="Calibri"/>
          <w:bCs/>
          <w:lang w:val="hy-AM"/>
        </w:rPr>
        <w:t>%-ով (</w:t>
      </w:r>
      <w:r w:rsidRPr="00AA28C3">
        <w:rPr>
          <w:rFonts w:ascii="GHEA Grapalat" w:hAnsi="GHEA Grapalat" w:cs="Calibri"/>
          <w:bCs/>
          <w:lang w:val="hy-AM"/>
        </w:rPr>
        <w:t>514.1</w:t>
      </w:r>
      <w:r w:rsidRPr="00506404">
        <w:rPr>
          <w:rFonts w:ascii="GHEA Grapalat" w:hAnsi="GHEA Grapalat" w:cs="Calibri"/>
          <w:bCs/>
          <w:lang w:val="hy-AM"/>
        </w:rPr>
        <w:t xml:space="preserve"> մլն դրամով)՝</w:t>
      </w:r>
      <w:r>
        <w:rPr>
          <w:rFonts w:ascii="GHEA Grapalat" w:hAnsi="GHEA Grapalat" w:cs="Calibri"/>
          <w:bCs/>
          <w:lang w:val="hy-AM"/>
        </w:rPr>
        <w:t xml:space="preserve"> նախորդ տարվա</w:t>
      </w:r>
      <w:r w:rsidRPr="00083996">
        <w:rPr>
          <w:rFonts w:ascii="GHEA Grapalat" w:hAnsi="GHEA Grapalat" w:cs="Calibri"/>
          <w:bCs/>
          <w:lang w:val="hy-AM"/>
        </w:rPr>
        <w:t xml:space="preserve"> նույն ժամանակահատվածի</w:t>
      </w:r>
      <w:r>
        <w:rPr>
          <w:rFonts w:ascii="GHEA Grapalat" w:hAnsi="GHEA Grapalat" w:cs="Calibri"/>
          <w:bCs/>
          <w:lang w:val="hy-AM"/>
        </w:rPr>
        <w:t xml:space="preserve"> ցուցանիշը</w:t>
      </w:r>
      <w:r w:rsidRPr="00B77C2F">
        <w:rPr>
          <w:rFonts w:ascii="GHEA Grapalat" w:hAnsi="GHEA Grapalat" w:cs="Calibri"/>
          <w:bCs/>
          <w:lang w:val="hy-AM"/>
        </w:rPr>
        <w:t>:</w:t>
      </w:r>
    </w:p>
    <w:p w:rsidR="00BA3E49" w:rsidRDefault="00BA3E49" w:rsidP="00EE32D3">
      <w:pPr>
        <w:spacing w:line="360" w:lineRule="auto"/>
        <w:jc w:val="both"/>
        <w:rPr>
          <w:rFonts w:ascii="GHEA Grapalat" w:hAnsi="GHEA Grapalat" w:cs="Calibri"/>
          <w:bCs/>
          <w:lang w:val="hy-AM"/>
        </w:rPr>
      </w:pPr>
    </w:p>
    <w:p w:rsidR="00460E07" w:rsidRDefault="00460E07" w:rsidP="00460E07">
      <w:pPr>
        <w:spacing w:before="240" w:line="480" w:lineRule="auto"/>
        <w:ind w:firstLine="567"/>
        <w:jc w:val="both"/>
        <w:rPr>
          <w:rFonts w:ascii="GHEA Grapalat" w:hAnsi="GHEA Grapalat" w:cs="GHEA Grapalat"/>
          <w:b/>
          <w:i/>
          <w:u w:val="single"/>
          <w:lang w:val="hy-AM"/>
        </w:rPr>
      </w:pPr>
      <w:r>
        <w:rPr>
          <w:rFonts w:ascii="GHEA Grapalat" w:hAnsi="GHEA Grapalat" w:cs="GHEA Grapalat"/>
          <w:b/>
          <w:i/>
          <w:u w:val="single"/>
        </w:rPr>
        <w:t>Պ</w:t>
      </w:r>
      <w:r>
        <w:rPr>
          <w:rFonts w:ascii="GHEA Grapalat" w:hAnsi="GHEA Grapalat" w:cs="GHEA Grapalat"/>
          <w:b/>
          <w:i/>
          <w:u w:val="single"/>
          <w:lang w:val="hy-AM"/>
        </w:rPr>
        <w:t xml:space="preserve">ետական </w:t>
      </w:r>
      <w:r>
        <w:rPr>
          <w:rFonts w:ascii="GHEA Grapalat" w:hAnsi="GHEA Grapalat" w:cs="GHEA Grapalat"/>
          <w:b/>
          <w:i/>
          <w:color w:val="000000"/>
          <w:u w:val="single"/>
          <w:lang w:val="hy-AM"/>
        </w:rPr>
        <w:t>բյուջեի</w:t>
      </w:r>
      <w:r>
        <w:rPr>
          <w:rFonts w:ascii="GHEA Grapalat" w:hAnsi="GHEA Grapalat" w:cs="GHEA Grapalat"/>
          <w:b/>
          <w:i/>
          <w:u w:val="single"/>
          <w:lang w:val="hy-AM"/>
        </w:rPr>
        <w:t xml:space="preserve"> ծախսերը</w:t>
      </w:r>
    </w:p>
    <w:p w:rsidR="00460E07" w:rsidRPr="00C00260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>
        <w:rPr>
          <w:rFonts w:ascii="GHEA Grapalat" w:hAnsi="GHEA Grapalat" w:cs="GHEA Grapalat"/>
          <w:color w:val="000000"/>
          <w:lang w:val="hy-AM"/>
        </w:rPr>
        <w:t>202</w:t>
      </w:r>
      <w:r w:rsidRPr="00505881">
        <w:rPr>
          <w:rFonts w:ascii="GHEA Grapalat" w:hAnsi="GHEA Grapalat" w:cs="GHEA Grapalat"/>
          <w:color w:val="000000"/>
          <w:lang w:val="hy-AM"/>
        </w:rPr>
        <w:t>3</w:t>
      </w:r>
      <w:r>
        <w:rPr>
          <w:rFonts w:ascii="GHEA Grapalat" w:hAnsi="GHEA Grapalat" w:cs="GHEA Grapalat"/>
          <w:color w:val="000000"/>
          <w:lang w:val="hy-AM"/>
        </w:rPr>
        <w:t xml:space="preserve"> թվականի </w:t>
      </w:r>
      <w:r>
        <w:rPr>
          <w:rFonts w:ascii="GHEA Grapalat" w:hAnsi="GHEA Grapalat" w:cs="GHEA Grapalat"/>
          <w:color w:val="000000"/>
        </w:rPr>
        <w:t>հունվար-օգոստոս ամիսներին</w:t>
      </w:r>
      <w:r>
        <w:rPr>
          <w:rFonts w:ascii="GHEA Grapalat" w:hAnsi="GHEA Grapalat" w:cs="GHEA Grapalat"/>
          <w:color w:val="000000"/>
          <w:lang w:val="hy-AM"/>
        </w:rPr>
        <w:t xml:space="preserve"> ՀՀ պետական բյուջեի ծախսերը նախորդ տարվա նույն ժամանակահատվածի համեմատ աճել են </w:t>
      </w:r>
      <w:r w:rsidRPr="00505881">
        <w:rPr>
          <w:rFonts w:ascii="GHEA Grapalat" w:hAnsi="GHEA Grapalat" w:cs="GHEA Grapalat"/>
          <w:color w:val="000000"/>
          <w:lang w:val="hy-AM"/>
        </w:rPr>
        <w:t>1</w:t>
      </w:r>
      <w:r>
        <w:rPr>
          <w:rFonts w:ascii="GHEA Grapalat" w:hAnsi="GHEA Grapalat" w:cs="GHEA Grapalat"/>
          <w:color w:val="000000"/>
        </w:rPr>
        <w:t>3.7</w:t>
      </w:r>
      <w:r>
        <w:rPr>
          <w:rFonts w:ascii="GHEA Grapalat" w:hAnsi="GHEA Grapalat" w:cs="GHEA Grapalat"/>
          <w:color w:val="000000"/>
          <w:lang w:val="hy-AM"/>
        </w:rPr>
        <w:t xml:space="preserve">%-ով կամ </w:t>
      </w:r>
      <w:r w:rsidRPr="00505881">
        <w:rPr>
          <w:rFonts w:ascii="GHEA Grapalat" w:hAnsi="GHEA Grapalat" w:cs="GHEA Grapalat"/>
          <w:color w:val="000000"/>
          <w:lang w:val="hy-AM"/>
        </w:rPr>
        <w:t>1</w:t>
      </w:r>
      <w:r>
        <w:rPr>
          <w:rFonts w:ascii="GHEA Grapalat" w:hAnsi="GHEA Grapalat" w:cs="GHEA Grapalat"/>
          <w:color w:val="000000"/>
        </w:rPr>
        <w:t>72.5</w:t>
      </w:r>
      <w:r>
        <w:rPr>
          <w:rFonts w:ascii="GHEA Grapalat" w:hAnsi="GHEA Grapalat" w:cs="GHEA Grapalat"/>
          <w:color w:val="000000"/>
          <w:lang w:val="hy-AM"/>
        </w:rPr>
        <w:t xml:space="preserve"> մլրդ դրամով՝ հիմնականում պայմանավորված</w:t>
      </w:r>
      <w:r w:rsidRPr="00505881">
        <w:rPr>
          <w:rFonts w:ascii="GHEA Grapalat" w:hAnsi="GHEA Grapalat" w:cs="GHEA Grapalat"/>
          <w:color w:val="000000"/>
          <w:lang w:val="hy-AM"/>
        </w:rPr>
        <w:t xml:space="preserve"> </w:t>
      </w:r>
      <w:r w:rsidRPr="00296B17">
        <w:rPr>
          <w:rFonts w:ascii="GHEA Grapalat" w:hAnsi="GHEA Grapalat" w:cs="GHEA Grapalat"/>
          <w:color w:val="000000"/>
          <w:lang w:val="hy-AM"/>
        </w:rPr>
        <w:t xml:space="preserve">սոցիալական </w:t>
      </w:r>
      <w:r w:rsidRPr="003707A7">
        <w:rPr>
          <w:rFonts w:ascii="GHEA Grapalat" w:hAnsi="GHEA Grapalat" w:cs="GHEA Grapalat"/>
          <w:color w:val="000000"/>
          <w:lang w:val="hy-AM"/>
        </w:rPr>
        <w:t>նպաստների և կենսաթոշակների,</w:t>
      </w:r>
      <w:r w:rsidRPr="003707A7">
        <w:rPr>
          <w:rFonts w:ascii="GHEA Grapalat" w:hAnsi="GHEA Grapalat" w:cs="GHEA Grapalat"/>
          <w:color w:val="000000"/>
        </w:rPr>
        <w:t xml:space="preserve"> ոչ ֆինանսական ակտիվների գծով (</w:t>
      </w:r>
      <w:r w:rsidRPr="003707A7">
        <w:rPr>
          <w:rFonts w:ascii="GHEA Grapalat" w:hAnsi="GHEA Grapalat" w:cs="GHEA Grapalat"/>
          <w:color w:val="000000"/>
          <w:lang w:val="hy-AM"/>
        </w:rPr>
        <w:t>կապիտալ</w:t>
      </w:r>
      <w:r w:rsidRPr="003707A7">
        <w:rPr>
          <w:rFonts w:ascii="GHEA Grapalat" w:hAnsi="GHEA Grapalat" w:cs="GHEA Grapalat"/>
          <w:color w:val="000000"/>
        </w:rPr>
        <w:t>)</w:t>
      </w:r>
      <w:r w:rsidRPr="003707A7">
        <w:rPr>
          <w:rFonts w:ascii="GHEA Grapalat" w:hAnsi="GHEA Grapalat" w:cs="GHEA Grapalat"/>
          <w:color w:val="000000"/>
          <w:lang w:val="hy-AM"/>
        </w:rPr>
        <w:t xml:space="preserve"> ծախսերի</w:t>
      </w:r>
      <w:r w:rsidRPr="003707A7">
        <w:rPr>
          <w:rFonts w:ascii="GHEA Grapalat" w:hAnsi="GHEA Grapalat" w:cs="GHEA Grapalat"/>
          <w:color w:val="000000"/>
        </w:rPr>
        <w:t>,</w:t>
      </w:r>
      <w:r w:rsidRPr="003707A7">
        <w:rPr>
          <w:rFonts w:ascii="GHEA Grapalat" w:hAnsi="GHEA Grapalat" w:cs="GHEA Grapalat"/>
          <w:color w:val="000000"/>
          <w:lang w:val="hy-AM"/>
        </w:rPr>
        <w:t xml:space="preserve"> դրամաշնորհների ինչպես նաև տոկոսավճարների  աճով:</w:t>
      </w:r>
    </w:p>
    <w:p w:rsidR="00460E07" w:rsidRPr="00505881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460E07" w:rsidRPr="00505881" w:rsidRDefault="00460E07" w:rsidP="00670D07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505881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ծախսերը (մլրդ դրամ)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842"/>
        <w:gridCol w:w="1732"/>
      </w:tblGrid>
      <w:tr w:rsidR="00460E07" w:rsidTr="00DF31EE">
        <w:trPr>
          <w:trHeight w:val="8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07" w:rsidRDefault="00460E07" w:rsidP="00DF31EE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2022թ.  հունվար</w:t>
            </w:r>
            <w:r w:rsidR="00DF31EE">
              <w:rPr>
                <w:rFonts w:ascii="GHEA Grapalat" w:hAnsi="GHEA Grapalat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ամիսների փաստ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0423C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43109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 w:rsidRPr="000423C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78625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ինն </w:t>
            </w:r>
            <w:r w:rsidR="003458A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</w:t>
            </w:r>
            <w:r w:rsidRPr="000423C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ճշտված պլան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 օգոստոս ամիսների փաստ</w:t>
            </w:r>
          </w:p>
        </w:tc>
      </w:tr>
      <w:tr w:rsidR="00460E07" w:rsidTr="00DF31EE">
        <w:trPr>
          <w:trHeight w:val="3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 ծախսեր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EC3635" w:rsidP="00574CC6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</w:t>
            </w:r>
            <w:r w:rsidR="00460E07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258.2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1,926.5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1,430.6</w:t>
            </w:r>
          </w:p>
        </w:tc>
      </w:tr>
      <w:tr w:rsidR="00460E07" w:rsidTr="00DF31EE">
        <w:trPr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E07" w:rsidRDefault="00460E07" w:rsidP="00574CC6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1,111.6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1,535.7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1,241.3</w:t>
            </w:r>
          </w:p>
        </w:tc>
      </w:tr>
      <w:tr w:rsidR="00460E07" w:rsidTr="00DF31EE">
        <w:trPr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E07" w:rsidRDefault="00460E07" w:rsidP="00574CC6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146.6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390.8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189.3</w:t>
            </w:r>
          </w:p>
        </w:tc>
      </w:tr>
      <w:tr w:rsidR="00460E07" w:rsidTr="00DF31E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E07" w:rsidRDefault="00460E07" w:rsidP="00574CC6">
            <w:pPr>
              <w:ind w:firstLineChars="100" w:firstLine="200"/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0E07" w:rsidTr="00DF31EE">
        <w:trPr>
          <w:trHeight w:val="3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Կշիռն ընդամենը ծախսերի մեջ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0E07" w:rsidTr="00DF31EE">
        <w:trPr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E07" w:rsidRDefault="00460E07" w:rsidP="00574CC6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E517BD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E517BD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  <w:r w:rsidR="00670D07">
              <w:rPr>
                <w:rFonts w:ascii="GHEA Grapalat" w:hAnsi="GHEA Grapalat" w:cs="Calibr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0D66B0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D66B0">
              <w:rPr>
                <w:rFonts w:ascii="GHEA Grapalat" w:hAnsi="GHEA Grapalat" w:cs="Calibri"/>
                <w:color w:val="000000"/>
                <w:sz w:val="20"/>
                <w:szCs w:val="20"/>
              </w:rPr>
              <w:t>79.7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0D66B0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D66B0">
              <w:rPr>
                <w:rFonts w:ascii="GHEA Grapalat" w:hAnsi="GHEA Grapalat" w:cs="Calibri"/>
                <w:color w:val="000000"/>
                <w:sz w:val="20"/>
                <w:szCs w:val="20"/>
              </w:rPr>
              <w:t>86.8</w:t>
            </w:r>
          </w:p>
        </w:tc>
      </w:tr>
      <w:tr w:rsidR="00460E07" w:rsidTr="00DF31EE">
        <w:trPr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E07" w:rsidRDefault="00460E07" w:rsidP="00574CC6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Ոչ ֆինանսական ակտիվների հետ գործառնություններ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E517BD" w:rsidRDefault="00670D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0D66B0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D66B0">
              <w:rPr>
                <w:rFonts w:ascii="GHEA Grapalat" w:hAnsi="GHEA Grapalat" w:cs="Calibri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0D66B0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D66B0">
              <w:rPr>
                <w:rFonts w:ascii="GHEA Grapalat" w:hAnsi="GHEA Grapalat" w:cs="Calibri"/>
                <w:color w:val="000000"/>
                <w:sz w:val="20"/>
                <w:szCs w:val="20"/>
              </w:rPr>
              <w:t>13.2</w:t>
            </w:r>
          </w:p>
        </w:tc>
      </w:tr>
    </w:tbl>
    <w:p w:rsidR="00460E07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u w:val="single"/>
          <w:lang w:val="hy-AM"/>
        </w:rPr>
      </w:pPr>
    </w:p>
    <w:p w:rsidR="00460E07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 xml:space="preserve">Ընթացիկ ծախսերի բաղադրիչների վերաբերյալ տվյալները ներկայացված են Աղյուսակ </w:t>
      </w:r>
      <w:r w:rsidR="00DF31EE">
        <w:rPr>
          <w:rFonts w:ascii="GHEA Grapalat" w:hAnsi="GHEA Grapalat" w:cs="GHEA Grapalat"/>
          <w:color w:val="000000"/>
        </w:rPr>
        <w:t>11</w:t>
      </w:r>
      <w:r w:rsidR="00670D07">
        <w:rPr>
          <w:rFonts w:ascii="GHEA Grapalat" w:hAnsi="GHEA Grapalat" w:cs="GHEA Grapalat"/>
          <w:color w:val="000000"/>
          <w:lang w:val="hy-AM"/>
        </w:rPr>
        <w:t>-ում:</w:t>
      </w:r>
    </w:p>
    <w:p w:rsidR="00460E07" w:rsidRPr="00505881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460E07" w:rsidRPr="00F847F1" w:rsidRDefault="00460E07" w:rsidP="00670D07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F847F1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ընթացիկ ծախսերը (մլրդ դրամ)</w:t>
      </w:r>
    </w:p>
    <w:tbl>
      <w:tblPr>
        <w:tblStyle w:val="TableGrid"/>
        <w:tblW w:w="10395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1418"/>
        <w:gridCol w:w="1559"/>
        <w:gridCol w:w="1640"/>
      </w:tblGrid>
      <w:tr w:rsidR="00460E07" w:rsidTr="003458A9">
        <w:trPr>
          <w:trHeight w:val="1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2022թ.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ինն ամ</w:t>
            </w:r>
            <w:r w:rsidRPr="00662E24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իսների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2023թ.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ինն ամ</w:t>
            </w:r>
            <w:r w:rsidRPr="00662E24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իսների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ճշտված պլանի 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նկատմամբ (%)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օգոստոս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օգոստոս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 (%)</w:t>
            </w: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ind w:firstLineChars="100" w:firstLine="20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Ընթացիկ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1,111.6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1,535.7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1,241.3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80.8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111.7</w:t>
            </w: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Աշխատավարձ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8F307A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8F307A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83.2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110.3</w:t>
            </w:r>
          </w:p>
        </w:tc>
      </w:tr>
      <w:tr w:rsidR="00460E07" w:rsidTr="003458A9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ձեռքբերում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F847F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109.</w:t>
            </w:r>
            <w:r w:rsidR="00F847F1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106.1</w:t>
            </w: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110.8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172.6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78.9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122.9</w:t>
            </w: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991EA3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99</w:t>
            </w:r>
            <w:r w:rsidRPr="00991EA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991EA3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91EA3">
              <w:rPr>
                <w:rFonts w:ascii="GHEA Grapalat" w:hAnsi="GHEA Grapalat" w:cs="Calibri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991EA3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991EA3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95.7</w:t>
            </w: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136.8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165.7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77.7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121.2</w:t>
            </w: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394.5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518.5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453.1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114.8</w:t>
            </w: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151.3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CF586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  <w:r w:rsidR="00CF586F"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102.0</w:t>
            </w: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ind w:firstLineChars="100" w:firstLine="20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ընթացիկ ծախսերում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Աշխատավարձ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 բերում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60E07" w:rsidTr="003458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070AE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070AE">
              <w:rPr>
                <w:rFonts w:ascii="GHEA Grapalat" w:hAnsi="GHEA Grapalat" w:cs="Calibr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p w:rsidR="00460E07" w:rsidRDefault="00460E07" w:rsidP="00460E07">
      <w:pPr>
        <w:ind w:firstLine="567"/>
        <w:jc w:val="both"/>
        <w:rPr>
          <w:rFonts w:ascii="GHEA Grapalat" w:hAnsi="GHEA Grapalat" w:cs="GHEA Grapalat"/>
          <w:color w:val="000000"/>
        </w:rPr>
      </w:pPr>
    </w:p>
    <w:p w:rsidR="00460E07" w:rsidRPr="00306C3C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202</w:t>
      </w:r>
      <w:r>
        <w:rPr>
          <w:rFonts w:ascii="GHEA Grapalat" w:hAnsi="GHEA Grapalat" w:cs="GHEA Grapalat"/>
          <w:color w:val="000000"/>
        </w:rPr>
        <w:t>2</w:t>
      </w:r>
      <w:r>
        <w:rPr>
          <w:rFonts w:ascii="GHEA Grapalat" w:hAnsi="GHEA Grapalat" w:cs="GHEA Grapalat"/>
          <w:color w:val="000000"/>
          <w:lang w:val="hy-AM"/>
        </w:rPr>
        <w:t xml:space="preserve"> թվականի</w:t>
      </w:r>
      <w:r w:rsidRPr="00D313F5">
        <w:rPr>
          <w:rFonts w:ascii="GHEA Grapalat" w:hAnsi="GHEA Grapalat" w:cs="GHEA Grapalat"/>
          <w:color w:val="000000"/>
        </w:rPr>
        <w:t xml:space="preserve"> </w:t>
      </w:r>
      <w:r>
        <w:rPr>
          <w:rFonts w:ascii="GHEA Grapalat" w:hAnsi="GHEA Grapalat" w:cs="GHEA Grapalat"/>
          <w:color w:val="000000"/>
        </w:rPr>
        <w:t>հունվար-օգոստոս ամիսների</w:t>
      </w:r>
      <w:r>
        <w:rPr>
          <w:rFonts w:ascii="GHEA Grapalat" w:hAnsi="GHEA Grapalat" w:cs="GHEA Grapalat"/>
          <w:color w:val="000000"/>
          <w:lang w:val="hy-AM"/>
        </w:rPr>
        <w:t xml:space="preserve"> համեմատ պարտքի սպասարկման ծախսեր</w:t>
      </w:r>
      <w:r>
        <w:rPr>
          <w:rFonts w:ascii="GHEA Grapalat" w:hAnsi="GHEA Grapalat" w:cs="GHEA Grapalat"/>
          <w:color w:val="000000"/>
        </w:rPr>
        <w:t xml:space="preserve">ն աճել են 22.9%-ով կամ 25.3 մլրդ </w:t>
      </w:r>
      <w:r>
        <w:rPr>
          <w:rFonts w:ascii="GHEA Grapalat" w:hAnsi="GHEA Grapalat" w:cs="GHEA Grapalat"/>
          <w:color w:val="000000"/>
          <w:lang w:val="hy-AM"/>
        </w:rPr>
        <w:t>դրամով՝ պայմանավորված</w:t>
      </w:r>
      <w:r>
        <w:rPr>
          <w:rFonts w:ascii="GHEA Grapalat" w:hAnsi="GHEA Grapalat" w:cs="GHEA Grapalat"/>
          <w:color w:val="000000"/>
        </w:rPr>
        <w:t xml:space="preserve"> և</w:t>
      </w:r>
      <w:r>
        <w:rPr>
          <w:rFonts w:ascii="GHEA Grapalat" w:hAnsi="GHEA Grapalat" w:cs="GHEA Grapalat"/>
          <w:color w:val="000000"/>
          <w:lang w:val="hy-AM"/>
        </w:rPr>
        <w:t xml:space="preserve">՛ </w:t>
      </w:r>
      <w:r>
        <w:rPr>
          <w:rFonts w:ascii="GHEA Grapalat" w:hAnsi="GHEA Grapalat" w:cs="GHEA Grapalat"/>
          <w:color w:val="000000"/>
        </w:rPr>
        <w:t>ներքին, և</w:t>
      </w:r>
      <w:r>
        <w:rPr>
          <w:rFonts w:ascii="GHEA Grapalat" w:hAnsi="GHEA Grapalat" w:cs="GHEA Grapalat"/>
          <w:color w:val="000000"/>
          <w:lang w:val="hy-AM"/>
        </w:rPr>
        <w:t>՛</w:t>
      </w:r>
      <w:r>
        <w:rPr>
          <w:rFonts w:ascii="GHEA Grapalat" w:hAnsi="GHEA Grapalat" w:cs="GHEA Grapalat"/>
          <w:color w:val="000000"/>
        </w:rPr>
        <w:t xml:space="preserve"> արտաքին տոկոսավճարների աճով: </w:t>
      </w:r>
      <w:r w:rsidRPr="00306C3C">
        <w:rPr>
          <w:rFonts w:ascii="GHEA Grapalat" w:hAnsi="GHEA Grapalat" w:cs="GHEA Grapalat"/>
          <w:color w:val="000000"/>
          <w:lang w:val="hy-AM"/>
        </w:rPr>
        <w:t>Ներքին տոկոսավճարների աճը պայմանավորված է եղել շրջանառության մեջ գտնվող գանձապետական պարտատոմսերի ծավալների և տոկոսադրույքների աճով, իսկ արտաքին վարկերի գծով տոկոսավճարների աճը՝</w:t>
      </w:r>
      <w:r>
        <w:rPr>
          <w:rFonts w:ascii="GHEA Grapalat" w:hAnsi="GHEA Grapalat" w:cs="GHEA Grapalat"/>
          <w:color w:val="000000"/>
          <w:lang w:val="hy-AM"/>
        </w:rPr>
        <w:t xml:space="preserve"> լողացող տոկոսադրույքների աճով:</w:t>
      </w:r>
    </w:p>
    <w:p w:rsidR="00460E07" w:rsidRPr="00C00260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460E07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460E07" w:rsidRDefault="00460E07" w:rsidP="00670D07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Կառավարության պարտքի սպասարկման ծախսերը (մլրդ դրամ)</w:t>
      </w: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417"/>
        <w:gridCol w:w="1314"/>
        <w:gridCol w:w="1418"/>
        <w:gridCol w:w="1417"/>
        <w:gridCol w:w="1559"/>
      </w:tblGrid>
      <w:tr w:rsidR="00460E07" w:rsidTr="00574CC6">
        <w:trPr>
          <w:trHeight w:val="14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2022թ.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ինն ամ</w:t>
            </w:r>
            <w:r w:rsidRPr="00662E24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իսների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2023թ.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ինն ամ</w:t>
            </w:r>
            <w:r w:rsidRPr="00662E24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իսների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ճշտված պլանի 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նկատմամբ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օգոստոս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օգոստոս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 (%)</w:t>
            </w:r>
          </w:p>
        </w:tc>
      </w:tr>
      <w:tr w:rsidR="00460E07" w:rsidTr="00574CC6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Տոկոսավճարներ,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այդ թվում՝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AC01A5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AC01A5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110.8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AC01A5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AC01A5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172.6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AC01A5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AC01A5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136.1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AC01A5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AC01A5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78.9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AC01A5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AC01A5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122.9</w:t>
            </w:r>
          </w:p>
        </w:tc>
      </w:tr>
      <w:tr w:rsidR="00460E07" w:rsidTr="00574CC6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Ներքին տոկոսավճարներ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64.0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77.4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120.9</w:t>
            </w:r>
          </w:p>
        </w:tc>
      </w:tr>
      <w:tr w:rsidR="00460E07" w:rsidTr="00574CC6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Արտաքին տոկոսավճարներ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46.7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83.4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58.7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125.6</w:t>
            </w:r>
          </w:p>
        </w:tc>
      </w:tr>
    </w:tbl>
    <w:p w:rsidR="00460E07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460E07" w:rsidRPr="00505881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A51B2F">
        <w:rPr>
          <w:rFonts w:ascii="GHEA Grapalat" w:hAnsi="GHEA Grapalat" w:cs="GHEA Grapalat"/>
          <w:color w:val="000000"/>
          <w:lang w:val="hy-AM"/>
        </w:rPr>
        <w:t>Նախորդ տարվա</w:t>
      </w:r>
      <w:r w:rsidRPr="00505881">
        <w:rPr>
          <w:rFonts w:ascii="GHEA Grapalat" w:hAnsi="GHEA Grapalat" w:cs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</w:rPr>
        <w:t>նույն ժամանակահատված</w:t>
      </w:r>
      <w:r w:rsidRPr="00505881">
        <w:rPr>
          <w:rFonts w:ascii="GHEA Grapalat" w:hAnsi="GHEA Grapalat" w:cs="GHEA Grapalat"/>
          <w:color w:val="000000"/>
          <w:lang w:val="hy-AM"/>
        </w:rPr>
        <w:t>ի</w:t>
      </w:r>
      <w:r w:rsidRPr="00A51B2F">
        <w:rPr>
          <w:rFonts w:ascii="GHEA Grapalat" w:hAnsi="GHEA Grapalat" w:cs="GHEA Grapalat"/>
          <w:color w:val="000000"/>
          <w:lang w:val="hy-AM"/>
        </w:rPr>
        <w:t xml:space="preserve"> </w:t>
      </w:r>
      <w:r w:rsidRPr="00505881">
        <w:rPr>
          <w:rFonts w:ascii="GHEA Grapalat" w:hAnsi="GHEA Grapalat" w:cs="GHEA Grapalat"/>
          <w:color w:val="000000"/>
          <w:lang w:val="hy-AM"/>
        </w:rPr>
        <w:t>համեմատ</w:t>
      </w:r>
      <w:r>
        <w:rPr>
          <w:rFonts w:ascii="GHEA Grapalat" w:hAnsi="GHEA Grapalat" w:cs="GHEA Grapalat"/>
          <w:color w:val="000000"/>
          <w:lang w:val="hy-AM"/>
        </w:rPr>
        <w:t xml:space="preserve"> պետական բյուջեից տրամադրված դրամաշնորհների աճը հիմնականում </w:t>
      </w:r>
      <w:r w:rsidRPr="00505881">
        <w:rPr>
          <w:rFonts w:ascii="GHEA Grapalat" w:hAnsi="GHEA Grapalat" w:cs="GHEA Grapalat"/>
          <w:color w:val="000000"/>
          <w:lang w:val="hy-AM"/>
        </w:rPr>
        <w:t>պայմանավորված է 2023 թվականի հունվար-</w:t>
      </w:r>
      <w:r>
        <w:rPr>
          <w:rFonts w:ascii="GHEA Grapalat" w:hAnsi="GHEA Grapalat" w:cs="GHEA Grapalat"/>
          <w:color w:val="000000"/>
        </w:rPr>
        <w:t>օգոստոս</w:t>
      </w:r>
      <w:r w:rsidRPr="00505881">
        <w:rPr>
          <w:rFonts w:ascii="GHEA Grapalat" w:hAnsi="GHEA Grapalat" w:cs="GHEA Grapalat"/>
          <w:color w:val="000000"/>
          <w:lang w:val="hy-AM"/>
        </w:rPr>
        <w:t xml:space="preserve"> ամիսներին </w:t>
      </w:r>
      <w:r w:rsidRPr="00854496">
        <w:rPr>
          <w:rFonts w:ascii="GHEA Grapalat" w:hAnsi="GHEA Grapalat" w:cs="GHEA Grapalat"/>
          <w:color w:val="000000"/>
          <w:lang w:val="hy-AM"/>
        </w:rPr>
        <w:t>տեղեկատվական տեխնոլոգիաների ոլորտում գործունեություն իրականացնող առևտրային կազմակերպություններին և անհատ ձեռնարկատերերին շուրջ 1</w:t>
      </w:r>
      <w:r w:rsidRPr="00854496">
        <w:rPr>
          <w:rFonts w:ascii="GHEA Grapalat" w:hAnsi="GHEA Grapalat" w:cs="GHEA Grapalat"/>
          <w:color w:val="000000"/>
        </w:rPr>
        <w:t>2.7</w:t>
      </w:r>
      <w:r w:rsidRPr="00854496">
        <w:rPr>
          <w:rFonts w:ascii="GHEA Grapalat" w:hAnsi="GHEA Grapalat" w:cs="GHEA Grapalat"/>
          <w:color w:val="000000"/>
          <w:lang w:val="hy-AM"/>
        </w:rPr>
        <w:t xml:space="preserve"> մլրդ դրամ պետական աջակցության տրամադրմամբ, ինչպես նաև ՀՀ</w:t>
      </w:r>
      <w:r w:rsidRPr="00505881">
        <w:rPr>
          <w:rFonts w:ascii="GHEA Grapalat" w:hAnsi="GHEA Grapalat" w:cs="GHEA Grapalat"/>
          <w:color w:val="000000"/>
          <w:lang w:val="hy-AM"/>
        </w:rPr>
        <w:t xml:space="preserve"> պաշտպանության ժամանակ զինծառայողների կյանքին կամ առողջությանը պատճառված վնասների հատուցման</w:t>
      </w:r>
      <w:r>
        <w:rPr>
          <w:rFonts w:ascii="GHEA Grapalat" w:hAnsi="GHEA Grapalat" w:cs="GHEA Grapalat"/>
          <w:color w:val="000000"/>
        </w:rPr>
        <w:t xml:space="preserve">, </w:t>
      </w:r>
      <w:r w:rsidRPr="00647C38">
        <w:rPr>
          <w:rFonts w:ascii="GHEA Grapalat" w:hAnsi="GHEA Grapalat" w:cs="GHEA Grapalat"/>
          <w:color w:val="000000"/>
        </w:rPr>
        <w:t>ՀՀ մարզերին ենթակառուցվածքների զարգացման նպատակով</w:t>
      </w:r>
      <w:r>
        <w:rPr>
          <w:rFonts w:ascii="GHEA Grapalat" w:hAnsi="GHEA Grapalat" w:cs="GHEA Grapalat"/>
          <w:color w:val="000000"/>
        </w:rPr>
        <w:t xml:space="preserve"> տրամադրված սուբվենցիաների </w:t>
      </w:r>
      <w:r w:rsidRPr="00505881">
        <w:rPr>
          <w:rFonts w:ascii="GHEA Grapalat" w:hAnsi="GHEA Grapalat" w:cs="GHEA Grapalat"/>
          <w:color w:val="000000"/>
          <w:lang w:val="hy-AM"/>
        </w:rPr>
        <w:t xml:space="preserve">և համայնքներին տրամադրվող ֆինանսական համահարթեցման դոտացիաների գծով ծախսերի աճով: Մասնավորապես՝ զինծառայողների կյանքին կամ առողջությանը պատճառված վնասների հատուցման ծախսերը կազմել են </w:t>
      </w:r>
      <w:r>
        <w:rPr>
          <w:rFonts w:ascii="GHEA Grapalat" w:hAnsi="GHEA Grapalat" w:cs="GHEA Grapalat"/>
          <w:color w:val="000000"/>
        </w:rPr>
        <w:t>26.3</w:t>
      </w:r>
      <w:r w:rsidRPr="00505881">
        <w:rPr>
          <w:rFonts w:ascii="Courier New" w:hAnsi="Courier New" w:cs="Courier New"/>
          <w:color w:val="000000"/>
          <w:lang w:val="hy-AM"/>
        </w:rPr>
        <w:t> </w:t>
      </w:r>
      <w:r w:rsidRPr="00505881">
        <w:rPr>
          <w:rFonts w:ascii="GHEA Grapalat" w:hAnsi="GHEA Grapalat" w:cs="GHEA Grapalat"/>
          <w:color w:val="000000"/>
          <w:lang w:val="hy-AM"/>
        </w:rPr>
        <w:t xml:space="preserve">մլրդ դրամ՝ </w:t>
      </w:r>
      <w:r>
        <w:rPr>
          <w:rFonts w:ascii="GHEA Grapalat" w:hAnsi="GHEA Grapalat" w:cs="GHEA Grapalat"/>
          <w:color w:val="000000"/>
        </w:rPr>
        <w:t>14.7</w:t>
      </w:r>
      <w:r w:rsidRPr="00505881">
        <w:rPr>
          <w:rFonts w:ascii="GHEA Grapalat" w:hAnsi="GHEA Grapalat" w:cs="GHEA Grapalat"/>
          <w:color w:val="000000"/>
          <w:lang w:val="hy-AM"/>
        </w:rPr>
        <w:t>%-ով (</w:t>
      </w:r>
      <w:r>
        <w:rPr>
          <w:rFonts w:ascii="GHEA Grapalat" w:hAnsi="GHEA Grapalat" w:cs="GHEA Grapalat"/>
          <w:color w:val="000000"/>
        </w:rPr>
        <w:t>3.4</w:t>
      </w:r>
      <w:r w:rsidRPr="00505881">
        <w:rPr>
          <w:rFonts w:ascii="GHEA Grapalat" w:hAnsi="GHEA Grapalat" w:cs="GHEA Grapalat"/>
          <w:color w:val="000000"/>
          <w:lang w:val="hy-AM"/>
        </w:rPr>
        <w:t xml:space="preserve"> մլրդ դրամով) գերազանցելով նախորդ տարվա նույն ժամանակահատվածի ցուցանիշը:</w:t>
      </w:r>
    </w:p>
    <w:p w:rsidR="00460E07" w:rsidRPr="00505881" w:rsidRDefault="00460E07" w:rsidP="00460E07">
      <w:pPr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460E07" w:rsidRPr="00101894" w:rsidRDefault="00460E07" w:rsidP="00670D07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101894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դրամաշնորհները (մլրդ դրամ)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275"/>
        <w:gridCol w:w="1275"/>
        <w:gridCol w:w="1274"/>
        <w:gridCol w:w="1417"/>
        <w:gridCol w:w="1416"/>
      </w:tblGrid>
      <w:tr w:rsidR="00460E07" w:rsidTr="00574CC6">
        <w:trPr>
          <w:trHeight w:val="1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2022թ.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ինն ամ</w:t>
            </w:r>
            <w:r w:rsidRPr="00662E24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իսների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2023թ.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ինն ամ</w:t>
            </w:r>
            <w:r w:rsidRPr="00662E24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իսների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ճշտված պլանի 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նկատմամբ (%)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օգոստոս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օգոստոս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 (%)</w:t>
            </w:r>
          </w:p>
        </w:tc>
      </w:tr>
      <w:tr w:rsidR="00460E07" w:rsidTr="00574CC6">
        <w:trPr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Դրամաշնորհներ,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այդ թվում՝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970C7F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70C7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136.8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970C7F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70C7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213.2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970C7F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70C7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165.7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970C7F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70C7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77.7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970C7F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70C7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121.2</w:t>
            </w:r>
          </w:p>
        </w:tc>
      </w:tr>
      <w:tr w:rsidR="00460E07" w:rsidTr="00574CC6">
        <w:trPr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Միջազգային կազմակերպություններին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52478A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52478A">
              <w:rPr>
                <w:rFonts w:ascii="GHEA Grapalat" w:hAnsi="GHEA Grapalat" w:cs="Calibri"/>
                <w:sz w:val="20"/>
                <w:szCs w:val="20"/>
              </w:rPr>
              <w:t>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52478A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52478A">
              <w:rPr>
                <w:rFonts w:ascii="GHEA Grapalat" w:hAnsi="GHEA Grapalat" w:cs="Calibri"/>
                <w:sz w:val="20"/>
                <w:szCs w:val="20"/>
              </w:rPr>
              <w:t>2.5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84.3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73.3</w:t>
            </w:r>
          </w:p>
        </w:tc>
      </w:tr>
      <w:tr w:rsidR="00460E07" w:rsidTr="00574CC6">
        <w:trPr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Պետական հատվածի այլ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մակարդակներին (ընթացիկ), այդ թվում`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127.1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188.7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118.8</w:t>
            </w:r>
          </w:p>
        </w:tc>
      </w:tr>
      <w:tr w:rsidR="00460E07" w:rsidTr="00574CC6">
        <w:trPr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 xml:space="preserve"> -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Համայնքների բյուջեներին համահարթեցման սկզբունքով տրվող դոտացիաներ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52.3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88.9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108.5</w:t>
            </w:r>
          </w:p>
        </w:tc>
      </w:tr>
      <w:tr w:rsidR="00460E07" w:rsidTr="00574CC6">
        <w:trPr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EE1014" w:rsidRDefault="00460E07" w:rsidP="00EE101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EE1014">
              <w:rPr>
                <w:rFonts w:ascii="GHEA Grapalat" w:eastAsia="Times New Roman" w:hAnsi="GHEA Grapalat" w:cs="Calibri"/>
                <w:sz w:val="20"/>
                <w:szCs w:val="20"/>
              </w:rPr>
              <w:t>- Այլ ընթացիկ դրամաշնորհներ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79.3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130.8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77.3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127.6</w:t>
            </w:r>
          </w:p>
        </w:tc>
      </w:tr>
      <w:tr w:rsidR="00460E07" w:rsidTr="00574CC6">
        <w:trPr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Պետական հատվածի այլ մակարդակներին (կապիտալ)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22.0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57.6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184.5</w:t>
            </w:r>
          </w:p>
        </w:tc>
      </w:tr>
    </w:tbl>
    <w:p w:rsidR="00460E07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460E07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6B1319">
        <w:rPr>
          <w:rFonts w:ascii="GHEA Grapalat" w:hAnsi="GHEA Grapalat" w:cs="GHEA Grapalat"/>
          <w:color w:val="000000"/>
        </w:rPr>
        <w:t>Նախորդ տարվա նույն ժամանակահատվածի</w:t>
      </w:r>
      <w:r w:rsidRPr="006B1319">
        <w:rPr>
          <w:rFonts w:ascii="GHEA Grapalat" w:hAnsi="GHEA Grapalat" w:cs="GHEA Grapalat"/>
          <w:color w:val="000000"/>
          <w:lang w:val="hy-AM"/>
        </w:rPr>
        <w:t xml:space="preserve"> համեմատ </w:t>
      </w:r>
      <w:r w:rsidRPr="006B1319">
        <w:rPr>
          <w:rFonts w:ascii="GHEA Grapalat" w:hAnsi="GHEA Grapalat" w:cs="GHEA Grapalat"/>
          <w:color w:val="000000"/>
        </w:rPr>
        <w:t>կենսաթոշակների գծով ծախսերի աճը հիմնականում պայմանավորված է 2022 թվականի սեպտեմբերի 1-ից կենսաթոշակների չափերի բարձրացմամբ և կուտակային կենսաթոշակային համակարգի մասնակիցների կենսաթոշակային հաշիվներին հատկացումների աճով: Նախորդ տարվա</w:t>
      </w:r>
      <w:r w:rsidRPr="00CA799C">
        <w:rPr>
          <w:rFonts w:ascii="GHEA Grapalat" w:hAnsi="GHEA Grapalat" w:cs="GHEA Grapalat"/>
          <w:color w:val="000000"/>
        </w:rPr>
        <w:t xml:space="preserve"> նույն ժ</w:t>
      </w:r>
      <w:r>
        <w:rPr>
          <w:rFonts w:ascii="GHEA Grapalat" w:hAnsi="GHEA Grapalat" w:cs="GHEA Grapalat"/>
          <w:color w:val="000000"/>
        </w:rPr>
        <w:t>ամանակահատվածի</w:t>
      </w:r>
      <w:r>
        <w:rPr>
          <w:rFonts w:ascii="GHEA Grapalat" w:hAnsi="GHEA Grapalat" w:cs="GHEA Grapalat"/>
          <w:color w:val="000000"/>
          <w:lang w:val="hy-AM"/>
        </w:rPr>
        <w:t xml:space="preserve"> համեմատ </w:t>
      </w:r>
      <w:r>
        <w:rPr>
          <w:rFonts w:ascii="GHEA Grapalat" w:hAnsi="GHEA Grapalat" w:cs="GHEA Grapalat"/>
          <w:color w:val="000000"/>
        </w:rPr>
        <w:t xml:space="preserve">նպաստների գծով ծախսերի աճը հիմնականում արձանագրվել է 3 և ավելի երեխա ունեցող ընտանիքներին դրամական աջակցության, </w:t>
      </w:r>
      <w:r w:rsidRPr="003D4EF0">
        <w:rPr>
          <w:rFonts w:ascii="GHEA Grapalat" w:hAnsi="GHEA Grapalat" w:cs="GHEA Grapalat"/>
          <w:color w:val="000000"/>
        </w:rPr>
        <w:t xml:space="preserve">Հայաստանի Հանրապետությունում աշնանացան ցորենի արտադրության խթանման </w:t>
      </w:r>
      <w:r>
        <w:rPr>
          <w:rFonts w:ascii="GHEA Grapalat" w:hAnsi="GHEA Grapalat" w:cs="GHEA Grapalat"/>
          <w:color w:val="000000"/>
        </w:rPr>
        <w:t>նպատակով փոխհատուցման տրամադրման, ծերության, հաշմանդամության, կերակրողին կոր</w:t>
      </w:r>
      <w:r w:rsidR="003A5008">
        <w:rPr>
          <w:rFonts w:ascii="GHEA Grapalat" w:hAnsi="GHEA Grapalat" w:cs="GHEA Grapalat"/>
          <w:color w:val="000000"/>
        </w:rPr>
        <w:t>ցնելու դեպքում տրվող նպաստների,</w:t>
      </w:r>
      <w:r>
        <w:rPr>
          <w:rFonts w:ascii="GHEA Grapalat" w:hAnsi="GHEA Grapalat" w:cs="GHEA Grapalat"/>
          <w:color w:val="000000"/>
        </w:rPr>
        <w:t xml:space="preserve"> մինչև 2 տարեկան երեխայի խնամքի նպաստի </w:t>
      </w:r>
      <w:r w:rsidR="003A5008">
        <w:rPr>
          <w:rFonts w:ascii="GHEA Grapalat" w:hAnsi="GHEA Grapalat" w:cs="GHEA Grapalat"/>
          <w:color w:val="000000"/>
        </w:rPr>
        <w:t xml:space="preserve">և անկանխիկ եղանակով վճարումներից կենսաթոշակառուներին հետվճարի </w:t>
      </w:r>
      <w:r>
        <w:rPr>
          <w:rFonts w:ascii="GHEA Grapalat" w:hAnsi="GHEA Grapalat" w:cs="GHEA Grapalat"/>
          <w:color w:val="000000"/>
        </w:rPr>
        <w:t xml:space="preserve">տրամադրման ծախսերում: </w:t>
      </w:r>
    </w:p>
    <w:p w:rsidR="003A5008" w:rsidRDefault="003A5008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460E07" w:rsidRPr="00670D07" w:rsidRDefault="00460E07" w:rsidP="00670D07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670D07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նպաստները և կենսաթոշակները (մլրդ դրամ)</w:t>
      </w:r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1395"/>
        <w:gridCol w:w="1388"/>
        <w:gridCol w:w="1281"/>
        <w:gridCol w:w="1453"/>
        <w:gridCol w:w="1453"/>
      </w:tblGrid>
      <w:tr w:rsidR="00460E07" w:rsidTr="00574CC6">
        <w:trPr>
          <w:trHeight w:val="190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2022թ.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ինն ամ</w:t>
            </w:r>
            <w:r w:rsidRPr="00662E24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իսների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2023թ.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ինն ամ</w:t>
            </w:r>
            <w:r w:rsidRPr="00662E24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իսների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ճշտված պլանի 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նկատմամբ (%)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օգոստոս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օգոստոս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 (%)</w:t>
            </w:r>
          </w:p>
        </w:tc>
      </w:tr>
      <w:tr w:rsidR="00460E07" w:rsidRPr="003D4EF0" w:rsidTr="00574CC6">
        <w:trPr>
          <w:trHeight w:val="396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3D4EF0" w:rsidRDefault="00460E07" w:rsidP="00574CC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D4EF0">
              <w:rPr>
                <w:rFonts w:ascii="GHEA Grapalat" w:hAnsi="GHEA Grapalat" w:cs="Calibri"/>
                <w:b/>
                <w:sz w:val="20"/>
                <w:szCs w:val="20"/>
              </w:rPr>
              <w:t>Սոցիալական նպաստներ և կենսաթոշակներ,</w:t>
            </w:r>
            <w:r w:rsidRPr="003D4EF0">
              <w:rPr>
                <w:rFonts w:ascii="GHEA Grapalat" w:hAnsi="GHEA Grapalat" w:cs="Calibri"/>
                <w:sz w:val="20"/>
                <w:szCs w:val="20"/>
              </w:rPr>
              <w:t xml:space="preserve"> այդ թվում`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E30538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E3053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394.5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E30538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E3053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518.5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E30538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E3053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453.1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E30538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E3053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E30538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E3053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114.8</w:t>
            </w:r>
          </w:p>
        </w:tc>
      </w:tr>
      <w:tr w:rsidR="00460E07" w:rsidRPr="003D4EF0" w:rsidTr="00574CC6">
        <w:trPr>
          <w:trHeight w:val="261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3D4EF0" w:rsidRDefault="00460E07" w:rsidP="00574CC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D4EF0">
              <w:rPr>
                <w:rFonts w:ascii="GHEA Grapalat" w:hAnsi="GHEA Grapalat" w:cs="Calibri"/>
                <w:sz w:val="20"/>
                <w:szCs w:val="20"/>
              </w:rPr>
              <w:t>Նպաստներ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3D4EF0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126.8</w:t>
            </w:r>
            <w:r w:rsidRPr="003D4EF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3D4EF0" w:rsidRDefault="00460E07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176.2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3D4EF0" w:rsidRDefault="00460E07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150.4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3D4EF0" w:rsidRDefault="00460E07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85.3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3D4EF0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118.6</w:t>
            </w:r>
          </w:p>
        </w:tc>
      </w:tr>
      <w:tr w:rsidR="00460E07" w:rsidTr="00574CC6">
        <w:trPr>
          <w:trHeight w:val="256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3D4EF0" w:rsidRDefault="00460E07" w:rsidP="00574CC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D4EF0">
              <w:rPr>
                <w:rFonts w:ascii="GHEA Grapalat" w:hAnsi="GHEA Grapalat" w:cs="Calibri"/>
                <w:sz w:val="20"/>
                <w:szCs w:val="20"/>
              </w:rPr>
              <w:t>Կենսաթոշակներ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3D4EF0" w:rsidRDefault="00460E07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267.8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3D4EF0" w:rsidRDefault="00460E07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342.3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3D4EF0" w:rsidRDefault="00460E07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302.8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3D4EF0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88.5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0E07" w:rsidRPr="003D4EF0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D4EF0">
              <w:rPr>
                <w:rFonts w:ascii="GHEA Grapalat" w:hAnsi="GHEA Grapalat" w:cs="Calibri"/>
                <w:color w:val="000000"/>
                <w:sz w:val="20"/>
                <w:szCs w:val="20"/>
              </w:rPr>
              <w:t>11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3.1</w:t>
            </w:r>
          </w:p>
        </w:tc>
      </w:tr>
    </w:tbl>
    <w:p w:rsidR="00460E07" w:rsidRDefault="00460E07" w:rsidP="00460E07"/>
    <w:p w:rsidR="00460E07" w:rsidRDefault="00460E07" w:rsidP="00460E07"/>
    <w:p w:rsidR="00460E07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B677AB">
        <w:rPr>
          <w:rFonts w:ascii="GHEA Grapalat" w:hAnsi="GHEA Grapalat" w:cs="GHEA Grapalat"/>
          <w:color w:val="000000"/>
        </w:rPr>
        <w:t>Ոչ ֆինանսական</w:t>
      </w:r>
      <w:r>
        <w:rPr>
          <w:rFonts w:ascii="GHEA Grapalat" w:hAnsi="GHEA Grapalat" w:cs="GHEA Grapalat"/>
          <w:color w:val="000000"/>
        </w:rPr>
        <w:t xml:space="preserve"> ակտիվների հետ գործառնությունների ցածր ցուցանիշը պայմանավորված է կապիտալ ծախսերի կատարողականով: Վերջինիս վրա զգալի ազդեցություն է </w:t>
      </w:r>
      <w:r w:rsidRPr="007D0EB8">
        <w:rPr>
          <w:rFonts w:ascii="GHEA Grapalat" w:hAnsi="GHEA Grapalat" w:cs="GHEA Grapalat"/>
          <w:color w:val="000000"/>
        </w:rPr>
        <w:t>գործել ՀՀ պաշտպանության</w:t>
      </w:r>
      <w:r>
        <w:rPr>
          <w:rFonts w:ascii="GHEA Grapalat" w:hAnsi="GHEA Grapalat" w:cs="GHEA Grapalat"/>
          <w:color w:val="000000"/>
        </w:rPr>
        <w:t xml:space="preserve"> </w:t>
      </w:r>
      <w:r w:rsidRPr="005F7A9D">
        <w:rPr>
          <w:rFonts w:ascii="GHEA Grapalat" w:hAnsi="GHEA Grapalat" w:cs="GHEA Grapalat"/>
          <w:color w:val="000000"/>
        </w:rPr>
        <w:t>նախարարության շենքային պայմանների</w:t>
      </w:r>
      <w:r>
        <w:rPr>
          <w:rFonts w:ascii="GHEA Grapalat" w:hAnsi="GHEA Grapalat" w:cs="GHEA Grapalat"/>
          <w:color w:val="000000"/>
        </w:rPr>
        <w:t xml:space="preserve"> բարելավման միջոցառման ծախսերի կատարողականը, որոնք կազմել են 124.9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 w:cs="GHEA Grapalat"/>
          <w:color w:val="000000"/>
        </w:rPr>
        <w:t xml:space="preserve">մլրդ դրամ՝ </w:t>
      </w:r>
      <w:r>
        <w:rPr>
          <w:rFonts w:ascii="GHEA Grapalat" w:hAnsi="GHEA Grapalat" w:cs="GHEA Grapalat"/>
          <w:color w:val="000000"/>
        </w:rPr>
        <w:lastRenderedPageBreak/>
        <w:t xml:space="preserve">44.9%-ով զիջելով ծրագրված ցուցանիշը: </w:t>
      </w:r>
      <w:r w:rsidR="00EE1014">
        <w:rPr>
          <w:rFonts w:ascii="GHEA Grapalat" w:hAnsi="GHEA Grapalat" w:cs="GHEA Grapalat"/>
          <w:color w:val="000000"/>
        </w:rPr>
        <w:t xml:space="preserve">Հիմնականում նշված </w:t>
      </w:r>
      <w:r w:rsidR="00EE1014">
        <w:rPr>
          <w:rFonts w:ascii="GHEA Grapalat" w:hAnsi="GHEA Grapalat" w:cs="GHEA Grapalat"/>
          <w:color w:val="000000"/>
        </w:rPr>
        <w:t>միջոցառման ծախսերի աճով</w:t>
      </w:r>
      <w:r w:rsidR="00EE1014">
        <w:rPr>
          <w:rFonts w:ascii="GHEA Grapalat" w:hAnsi="GHEA Grapalat" w:cs="GHEA Grapalat"/>
          <w:color w:val="000000"/>
        </w:rPr>
        <w:t xml:space="preserve"> է պայմանավորված ն</w:t>
      </w:r>
      <w:r>
        <w:rPr>
          <w:rFonts w:ascii="GHEA Grapalat" w:hAnsi="GHEA Grapalat" w:cs="GHEA Grapalat"/>
          <w:color w:val="000000"/>
        </w:rPr>
        <w:t>ախորդ տարվա նույն ժամանակահատվածի համեմատ կապիտալ ծախսեր</w:t>
      </w:r>
      <w:r w:rsidR="00EE1014">
        <w:rPr>
          <w:rFonts w:ascii="GHEA Grapalat" w:hAnsi="GHEA Grapalat" w:cs="GHEA Grapalat"/>
          <w:color w:val="000000"/>
        </w:rPr>
        <w:t>ի</w:t>
      </w:r>
      <w:r>
        <w:rPr>
          <w:rFonts w:ascii="GHEA Grapalat" w:hAnsi="GHEA Grapalat" w:cs="GHEA Grapalat"/>
          <w:color w:val="000000"/>
        </w:rPr>
        <w:t xml:space="preserve"> 28.2% </w:t>
      </w:r>
      <w:r w:rsidR="00EE1014">
        <w:rPr>
          <w:rFonts w:ascii="GHEA Grapalat" w:hAnsi="GHEA Grapalat" w:cs="GHEA Grapalat"/>
          <w:color w:val="000000"/>
        </w:rPr>
        <w:t>(</w:t>
      </w:r>
      <w:r>
        <w:rPr>
          <w:rFonts w:ascii="GHEA Grapalat" w:hAnsi="GHEA Grapalat" w:cs="GHEA Grapalat"/>
          <w:color w:val="000000"/>
        </w:rPr>
        <w:t>42.8 մլրդ դրամ</w:t>
      </w:r>
      <w:r w:rsidR="00EE1014">
        <w:rPr>
          <w:rFonts w:ascii="GHEA Grapalat" w:hAnsi="GHEA Grapalat" w:cs="GHEA Grapalat"/>
          <w:color w:val="000000"/>
        </w:rPr>
        <w:t>) աճը</w:t>
      </w:r>
      <w:bookmarkStart w:id="1" w:name="_GoBack"/>
      <w:bookmarkEnd w:id="1"/>
      <w:r>
        <w:rPr>
          <w:rFonts w:ascii="GHEA Grapalat" w:hAnsi="GHEA Grapalat" w:cs="GHEA Grapalat"/>
          <w:color w:val="000000"/>
        </w:rPr>
        <w:t>:</w:t>
      </w:r>
    </w:p>
    <w:p w:rsidR="00460E07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B677AB">
        <w:rPr>
          <w:rFonts w:ascii="GHEA Grapalat" w:hAnsi="GHEA Grapalat" w:cs="GHEA Grapalat"/>
          <w:color w:val="000000"/>
          <w:lang w:val="hy-AM"/>
        </w:rPr>
        <w:t>Ոչ ֆինանսական</w:t>
      </w:r>
      <w:r>
        <w:rPr>
          <w:rFonts w:ascii="GHEA Grapalat" w:hAnsi="GHEA Grapalat" w:cs="GHEA Grapalat"/>
          <w:color w:val="000000"/>
          <w:lang w:val="hy-AM"/>
        </w:rPr>
        <w:t xml:space="preserve"> ակտիվների օտարումից հաշվետու ժամանակահատվածում ստացվել են </w:t>
      </w:r>
      <w:r>
        <w:rPr>
          <w:rFonts w:ascii="GHEA Grapalat" w:hAnsi="GHEA Grapalat" w:cs="GHEA Grapalat"/>
          <w:color w:val="000000"/>
        </w:rPr>
        <w:t>5.0</w:t>
      </w:r>
      <w:r>
        <w:rPr>
          <w:rFonts w:ascii="GHEA Grapalat" w:hAnsi="GHEA Grapalat" w:cs="GHEA Grapalat"/>
          <w:color w:val="000000"/>
          <w:lang w:val="hy-AM"/>
        </w:rPr>
        <w:t xml:space="preserve"> մլ</w:t>
      </w:r>
      <w:r>
        <w:rPr>
          <w:rFonts w:ascii="GHEA Grapalat" w:hAnsi="GHEA Grapalat" w:cs="GHEA Grapalat"/>
          <w:color w:val="000000"/>
        </w:rPr>
        <w:t>րդ</w:t>
      </w:r>
      <w:r>
        <w:rPr>
          <w:rFonts w:ascii="GHEA Grapalat" w:hAnsi="GHEA Grapalat" w:cs="GHEA Grapalat"/>
          <w:color w:val="000000"/>
          <w:lang w:val="hy-AM"/>
        </w:rPr>
        <w:t xml:space="preserve"> դրամ մուտքեր՝ </w:t>
      </w:r>
      <w:r>
        <w:rPr>
          <w:rFonts w:ascii="GHEA Grapalat" w:hAnsi="GHEA Grapalat" w:cs="GHEA Grapalat"/>
          <w:color w:val="000000"/>
        </w:rPr>
        <w:t xml:space="preserve">իննամսյա </w:t>
      </w:r>
      <w:r>
        <w:rPr>
          <w:rFonts w:ascii="GHEA Grapalat" w:hAnsi="GHEA Grapalat" w:cs="GHEA Grapalat"/>
          <w:color w:val="000000"/>
          <w:lang w:val="hy-AM"/>
        </w:rPr>
        <w:t xml:space="preserve">ծրագրով նախատեսված </w:t>
      </w:r>
      <w:r>
        <w:rPr>
          <w:rFonts w:ascii="GHEA Grapalat" w:hAnsi="GHEA Grapalat" w:cs="GHEA Grapalat"/>
          <w:color w:val="000000"/>
        </w:rPr>
        <w:t>20.3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Fonts w:ascii="GHEA Grapalat" w:hAnsi="GHEA Grapalat" w:cs="GHEA Grapalat"/>
          <w:color w:val="000000"/>
          <w:lang w:val="hy-AM"/>
        </w:rPr>
        <w:t>մլրդ դրամի</w:t>
      </w:r>
      <w:r w:rsidR="00F4617B">
        <w:rPr>
          <w:rFonts w:ascii="GHEA Grapalat" w:hAnsi="GHEA Grapalat" w:cs="GHEA Grapalat"/>
          <w:color w:val="000000"/>
        </w:rPr>
        <w:t xml:space="preserve"> դիմաց: </w:t>
      </w:r>
      <w:r>
        <w:rPr>
          <w:rFonts w:ascii="GHEA Grapalat" w:hAnsi="GHEA Grapalat" w:cs="GHEA Grapalat"/>
          <w:color w:val="000000"/>
          <w:lang w:val="hy-AM"/>
        </w:rPr>
        <w:t>202</w:t>
      </w:r>
      <w:r>
        <w:rPr>
          <w:rFonts w:ascii="GHEA Grapalat" w:hAnsi="GHEA Grapalat" w:cs="GHEA Grapalat"/>
          <w:color w:val="000000"/>
        </w:rPr>
        <w:t>2</w:t>
      </w:r>
      <w:r w:rsidR="00F4617B">
        <w:rPr>
          <w:rFonts w:ascii="GHEA Grapalat" w:hAnsi="GHEA Grapalat" w:cs="GHEA Grapalat"/>
          <w:color w:val="000000"/>
          <w:lang w:val="hy-AM"/>
        </w:rPr>
        <w:t xml:space="preserve"> թվականի նույն ժամանակահատված</w:t>
      </w:r>
      <w:r w:rsidR="00F4617B">
        <w:rPr>
          <w:rFonts w:ascii="GHEA Grapalat" w:hAnsi="GHEA Grapalat" w:cs="GHEA Grapalat"/>
          <w:color w:val="000000"/>
        </w:rPr>
        <w:t>ի համեմատ ո</w:t>
      </w:r>
      <w:r w:rsidR="00F4617B" w:rsidRPr="00B677AB">
        <w:rPr>
          <w:rFonts w:ascii="GHEA Grapalat" w:hAnsi="GHEA Grapalat" w:cs="GHEA Grapalat"/>
          <w:color w:val="000000"/>
          <w:lang w:val="hy-AM"/>
        </w:rPr>
        <w:t>չ ֆինանսական</w:t>
      </w:r>
      <w:r w:rsidR="00F4617B">
        <w:rPr>
          <w:rFonts w:ascii="GHEA Grapalat" w:hAnsi="GHEA Grapalat" w:cs="GHEA Grapalat"/>
          <w:color w:val="000000"/>
          <w:lang w:val="hy-AM"/>
        </w:rPr>
        <w:t xml:space="preserve"> ակտիվների օտարումից</w:t>
      </w:r>
      <w:r w:rsidR="00F4617B">
        <w:rPr>
          <w:rFonts w:ascii="GHEA Grapalat" w:hAnsi="GHEA Grapalat" w:cs="GHEA Grapalat"/>
          <w:color w:val="000000"/>
        </w:rPr>
        <w:t xml:space="preserve"> մուտքերը գրեթե չեն փոփոխվել</w:t>
      </w:r>
      <w:r>
        <w:rPr>
          <w:rFonts w:ascii="GHEA Grapalat" w:hAnsi="GHEA Grapalat" w:cs="GHEA Grapalat"/>
          <w:color w:val="000000"/>
          <w:lang w:val="hy-AM"/>
        </w:rPr>
        <w:t>:</w:t>
      </w:r>
    </w:p>
    <w:p w:rsidR="00460E07" w:rsidRDefault="00460E07" w:rsidP="00460E0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460E07" w:rsidRPr="00670D07" w:rsidRDefault="00460E07" w:rsidP="00670D07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670D07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ոչ ֆինանսական ակտիվների հետ գործառնությունները (մլրդ դրամ)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1421"/>
        <w:gridCol w:w="1419"/>
        <w:gridCol w:w="1418"/>
      </w:tblGrid>
      <w:tr w:rsidR="00460E07" w:rsidTr="00574CC6">
        <w:trPr>
          <w:trHeight w:val="19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2022թ.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ինն ամ</w:t>
            </w:r>
            <w:r w:rsidRPr="00662E24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իսների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2023թ.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օգոստոս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ամիսների փաստ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ինն ամ</w:t>
            </w:r>
            <w:r w:rsidRPr="00662E24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իսների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ճշտված պլանի 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նկատմամբ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E07" w:rsidRPr="009A465C" w:rsidRDefault="00460E07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օգոստոս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0205D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օգոստոս</w:t>
            </w:r>
            <w:r w:rsidRPr="004A6380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9A46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 (%)</w:t>
            </w:r>
          </w:p>
        </w:tc>
      </w:tr>
      <w:tr w:rsidR="00460E07" w:rsidTr="00574CC6">
        <w:trPr>
          <w:trHeight w:val="6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Ոչ ֆինանսական ակտիվների հետ գործառնություններ, </w:t>
            </w:r>
            <w:r>
              <w:rPr>
                <w:rFonts w:ascii="GHEA Grapalat" w:hAnsi="GHEA Grapalat" w:cs="Calibri"/>
                <w:sz w:val="20"/>
                <w:szCs w:val="20"/>
              </w:rPr>
              <w:t>այդ թվում՝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B20B72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20B72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146.6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B20B72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20B72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390.8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B20B72" w:rsidRDefault="00460E07" w:rsidP="00574CC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20B72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 xml:space="preserve">     189.3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Pr="00995204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Pr="00995204" w:rsidRDefault="00460E07" w:rsidP="00574CC6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995204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29.2</w:t>
            </w:r>
          </w:p>
        </w:tc>
      </w:tr>
      <w:tr w:rsidR="00460E07" w:rsidTr="00574CC6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գծով ծախսեր, այդ թվում՝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411.1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194.3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128.2</w:t>
            </w:r>
          </w:p>
        </w:tc>
      </w:tr>
      <w:tr w:rsidR="00460E07" w:rsidTr="00574CC6">
        <w:trPr>
          <w:trHeight w:val="3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pStyle w:val="ListParagraph"/>
              <w:numPr>
                <w:ilvl w:val="0"/>
                <w:numId w:val="2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շենքեր և շինություններ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369.4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136.8</w:t>
            </w:r>
          </w:p>
        </w:tc>
      </w:tr>
      <w:tr w:rsidR="00460E07" w:rsidTr="00574CC6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pStyle w:val="ListParagraph"/>
              <w:numPr>
                <w:ilvl w:val="0"/>
                <w:numId w:val="2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մեքենաների և սարքավորումների ձեռք բերում, պահպանում և հիմնանորոգում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32.3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15.0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73.9</w:t>
            </w:r>
          </w:p>
        </w:tc>
      </w:tr>
      <w:tr w:rsidR="00460E07" w:rsidTr="00574CC6">
        <w:trPr>
          <w:trHeight w:val="3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pStyle w:val="ListParagraph"/>
              <w:numPr>
                <w:ilvl w:val="0"/>
                <w:numId w:val="2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այլ հիմնական միջոցներ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9.3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130.1</w:t>
            </w:r>
          </w:p>
        </w:tc>
      </w:tr>
      <w:tr w:rsidR="00460E07" w:rsidTr="00574CC6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օտարումից մուտքեր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(5.0)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(20.3)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(5.0)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E07" w:rsidRDefault="00460E07" w:rsidP="00574CC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100.9</w:t>
            </w:r>
          </w:p>
        </w:tc>
      </w:tr>
    </w:tbl>
    <w:p w:rsidR="00C972C0" w:rsidRDefault="00C972C0" w:rsidP="00EE32D3">
      <w:pPr>
        <w:spacing w:line="360" w:lineRule="auto"/>
        <w:jc w:val="both"/>
        <w:rPr>
          <w:rFonts w:ascii="GHEA Grapalat" w:hAnsi="GHEA Grapalat" w:cs="Calibri"/>
          <w:bCs/>
          <w:lang w:val="hy-AM"/>
        </w:rPr>
      </w:pPr>
    </w:p>
    <w:p w:rsidR="00C972C0" w:rsidRPr="003A059B" w:rsidRDefault="00C972C0" w:rsidP="00C972C0">
      <w:pPr>
        <w:spacing w:line="480" w:lineRule="auto"/>
        <w:ind w:firstLine="567"/>
        <w:jc w:val="both"/>
        <w:rPr>
          <w:rFonts w:ascii="GHEA Grapalat" w:hAnsi="GHEA Grapalat" w:cs="GHEA Grapalat"/>
          <w:b/>
          <w:i/>
          <w:u w:val="single"/>
        </w:rPr>
      </w:pPr>
      <w:r w:rsidRPr="003A059B">
        <w:rPr>
          <w:rFonts w:ascii="GHEA Grapalat" w:hAnsi="GHEA Grapalat" w:cs="GHEA Grapalat"/>
          <w:b/>
          <w:i/>
          <w:u w:val="single"/>
          <w:lang w:val="hy-AM"/>
        </w:rPr>
        <w:t>ՀՀ պետական բյուջեի պակասուրդը</w:t>
      </w:r>
      <w:r w:rsidRPr="003A059B">
        <w:rPr>
          <w:rFonts w:ascii="GHEA Grapalat" w:hAnsi="GHEA Grapalat" w:cs="GHEA Grapalat"/>
          <w:b/>
          <w:i/>
          <w:u w:val="single"/>
        </w:rPr>
        <w:t xml:space="preserve"> (հավելուրդը)</w:t>
      </w:r>
    </w:p>
    <w:p w:rsidR="00C972C0" w:rsidRPr="003A059B" w:rsidRDefault="00C972C0" w:rsidP="00C972C0">
      <w:pPr>
        <w:spacing w:line="360" w:lineRule="auto"/>
        <w:ind w:firstLine="567"/>
        <w:jc w:val="both"/>
        <w:rPr>
          <w:rFonts w:ascii="GHEA Grapalat" w:hAnsi="GHEA Grapalat" w:cs="GHEA Grapalat"/>
        </w:rPr>
      </w:pPr>
      <w:r w:rsidRPr="003A059B">
        <w:rPr>
          <w:rFonts w:ascii="GHEA Grapalat" w:hAnsi="GHEA Grapalat" w:cs="GHEA Grapalat"/>
          <w:color w:val="000000"/>
          <w:lang w:val="hy-AM"/>
        </w:rPr>
        <w:t>202</w:t>
      </w:r>
      <w:r w:rsidRPr="003A059B">
        <w:rPr>
          <w:rFonts w:ascii="GHEA Grapalat" w:hAnsi="GHEA Grapalat" w:cs="GHEA Grapalat"/>
          <w:color w:val="000000"/>
        </w:rPr>
        <w:t>3</w:t>
      </w:r>
      <w:r w:rsidRPr="003A059B">
        <w:rPr>
          <w:rFonts w:ascii="GHEA Grapalat" w:hAnsi="GHEA Grapalat" w:cs="GHEA Grapalat"/>
          <w:color w:val="000000"/>
          <w:lang w:val="hy-AM"/>
        </w:rPr>
        <w:t xml:space="preserve"> թվականի </w:t>
      </w:r>
      <w:r w:rsidRPr="003A059B">
        <w:rPr>
          <w:rFonts w:ascii="GHEA Grapalat" w:hAnsi="GHEA Grapalat" w:cs="GHEA Grapalat"/>
          <w:color w:val="000000"/>
        </w:rPr>
        <w:t>հունվար-</w:t>
      </w:r>
      <w:r>
        <w:rPr>
          <w:rFonts w:ascii="GHEA Grapalat" w:hAnsi="GHEA Grapalat" w:cs="GHEA Grapalat"/>
          <w:color w:val="000000"/>
        </w:rPr>
        <w:t>օգոստոս</w:t>
      </w:r>
      <w:r w:rsidRPr="003A059B">
        <w:rPr>
          <w:rFonts w:ascii="GHEA Grapalat" w:hAnsi="GHEA Grapalat" w:cs="GHEA Grapalat"/>
          <w:color w:val="000000"/>
        </w:rPr>
        <w:t xml:space="preserve"> ամիսներին</w:t>
      </w:r>
      <w:r w:rsidRPr="003A059B">
        <w:rPr>
          <w:rFonts w:ascii="GHEA Grapalat" w:hAnsi="GHEA Grapalat" w:cs="GHEA Grapalat"/>
          <w:color w:val="000000"/>
          <w:lang w:val="hy-AM"/>
        </w:rPr>
        <w:t xml:space="preserve"> ՀՀ պետական բյուջեն կատարվել է </w:t>
      </w:r>
      <w:r>
        <w:rPr>
          <w:rFonts w:ascii="GHEA Grapalat" w:hAnsi="GHEA Grapalat" w:cs="GHEA Grapalat"/>
          <w:color w:val="000000"/>
        </w:rPr>
        <w:t>71.6</w:t>
      </w:r>
      <w:r w:rsidRPr="003A059B">
        <w:rPr>
          <w:rFonts w:ascii="Courier New" w:hAnsi="Courier New" w:cs="Courier New"/>
          <w:color w:val="000000"/>
          <w:lang w:val="hy-AM"/>
        </w:rPr>
        <w:t> </w:t>
      </w:r>
      <w:r w:rsidRPr="003A059B">
        <w:rPr>
          <w:rFonts w:ascii="GHEA Grapalat" w:hAnsi="GHEA Grapalat" w:cs="GHEA Grapalat"/>
          <w:color w:val="000000"/>
          <w:lang w:val="hy-AM"/>
        </w:rPr>
        <w:t xml:space="preserve">մլրդ դրամ </w:t>
      </w:r>
      <w:r w:rsidRPr="003A059B">
        <w:rPr>
          <w:rFonts w:ascii="GHEA Grapalat" w:hAnsi="GHEA Grapalat" w:cs="GHEA Grapalat"/>
          <w:color w:val="000000"/>
        </w:rPr>
        <w:t>հավել</w:t>
      </w:r>
      <w:r w:rsidRPr="003A059B">
        <w:rPr>
          <w:rFonts w:ascii="GHEA Grapalat" w:hAnsi="GHEA Grapalat" w:cs="GHEA Grapalat"/>
          <w:color w:val="000000"/>
          <w:lang w:val="hy-AM"/>
        </w:rPr>
        <w:t>ուրդով</w:t>
      </w:r>
      <w:r w:rsidRPr="003A059B">
        <w:rPr>
          <w:rFonts w:ascii="GHEA Grapalat" w:hAnsi="GHEA Grapalat" w:cs="GHEA Grapalat"/>
          <w:color w:val="000000"/>
        </w:rPr>
        <w:t>՝</w:t>
      </w:r>
      <w:r w:rsidRPr="003A059B">
        <w:rPr>
          <w:rFonts w:ascii="GHEA Grapalat" w:hAnsi="GHEA Grapalat" w:cs="GHEA Grapalat"/>
          <w:lang w:val="hy-AM"/>
        </w:rPr>
        <w:t xml:space="preserve"> </w:t>
      </w:r>
      <w:r w:rsidRPr="003A059B">
        <w:rPr>
          <w:rFonts w:ascii="GHEA Grapalat" w:hAnsi="GHEA Grapalat" w:cs="GHEA Grapalat"/>
        </w:rPr>
        <w:t xml:space="preserve">ինն ամիսների համար </w:t>
      </w:r>
      <w:r w:rsidRPr="003A059B">
        <w:rPr>
          <w:rFonts w:ascii="GHEA Grapalat" w:hAnsi="GHEA Grapalat" w:cs="GHEA Grapalat"/>
          <w:lang w:val="hy-AM"/>
        </w:rPr>
        <w:t xml:space="preserve">ծրագրված </w:t>
      </w:r>
      <w:r>
        <w:rPr>
          <w:rFonts w:ascii="GHEA Grapalat" w:hAnsi="GHEA Grapalat" w:cs="GHEA Grapalat"/>
        </w:rPr>
        <w:t>24</w:t>
      </w:r>
      <w:r w:rsidR="00E21385">
        <w:rPr>
          <w:rFonts w:ascii="GHEA Grapalat" w:hAnsi="GHEA Grapalat" w:cs="GHEA Grapalat"/>
        </w:rPr>
        <w:t>3.1</w:t>
      </w:r>
      <w:r w:rsidRPr="003A059B">
        <w:rPr>
          <w:rFonts w:ascii="Courier New" w:hAnsi="Courier New" w:cs="Courier New"/>
          <w:lang w:val="hy-AM"/>
        </w:rPr>
        <w:t> </w:t>
      </w:r>
      <w:r w:rsidRPr="003A059B">
        <w:rPr>
          <w:rFonts w:ascii="GHEA Grapalat" w:hAnsi="GHEA Grapalat" w:cs="GHEA Grapalat"/>
          <w:lang w:val="hy-AM"/>
        </w:rPr>
        <w:t xml:space="preserve">մլրդ դրամ պակասուրդի և նախորդ տարվա նույն ժամանակահատվածի </w:t>
      </w:r>
      <w:r>
        <w:rPr>
          <w:rFonts w:ascii="GHEA Grapalat" w:hAnsi="GHEA Grapalat" w:cs="GHEA Grapalat"/>
        </w:rPr>
        <w:t>53.7</w:t>
      </w:r>
      <w:r w:rsidRPr="003A059B">
        <w:rPr>
          <w:rFonts w:ascii="GHEA Grapalat" w:hAnsi="GHEA Grapalat" w:cs="GHEA Grapalat"/>
          <w:lang w:val="hy-AM"/>
        </w:rPr>
        <w:t xml:space="preserve"> մլրդ դրամ հավելուրդի դիմաց: Բյուջեի հավելուրդը հիմնականում պայմանավորված է</w:t>
      </w:r>
      <w:r w:rsidRPr="003A059B">
        <w:rPr>
          <w:rFonts w:ascii="GHEA Grapalat" w:hAnsi="GHEA Grapalat" w:cs="GHEA Grapalat"/>
        </w:rPr>
        <w:t xml:space="preserve"> </w:t>
      </w:r>
      <w:r w:rsidRPr="003A059B">
        <w:rPr>
          <w:rFonts w:ascii="GHEA Grapalat" w:hAnsi="GHEA Grapalat" w:cs="GHEA Grapalat"/>
          <w:lang w:val="hy-AM"/>
        </w:rPr>
        <w:t>ծախսերի համեմատ</w:t>
      </w:r>
      <w:r w:rsidRPr="003A059B">
        <w:rPr>
          <w:rFonts w:ascii="GHEA Grapalat" w:hAnsi="GHEA Grapalat" w:cs="GHEA Grapalat"/>
        </w:rPr>
        <w:t xml:space="preserve"> եկամուտների ավելի բարձր</w:t>
      </w:r>
      <w:r w:rsidRPr="003A059B">
        <w:rPr>
          <w:rFonts w:ascii="GHEA Grapalat" w:hAnsi="GHEA Grapalat" w:cs="GHEA Grapalat"/>
          <w:lang w:val="hy-AM"/>
        </w:rPr>
        <w:t xml:space="preserve"> կատարողականով</w:t>
      </w:r>
      <w:r w:rsidRPr="003A059B">
        <w:rPr>
          <w:rFonts w:ascii="GHEA Grapalat" w:hAnsi="GHEA Grapalat" w:cs="GHEA Grapalat"/>
        </w:rPr>
        <w:t>,</w:t>
      </w:r>
      <w:r w:rsidRPr="003A059B">
        <w:rPr>
          <w:rFonts w:ascii="GHEA Grapalat" w:hAnsi="GHEA Grapalat" w:cs="GHEA Grapalat"/>
          <w:lang w:val="hy-AM"/>
        </w:rPr>
        <w:t xml:space="preserve"> որ</w:t>
      </w:r>
      <w:r w:rsidRPr="003A059B">
        <w:rPr>
          <w:rFonts w:ascii="GHEA Grapalat" w:hAnsi="GHEA Grapalat" w:cs="GHEA Grapalat"/>
        </w:rPr>
        <w:t>ի</w:t>
      </w:r>
      <w:r w:rsidRPr="003A059B">
        <w:rPr>
          <w:rFonts w:ascii="GHEA Grapalat" w:hAnsi="GHEA Grapalat" w:cs="GHEA Grapalat"/>
          <w:lang w:val="hy-AM"/>
        </w:rPr>
        <w:t xml:space="preserve"> արդյունքում ֆինանսավորման ներքին աղբյուրներում նախատեսված բյուջեի ազատ միջոցներն աճել են </w:t>
      </w:r>
      <w:r>
        <w:rPr>
          <w:rFonts w:ascii="GHEA Grapalat" w:hAnsi="GHEA Grapalat" w:cs="GHEA Grapalat"/>
        </w:rPr>
        <w:t>192.9</w:t>
      </w:r>
      <w:r w:rsidRPr="003A059B">
        <w:rPr>
          <w:rFonts w:ascii="GHEA Grapalat" w:hAnsi="GHEA Grapalat" w:cs="GHEA Grapalat"/>
          <w:lang w:val="hy-AM"/>
        </w:rPr>
        <w:t xml:space="preserve"> մլրդ դրամով: Բացի</w:t>
      </w:r>
      <w:r w:rsidRPr="003A059B">
        <w:rPr>
          <w:rFonts w:ascii="GHEA Grapalat" w:hAnsi="GHEA Grapalat" w:cs="GHEA Grapalat"/>
        </w:rPr>
        <w:t xml:space="preserve"> </w:t>
      </w:r>
      <w:r w:rsidRPr="003A059B">
        <w:rPr>
          <w:rFonts w:ascii="GHEA Grapalat" w:hAnsi="GHEA Grapalat" w:cs="GHEA Grapalat"/>
        </w:rPr>
        <w:lastRenderedPageBreak/>
        <w:t xml:space="preserve">այդ, ցածր ցուցանիշ է արձանագրվել արտաքին աղբյուրներից ստացվող վարկերի գծով, որոնք կազմել են </w:t>
      </w:r>
      <w:r>
        <w:rPr>
          <w:rFonts w:ascii="GHEA Grapalat" w:hAnsi="GHEA Grapalat" w:cs="GHEA Grapalat"/>
        </w:rPr>
        <w:t>63.4</w:t>
      </w:r>
      <w:r w:rsidRPr="003A059B">
        <w:rPr>
          <w:rFonts w:ascii="GHEA Grapalat" w:hAnsi="GHEA Grapalat" w:cs="GHEA Grapalat"/>
        </w:rPr>
        <w:t xml:space="preserve"> մլրդ դրամ կամ </w:t>
      </w:r>
      <w:r w:rsidR="00E21385">
        <w:rPr>
          <w:rFonts w:ascii="GHEA Grapalat" w:hAnsi="GHEA Grapalat" w:cs="GHEA Grapalat"/>
        </w:rPr>
        <w:t xml:space="preserve">իննամսյա </w:t>
      </w:r>
      <w:r w:rsidRPr="003A059B">
        <w:rPr>
          <w:rFonts w:ascii="GHEA Grapalat" w:hAnsi="GHEA Grapalat" w:cs="GHEA Grapalat"/>
        </w:rPr>
        <w:t xml:space="preserve">ծրագրի </w:t>
      </w:r>
      <w:r>
        <w:rPr>
          <w:rFonts w:ascii="GHEA Grapalat" w:hAnsi="GHEA Grapalat" w:cs="GHEA Grapalat"/>
        </w:rPr>
        <w:t>47.8</w:t>
      </w:r>
      <w:r w:rsidRPr="003A059B">
        <w:rPr>
          <w:rFonts w:ascii="GHEA Grapalat" w:hAnsi="GHEA Grapalat" w:cs="GHEA Grapalat"/>
        </w:rPr>
        <w:t>%-ը:</w:t>
      </w:r>
    </w:p>
    <w:p w:rsidR="00C972C0" w:rsidRPr="003A059B" w:rsidRDefault="00C972C0" w:rsidP="00C972C0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3A059B">
        <w:rPr>
          <w:rFonts w:ascii="GHEA Grapalat" w:hAnsi="GHEA Grapalat" w:cs="GHEA Grapalat"/>
          <w:lang w:val="hy-AM"/>
        </w:rPr>
        <w:t>Հաշվետու ժամանակահատվածում ֆինանսավորման ներքին աղբյուրներից փոխառու միջոցների հաշվին պետական բյուջե</w:t>
      </w:r>
      <w:r w:rsidRPr="003A059B">
        <w:rPr>
          <w:rFonts w:ascii="GHEA Grapalat" w:hAnsi="GHEA Grapalat" w:cs="GHEA Grapalat"/>
        </w:rPr>
        <w:t>ի</w:t>
      </w:r>
      <w:r w:rsidRPr="003A059B">
        <w:rPr>
          <w:rFonts w:ascii="GHEA Grapalat" w:hAnsi="GHEA Grapalat" w:cs="GHEA Grapalat"/>
          <w:lang w:val="hy-AM"/>
        </w:rPr>
        <w:t xml:space="preserve"> </w:t>
      </w:r>
      <w:r w:rsidRPr="003A059B">
        <w:rPr>
          <w:rFonts w:ascii="GHEA Grapalat" w:hAnsi="GHEA Grapalat" w:cs="GHEA Grapalat"/>
        </w:rPr>
        <w:t xml:space="preserve">պակասուրդի ֆինանսավորումն </w:t>
      </w:r>
      <w:r w:rsidRPr="003A059B">
        <w:rPr>
          <w:rFonts w:ascii="GHEA Grapalat" w:hAnsi="GHEA Grapalat" w:cs="GHEA Grapalat"/>
          <w:lang w:val="hy-AM"/>
        </w:rPr>
        <w:t>ապահովվել է գանձապետական պարտատոմսերի տեղաբաշխումից զուտ մուտքերի հաշվին</w:t>
      </w:r>
      <w:r w:rsidRPr="003A059B">
        <w:rPr>
          <w:rFonts w:ascii="GHEA Grapalat" w:hAnsi="GHEA Grapalat" w:cs="GHEA Grapalat"/>
        </w:rPr>
        <w:t xml:space="preserve">, որոնք կազմել են </w:t>
      </w:r>
      <w:r>
        <w:rPr>
          <w:rFonts w:ascii="GHEA Grapalat" w:hAnsi="GHEA Grapalat" w:cs="GHEA Grapalat"/>
        </w:rPr>
        <w:t>252.6</w:t>
      </w:r>
      <w:r w:rsidRPr="003A059B">
        <w:rPr>
          <w:rFonts w:ascii="GHEA Grapalat" w:hAnsi="GHEA Grapalat" w:cs="GHEA Grapalat"/>
        </w:rPr>
        <w:t xml:space="preserve"> մլրդ դրամ՝ </w:t>
      </w:r>
      <w:r>
        <w:rPr>
          <w:rFonts w:ascii="GHEA Grapalat" w:hAnsi="GHEA Grapalat" w:cs="GHEA Grapalat"/>
        </w:rPr>
        <w:t>97.9</w:t>
      </w:r>
      <w:r w:rsidRPr="003A059B">
        <w:rPr>
          <w:rFonts w:ascii="GHEA Grapalat" w:hAnsi="GHEA Grapalat" w:cs="GHEA Grapalat"/>
        </w:rPr>
        <w:t>%-ով ապահովելով իննամսյա ծրագիրը</w:t>
      </w:r>
      <w:r w:rsidRPr="003A059B">
        <w:rPr>
          <w:rFonts w:ascii="GHEA Grapalat" w:hAnsi="GHEA Grapalat" w:cs="GHEA Grapalat"/>
          <w:lang w:val="hy-AM"/>
        </w:rPr>
        <w:t>: 3.1 մլն դրամ տրամադրվել է մուրհակների մարմանը` նախատեսված 6.6 մլն դրամի դիմաց։</w:t>
      </w:r>
    </w:p>
    <w:p w:rsidR="00C972C0" w:rsidRPr="003A059B" w:rsidRDefault="00C972C0" w:rsidP="00C972C0">
      <w:pPr>
        <w:spacing w:line="360" w:lineRule="auto"/>
        <w:ind w:firstLine="567"/>
        <w:jc w:val="both"/>
        <w:rPr>
          <w:rFonts w:ascii="GHEA Grapalat" w:hAnsi="GHEA Grapalat" w:cs="GHEA Grapalat"/>
        </w:rPr>
      </w:pPr>
      <w:r w:rsidRPr="003A059B">
        <w:rPr>
          <w:rFonts w:ascii="GHEA Grapalat" w:hAnsi="GHEA Grapalat" w:cs="GHEA Grapalat"/>
          <w:lang w:val="hy-AM"/>
        </w:rPr>
        <w:t>202</w:t>
      </w:r>
      <w:r w:rsidRPr="003A059B">
        <w:rPr>
          <w:rFonts w:ascii="GHEA Grapalat" w:hAnsi="GHEA Grapalat" w:cs="GHEA Grapalat"/>
        </w:rPr>
        <w:t>3</w:t>
      </w:r>
      <w:r w:rsidRPr="003A059B">
        <w:rPr>
          <w:rFonts w:ascii="GHEA Grapalat" w:hAnsi="GHEA Grapalat" w:cs="GHEA Grapalat"/>
          <w:lang w:val="hy-AM"/>
        </w:rPr>
        <w:t xml:space="preserve"> թվականի </w:t>
      </w:r>
      <w:r w:rsidRPr="003A059B">
        <w:rPr>
          <w:rFonts w:ascii="GHEA Grapalat" w:hAnsi="GHEA Grapalat" w:cs="GHEA Grapalat"/>
        </w:rPr>
        <w:t>հունվար-</w:t>
      </w:r>
      <w:r>
        <w:rPr>
          <w:rFonts w:ascii="GHEA Grapalat" w:hAnsi="GHEA Grapalat" w:cs="GHEA Grapalat"/>
        </w:rPr>
        <w:t>օգոստոս</w:t>
      </w:r>
      <w:r w:rsidRPr="003A059B">
        <w:rPr>
          <w:rFonts w:ascii="GHEA Grapalat" w:hAnsi="GHEA Grapalat" w:cs="GHEA Grapalat"/>
        </w:rPr>
        <w:t xml:space="preserve"> ամիսների ընթացքում</w:t>
      </w:r>
      <w:r w:rsidRPr="003A059B">
        <w:rPr>
          <w:rFonts w:ascii="GHEA Grapalat" w:hAnsi="GHEA Grapalat" w:cs="GHEA Grapalat"/>
          <w:lang w:val="hy-AM"/>
        </w:rPr>
        <w:t xml:space="preserve"> ներքին աղբյուրներից ֆինանսական զուտ ակտիվների հաշվին բյուջեի պակասուրդի ֆինանսավորումը կազմել է </w:t>
      </w:r>
      <w:r w:rsidRPr="003A059B">
        <w:rPr>
          <w:rFonts w:ascii="GHEA Grapalat" w:hAnsi="GHEA Grapalat" w:cs="GHEA Grapalat"/>
        </w:rPr>
        <w:noBreakHyphen/>
      </w:r>
      <w:r>
        <w:rPr>
          <w:rFonts w:ascii="GHEA Grapalat" w:hAnsi="GHEA Grapalat" w:cs="GHEA Grapalat"/>
        </w:rPr>
        <w:t>183.8</w:t>
      </w:r>
      <w:r w:rsidRPr="003A059B">
        <w:rPr>
          <w:rFonts w:ascii="GHEA Grapalat" w:hAnsi="GHEA Grapalat" w:cs="GHEA Grapalat"/>
          <w:lang w:val="hy-AM"/>
        </w:rPr>
        <w:t xml:space="preserve"> մլրդ դրամ` </w:t>
      </w:r>
      <w:r w:rsidRPr="003A059B">
        <w:rPr>
          <w:rFonts w:ascii="GHEA Grapalat" w:hAnsi="GHEA Grapalat" w:cs="GHEA Grapalat"/>
        </w:rPr>
        <w:t xml:space="preserve">ինն ամիսներին </w:t>
      </w:r>
      <w:r w:rsidRPr="003A059B">
        <w:rPr>
          <w:rFonts w:ascii="GHEA Grapalat" w:hAnsi="GHEA Grapalat" w:cs="GHEA Grapalat"/>
          <w:lang w:val="hy-AM"/>
        </w:rPr>
        <w:t xml:space="preserve">ծրագրված </w:t>
      </w:r>
      <w:r w:rsidRPr="003A059B">
        <w:rPr>
          <w:rFonts w:ascii="GHEA Grapalat" w:hAnsi="GHEA Grapalat" w:cs="GHEA Grapalat"/>
        </w:rPr>
        <w:t>8</w:t>
      </w:r>
      <w:r>
        <w:rPr>
          <w:rFonts w:ascii="GHEA Grapalat" w:hAnsi="GHEA Grapalat" w:cs="GHEA Grapalat"/>
        </w:rPr>
        <w:t>8</w:t>
      </w:r>
      <w:r w:rsidR="00ED5E56">
        <w:rPr>
          <w:rFonts w:ascii="GHEA Grapalat" w:hAnsi="GHEA Grapalat" w:cs="GHEA Grapalat"/>
        </w:rPr>
        <w:t>.3</w:t>
      </w:r>
      <w:r w:rsidRPr="003A059B">
        <w:rPr>
          <w:rFonts w:ascii="GHEA Grapalat" w:hAnsi="GHEA Grapalat" w:cs="GHEA Grapalat"/>
          <w:lang w:val="hy-AM"/>
        </w:rPr>
        <w:t xml:space="preserve"> մլրդ դրամի դիմաց</w:t>
      </w:r>
      <w:r w:rsidRPr="003A059B">
        <w:rPr>
          <w:rFonts w:ascii="GHEA Grapalat" w:hAnsi="GHEA Grapalat" w:cs="GHEA Grapalat"/>
        </w:rPr>
        <w:t>, որը հիմնականում պայմանավորված է ֆինանսավորման</w:t>
      </w:r>
      <w:r w:rsidRPr="003A059B">
        <w:rPr>
          <w:rFonts w:ascii="GHEA Grapalat" w:hAnsi="GHEA Grapalat" w:cs="GHEA Grapalat"/>
          <w:lang w:val="hy-AM"/>
        </w:rPr>
        <w:t xml:space="preserve"> ներքին աղբյուրներում բյուջեի ազատ միջոցներ</w:t>
      </w:r>
      <w:r w:rsidRPr="003A059B">
        <w:rPr>
          <w:rFonts w:ascii="GHEA Grapalat" w:hAnsi="GHEA Grapalat" w:cs="GHEA Grapalat"/>
        </w:rPr>
        <w:t>ի՝ ինն</w:t>
      </w:r>
      <w:r w:rsidR="005F4611">
        <w:rPr>
          <w:rFonts w:ascii="GHEA Grapalat" w:hAnsi="GHEA Grapalat" w:cs="GHEA Grapalat"/>
        </w:rPr>
        <w:t>ամսյա ծրագրով</w:t>
      </w:r>
      <w:r w:rsidRPr="003A059B">
        <w:rPr>
          <w:rFonts w:ascii="GHEA Grapalat" w:hAnsi="GHEA Grapalat" w:cs="GHEA Grapalat"/>
          <w:lang w:val="hy-AM"/>
        </w:rPr>
        <w:t xml:space="preserve"> նախատեսված </w:t>
      </w:r>
      <w:r>
        <w:rPr>
          <w:rFonts w:ascii="GHEA Grapalat" w:hAnsi="GHEA Grapalat" w:cs="GHEA Grapalat"/>
        </w:rPr>
        <w:t>110.</w:t>
      </w:r>
      <w:r w:rsidR="00ED5E56">
        <w:rPr>
          <w:rFonts w:ascii="GHEA Grapalat" w:hAnsi="GHEA Grapalat" w:cs="GHEA Grapalat"/>
        </w:rPr>
        <w:t>4</w:t>
      </w:r>
      <w:r w:rsidRPr="003A059B">
        <w:rPr>
          <w:rFonts w:ascii="GHEA Grapalat" w:hAnsi="GHEA Grapalat" w:cs="GHEA Grapalat"/>
          <w:lang w:val="hy-AM"/>
        </w:rPr>
        <w:t xml:space="preserve"> մլրդ դրամ օգտագործման դիմաց </w:t>
      </w:r>
      <w:r>
        <w:rPr>
          <w:rFonts w:ascii="GHEA Grapalat" w:hAnsi="GHEA Grapalat" w:cs="GHEA Grapalat"/>
        </w:rPr>
        <w:t>192.9</w:t>
      </w:r>
      <w:r w:rsidRPr="003A059B">
        <w:rPr>
          <w:rFonts w:ascii="GHEA Grapalat" w:hAnsi="GHEA Grapalat" w:cs="GHEA Grapalat"/>
          <w:lang w:val="hy-AM"/>
        </w:rPr>
        <w:t xml:space="preserve"> մլրդ դրամ աճով</w:t>
      </w:r>
      <w:r w:rsidR="00594BEA" w:rsidRPr="00594BEA">
        <w:rPr>
          <w:rFonts w:ascii="GHEA Grapalat" w:hAnsi="GHEA Grapalat" w:cs="GHEA Grapalat"/>
          <w:lang w:val="hy-AM"/>
        </w:rPr>
        <w:t>, որից 7 մլրդ դրամն ուղղվել է կայունացման դեպոզիտային հաշվի համալրմանը</w:t>
      </w:r>
      <w:r w:rsidRPr="003A059B">
        <w:rPr>
          <w:rFonts w:ascii="GHEA Grapalat" w:hAnsi="GHEA Grapalat" w:cs="GHEA Grapalat"/>
          <w:lang w:val="hy-AM"/>
        </w:rPr>
        <w:t xml:space="preserve">: </w:t>
      </w:r>
      <w:r w:rsidRPr="003A059B">
        <w:rPr>
          <w:rFonts w:ascii="GHEA Grapalat" w:hAnsi="GHEA Grapalat" w:cs="GHEA Grapalat"/>
        </w:rPr>
        <w:t>Իննամսյա</w:t>
      </w:r>
      <w:r w:rsidRPr="003A059B">
        <w:rPr>
          <w:rFonts w:ascii="GHEA Grapalat" w:hAnsi="GHEA Grapalat" w:cs="GHEA Grapalat"/>
          <w:lang w:val="hy-AM"/>
        </w:rPr>
        <w:t xml:space="preserve"> ծրագրով նախատեսվել է արտաքին աջակցությամբ իրականացվող ծրագրերի շրջանակներում </w:t>
      </w:r>
      <w:r w:rsidRPr="003A059B">
        <w:rPr>
          <w:rFonts w:ascii="GHEA Grapalat" w:hAnsi="GHEA Grapalat" w:cs="GHEA Grapalat"/>
        </w:rPr>
        <w:t>22.1</w:t>
      </w:r>
      <w:r w:rsidRPr="003A059B">
        <w:rPr>
          <w:rFonts w:ascii="GHEA Grapalat" w:hAnsi="GHEA Grapalat" w:cs="GHEA Grapalat"/>
          <w:lang w:val="hy-AM"/>
        </w:rPr>
        <w:t xml:space="preserve"> մլրդ դրամ վարկերի տրամադրում ՀՀ ռեզիդենտներին, </w:t>
      </w:r>
      <w:r w:rsidRPr="003A059B">
        <w:rPr>
          <w:rFonts w:ascii="GHEA Grapalat" w:hAnsi="GHEA Grapalat" w:cs="GHEA Grapalat"/>
        </w:rPr>
        <w:t>որից</w:t>
      </w:r>
      <w:r w:rsidR="0048137C">
        <w:rPr>
          <w:rFonts w:ascii="GHEA Grapalat" w:hAnsi="GHEA Grapalat" w:cs="GHEA Grapalat"/>
        </w:rPr>
        <w:t xml:space="preserve"> հունվար-օգոստոսին</w:t>
      </w:r>
      <w:r w:rsidRPr="003A059B">
        <w:rPr>
          <w:rFonts w:ascii="GHEA Grapalat" w:hAnsi="GHEA Grapalat" w:cs="GHEA Grapalat"/>
        </w:rPr>
        <w:t xml:space="preserve"> </w:t>
      </w:r>
      <w:r w:rsidRPr="003A059B">
        <w:rPr>
          <w:rFonts w:ascii="GHEA Grapalat" w:hAnsi="GHEA Grapalat" w:cs="GHEA Grapalat"/>
          <w:lang w:val="hy-AM"/>
        </w:rPr>
        <w:t xml:space="preserve">փաստացի տրամադրվել է </w:t>
      </w:r>
      <w:r>
        <w:rPr>
          <w:rFonts w:ascii="GHEA Grapalat" w:hAnsi="GHEA Grapalat" w:cs="GHEA Grapalat"/>
        </w:rPr>
        <w:t>7.3</w:t>
      </w:r>
      <w:r w:rsidRPr="003A059B">
        <w:rPr>
          <w:rFonts w:ascii="GHEA Grapalat" w:hAnsi="GHEA Grapalat" w:cs="GHEA Grapalat"/>
          <w:lang w:val="hy-AM"/>
        </w:rPr>
        <w:t xml:space="preserve"> մլրդ դրամ</w:t>
      </w:r>
      <w:r w:rsidRPr="003A059B">
        <w:rPr>
          <w:rFonts w:ascii="GHEA Grapalat" w:hAnsi="GHEA Grapalat" w:cs="GHEA Grapalat"/>
        </w:rPr>
        <w:t>: Մասնավորապես՝</w:t>
      </w:r>
      <w:r w:rsidRPr="003A059B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</w:rPr>
        <w:t>6.8</w:t>
      </w:r>
      <w:r w:rsidR="0048137C">
        <w:rPr>
          <w:rFonts w:ascii="Calibri" w:hAnsi="Calibri" w:cs="Calibri"/>
        </w:rPr>
        <w:t> </w:t>
      </w:r>
      <w:r w:rsidRPr="003A059B">
        <w:rPr>
          <w:rFonts w:ascii="GHEA Grapalat" w:hAnsi="GHEA Grapalat" w:cs="GHEA Grapalat"/>
          <w:lang w:val="hy-AM"/>
        </w:rPr>
        <w:t>մլրդ դրամ</w:t>
      </w:r>
      <w:r w:rsidRPr="003A059B">
        <w:rPr>
          <w:rFonts w:ascii="GHEA Grapalat" w:hAnsi="GHEA Grapalat" w:cs="GHEA Grapalat"/>
        </w:rPr>
        <w:t xml:space="preserve"> տրամադրվել է</w:t>
      </w:r>
      <w:r w:rsidRPr="003A059B">
        <w:rPr>
          <w:rFonts w:ascii="GHEA Grapalat" w:hAnsi="GHEA Grapalat" w:cs="GHEA Grapalat"/>
          <w:lang w:val="hy-AM"/>
        </w:rPr>
        <w:t xml:space="preserve"> Քաղաքային զարգացման ծրագրի, 209.9</w:t>
      </w:r>
      <w:r w:rsidRPr="003A059B">
        <w:rPr>
          <w:rFonts w:ascii="Calibri" w:hAnsi="Calibri" w:cs="Calibri"/>
        </w:rPr>
        <w:t> </w:t>
      </w:r>
      <w:r w:rsidRPr="003A059B">
        <w:rPr>
          <w:rFonts w:ascii="GHEA Grapalat" w:hAnsi="GHEA Grapalat" w:cs="GHEA Grapalat"/>
          <w:lang w:val="hy-AM"/>
        </w:rPr>
        <w:t>մլն դրամ՝ Կոշտ թափոնների կառավարման</w:t>
      </w:r>
      <w:r w:rsidRPr="003A059B">
        <w:rPr>
          <w:rFonts w:ascii="GHEA Grapalat" w:hAnsi="GHEA Grapalat" w:cs="GHEA Grapalat"/>
        </w:rPr>
        <w:t xml:space="preserve"> ծրագրի</w:t>
      </w:r>
      <w:r w:rsidRPr="003A059B">
        <w:rPr>
          <w:rFonts w:ascii="GHEA Grapalat" w:hAnsi="GHEA Grapalat" w:cs="GHEA Grapalat"/>
          <w:lang w:val="hy-AM"/>
        </w:rPr>
        <w:t xml:space="preserve">, </w:t>
      </w:r>
      <w:r>
        <w:rPr>
          <w:rFonts w:ascii="GHEA Grapalat" w:hAnsi="GHEA Grapalat" w:cs="GHEA Grapalat"/>
        </w:rPr>
        <w:t>368.3</w:t>
      </w:r>
      <w:r w:rsidRPr="003A059B">
        <w:rPr>
          <w:rFonts w:ascii="Calibri" w:hAnsi="Calibri" w:cs="Calibri"/>
        </w:rPr>
        <w:t> </w:t>
      </w:r>
      <w:r w:rsidRPr="003A059B">
        <w:rPr>
          <w:rFonts w:ascii="GHEA Grapalat" w:hAnsi="GHEA Grapalat" w:cs="GHEA Grapalat"/>
          <w:lang w:val="hy-AM"/>
        </w:rPr>
        <w:t xml:space="preserve">մլն դրամ՝ Էլեկտրաէներգետիկ համակարգի զարգացման ծրագրի շրջանակներում: </w:t>
      </w:r>
      <w:r w:rsidRPr="003A059B">
        <w:rPr>
          <w:rFonts w:ascii="GHEA Grapalat" w:hAnsi="GHEA Grapalat" w:cs="GHEA Grapalat"/>
        </w:rPr>
        <w:t xml:space="preserve">Նախկինում պետական բյուջեից ռեզիդենտներին տրամադրված վարկերից վերադարձվել է </w:t>
      </w:r>
      <w:r>
        <w:rPr>
          <w:rFonts w:ascii="GHEA Grapalat" w:hAnsi="GHEA Grapalat" w:cs="GHEA Grapalat"/>
        </w:rPr>
        <w:t>22.2</w:t>
      </w:r>
      <w:r w:rsidRPr="003A059B">
        <w:rPr>
          <w:rFonts w:ascii="GHEA Grapalat" w:hAnsi="GHEA Grapalat" w:cs="GHEA Grapalat"/>
        </w:rPr>
        <w:t xml:space="preserve"> մլրդ դրամ՝ ինն ամիսների համար ծրագրված 20 մլրդ դրամի դիմաց, ինչը հիմնականում պայմանավորված է</w:t>
      </w:r>
      <w:r w:rsidRPr="003A059B">
        <w:t xml:space="preserve"> </w:t>
      </w:r>
      <w:r w:rsidRPr="003A059B">
        <w:rPr>
          <w:rFonts w:ascii="GHEA Grapalat" w:hAnsi="GHEA Grapalat" w:cs="GHEA Grapalat"/>
        </w:rPr>
        <w:t>«Հայկական ատոմակայան» ՓԲԸ-ին տրամադրված վարկի վաղաժամկետ մարմամբ:</w:t>
      </w:r>
    </w:p>
    <w:p w:rsidR="00C972C0" w:rsidRPr="003A059B" w:rsidRDefault="00C972C0" w:rsidP="00C972C0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C972C0" w:rsidRPr="003A059B" w:rsidRDefault="00C972C0" w:rsidP="00C972C0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color w:val="auto"/>
          <w:sz w:val="20"/>
          <w:szCs w:val="20"/>
        </w:rPr>
      </w:pPr>
      <w:r w:rsidRPr="003A059B">
        <w:rPr>
          <w:rFonts w:ascii="GHEA Grapalat" w:hAnsi="GHEA Grapalat"/>
          <w:b/>
          <w:bCs/>
          <w:color w:val="auto"/>
          <w:sz w:val="20"/>
          <w:szCs w:val="20"/>
        </w:rPr>
        <w:t xml:space="preserve">ՀՀ պետական բյուջեի պակասուրդի </w:t>
      </w:r>
      <w:r w:rsidRPr="003A059B">
        <w:rPr>
          <w:rFonts w:ascii="GHEA Grapalat" w:hAnsi="GHEA Grapalat"/>
          <w:b/>
          <w:bCs/>
          <w:iCs w:val="0"/>
          <w:color w:val="auto"/>
          <w:sz w:val="20"/>
          <w:szCs w:val="20"/>
        </w:rPr>
        <w:t>ֆինանսավորման</w:t>
      </w:r>
      <w:r w:rsidRPr="003A059B">
        <w:rPr>
          <w:rFonts w:ascii="GHEA Grapalat" w:hAnsi="GHEA Grapalat"/>
          <w:b/>
          <w:bCs/>
          <w:color w:val="auto"/>
          <w:sz w:val="20"/>
          <w:szCs w:val="20"/>
        </w:rPr>
        <w:t xml:space="preserve"> աղբյուրները (մլրդ դրամ)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20"/>
        <w:gridCol w:w="1415"/>
        <w:gridCol w:w="1422"/>
        <w:gridCol w:w="1697"/>
        <w:gridCol w:w="1693"/>
      </w:tblGrid>
      <w:tr w:rsidR="00C972C0" w:rsidRPr="003A059B" w:rsidTr="00574CC6">
        <w:trPr>
          <w:trHeight w:val="17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2022թ.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  <w:t>փաստ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ինն ամիսների ճշտված պլան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ամիսների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  <w:t>փաստ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Կատարո-ղականն ինն ամիսների ճշտված պլանի նկատմամբ </w:t>
            </w:r>
          </w:p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ը 2022թ.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օգոստոս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ի նկատմամբ</w:t>
            </w:r>
          </w:p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C972C0" w:rsidRPr="003A059B" w:rsidTr="00574CC6">
        <w:trPr>
          <w:trHeight w:val="3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C0" w:rsidRPr="003A059B" w:rsidRDefault="00C972C0" w:rsidP="00574CC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lastRenderedPageBreak/>
              <w:t xml:space="preserve">Դեֆիցիտ </w:t>
            </w:r>
            <w:r w:rsidRPr="003A059B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(</w:t>
            </w:r>
            <w:r w:rsidRPr="003A059B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հավելուրդ</w:t>
            </w:r>
            <w:r w:rsidRPr="003A059B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)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,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53.7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243.1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71.6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29.4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133.3</w:t>
            </w:r>
          </w:p>
        </w:tc>
      </w:tr>
      <w:tr w:rsidR="00C972C0" w:rsidRPr="003A059B" w:rsidTr="00574CC6">
        <w:trPr>
          <w:trHeight w:val="3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C0" w:rsidRPr="003A059B" w:rsidRDefault="00C972C0" w:rsidP="00574CC6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color w:val="000000"/>
                <w:sz w:val="20"/>
                <w:szCs w:val="20"/>
              </w:rPr>
              <w:t>Ներքին աղբյուրներ,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70.8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346.2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67.8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19.9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97.2</w:t>
            </w:r>
          </w:p>
        </w:tc>
      </w:tr>
      <w:tr w:rsidR="00C972C0" w:rsidRPr="003A059B" w:rsidTr="00574CC6">
        <w:trPr>
          <w:trHeight w:val="3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C0" w:rsidRPr="003A059B" w:rsidRDefault="00C972C0" w:rsidP="00C972C0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Փոխառու միջոցներ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158.7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258.0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252.6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97.9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159.2</w:t>
            </w:r>
          </w:p>
        </w:tc>
      </w:tr>
      <w:tr w:rsidR="00C972C0" w:rsidRPr="003A059B" w:rsidTr="00574CC6">
        <w:trPr>
          <w:trHeight w:val="3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C0" w:rsidRPr="003A059B" w:rsidRDefault="00C972C0" w:rsidP="00C972C0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87.9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88.3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(1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8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3.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8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208.3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209.1</w:t>
            </w:r>
          </w:p>
        </w:tc>
      </w:tr>
      <w:tr w:rsidR="00C972C0" w:rsidRPr="003A059B" w:rsidTr="00574CC6">
        <w:trPr>
          <w:trHeight w:val="3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C0" w:rsidRPr="003A059B" w:rsidRDefault="00C972C0" w:rsidP="00574CC6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color w:val="000000"/>
                <w:sz w:val="20"/>
                <w:szCs w:val="20"/>
              </w:rPr>
              <w:t>Արտաքին աղբյուրներ,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124.5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103.1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(1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4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0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.4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36.1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112.8</w:t>
            </w:r>
          </w:p>
        </w:tc>
      </w:tr>
      <w:tr w:rsidR="00C972C0" w:rsidRPr="003A059B" w:rsidTr="00574CC6">
        <w:trPr>
          <w:trHeight w:val="3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C0" w:rsidRPr="003A059B" w:rsidRDefault="00C972C0" w:rsidP="00C972C0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Փոխառու միջոցներ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(7.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5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42.3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(12.0)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(28.3)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158.9</w:t>
            </w:r>
          </w:p>
        </w:tc>
      </w:tr>
      <w:tr w:rsidR="00C972C0" w:rsidRPr="003A059B" w:rsidTr="00574CC6">
        <w:trPr>
          <w:trHeight w:val="3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C0" w:rsidRPr="003A059B" w:rsidRDefault="00C972C0" w:rsidP="00C972C0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117.0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(14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5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.4)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128.4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88.3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109.8</w:t>
            </w:r>
          </w:p>
        </w:tc>
      </w:tr>
    </w:tbl>
    <w:p w:rsidR="00C972C0" w:rsidRPr="003A059B" w:rsidRDefault="00C972C0" w:rsidP="00C972C0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C972C0" w:rsidRPr="00D501AA" w:rsidRDefault="00C972C0" w:rsidP="00D501AA">
      <w:pPr>
        <w:spacing w:line="360" w:lineRule="auto"/>
        <w:ind w:firstLine="567"/>
        <w:jc w:val="both"/>
        <w:rPr>
          <w:rFonts w:ascii="GHEA Grapalat" w:hAnsi="GHEA Grapalat" w:cs="GHEA Grapalat"/>
        </w:rPr>
      </w:pPr>
      <w:r w:rsidRPr="003A059B">
        <w:rPr>
          <w:rFonts w:ascii="GHEA Grapalat" w:hAnsi="GHEA Grapalat" w:cs="GHEA Grapalat"/>
          <w:lang w:val="hy-AM"/>
        </w:rPr>
        <w:t>202</w:t>
      </w:r>
      <w:r w:rsidRPr="003A059B">
        <w:rPr>
          <w:rFonts w:ascii="GHEA Grapalat" w:hAnsi="GHEA Grapalat" w:cs="GHEA Grapalat"/>
        </w:rPr>
        <w:t>3</w:t>
      </w:r>
      <w:r w:rsidRPr="003A059B">
        <w:rPr>
          <w:rFonts w:ascii="GHEA Grapalat" w:hAnsi="GHEA Grapalat" w:cs="GHEA Grapalat"/>
          <w:lang w:val="hy-AM"/>
        </w:rPr>
        <w:t xml:space="preserve"> թվականի </w:t>
      </w:r>
      <w:r w:rsidRPr="003A059B">
        <w:rPr>
          <w:rFonts w:ascii="GHEA Grapalat" w:hAnsi="GHEA Grapalat" w:cs="GHEA Grapalat"/>
        </w:rPr>
        <w:t>հունվար-</w:t>
      </w:r>
      <w:r>
        <w:rPr>
          <w:rFonts w:ascii="GHEA Grapalat" w:hAnsi="GHEA Grapalat" w:cs="GHEA Grapalat"/>
        </w:rPr>
        <w:t>օգոստոս</w:t>
      </w:r>
      <w:r w:rsidRPr="003A059B">
        <w:rPr>
          <w:rFonts w:ascii="GHEA Grapalat" w:hAnsi="GHEA Grapalat" w:cs="GHEA Grapalat"/>
        </w:rPr>
        <w:t xml:space="preserve"> ամիսների ընթացքում ա</w:t>
      </w:r>
      <w:r w:rsidRPr="003A059B">
        <w:rPr>
          <w:rFonts w:ascii="GHEA Grapalat" w:hAnsi="GHEA Grapalat" w:cs="GHEA Grapalat"/>
          <w:lang w:val="hy-AM"/>
        </w:rPr>
        <w:t>րտաքին աղբյուրներ</w:t>
      </w:r>
      <w:r w:rsidRPr="003A059B">
        <w:rPr>
          <w:rFonts w:ascii="GHEA Grapalat" w:hAnsi="GHEA Grapalat" w:cs="GHEA Grapalat"/>
        </w:rPr>
        <w:t xml:space="preserve">ից փոխառու զուտ միջոցների հաշվին </w:t>
      </w:r>
      <w:r w:rsidRPr="003A059B">
        <w:rPr>
          <w:rFonts w:ascii="GHEA Grapalat" w:hAnsi="GHEA Grapalat" w:cs="GHEA Grapalat"/>
          <w:lang w:val="hy-AM"/>
        </w:rPr>
        <w:t>ՀՀ պետական բյուջեի պակասուրդ</w:t>
      </w:r>
      <w:r w:rsidRPr="003A059B">
        <w:rPr>
          <w:rFonts w:ascii="GHEA Grapalat" w:hAnsi="GHEA Grapalat" w:cs="GHEA Grapalat"/>
        </w:rPr>
        <w:t>ը ա</w:t>
      </w:r>
      <w:r w:rsidRPr="003A059B">
        <w:rPr>
          <w:rFonts w:ascii="GHEA Grapalat" w:hAnsi="GHEA Grapalat" w:cs="GHEA Grapalat"/>
          <w:lang w:val="hy-AM"/>
        </w:rPr>
        <w:t xml:space="preserve">րտաքին </w:t>
      </w:r>
      <w:r w:rsidRPr="003A059B">
        <w:rPr>
          <w:rFonts w:ascii="GHEA Grapalat" w:hAnsi="GHEA Grapalat" w:cs="GHEA Grapalat"/>
        </w:rPr>
        <w:t>վարկատուների</w:t>
      </w:r>
      <w:r w:rsidRPr="003A059B">
        <w:rPr>
          <w:rFonts w:ascii="GHEA Grapalat" w:hAnsi="GHEA Grapalat" w:cs="GHEA Grapalat"/>
          <w:lang w:val="hy-AM"/>
        </w:rPr>
        <w:t xml:space="preserve"> աջակցությամբ</w:t>
      </w:r>
      <w:r w:rsidRPr="003A059B">
        <w:rPr>
          <w:rFonts w:ascii="GHEA Grapalat" w:hAnsi="GHEA Grapalat" w:cs="GHEA Grapalat"/>
        </w:rPr>
        <w:t xml:space="preserve"> իրականացվող ծրագրերի ֆինանսավորումը կազմել է </w:t>
      </w:r>
      <w:r>
        <w:rPr>
          <w:rFonts w:ascii="GHEA Grapalat" w:hAnsi="GHEA Grapalat" w:cs="GHEA Grapalat"/>
        </w:rPr>
        <w:t>63.4</w:t>
      </w:r>
      <w:r w:rsidRPr="003A059B">
        <w:rPr>
          <w:rFonts w:ascii="Calibri" w:hAnsi="Calibri" w:cs="Calibri"/>
        </w:rPr>
        <w:t> </w:t>
      </w:r>
      <w:r w:rsidRPr="003A059B">
        <w:rPr>
          <w:rFonts w:ascii="GHEA Grapalat" w:hAnsi="GHEA Grapalat" w:cs="GHEA Grapalat"/>
        </w:rPr>
        <w:t xml:space="preserve">մլրդ դրամ, որից </w:t>
      </w:r>
      <w:r w:rsidRPr="003A059B">
        <w:rPr>
          <w:rFonts w:ascii="GHEA Grapalat" w:hAnsi="GHEA Grapalat" w:cs="GHEA Grapalat"/>
          <w:lang w:val="hy-AM"/>
        </w:rPr>
        <w:t>նպատակային ծրագրերի շրջանակներում ստացվ</w:t>
      </w:r>
      <w:r w:rsidRPr="003A059B">
        <w:rPr>
          <w:rFonts w:ascii="GHEA Grapalat" w:hAnsi="GHEA Grapalat" w:cs="GHEA Grapalat"/>
        </w:rPr>
        <w:t>ել է շուրջ 2</w:t>
      </w:r>
      <w:r>
        <w:rPr>
          <w:rFonts w:ascii="GHEA Grapalat" w:hAnsi="GHEA Grapalat" w:cs="GHEA Grapalat"/>
        </w:rPr>
        <w:t>3.6</w:t>
      </w:r>
      <w:r w:rsidRPr="003A059B">
        <w:rPr>
          <w:rFonts w:ascii="GHEA Grapalat" w:hAnsi="GHEA Grapalat" w:cs="GHEA Grapalat"/>
        </w:rPr>
        <w:t xml:space="preserve"> մլրդ դրամ, որոնք կազմել են</w:t>
      </w:r>
      <w:r w:rsidRPr="003A059B">
        <w:rPr>
          <w:rFonts w:ascii="GHEA Grapalat" w:hAnsi="GHEA Grapalat" w:cs="GHEA Grapalat"/>
          <w:lang w:val="hy-AM"/>
        </w:rPr>
        <w:t xml:space="preserve"> </w:t>
      </w:r>
      <w:r w:rsidRPr="003A059B">
        <w:rPr>
          <w:rFonts w:ascii="GHEA Grapalat" w:hAnsi="GHEA Grapalat" w:cs="GHEA Grapalat"/>
        </w:rPr>
        <w:t xml:space="preserve">իննամսյա </w:t>
      </w:r>
      <w:r w:rsidRPr="003A059B">
        <w:rPr>
          <w:rFonts w:ascii="GHEA Grapalat" w:hAnsi="GHEA Grapalat" w:cs="GHEA Grapalat"/>
          <w:lang w:val="hy-AM"/>
        </w:rPr>
        <w:t xml:space="preserve">ծրագրված ցուցանիշի </w:t>
      </w:r>
      <w:r>
        <w:rPr>
          <w:rFonts w:ascii="GHEA Grapalat" w:hAnsi="GHEA Grapalat" w:cs="GHEA Grapalat"/>
        </w:rPr>
        <w:t>32</w:t>
      </w:r>
      <w:r w:rsidRPr="003A059B">
        <w:rPr>
          <w:rFonts w:ascii="GHEA Grapalat" w:hAnsi="GHEA Grapalat" w:cs="GHEA Grapalat"/>
          <w:lang w:val="hy-AM"/>
        </w:rPr>
        <w:t xml:space="preserve">%-ը, իսկ բյուջետային </w:t>
      </w:r>
      <w:r w:rsidRPr="00D501AA">
        <w:rPr>
          <w:rFonts w:ascii="GHEA Grapalat" w:hAnsi="GHEA Grapalat" w:cs="GHEA Grapalat"/>
        </w:rPr>
        <w:t>աջակցության 59.1 մլրդ դրամ</w:t>
      </w:r>
      <w:r w:rsidRPr="003A059B">
        <w:rPr>
          <w:rFonts w:ascii="GHEA Grapalat" w:hAnsi="GHEA Grapalat" w:cs="GHEA Grapalat"/>
        </w:rPr>
        <w:t>ից</w:t>
      </w:r>
      <w:r w:rsidRPr="00D501AA">
        <w:rPr>
          <w:rFonts w:ascii="GHEA Grapalat" w:hAnsi="GHEA Grapalat" w:cs="GHEA Grapalat"/>
        </w:rPr>
        <w:t xml:space="preserve"> ստացվել</w:t>
      </w:r>
      <w:r w:rsidRPr="003A059B">
        <w:rPr>
          <w:rFonts w:ascii="GHEA Grapalat" w:hAnsi="GHEA Grapalat" w:cs="GHEA Grapalat"/>
        </w:rPr>
        <w:t xml:space="preserve"> է </w:t>
      </w:r>
      <w:r>
        <w:rPr>
          <w:rFonts w:ascii="GHEA Grapalat" w:hAnsi="GHEA Grapalat" w:cs="GHEA Grapalat"/>
        </w:rPr>
        <w:t>39.9</w:t>
      </w:r>
      <w:r w:rsidRPr="003A059B">
        <w:rPr>
          <w:rFonts w:ascii="GHEA Grapalat" w:hAnsi="GHEA Grapalat" w:cs="GHEA Grapalat"/>
        </w:rPr>
        <w:t xml:space="preserve"> մլրդ դրամը կամ 67.5%-ը</w:t>
      </w:r>
      <w:r w:rsidRPr="00D501AA">
        <w:rPr>
          <w:rFonts w:ascii="GHEA Grapalat" w:hAnsi="GHEA Grapalat" w:cs="GHEA Grapalat"/>
        </w:rPr>
        <w:t xml:space="preserve">: </w:t>
      </w:r>
      <w:r w:rsidR="00B47F3A">
        <w:rPr>
          <w:rFonts w:ascii="GHEA Grapalat" w:hAnsi="GHEA Grapalat" w:cs="GHEA Grapalat"/>
        </w:rPr>
        <w:t xml:space="preserve">Միջոցները ստացվել են </w:t>
      </w:r>
      <w:r w:rsidR="00D501AA" w:rsidRPr="00D501AA">
        <w:rPr>
          <w:rFonts w:ascii="GHEA Grapalat" w:hAnsi="GHEA Grapalat" w:cs="GHEA Grapalat"/>
        </w:rPr>
        <w:t>ՎԶՄԲ</w:t>
      </w:r>
      <w:r w:rsidR="00B47F3A">
        <w:rPr>
          <w:rFonts w:ascii="GHEA Grapalat" w:hAnsi="GHEA Grapalat" w:cs="GHEA Grapalat"/>
        </w:rPr>
        <w:t>-ից</w:t>
      </w:r>
      <w:r w:rsidR="00DA58A2">
        <w:rPr>
          <w:rFonts w:ascii="GHEA Grapalat" w:hAnsi="GHEA Grapalat" w:cs="GHEA Grapalat"/>
        </w:rPr>
        <w:t>՝</w:t>
      </w:r>
      <w:r w:rsidR="00B47F3A">
        <w:rPr>
          <w:rFonts w:ascii="GHEA Grapalat" w:hAnsi="GHEA Grapalat" w:cs="GHEA Grapalat"/>
        </w:rPr>
        <w:t xml:space="preserve"> </w:t>
      </w:r>
      <w:r w:rsidR="00DA58A2">
        <w:rPr>
          <w:rFonts w:ascii="GHEA Grapalat" w:hAnsi="GHEA Grapalat" w:cs="GHEA Grapalat"/>
        </w:rPr>
        <w:t>«</w:t>
      </w:r>
      <w:r w:rsidR="00B47F3A" w:rsidRPr="00B47F3A">
        <w:rPr>
          <w:rFonts w:ascii="GHEA Grapalat" w:hAnsi="GHEA Grapalat" w:cs="GHEA Grapalat"/>
        </w:rPr>
        <w:t>Կանաչ, դիմակայուն և ներառական զարգացման քաղաքականության վարկ</w:t>
      </w:r>
      <w:r w:rsidR="00DA58A2">
        <w:rPr>
          <w:rFonts w:ascii="GHEA Grapalat" w:hAnsi="GHEA Grapalat" w:cs="GHEA Grapalat"/>
        </w:rPr>
        <w:t xml:space="preserve">» </w:t>
      </w:r>
      <w:r w:rsidR="00CE321D">
        <w:rPr>
          <w:rFonts w:ascii="GHEA Grapalat" w:hAnsi="GHEA Grapalat" w:cs="GHEA Grapalat"/>
        </w:rPr>
        <w:t xml:space="preserve">բյուջետային աջակցության </w:t>
      </w:r>
      <w:r w:rsidR="00DA58A2">
        <w:rPr>
          <w:rFonts w:ascii="GHEA Grapalat" w:hAnsi="GHEA Grapalat" w:cs="GHEA Grapalat"/>
        </w:rPr>
        <w:t>վարկային համաձայնագրի շրջանակներում</w:t>
      </w:r>
      <w:r w:rsidR="00B47F3A">
        <w:rPr>
          <w:rFonts w:ascii="GHEA Grapalat" w:hAnsi="GHEA Grapalat" w:cs="GHEA Grapalat"/>
        </w:rPr>
        <w:t>՝ կազմելով ծրագրված ցուցանիշի 101%-ը,</w:t>
      </w:r>
      <w:r w:rsidR="00D501AA" w:rsidRPr="00D501AA">
        <w:rPr>
          <w:rFonts w:ascii="GHEA Grapalat" w:hAnsi="GHEA Grapalat" w:cs="GHEA Grapalat"/>
        </w:rPr>
        <w:t xml:space="preserve"> իսկ</w:t>
      </w:r>
      <w:r w:rsidR="00084C81">
        <w:rPr>
          <w:rFonts w:ascii="GHEA Grapalat" w:hAnsi="GHEA Grapalat" w:cs="GHEA Grapalat"/>
        </w:rPr>
        <w:t xml:space="preserve"> նույն վարկի համաֆինանսավորման նպատակով </w:t>
      </w:r>
      <w:r w:rsidR="00D501AA" w:rsidRPr="00D501AA">
        <w:rPr>
          <w:rFonts w:ascii="GHEA Grapalat" w:hAnsi="GHEA Grapalat" w:cs="GHEA Grapalat"/>
        </w:rPr>
        <w:t xml:space="preserve">ՕՊԵԿ-ի Միջազգային զարգացման հիմնադրամի (ՕՄԶՀ) </w:t>
      </w:r>
      <w:r w:rsidR="00084C81">
        <w:rPr>
          <w:rFonts w:ascii="GHEA Grapalat" w:hAnsi="GHEA Grapalat" w:cs="GHEA Grapalat"/>
        </w:rPr>
        <w:t xml:space="preserve">կողմից նախատեսված </w:t>
      </w:r>
      <w:r w:rsidR="00D501AA" w:rsidRPr="00D501AA">
        <w:rPr>
          <w:rFonts w:ascii="GHEA Grapalat" w:hAnsi="GHEA Grapalat" w:cs="GHEA Grapalat"/>
        </w:rPr>
        <w:t>19.6 մլրդ դրամ</w:t>
      </w:r>
      <w:r w:rsidR="00084C81">
        <w:rPr>
          <w:rFonts w:ascii="GHEA Grapalat" w:hAnsi="GHEA Grapalat" w:cs="GHEA Grapalat"/>
        </w:rPr>
        <w:t xml:space="preserve"> վարկային միջոցները չեն ստացվել:</w:t>
      </w:r>
    </w:p>
    <w:p w:rsidR="00C972C0" w:rsidRPr="00D501AA" w:rsidRDefault="00C972C0" w:rsidP="00C972C0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C972C0" w:rsidRPr="003A059B" w:rsidRDefault="00C972C0" w:rsidP="00C972C0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color w:val="auto"/>
          <w:sz w:val="20"/>
          <w:szCs w:val="20"/>
        </w:rPr>
      </w:pPr>
      <w:r w:rsidRPr="003A059B">
        <w:rPr>
          <w:rFonts w:ascii="GHEA Grapalat" w:hAnsi="GHEA Grapalat"/>
          <w:b/>
          <w:bCs/>
          <w:color w:val="auto"/>
          <w:sz w:val="20"/>
          <w:szCs w:val="20"/>
        </w:rPr>
        <w:t>Արտաքին աղբյուրներից նպատակային վարկերի ստացում (մլրդ դրամ)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4"/>
        <w:gridCol w:w="1700"/>
        <w:gridCol w:w="2409"/>
      </w:tblGrid>
      <w:tr w:rsidR="00C972C0" w:rsidRPr="003A059B" w:rsidTr="00726C8B">
        <w:trPr>
          <w:trHeight w:val="11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ինն ամիսների ճշտված պլան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հունվար-հուլիս ամիսների փաստ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Կատարողականն ինն ամիսների ճշտված պլանի նկատմամբ</w:t>
            </w:r>
          </w:p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C972C0" w:rsidRPr="003A059B" w:rsidTr="00D501AA">
        <w:trPr>
          <w:trHeight w:val="3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Նպատակային վարկերի ստացում</w:t>
            </w:r>
            <w:r w:rsidRPr="003A059B">
              <w:rPr>
                <w:rFonts w:ascii="GHEA Grapalat" w:hAnsi="GHEA Grapalat" w:cs="Calibri"/>
                <w:bCs/>
                <w:sz w:val="20"/>
                <w:szCs w:val="20"/>
              </w:rPr>
              <w:t>,</w:t>
            </w:r>
          </w:p>
          <w:p w:rsidR="00C972C0" w:rsidRPr="003A059B" w:rsidRDefault="00C972C0" w:rsidP="00574CC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այդ թվում`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73.6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23.6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32.0</w:t>
            </w:r>
          </w:p>
        </w:tc>
      </w:tr>
      <w:tr w:rsidR="00C972C0" w:rsidRPr="003A059B" w:rsidTr="00D501AA">
        <w:trPr>
          <w:trHeight w:val="3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left="113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sz w:val="20"/>
                <w:szCs w:val="20"/>
              </w:rPr>
              <w:t>Միջազգային կազմակերպություններից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62.1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23.5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37.9</w:t>
            </w:r>
          </w:p>
        </w:tc>
      </w:tr>
      <w:tr w:rsidR="00C972C0" w:rsidRPr="003A059B" w:rsidTr="00D501AA">
        <w:trPr>
          <w:trHeight w:val="3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left="227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Համաշխարհային բանկ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41.1</w:t>
            </w:r>
          </w:p>
        </w:tc>
      </w:tr>
      <w:tr w:rsidR="00C972C0" w:rsidRPr="003A059B" w:rsidTr="00D501AA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left="227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Վերակառուցման և զարգացման եվրոպական բանկ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8.2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94.8</w:t>
            </w:r>
          </w:p>
        </w:tc>
      </w:tr>
      <w:tr w:rsidR="00C972C0" w:rsidRPr="003A059B" w:rsidTr="00D501AA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left="227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Եվրոպական ներդրումային բանկ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5.1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C972C0" w:rsidRPr="003A059B" w:rsidTr="00D501AA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left="227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Ասիական զարգացման բանկ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22.8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5.6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24.7</w:t>
            </w:r>
          </w:p>
        </w:tc>
      </w:tr>
      <w:tr w:rsidR="00C972C0" w:rsidRPr="003A059B" w:rsidTr="00D501AA">
        <w:trPr>
          <w:trHeight w:val="1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left="227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Եվրասիական զարգացման բանկ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7.9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2.9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36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>.0</w:t>
            </w:r>
          </w:p>
        </w:tc>
      </w:tr>
      <w:tr w:rsidR="00C972C0" w:rsidRPr="003A059B" w:rsidTr="00D501AA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left="227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Այլ վարկատուներ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C972C0" w:rsidRPr="003A059B" w:rsidTr="00D501AA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left="113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sz w:val="20"/>
                <w:szCs w:val="20"/>
              </w:rPr>
              <w:lastRenderedPageBreak/>
              <w:t xml:space="preserve"> Օտարերկրյա պետություններից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sz w:val="20"/>
                <w:szCs w:val="20"/>
              </w:rPr>
              <w:t>11.6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sz w:val="20"/>
                <w:szCs w:val="20"/>
              </w:rPr>
              <w:t>0.1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b/>
                <w:sz w:val="20"/>
                <w:szCs w:val="20"/>
              </w:rPr>
              <w:t>8</w:t>
            </w:r>
          </w:p>
        </w:tc>
      </w:tr>
      <w:tr w:rsidR="00C972C0" w:rsidRPr="003A059B" w:rsidTr="00D501AA">
        <w:trPr>
          <w:trHeight w:val="6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left="227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Գերմանիա (Վերականգնման վարկերի բանկ)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8.3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273C32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1.2</w:t>
            </w:r>
          </w:p>
        </w:tc>
      </w:tr>
      <w:tr w:rsidR="00C972C0" w:rsidRPr="003A059B" w:rsidTr="00D501AA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left="227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Ֆրանսիա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3.3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</w:tbl>
    <w:p w:rsidR="00C972C0" w:rsidRPr="003A059B" w:rsidRDefault="00C972C0" w:rsidP="00C972C0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C972C0" w:rsidRPr="003A059B" w:rsidRDefault="00C972C0" w:rsidP="00C972C0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</w:rPr>
        <w:t>75.4</w:t>
      </w:r>
      <w:r w:rsidRPr="003A059B">
        <w:rPr>
          <w:rFonts w:ascii="GHEA Grapalat" w:hAnsi="GHEA Grapalat" w:cs="GHEA Grapalat"/>
          <w:lang w:val="hy-AM"/>
        </w:rPr>
        <w:t xml:space="preserve"> մլրդ դրամ ուղղվել է արտաքին վարկերի մարմանը՝ կազմելով </w:t>
      </w:r>
      <w:r w:rsidRPr="003A059B">
        <w:rPr>
          <w:rFonts w:ascii="GHEA Grapalat" w:hAnsi="GHEA Grapalat" w:cs="GHEA Grapalat"/>
        </w:rPr>
        <w:t xml:space="preserve">իննամսյա </w:t>
      </w:r>
      <w:r w:rsidRPr="003A059B">
        <w:rPr>
          <w:rFonts w:ascii="GHEA Grapalat" w:hAnsi="GHEA Grapalat" w:cs="GHEA Grapalat"/>
          <w:lang w:val="hy-AM"/>
        </w:rPr>
        <w:t xml:space="preserve">ծրագրի </w:t>
      </w:r>
      <w:r>
        <w:rPr>
          <w:rFonts w:ascii="GHEA Grapalat" w:hAnsi="GHEA Grapalat" w:cs="GHEA Grapalat"/>
        </w:rPr>
        <w:t>83.3</w:t>
      </w:r>
      <w:r w:rsidRPr="003A059B">
        <w:rPr>
          <w:rFonts w:ascii="GHEA Grapalat" w:hAnsi="GHEA Grapalat" w:cs="GHEA Grapalat"/>
          <w:lang w:val="hy-AM"/>
        </w:rPr>
        <w:t xml:space="preserve">%-ը: Նշված գումարից </w:t>
      </w:r>
      <w:r>
        <w:rPr>
          <w:rFonts w:ascii="GHEA Grapalat" w:hAnsi="GHEA Grapalat" w:cs="GHEA Grapalat"/>
        </w:rPr>
        <w:t>50</w:t>
      </w:r>
      <w:r w:rsidRPr="003A059B">
        <w:rPr>
          <w:rFonts w:ascii="GHEA Grapalat" w:hAnsi="GHEA Grapalat" w:cs="GHEA Grapalat"/>
          <w:lang w:val="hy-AM"/>
        </w:rPr>
        <w:t xml:space="preserve">.2 մլրդ դրամն ուղղվել է միջազգային կազմակերպությունների, </w:t>
      </w:r>
      <w:r>
        <w:rPr>
          <w:rFonts w:ascii="GHEA Grapalat" w:hAnsi="GHEA Grapalat" w:cs="GHEA Grapalat"/>
        </w:rPr>
        <w:t>24.7</w:t>
      </w:r>
      <w:r w:rsidRPr="003A059B">
        <w:rPr>
          <w:rFonts w:ascii="GHEA Grapalat" w:hAnsi="GHEA Grapalat" w:cs="GHEA Grapalat"/>
          <w:lang w:val="hy-AM"/>
        </w:rPr>
        <w:t xml:space="preserve"> մլրդ դրամը` օտարերկրյա պետությունների և </w:t>
      </w:r>
      <w:r>
        <w:rPr>
          <w:rFonts w:ascii="GHEA Grapalat" w:hAnsi="GHEA Grapalat" w:cs="GHEA Grapalat"/>
        </w:rPr>
        <w:t>541.8</w:t>
      </w:r>
      <w:r w:rsidRPr="003A059B">
        <w:rPr>
          <w:rFonts w:ascii="Calibri" w:hAnsi="Calibri" w:cs="Calibri"/>
          <w:lang w:val="hy-AM"/>
        </w:rPr>
        <w:t> </w:t>
      </w:r>
      <w:r w:rsidRPr="003A059B">
        <w:rPr>
          <w:rFonts w:ascii="GHEA Grapalat" w:hAnsi="GHEA Grapalat" w:cs="GHEA Grapalat"/>
          <w:lang w:val="hy-AM"/>
        </w:rPr>
        <w:t>մլն դրամը` օտարերկրյա առևտրային բանկերի նկատմամբ պարտավորությունների մարմանը:</w:t>
      </w:r>
    </w:p>
    <w:p w:rsidR="00C972C0" w:rsidRPr="003A059B" w:rsidRDefault="00C972C0" w:rsidP="00C972C0">
      <w:pPr>
        <w:spacing w:line="360" w:lineRule="auto"/>
        <w:ind w:firstLine="567"/>
        <w:jc w:val="both"/>
        <w:rPr>
          <w:rFonts w:ascii="GHEA Grapalat" w:hAnsi="GHEA Grapalat" w:cs="GHEA Grapalat"/>
        </w:rPr>
      </w:pPr>
      <w:r w:rsidRPr="003A059B">
        <w:rPr>
          <w:rFonts w:ascii="GHEA Grapalat" w:hAnsi="GHEA Grapalat" w:cs="GHEA Grapalat"/>
          <w:lang w:val="hy-AM"/>
        </w:rPr>
        <w:t xml:space="preserve">Արտաքին ֆինանսական զուտ ակտիվների հաշվին պետական բյուջեի ֆինանսավորումը հաշվետու ժամանակահատվածում կազմել է </w:t>
      </w:r>
      <w:r w:rsidRPr="003A059B">
        <w:rPr>
          <w:rFonts w:ascii="GHEA Grapalat" w:hAnsi="GHEA Grapalat" w:cs="GHEA Grapalat"/>
          <w:lang w:val="hy-AM"/>
        </w:rPr>
        <w:noBreakHyphen/>
      </w:r>
      <w:r>
        <w:rPr>
          <w:rFonts w:ascii="GHEA Grapalat" w:hAnsi="GHEA Grapalat" w:cs="GHEA Grapalat"/>
        </w:rPr>
        <w:t>128.4</w:t>
      </w:r>
      <w:r w:rsidRPr="003A059B">
        <w:rPr>
          <w:rFonts w:ascii="GHEA Grapalat" w:hAnsi="GHEA Grapalat" w:cs="GHEA Grapalat"/>
          <w:lang w:val="hy-AM"/>
        </w:rPr>
        <w:t xml:space="preserve"> մլրդ դրամ` </w:t>
      </w:r>
      <w:r w:rsidRPr="003A059B">
        <w:rPr>
          <w:rFonts w:ascii="GHEA Grapalat" w:hAnsi="GHEA Grapalat" w:cs="GHEA Grapalat"/>
        </w:rPr>
        <w:t>8</w:t>
      </w:r>
      <w:r>
        <w:rPr>
          <w:rFonts w:ascii="GHEA Grapalat" w:hAnsi="GHEA Grapalat" w:cs="GHEA Grapalat"/>
        </w:rPr>
        <w:t>8</w:t>
      </w:r>
      <w:r w:rsidRPr="003A059B">
        <w:rPr>
          <w:rFonts w:ascii="GHEA Grapalat" w:hAnsi="GHEA Grapalat" w:cs="GHEA Grapalat"/>
        </w:rPr>
        <w:t>.3</w:t>
      </w:r>
      <w:r w:rsidRPr="003A059B">
        <w:rPr>
          <w:rFonts w:ascii="GHEA Grapalat" w:hAnsi="GHEA Grapalat" w:cs="GHEA Grapalat"/>
          <w:lang w:val="hy-AM"/>
        </w:rPr>
        <w:t xml:space="preserve">%-ով ապահովելով </w:t>
      </w:r>
      <w:r w:rsidRPr="003A059B">
        <w:rPr>
          <w:rFonts w:ascii="GHEA Grapalat" w:hAnsi="GHEA Grapalat" w:cs="GHEA Grapalat"/>
        </w:rPr>
        <w:t xml:space="preserve">իննամսյա </w:t>
      </w:r>
      <w:r w:rsidRPr="003A059B">
        <w:rPr>
          <w:rFonts w:ascii="GHEA Grapalat" w:hAnsi="GHEA Grapalat" w:cs="GHEA Grapalat"/>
          <w:color w:val="000000"/>
          <w:lang w:val="hy-AM"/>
        </w:rPr>
        <w:t>ծրագրով</w:t>
      </w:r>
      <w:r w:rsidRPr="003A059B">
        <w:rPr>
          <w:rFonts w:ascii="GHEA Grapalat" w:hAnsi="GHEA Grapalat" w:cs="GHEA Grapalat"/>
          <w:lang w:val="hy-AM"/>
        </w:rPr>
        <w:t xml:space="preserve"> նախատեսված ցուցանիշը: </w:t>
      </w:r>
      <w:r>
        <w:rPr>
          <w:rFonts w:ascii="GHEA Grapalat" w:hAnsi="GHEA Grapalat" w:cs="GHEA Grapalat"/>
        </w:rPr>
        <w:t>131</w:t>
      </w:r>
      <w:r w:rsidRPr="003A059B">
        <w:rPr>
          <w:rFonts w:ascii="GHEA Grapalat" w:hAnsi="GHEA Grapalat" w:cs="GHEA Grapalat"/>
        </w:rPr>
        <w:t>.6 մլրդ դրամ ուղղվել է Լեռնային Ղարաբաղին վարկի տրամադրմանը:</w:t>
      </w:r>
    </w:p>
    <w:p w:rsidR="00C972C0" w:rsidRPr="003A059B" w:rsidRDefault="00C972C0" w:rsidP="00C972C0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C972C0" w:rsidRPr="003A059B" w:rsidRDefault="00C972C0" w:rsidP="00C972C0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color w:val="auto"/>
          <w:sz w:val="20"/>
          <w:szCs w:val="20"/>
        </w:rPr>
      </w:pPr>
      <w:r w:rsidRPr="003A059B">
        <w:rPr>
          <w:rFonts w:ascii="GHEA Grapalat" w:hAnsi="GHEA Grapalat"/>
          <w:b/>
          <w:bCs/>
          <w:color w:val="auto"/>
          <w:sz w:val="20"/>
          <w:szCs w:val="20"/>
        </w:rPr>
        <w:t>ՀՀ պետական բյուջեի պակասուրդի արտաքին ֆինանսական զուտ ակտիվները (մլրդ դրամ)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21"/>
        <w:gridCol w:w="1703"/>
        <w:gridCol w:w="1418"/>
      </w:tblGrid>
      <w:tr w:rsidR="00C972C0" w:rsidRPr="003A059B" w:rsidTr="00574CC6">
        <w:trPr>
          <w:trHeight w:val="8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3A059B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2022թ.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հունվար-հուլիս ամիսների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ինն ամիսների ճշտված պլան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հունվար-հուլիս ամիսների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  <w:t>փաստ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Կատարո-ղականն ինն ամիսների ճշտված պլանի նկատմամբ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2023թ. հունվար-հուլիսը 2022թ. հունվար-հուլիսի նկատմամբ</w:t>
            </w:r>
          </w:p>
          <w:p w:rsidR="00C972C0" w:rsidRPr="003A059B" w:rsidRDefault="00C972C0" w:rsidP="00574CC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C972C0" w:rsidRPr="003A059B" w:rsidTr="00574CC6">
        <w:trPr>
          <w:trHeight w:val="37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sz w:val="20"/>
                <w:szCs w:val="20"/>
              </w:rPr>
              <w:t xml:space="preserve">Ֆինանսական զուտ ակտիվներ, 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>այդ թվում`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117.0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(14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5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.4)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128.4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8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8</w:t>
            </w:r>
            <w:r w:rsidRPr="003A059B">
              <w:rPr>
                <w:rFonts w:ascii="GHEA Grapalat" w:hAnsi="GHEA Grapalat" w:cs="Calibri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109.8</w:t>
            </w:r>
          </w:p>
        </w:tc>
      </w:tr>
      <w:tr w:rsidR="00C972C0" w:rsidRPr="003A059B" w:rsidTr="00574CC6">
        <w:trPr>
          <w:trHeight w:val="4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Վարկերի և փոխատվություն-ների տրամադրում (Լեռնային Ղարաբաղին)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sz w:val="20"/>
                <w:szCs w:val="20"/>
              </w:rPr>
              <w:t>117.4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(1</w:t>
            </w:r>
            <w:r>
              <w:rPr>
                <w:rFonts w:ascii="GHEA Grapalat" w:hAnsi="GHEA Grapalat" w:cs="Calibri"/>
                <w:sz w:val="20"/>
                <w:szCs w:val="20"/>
              </w:rPr>
              <w:t>43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>.6)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sz w:val="20"/>
                <w:szCs w:val="20"/>
              </w:rPr>
              <w:t>131.6</w:t>
            </w:r>
            <w:r w:rsidRPr="003A059B">
              <w:rPr>
                <w:rFonts w:ascii="GHEA Grapalat" w:hAnsi="GHEA Grapalat" w:cs="Calibri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112.0</w:t>
            </w:r>
          </w:p>
        </w:tc>
      </w:tr>
      <w:tr w:rsidR="00C972C0" w:rsidRPr="003A059B" w:rsidTr="00574CC6">
        <w:trPr>
          <w:trHeight w:val="43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Տրամադրված վարկերի և փոխատվությունների վերադարձից մուտքեր (Վրաստանից)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93.4</w:t>
            </w:r>
          </w:p>
        </w:tc>
      </w:tr>
      <w:tr w:rsidR="00C972C0" w:rsidRPr="003A059B" w:rsidTr="00574CC6">
        <w:trPr>
          <w:trHeight w:val="43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 xml:space="preserve">Բաժնետոմսերի և կապի-տալում այլ մասնակցության ձեռքբերում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(-1.0)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(2.4)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(1.4)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57.4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141.7</w:t>
            </w:r>
          </w:p>
        </w:tc>
      </w:tr>
      <w:tr w:rsidR="00C972C0" w:rsidTr="00574CC6">
        <w:trPr>
          <w:trHeight w:val="39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Այլ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3A059B">
              <w:rPr>
                <w:rFonts w:ascii="GHEA Grapalat" w:hAnsi="GHEA Grapalat" w:cs="Calibri"/>
                <w:sz w:val="20"/>
                <w:szCs w:val="20"/>
              </w:rPr>
              <w:t>0.2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2C0" w:rsidRPr="003A059B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2588.1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2C0" w:rsidRDefault="00C972C0" w:rsidP="00574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388.9</w:t>
            </w:r>
          </w:p>
        </w:tc>
      </w:tr>
    </w:tbl>
    <w:p w:rsidR="00C972C0" w:rsidRPr="003A059B" w:rsidRDefault="00C972C0" w:rsidP="00EE32D3">
      <w:pPr>
        <w:spacing w:line="360" w:lineRule="auto"/>
        <w:jc w:val="both"/>
        <w:rPr>
          <w:rFonts w:ascii="GHEA Grapalat" w:hAnsi="GHEA Grapalat" w:cs="GHEA Grapalat"/>
          <w:color w:val="000000"/>
        </w:rPr>
      </w:pPr>
    </w:p>
    <w:sectPr w:rsidR="00C972C0" w:rsidRPr="003A059B" w:rsidSect="00E73EDE">
      <w:footerReference w:type="even" r:id="rId8"/>
      <w:footerReference w:type="default" r:id="rId9"/>
      <w:pgSz w:w="11907" w:h="16839" w:code="9"/>
      <w:pgMar w:top="1134" w:right="567" w:bottom="567" w:left="1134" w:header="720" w:footer="62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D3F5C" w16cex:dateUtc="2021-04-23T08:43:00Z"/>
  <w16cex:commentExtensible w16cex:durableId="242D5254" w16cex:dateUtc="2021-04-23T10:04:00Z"/>
  <w16cex:commentExtensible w16cex:durableId="242D52CC" w16cex:dateUtc="2021-04-23T10:06:00Z"/>
  <w16cex:commentExtensible w16cex:durableId="242D5364" w16cex:dateUtc="2021-04-23T10:08:00Z"/>
  <w16cex:commentExtensible w16cex:durableId="242D53AF" w16cex:dateUtc="2021-04-23T10:09:00Z"/>
  <w16cex:commentExtensible w16cex:durableId="242D53ED" w16cex:dateUtc="2021-04-23T10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BB" w:rsidRDefault="00F367BB" w:rsidP="00F178F6">
      <w:r>
        <w:separator/>
      </w:r>
    </w:p>
  </w:endnote>
  <w:endnote w:type="continuationSeparator" w:id="0">
    <w:p w:rsidR="00F367BB" w:rsidRDefault="00F367BB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C6" w:rsidRDefault="00574CC6" w:rsidP="00225E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4CC6" w:rsidRDefault="00574CC6" w:rsidP="00225E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C6" w:rsidRPr="000E33E1" w:rsidRDefault="00574CC6" w:rsidP="00225E96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0E33E1">
      <w:rPr>
        <w:rStyle w:val="PageNumber"/>
        <w:rFonts w:ascii="GHEA Grapalat" w:hAnsi="GHEA Grapalat"/>
      </w:rPr>
      <w:fldChar w:fldCharType="begin"/>
    </w:r>
    <w:r w:rsidRPr="000E33E1">
      <w:rPr>
        <w:rStyle w:val="PageNumber"/>
        <w:rFonts w:ascii="GHEA Grapalat" w:hAnsi="GHEA Grapalat"/>
      </w:rPr>
      <w:instrText xml:space="preserve">PAGE  </w:instrText>
    </w:r>
    <w:r w:rsidRPr="000E33E1">
      <w:rPr>
        <w:rStyle w:val="PageNumber"/>
        <w:rFonts w:ascii="GHEA Grapalat" w:hAnsi="GHEA Grapalat"/>
      </w:rPr>
      <w:fldChar w:fldCharType="separate"/>
    </w:r>
    <w:r w:rsidR="00EE1014">
      <w:rPr>
        <w:rStyle w:val="PageNumber"/>
        <w:rFonts w:ascii="GHEA Grapalat" w:hAnsi="GHEA Grapalat"/>
        <w:noProof/>
      </w:rPr>
      <w:t>14</w:t>
    </w:r>
    <w:r w:rsidRPr="000E33E1">
      <w:rPr>
        <w:rStyle w:val="PageNumber"/>
        <w:rFonts w:ascii="GHEA Grapalat" w:hAnsi="GHEA Grapalat"/>
      </w:rPr>
      <w:fldChar w:fldCharType="end"/>
    </w:r>
  </w:p>
  <w:p w:rsidR="00574CC6" w:rsidRDefault="00574CC6" w:rsidP="00225E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BB" w:rsidRDefault="00F367BB" w:rsidP="00F178F6">
      <w:r>
        <w:separator/>
      </w:r>
    </w:p>
  </w:footnote>
  <w:footnote w:type="continuationSeparator" w:id="0">
    <w:p w:rsidR="00F367BB" w:rsidRDefault="00F367BB" w:rsidP="00F178F6">
      <w:r>
        <w:continuationSeparator/>
      </w:r>
    </w:p>
  </w:footnote>
  <w:footnote w:id="1">
    <w:p w:rsidR="00574CC6" w:rsidRPr="0046287A" w:rsidRDefault="00574CC6" w:rsidP="00B675B5">
      <w:pPr>
        <w:pStyle w:val="FootnoteText"/>
        <w:jc w:val="both"/>
        <w:rPr>
          <w:rFonts w:ascii="GHEA Grapalat" w:hAnsi="GHEA Grapalat"/>
        </w:rPr>
      </w:pPr>
      <w:r w:rsidRPr="0046287A">
        <w:rPr>
          <w:rStyle w:val="FootnoteReference"/>
          <w:rFonts w:ascii="GHEA Grapalat" w:hAnsi="GHEA Grapalat"/>
        </w:rPr>
        <w:footnoteRef/>
      </w:r>
      <w:r w:rsidRPr="0046287A">
        <w:rPr>
          <w:rFonts w:ascii="GHEA Grapalat" w:hAnsi="GHEA Grapalat"/>
        </w:rPr>
        <w:t xml:space="preserve"> Հաշվետվության մեջ ներկայացված ցուցանիշների հանրագումարների և դրանց բաղադրիչների միջև շեղումները պայմանավորված են կլորացումներով: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49C3"/>
    <w:multiLevelType w:val="hybridMultilevel"/>
    <w:tmpl w:val="49C8FF18"/>
    <w:lvl w:ilvl="0" w:tplc="5FDCFCF8">
      <w:start w:val="105"/>
      <w:numFmt w:val="bullet"/>
      <w:lvlText w:val="-"/>
      <w:lvlJc w:val="left"/>
      <w:pPr>
        <w:ind w:left="63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3087F1A"/>
    <w:multiLevelType w:val="hybridMultilevel"/>
    <w:tmpl w:val="21A653D8"/>
    <w:lvl w:ilvl="0" w:tplc="B78E53AA">
      <w:start w:val="1"/>
      <w:numFmt w:val="decimal"/>
      <w:lvlText w:val="Աղյուսակ %1."/>
      <w:lvlJc w:val="left"/>
      <w:pPr>
        <w:ind w:left="2771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960EC"/>
    <w:multiLevelType w:val="hybridMultilevel"/>
    <w:tmpl w:val="0A34C014"/>
    <w:lvl w:ilvl="0" w:tplc="B78E53AA">
      <w:start w:val="1"/>
      <w:numFmt w:val="decimal"/>
      <w:lvlText w:val="Աղյուսակ %1."/>
      <w:lvlJc w:val="left"/>
      <w:pPr>
        <w:ind w:left="1287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6"/>
    <w:rsid w:val="0000084F"/>
    <w:rsid w:val="00000A3E"/>
    <w:rsid w:val="00001888"/>
    <w:rsid w:val="00001D5B"/>
    <w:rsid w:val="0000235A"/>
    <w:rsid w:val="00002AF5"/>
    <w:rsid w:val="00002DB1"/>
    <w:rsid w:val="000032D5"/>
    <w:rsid w:val="00003B1E"/>
    <w:rsid w:val="00004260"/>
    <w:rsid w:val="0000539F"/>
    <w:rsid w:val="0000763C"/>
    <w:rsid w:val="000079CC"/>
    <w:rsid w:val="00011199"/>
    <w:rsid w:val="00011283"/>
    <w:rsid w:val="0001150F"/>
    <w:rsid w:val="0001161C"/>
    <w:rsid w:val="000125D6"/>
    <w:rsid w:val="00012A87"/>
    <w:rsid w:val="00012FA6"/>
    <w:rsid w:val="00012FF9"/>
    <w:rsid w:val="0001308B"/>
    <w:rsid w:val="000137CD"/>
    <w:rsid w:val="000157B5"/>
    <w:rsid w:val="00015F84"/>
    <w:rsid w:val="00016351"/>
    <w:rsid w:val="00016496"/>
    <w:rsid w:val="0001652F"/>
    <w:rsid w:val="00017782"/>
    <w:rsid w:val="0002023B"/>
    <w:rsid w:val="0002063C"/>
    <w:rsid w:val="0002148D"/>
    <w:rsid w:val="000216B5"/>
    <w:rsid w:val="000231BE"/>
    <w:rsid w:val="00023481"/>
    <w:rsid w:val="00023731"/>
    <w:rsid w:val="00024217"/>
    <w:rsid w:val="0002447C"/>
    <w:rsid w:val="00024F0E"/>
    <w:rsid w:val="00026007"/>
    <w:rsid w:val="000270C2"/>
    <w:rsid w:val="00030109"/>
    <w:rsid w:val="00030BF3"/>
    <w:rsid w:val="00031AAD"/>
    <w:rsid w:val="00031BE8"/>
    <w:rsid w:val="00031C06"/>
    <w:rsid w:val="000323DC"/>
    <w:rsid w:val="00033220"/>
    <w:rsid w:val="00033552"/>
    <w:rsid w:val="00033D71"/>
    <w:rsid w:val="0003401B"/>
    <w:rsid w:val="00034555"/>
    <w:rsid w:val="00034ECD"/>
    <w:rsid w:val="00035260"/>
    <w:rsid w:val="000359D2"/>
    <w:rsid w:val="00036662"/>
    <w:rsid w:val="00036BA9"/>
    <w:rsid w:val="00036E00"/>
    <w:rsid w:val="00037BB6"/>
    <w:rsid w:val="00041605"/>
    <w:rsid w:val="000419FE"/>
    <w:rsid w:val="00041CCF"/>
    <w:rsid w:val="000427C5"/>
    <w:rsid w:val="000431EB"/>
    <w:rsid w:val="00044AFC"/>
    <w:rsid w:val="00044F29"/>
    <w:rsid w:val="00045336"/>
    <w:rsid w:val="00046299"/>
    <w:rsid w:val="000471EE"/>
    <w:rsid w:val="0005016A"/>
    <w:rsid w:val="0005052F"/>
    <w:rsid w:val="0005090B"/>
    <w:rsid w:val="0005201E"/>
    <w:rsid w:val="00053BBE"/>
    <w:rsid w:val="00054C35"/>
    <w:rsid w:val="0005539C"/>
    <w:rsid w:val="0005600A"/>
    <w:rsid w:val="0005668F"/>
    <w:rsid w:val="00056F48"/>
    <w:rsid w:val="00056F4D"/>
    <w:rsid w:val="0005729E"/>
    <w:rsid w:val="000605F3"/>
    <w:rsid w:val="00060DAA"/>
    <w:rsid w:val="00060F73"/>
    <w:rsid w:val="000612D8"/>
    <w:rsid w:val="000617F8"/>
    <w:rsid w:val="000618C6"/>
    <w:rsid w:val="00061D0D"/>
    <w:rsid w:val="00061DD5"/>
    <w:rsid w:val="00063471"/>
    <w:rsid w:val="00063760"/>
    <w:rsid w:val="0006381A"/>
    <w:rsid w:val="00063B4C"/>
    <w:rsid w:val="0006502A"/>
    <w:rsid w:val="00065CD4"/>
    <w:rsid w:val="00065D15"/>
    <w:rsid w:val="00066CEA"/>
    <w:rsid w:val="00067353"/>
    <w:rsid w:val="0006751E"/>
    <w:rsid w:val="00067BAF"/>
    <w:rsid w:val="000711DA"/>
    <w:rsid w:val="000719B4"/>
    <w:rsid w:val="00072C7D"/>
    <w:rsid w:val="00073150"/>
    <w:rsid w:val="00074703"/>
    <w:rsid w:val="00074E1E"/>
    <w:rsid w:val="000753BE"/>
    <w:rsid w:val="000758B4"/>
    <w:rsid w:val="00075C2C"/>
    <w:rsid w:val="00075C5A"/>
    <w:rsid w:val="000761A8"/>
    <w:rsid w:val="00076335"/>
    <w:rsid w:val="000824BE"/>
    <w:rsid w:val="00082D57"/>
    <w:rsid w:val="00082F8C"/>
    <w:rsid w:val="00083D39"/>
    <w:rsid w:val="000848ED"/>
    <w:rsid w:val="00084C81"/>
    <w:rsid w:val="00085BF0"/>
    <w:rsid w:val="00086CE6"/>
    <w:rsid w:val="00087314"/>
    <w:rsid w:val="00087499"/>
    <w:rsid w:val="0008770F"/>
    <w:rsid w:val="00087A27"/>
    <w:rsid w:val="00087D57"/>
    <w:rsid w:val="00087FE3"/>
    <w:rsid w:val="00091747"/>
    <w:rsid w:val="00091A95"/>
    <w:rsid w:val="000920EE"/>
    <w:rsid w:val="00092E4B"/>
    <w:rsid w:val="00094A1C"/>
    <w:rsid w:val="00094C76"/>
    <w:rsid w:val="00094F0C"/>
    <w:rsid w:val="00095EA7"/>
    <w:rsid w:val="0009603E"/>
    <w:rsid w:val="000960D3"/>
    <w:rsid w:val="00096151"/>
    <w:rsid w:val="000970B3"/>
    <w:rsid w:val="00097576"/>
    <w:rsid w:val="00097AA9"/>
    <w:rsid w:val="00097BE7"/>
    <w:rsid w:val="00097F10"/>
    <w:rsid w:val="000A0520"/>
    <w:rsid w:val="000A0587"/>
    <w:rsid w:val="000A1A80"/>
    <w:rsid w:val="000A24A1"/>
    <w:rsid w:val="000A3DB8"/>
    <w:rsid w:val="000A4052"/>
    <w:rsid w:val="000A4349"/>
    <w:rsid w:val="000A4EBC"/>
    <w:rsid w:val="000A5936"/>
    <w:rsid w:val="000A6A74"/>
    <w:rsid w:val="000A7238"/>
    <w:rsid w:val="000A7A5D"/>
    <w:rsid w:val="000B0230"/>
    <w:rsid w:val="000B0F7D"/>
    <w:rsid w:val="000B1226"/>
    <w:rsid w:val="000B1475"/>
    <w:rsid w:val="000B19DD"/>
    <w:rsid w:val="000B1CBE"/>
    <w:rsid w:val="000B1E20"/>
    <w:rsid w:val="000B3C76"/>
    <w:rsid w:val="000B3CA0"/>
    <w:rsid w:val="000B3ECA"/>
    <w:rsid w:val="000B507C"/>
    <w:rsid w:val="000B550C"/>
    <w:rsid w:val="000B5A94"/>
    <w:rsid w:val="000B5BDB"/>
    <w:rsid w:val="000B5CAC"/>
    <w:rsid w:val="000B60E1"/>
    <w:rsid w:val="000B60F4"/>
    <w:rsid w:val="000B6195"/>
    <w:rsid w:val="000B6202"/>
    <w:rsid w:val="000B691C"/>
    <w:rsid w:val="000B7A05"/>
    <w:rsid w:val="000C04F1"/>
    <w:rsid w:val="000C06DF"/>
    <w:rsid w:val="000C0B4D"/>
    <w:rsid w:val="000C14C6"/>
    <w:rsid w:val="000C15F9"/>
    <w:rsid w:val="000C4203"/>
    <w:rsid w:val="000C44DB"/>
    <w:rsid w:val="000C635A"/>
    <w:rsid w:val="000C6D57"/>
    <w:rsid w:val="000C6EE2"/>
    <w:rsid w:val="000C7106"/>
    <w:rsid w:val="000C72FA"/>
    <w:rsid w:val="000C75E2"/>
    <w:rsid w:val="000C77FF"/>
    <w:rsid w:val="000D0CDE"/>
    <w:rsid w:val="000D2594"/>
    <w:rsid w:val="000D284E"/>
    <w:rsid w:val="000D2DE5"/>
    <w:rsid w:val="000D31B8"/>
    <w:rsid w:val="000D38A9"/>
    <w:rsid w:val="000D59A7"/>
    <w:rsid w:val="000D5B34"/>
    <w:rsid w:val="000D6372"/>
    <w:rsid w:val="000D7974"/>
    <w:rsid w:val="000E0102"/>
    <w:rsid w:val="000E0218"/>
    <w:rsid w:val="000E0FDF"/>
    <w:rsid w:val="000E1CAD"/>
    <w:rsid w:val="000E1CED"/>
    <w:rsid w:val="000E33E1"/>
    <w:rsid w:val="000E3C5D"/>
    <w:rsid w:val="000E3D19"/>
    <w:rsid w:val="000E3E8E"/>
    <w:rsid w:val="000E484A"/>
    <w:rsid w:val="000E575C"/>
    <w:rsid w:val="000E6544"/>
    <w:rsid w:val="000E6A2D"/>
    <w:rsid w:val="000E719F"/>
    <w:rsid w:val="000E736F"/>
    <w:rsid w:val="000E79DF"/>
    <w:rsid w:val="000F09FD"/>
    <w:rsid w:val="000F131C"/>
    <w:rsid w:val="000F14B8"/>
    <w:rsid w:val="000F2E07"/>
    <w:rsid w:val="000F2E93"/>
    <w:rsid w:val="000F38D4"/>
    <w:rsid w:val="000F4CDE"/>
    <w:rsid w:val="000F4D7D"/>
    <w:rsid w:val="000F5CCC"/>
    <w:rsid w:val="000F74A8"/>
    <w:rsid w:val="000F7A93"/>
    <w:rsid w:val="0010042E"/>
    <w:rsid w:val="001006A7"/>
    <w:rsid w:val="00101727"/>
    <w:rsid w:val="00101894"/>
    <w:rsid w:val="0010243A"/>
    <w:rsid w:val="0010299E"/>
    <w:rsid w:val="00102B96"/>
    <w:rsid w:val="00103304"/>
    <w:rsid w:val="001035CC"/>
    <w:rsid w:val="00103A81"/>
    <w:rsid w:val="00104C87"/>
    <w:rsid w:val="00104D6C"/>
    <w:rsid w:val="00104EC5"/>
    <w:rsid w:val="00104FAD"/>
    <w:rsid w:val="00106052"/>
    <w:rsid w:val="00106640"/>
    <w:rsid w:val="00107890"/>
    <w:rsid w:val="00107D53"/>
    <w:rsid w:val="001101CA"/>
    <w:rsid w:val="001113A6"/>
    <w:rsid w:val="00112617"/>
    <w:rsid w:val="00112ADA"/>
    <w:rsid w:val="00112B01"/>
    <w:rsid w:val="00112CB5"/>
    <w:rsid w:val="00112CED"/>
    <w:rsid w:val="00112E53"/>
    <w:rsid w:val="0011314B"/>
    <w:rsid w:val="00113424"/>
    <w:rsid w:val="0011344D"/>
    <w:rsid w:val="0011397E"/>
    <w:rsid w:val="00113C2E"/>
    <w:rsid w:val="0011457B"/>
    <w:rsid w:val="001146DA"/>
    <w:rsid w:val="00114F1E"/>
    <w:rsid w:val="001162EF"/>
    <w:rsid w:val="0011752B"/>
    <w:rsid w:val="00117948"/>
    <w:rsid w:val="0012053E"/>
    <w:rsid w:val="00120663"/>
    <w:rsid w:val="00120B25"/>
    <w:rsid w:val="00120CA2"/>
    <w:rsid w:val="00121061"/>
    <w:rsid w:val="001213FA"/>
    <w:rsid w:val="00121BF5"/>
    <w:rsid w:val="0012209A"/>
    <w:rsid w:val="0012415E"/>
    <w:rsid w:val="0012428E"/>
    <w:rsid w:val="001242B4"/>
    <w:rsid w:val="0012503F"/>
    <w:rsid w:val="0012553C"/>
    <w:rsid w:val="00125898"/>
    <w:rsid w:val="00126404"/>
    <w:rsid w:val="001273F5"/>
    <w:rsid w:val="00127A27"/>
    <w:rsid w:val="00127C0D"/>
    <w:rsid w:val="00130437"/>
    <w:rsid w:val="001306B6"/>
    <w:rsid w:val="00130B6B"/>
    <w:rsid w:val="00131530"/>
    <w:rsid w:val="00131EF2"/>
    <w:rsid w:val="001320ED"/>
    <w:rsid w:val="001324B3"/>
    <w:rsid w:val="001324C5"/>
    <w:rsid w:val="00132929"/>
    <w:rsid w:val="00132A4B"/>
    <w:rsid w:val="00133DE4"/>
    <w:rsid w:val="00134E14"/>
    <w:rsid w:val="00135285"/>
    <w:rsid w:val="0013531D"/>
    <w:rsid w:val="00135A81"/>
    <w:rsid w:val="00135FF9"/>
    <w:rsid w:val="00136F19"/>
    <w:rsid w:val="00137DE0"/>
    <w:rsid w:val="00140777"/>
    <w:rsid w:val="00141170"/>
    <w:rsid w:val="0014360A"/>
    <w:rsid w:val="00144292"/>
    <w:rsid w:val="00144F86"/>
    <w:rsid w:val="0014518B"/>
    <w:rsid w:val="001455D6"/>
    <w:rsid w:val="00146820"/>
    <w:rsid w:val="001475D0"/>
    <w:rsid w:val="001477EC"/>
    <w:rsid w:val="00147E87"/>
    <w:rsid w:val="0015031B"/>
    <w:rsid w:val="00151BF2"/>
    <w:rsid w:val="00152182"/>
    <w:rsid w:val="0015281F"/>
    <w:rsid w:val="001530B4"/>
    <w:rsid w:val="00153172"/>
    <w:rsid w:val="00153432"/>
    <w:rsid w:val="00153672"/>
    <w:rsid w:val="00153A9F"/>
    <w:rsid w:val="00153E6A"/>
    <w:rsid w:val="00154F03"/>
    <w:rsid w:val="00155194"/>
    <w:rsid w:val="00155B0D"/>
    <w:rsid w:val="00155FC0"/>
    <w:rsid w:val="001562D1"/>
    <w:rsid w:val="00156351"/>
    <w:rsid w:val="001578AA"/>
    <w:rsid w:val="00160301"/>
    <w:rsid w:val="00160442"/>
    <w:rsid w:val="0016068A"/>
    <w:rsid w:val="001610B2"/>
    <w:rsid w:val="001616E6"/>
    <w:rsid w:val="0016273C"/>
    <w:rsid w:val="00162A25"/>
    <w:rsid w:val="00162A4B"/>
    <w:rsid w:val="0016451B"/>
    <w:rsid w:val="00164BE2"/>
    <w:rsid w:val="0016544B"/>
    <w:rsid w:val="001655AD"/>
    <w:rsid w:val="001657FA"/>
    <w:rsid w:val="00165AA2"/>
    <w:rsid w:val="00165F15"/>
    <w:rsid w:val="00166354"/>
    <w:rsid w:val="00166C16"/>
    <w:rsid w:val="0016709E"/>
    <w:rsid w:val="001672E9"/>
    <w:rsid w:val="00170324"/>
    <w:rsid w:val="00171296"/>
    <w:rsid w:val="00171990"/>
    <w:rsid w:val="00171A0F"/>
    <w:rsid w:val="00172502"/>
    <w:rsid w:val="0017347B"/>
    <w:rsid w:val="00173744"/>
    <w:rsid w:val="00173E19"/>
    <w:rsid w:val="00174209"/>
    <w:rsid w:val="00175298"/>
    <w:rsid w:val="00175376"/>
    <w:rsid w:val="00175F52"/>
    <w:rsid w:val="001762FE"/>
    <w:rsid w:val="001768E4"/>
    <w:rsid w:val="00176A4A"/>
    <w:rsid w:val="001776B7"/>
    <w:rsid w:val="00180713"/>
    <w:rsid w:val="00180778"/>
    <w:rsid w:val="00182016"/>
    <w:rsid w:val="00182040"/>
    <w:rsid w:val="0018281A"/>
    <w:rsid w:val="00182845"/>
    <w:rsid w:val="0018327C"/>
    <w:rsid w:val="00184872"/>
    <w:rsid w:val="001848AF"/>
    <w:rsid w:val="00184BA5"/>
    <w:rsid w:val="0018579D"/>
    <w:rsid w:val="00185DD7"/>
    <w:rsid w:val="00185ECA"/>
    <w:rsid w:val="00186134"/>
    <w:rsid w:val="00186572"/>
    <w:rsid w:val="00186A30"/>
    <w:rsid w:val="00186CD4"/>
    <w:rsid w:val="001871EA"/>
    <w:rsid w:val="001907BD"/>
    <w:rsid w:val="00190EA4"/>
    <w:rsid w:val="0019160C"/>
    <w:rsid w:val="00191955"/>
    <w:rsid w:val="001919DE"/>
    <w:rsid w:val="001929F3"/>
    <w:rsid w:val="0019343C"/>
    <w:rsid w:val="00193A65"/>
    <w:rsid w:val="00193D73"/>
    <w:rsid w:val="00195EE6"/>
    <w:rsid w:val="001963B9"/>
    <w:rsid w:val="00196D02"/>
    <w:rsid w:val="00196D66"/>
    <w:rsid w:val="0019738D"/>
    <w:rsid w:val="00197959"/>
    <w:rsid w:val="001A111B"/>
    <w:rsid w:val="001A1335"/>
    <w:rsid w:val="001A3646"/>
    <w:rsid w:val="001A3CDD"/>
    <w:rsid w:val="001A3E7C"/>
    <w:rsid w:val="001A4448"/>
    <w:rsid w:val="001A5BA4"/>
    <w:rsid w:val="001A5E4F"/>
    <w:rsid w:val="001A5E5B"/>
    <w:rsid w:val="001A6C37"/>
    <w:rsid w:val="001A6DA1"/>
    <w:rsid w:val="001A6FF0"/>
    <w:rsid w:val="001A7B45"/>
    <w:rsid w:val="001A7ED4"/>
    <w:rsid w:val="001B0197"/>
    <w:rsid w:val="001B052D"/>
    <w:rsid w:val="001B07FB"/>
    <w:rsid w:val="001B0A3E"/>
    <w:rsid w:val="001B0C24"/>
    <w:rsid w:val="001B1019"/>
    <w:rsid w:val="001B1067"/>
    <w:rsid w:val="001B2207"/>
    <w:rsid w:val="001B2B1D"/>
    <w:rsid w:val="001B3817"/>
    <w:rsid w:val="001B3D79"/>
    <w:rsid w:val="001B417F"/>
    <w:rsid w:val="001B5242"/>
    <w:rsid w:val="001B5283"/>
    <w:rsid w:val="001B5355"/>
    <w:rsid w:val="001B59FB"/>
    <w:rsid w:val="001B5EFF"/>
    <w:rsid w:val="001B67B9"/>
    <w:rsid w:val="001B70DF"/>
    <w:rsid w:val="001B761C"/>
    <w:rsid w:val="001C27E3"/>
    <w:rsid w:val="001C310B"/>
    <w:rsid w:val="001C31F7"/>
    <w:rsid w:val="001C3D9B"/>
    <w:rsid w:val="001C4FD2"/>
    <w:rsid w:val="001C7954"/>
    <w:rsid w:val="001C7A91"/>
    <w:rsid w:val="001D02BC"/>
    <w:rsid w:val="001D0746"/>
    <w:rsid w:val="001D0E2A"/>
    <w:rsid w:val="001D182E"/>
    <w:rsid w:val="001D2CA5"/>
    <w:rsid w:val="001D37B3"/>
    <w:rsid w:val="001D399D"/>
    <w:rsid w:val="001D411F"/>
    <w:rsid w:val="001D4BE6"/>
    <w:rsid w:val="001D4E7B"/>
    <w:rsid w:val="001D7A02"/>
    <w:rsid w:val="001D7B9A"/>
    <w:rsid w:val="001E1B06"/>
    <w:rsid w:val="001E1CC6"/>
    <w:rsid w:val="001E2664"/>
    <w:rsid w:val="001E3115"/>
    <w:rsid w:val="001E317C"/>
    <w:rsid w:val="001E341A"/>
    <w:rsid w:val="001E3AC6"/>
    <w:rsid w:val="001E476E"/>
    <w:rsid w:val="001E68E1"/>
    <w:rsid w:val="001E6B1F"/>
    <w:rsid w:val="001E7648"/>
    <w:rsid w:val="001E7B6C"/>
    <w:rsid w:val="001F1D8A"/>
    <w:rsid w:val="001F1E14"/>
    <w:rsid w:val="001F1E69"/>
    <w:rsid w:val="001F27FF"/>
    <w:rsid w:val="001F3386"/>
    <w:rsid w:val="001F3E4F"/>
    <w:rsid w:val="001F496E"/>
    <w:rsid w:val="001F4B5E"/>
    <w:rsid w:val="001F4C57"/>
    <w:rsid w:val="001F4CCB"/>
    <w:rsid w:val="001F4F14"/>
    <w:rsid w:val="001F5291"/>
    <w:rsid w:val="001F5C3D"/>
    <w:rsid w:val="001F5E72"/>
    <w:rsid w:val="001F6246"/>
    <w:rsid w:val="001F6726"/>
    <w:rsid w:val="001F6B87"/>
    <w:rsid w:val="001F73B8"/>
    <w:rsid w:val="001F7624"/>
    <w:rsid w:val="001F7CCF"/>
    <w:rsid w:val="00200026"/>
    <w:rsid w:val="00201894"/>
    <w:rsid w:val="0020231A"/>
    <w:rsid w:val="00202CFB"/>
    <w:rsid w:val="00202EB1"/>
    <w:rsid w:val="002034FE"/>
    <w:rsid w:val="00203C20"/>
    <w:rsid w:val="00203CC9"/>
    <w:rsid w:val="00203D68"/>
    <w:rsid w:val="00203F1E"/>
    <w:rsid w:val="002040BE"/>
    <w:rsid w:val="0020579E"/>
    <w:rsid w:val="00205F35"/>
    <w:rsid w:val="00205FEB"/>
    <w:rsid w:val="002060A8"/>
    <w:rsid w:val="002074A5"/>
    <w:rsid w:val="00207846"/>
    <w:rsid w:val="00207D17"/>
    <w:rsid w:val="00210505"/>
    <w:rsid w:val="002113B3"/>
    <w:rsid w:val="002115A2"/>
    <w:rsid w:val="00211BDE"/>
    <w:rsid w:val="00212AA9"/>
    <w:rsid w:val="00212D70"/>
    <w:rsid w:val="00214A0B"/>
    <w:rsid w:val="00215DAF"/>
    <w:rsid w:val="00216C64"/>
    <w:rsid w:val="00217B9B"/>
    <w:rsid w:val="00217C66"/>
    <w:rsid w:val="0022073F"/>
    <w:rsid w:val="0022111D"/>
    <w:rsid w:val="00223978"/>
    <w:rsid w:val="00223E36"/>
    <w:rsid w:val="00224244"/>
    <w:rsid w:val="00224E77"/>
    <w:rsid w:val="002255E6"/>
    <w:rsid w:val="0022596E"/>
    <w:rsid w:val="00225C1C"/>
    <w:rsid w:val="00225E96"/>
    <w:rsid w:val="002264CA"/>
    <w:rsid w:val="00227085"/>
    <w:rsid w:val="00227D85"/>
    <w:rsid w:val="002301E2"/>
    <w:rsid w:val="00230942"/>
    <w:rsid w:val="00230A3F"/>
    <w:rsid w:val="002314CC"/>
    <w:rsid w:val="00231F70"/>
    <w:rsid w:val="002329D9"/>
    <w:rsid w:val="00232C4E"/>
    <w:rsid w:val="002330D1"/>
    <w:rsid w:val="002330DE"/>
    <w:rsid w:val="00233C93"/>
    <w:rsid w:val="002353CD"/>
    <w:rsid w:val="00236952"/>
    <w:rsid w:val="00236BEF"/>
    <w:rsid w:val="00236FC8"/>
    <w:rsid w:val="00237153"/>
    <w:rsid w:val="0023799B"/>
    <w:rsid w:val="00237EA6"/>
    <w:rsid w:val="00237EB4"/>
    <w:rsid w:val="00237EC0"/>
    <w:rsid w:val="00240053"/>
    <w:rsid w:val="002412FA"/>
    <w:rsid w:val="00241761"/>
    <w:rsid w:val="00241A7C"/>
    <w:rsid w:val="00242F14"/>
    <w:rsid w:val="00244286"/>
    <w:rsid w:val="00244958"/>
    <w:rsid w:val="00244C57"/>
    <w:rsid w:val="00244F18"/>
    <w:rsid w:val="002453FD"/>
    <w:rsid w:val="002456B7"/>
    <w:rsid w:val="00245A43"/>
    <w:rsid w:val="00246262"/>
    <w:rsid w:val="002472A9"/>
    <w:rsid w:val="002473B7"/>
    <w:rsid w:val="00247ADB"/>
    <w:rsid w:val="00247B05"/>
    <w:rsid w:val="00251012"/>
    <w:rsid w:val="00251CE5"/>
    <w:rsid w:val="002532A5"/>
    <w:rsid w:val="002539B2"/>
    <w:rsid w:val="0025402B"/>
    <w:rsid w:val="00255ABD"/>
    <w:rsid w:val="002570D3"/>
    <w:rsid w:val="0025786D"/>
    <w:rsid w:val="002602D9"/>
    <w:rsid w:val="00264252"/>
    <w:rsid w:val="00264C92"/>
    <w:rsid w:val="00265537"/>
    <w:rsid w:val="0026589D"/>
    <w:rsid w:val="00265CFF"/>
    <w:rsid w:val="0026636F"/>
    <w:rsid w:val="00266BB7"/>
    <w:rsid w:val="00266BF7"/>
    <w:rsid w:val="00266C40"/>
    <w:rsid w:val="00266C9D"/>
    <w:rsid w:val="00266CF3"/>
    <w:rsid w:val="00267077"/>
    <w:rsid w:val="00267B38"/>
    <w:rsid w:val="00267BBA"/>
    <w:rsid w:val="00270407"/>
    <w:rsid w:val="00270A9B"/>
    <w:rsid w:val="00271042"/>
    <w:rsid w:val="00272A34"/>
    <w:rsid w:val="00272C34"/>
    <w:rsid w:val="00272F9A"/>
    <w:rsid w:val="00273AF9"/>
    <w:rsid w:val="00273C32"/>
    <w:rsid w:val="002741E6"/>
    <w:rsid w:val="00274426"/>
    <w:rsid w:val="00274797"/>
    <w:rsid w:val="00274B5E"/>
    <w:rsid w:val="002756FB"/>
    <w:rsid w:val="0027598B"/>
    <w:rsid w:val="002762B5"/>
    <w:rsid w:val="00276E61"/>
    <w:rsid w:val="00276FDF"/>
    <w:rsid w:val="00281308"/>
    <w:rsid w:val="00281A32"/>
    <w:rsid w:val="0028244B"/>
    <w:rsid w:val="00282CF7"/>
    <w:rsid w:val="00282DDA"/>
    <w:rsid w:val="00284374"/>
    <w:rsid w:val="00284392"/>
    <w:rsid w:val="00284419"/>
    <w:rsid w:val="00284494"/>
    <w:rsid w:val="002849B2"/>
    <w:rsid w:val="00285C8B"/>
    <w:rsid w:val="0029091A"/>
    <w:rsid w:val="00290EA1"/>
    <w:rsid w:val="00290FDC"/>
    <w:rsid w:val="002915F5"/>
    <w:rsid w:val="0029162A"/>
    <w:rsid w:val="00292A69"/>
    <w:rsid w:val="00292E49"/>
    <w:rsid w:val="00292FD7"/>
    <w:rsid w:val="00293594"/>
    <w:rsid w:val="00295072"/>
    <w:rsid w:val="0029683B"/>
    <w:rsid w:val="00296E15"/>
    <w:rsid w:val="00296EFE"/>
    <w:rsid w:val="00297F5E"/>
    <w:rsid w:val="002A02AD"/>
    <w:rsid w:val="002A02E1"/>
    <w:rsid w:val="002A0340"/>
    <w:rsid w:val="002A07D3"/>
    <w:rsid w:val="002A17E4"/>
    <w:rsid w:val="002A1D9C"/>
    <w:rsid w:val="002A24A9"/>
    <w:rsid w:val="002A30BC"/>
    <w:rsid w:val="002A377B"/>
    <w:rsid w:val="002A4689"/>
    <w:rsid w:val="002A4994"/>
    <w:rsid w:val="002A4B8D"/>
    <w:rsid w:val="002A4CFE"/>
    <w:rsid w:val="002A53E8"/>
    <w:rsid w:val="002A566D"/>
    <w:rsid w:val="002A5889"/>
    <w:rsid w:val="002A6062"/>
    <w:rsid w:val="002A614B"/>
    <w:rsid w:val="002A61C7"/>
    <w:rsid w:val="002A6491"/>
    <w:rsid w:val="002A675F"/>
    <w:rsid w:val="002A69F2"/>
    <w:rsid w:val="002A6DC7"/>
    <w:rsid w:val="002A6FB8"/>
    <w:rsid w:val="002A7157"/>
    <w:rsid w:val="002A7988"/>
    <w:rsid w:val="002A7D88"/>
    <w:rsid w:val="002B0F42"/>
    <w:rsid w:val="002B1FB5"/>
    <w:rsid w:val="002B21E3"/>
    <w:rsid w:val="002B307D"/>
    <w:rsid w:val="002B36D4"/>
    <w:rsid w:val="002B3AA7"/>
    <w:rsid w:val="002B41E5"/>
    <w:rsid w:val="002B5F5C"/>
    <w:rsid w:val="002B65E7"/>
    <w:rsid w:val="002B7CFA"/>
    <w:rsid w:val="002C0952"/>
    <w:rsid w:val="002C0C67"/>
    <w:rsid w:val="002C1722"/>
    <w:rsid w:val="002C17A1"/>
    <w:rsid w:val="002C1B78"/>
    <w:rsid w:val="002C388C"/>
    <w:rsid w:val="002C5809"/>
    <w:rsid w:val="002C5995"/>
    <w:rsid w:val="002C65F7"/>
    <w:rsid w:val="002C7EDB"/>
    <w:rsid w:val="002D01E4"/>
    <w:rsid w:val="002D079C"/>
    <w:rsid w:val="002D085B"/>
    <w:rsid w:val="002D0E8F"/>
    <w:rsid w:val="002D1FAB"/>
    <w:rsid w:val="002D222A"/>
    <w:rsid w:val="002D33C7"/>
    <w:rsid w:val="002D3C51"/>
    <w:rsid w:val="002D486A"/>
    <w:rsid w:val="002D4AB9"/>
    <w:rsid w:val="002D57E6"/>
    <w:rsid w:val="002D6E59"/>
    <w:rsid w:val="002D73AD"/>
    <w:rsid w:val="002D77A4"/>
    <w:rsid w:val="002E004A"/>
    <w:rsid w:val="002E0168"/>
    <w:rsid w:val="002E211A"/>
    <w:rsid w:val="002E2A30"/>
    <w:rsid w:val="002E2B7F"/>
    <w:rsid w:val="002E2C2F"/>
    <w:rsid w:val="002E3AB5"/>
    <w:rsid w:val="002E3E66"/>
    <w:rsid w:val="002E4E3E"/>
    <w:rsid w:val="002E53D1"/>
    <w:rsid w:val="002E57D6"/>
    <w:rsid w:val="002E59F6"/>
    <w:rsid w:val="002E5A8B"/>
    <w:rsid w:val="002E5FC8"/>
    <w:rsid w:val="002E6858"/>
    <w:rsid w:val="002E745B"/>
    <w:rsid w:val="002E7B88"/>
    <w:rsid w:val="002E7D7C"/>
    <w:rsid w:val="002F0345"/>
    <w:rsid w:val="002F0FA0"/>
    <w:rsid w:val="002F1827"/>
    <w:rsid w:val="002F3411"/>
    <w:rsid w:val="002F3650"/>
    <w:rsid w:val="002F39E4"/>
    <w:rsid w:val="002F3D65"/>
    <w:rsid w:val="002F3F4E"/>
    <w:rsid w:val="002F3FBD"/>
    <w:rsid w:val="002F40F8"/>
    <w:rsid w:val="002F4231"/>
    <w:rsid w:val="002F46CE"/>
    <w:rsid w:val="002F484C"/>
    <w:rsid w:val="002F4B62"/>
    <w:rsid w:val="002F5596"/>
    <w:rsid w:val="002F570A"/>
    <w:rsid w:val="002F5C73"/>
    <w:rsid w:val="00300235"/>
    <w:rsid w:val="003005F3"/>
    <w:rsid w:val="0030062E"/>
    <w:rsid w:val="00300EFF"/>
    <w:rsid w:val="003016A2"/>
    <w:rsid w:val="00301D42"/>
    <w:rsid w:val="00302220"/>
    <w:rsid w:val="00302F21"/>
    <w:rsid w:val="00303C54"/>
    <w:rsid w:val="00303D36"/>
    <w:rsid w:val="00303DC1"/>
    <w:rsid w:val="00303E89"/>
    <w:rsid w:val="0030417B"/>
    <w:rsid w:val="00305828"/>
    <w:rsid w:val="00305A9C"/>
    <w:rsid w:val="003066F7"/>
    <w:rsid w:val="00306F4A"/>
    <w:rsid w:val="00310392"/>
    <w:rsid w:val="003109D4"/>
    <w:rsid w:val="00311B70"/>
    <w:rsid w:val="003121A9"/>
    <w:rsid w:val="003126D7"/>
    <w:rsid w:val="00313139"/>
    <w:rsid w:val="0031458A"/>
    <w:rsid w:val="00314699"/>
    <w:rsid w:val="00314C75"/>
    <w:rsid w:val="00315402"/>
    <w:rsid w:val="00317345"/>
    <w:rsid w:val="0032099F"/>
    <w:rsid w:val="00320D68"/>
    <w:rsid w:val="00321697"/>
    <w:rsid w:val="00321A41"/>
    <w:rsid w:val="0032213A"/>
    <w:rsid w:val="0032319F"/>
    <w:rsid w:val="003234C3"/>
    <w:rsid w:val="0032357F"/>
    <w:rsid w:val="00323E3A"/>
    <w:rsid w:val="00326BAB"/>
    <w:rsid w:val="00326D48"/>
    <w:rsid w:val="003270AC"/>
    <w:rsid w:val="0033044D"/>
    <w:rsid w:val="00330AAB"/>
    <w:rsid w:val="0033177F"/>
    <w:rsid w:val="00331BD5"/>
    <w:rsid w:val="0033294D"/>
    <w:rsid w:val="00332B28"/>
    <w:rsid w:val="00332E1C"/>
    <w:rsid w:val="003330A9"/>
    <w:rsid w:val="00335552"/>
    <w:rsid w:val="003360ED"/>
    <w:rsid w:val="00336AA9"/>
    <w:rsid w:val="00336FA4"/>
    <w:rsid w:val="003375FE"/>
    <w:rsid w:val="003379BF"/>
    <w:rsid w:val="00340A22"/>
    <w:rsid w:val="00340D0D"/>
    <w:rsid w:val="00341DB4"/>
    <w:rsid w:val="00342220"/>
    <w:rsid w:val="00343D7E"/>
    <w:rsid w:val="00344645"/>
    <w:rsid w:val="00345438"/>
    <w:rsid w:val="0034588D"/>
    <w:rsid w:val="003458A9"/>
    <w:rsid w:val="003458D3"/>
    <w:rsid w:val="00345E87"/>
    <w:rsid w:val="003462C9"/>
    <w:rsid w:val="00346456"/>
    <w:rsid w:val="0034664A"/>
    <w:rsid w:val="003513AC"/>
    <w:rsid w:val="003514C6"/>
    <w:rsid w:val="00352038"/>
    <w:rsid w:val="003526CF"/>
    <w:rsid w:val="00354A03"/>
    <w:rsid w:val="00356B3D"/>
    <w:rsid w:val="00356BC4"/>
    <w:rsid w:val="00360EEC"/>
    <w:rsid w:val="00361EE3"/>
    <w:rsid w:val="003624BA"/>
    <w:rsid w:val="00362C7A"/>
    <w:rsid w:val="0036317A"/>
    <w:rsid w:val="0036321E"/>
    <w:rsid w:val="00363BD5"/>
    <w:rsid w:val="0036401C"/>
    <w:rsid w:val="00364E3D"/>
    <w:rsid w:val="00365E82"/>
    <w:rsid w:val="0036654A"/>
    <w:rsid w:val="00366991"/>
    <w:rsid w:val="00367B53"/>
    <w:rsid w:val="003715B1"/>
    <w:rsid w:val="00371D7A"/>
    <w:rsid w:val="003720B6"/>
    <w:rsid w:val="003738C8"/>
    <w:rsid w:val="00373A92"/>
    <w:rsid w:val="00374D4A"/>
    <w:rsid w:val="0037518E"/>
    <w:rsid w:val="003759D1"/>
    <w:rsid w:val="00375C74"/>
    <w:rsid w:val="00375DFA"/>
    <w:rsid w:val="00375EE8"/>
    <w:rsid w:val="00376371"/>
    <w:rsid w:val="00376747"/>
    <w:rsid w:val="003768D2"/>
    <w:rsid w:val="00377194"/>
    <w:rsid w:val="003771A8"/>
    <w:rsid w:val="003773A5"/>
    <w:rsid w:val="0038045E"/>
    <w:rsid w:val="00380726"/>
    <w:rsid w:val="00380F3B"/>
    <w:rsid w:val="003819BB"/>
    <w:rsid w:val="00382059"/>
    <w:rsid w:val="0038254F"/>
    <w:rsid w:val="00382A91"/>
    <w:rsid w:val="00382F33"/>
    <w:rsid w:val="0038346A"/>
    <w:rsid w:val="00383F28"/>
    <w:rsid w:val="0038444A"/>
    <w:rsid w:val="003849C4"/>
    <w:rsid w:val="00384DB1"/>
    <w:rsid w:val="003856DC"/>
    <w:rsid w:val="00386008"/>
    <w:rsid w:val="003862E9"/>
    <w:rsid w:val="0038658E"/>
    <w:rsid w:val="00386AE5"/>
    <w:rsid w:val="00386BA0"/>
    <w:rsid w:val="00387B7C"/>
    <w:rsid w:val="00387CE1"/>
    <w:rsid w:val="00390227"/>
    <w:rsid w:val="00390CEE"/>
    <w:rsid w:val="00391FE1"/>
    <w:rsid w:val="00392300"/>
    <w:rsid w:val="00392B98"/>
    <w:rsid w:val="00393119"/>
    <w:rsid w:val="00394013"/>
    <w:rsid w:val="00394D30"/>
    <w:rsid w:val="00394E77"/>
    <w:rsid w:val="0039538B"/>
    <w:rsid w:val="00395B21"/>
    <w:rsid w:val="00395B85"/>
    <w:rsid w:val="00396793"/>
    <w:rsid w:val="00396851"/>
    <w:rsid w:val="003970B8"/>
    <w:rsid w:val="003971C2"/>
    <w:rsid w:val="003977B8"/>
    <w:rsid w:val="0039783C"/>
    <w:rsid w:val="003A059B"/>
    <w:rsid w:val="003A09E9"/>
    <w:rsid w:val="003A0CA4"/>
    <w:rsid w:val="003A1110"/>
    <w:rsid w:val="003A1EF1"/>
    <w:rsid w:val="003A23F6"/>
    <w:rsid w:val="003A39C6"/>
    <w:rsid w:val="003A3B13"/>
    <w:rsid w:val="003A3BB2"/>
    <w:rsid w:val="003A5008"/>
    <w:rsid w:val="003A551F"/>
    <w:rsid w:val="003A5D11"/>
    <w:rsid w:val="003A7A9A"/>
    <w:rsid w:val="003B0130"/>
    <w:rsid w:val="003B0399"/>
    <w:rsid w:val="003B11AC"/>
    <w:rsid w:val="003B1AE7"/>
    <w:rsid w:val="003B1F56"/>
    <w:rsid w:val="003B2C01"/>
    <w:rsid w:val="003B2D9D"/>
    <w:rsid w:val="003B38D1"/>
    <w:rsid w:val="003B3CEC"/>
    <w:rsid w:val="003B433C"/>
    <w:rsid w:val="003B45C2"/>
    <w:rsid w:val="003B53B8"/>
    <w:rsid w:val="003B5DFA"/>
    <w:rsid w:val="003B60EE"/>
    <w:rsid w:val="003B6D6D"/>
    <w:rsid w:val="003B70A2"/>
    <w:rsid w:val="003B785C"/>
    <w:rsid w:val="003C0363"/>
    <w:rsid w:val="003C0CF3"/>
    <w:rsid w:val="003C0FA7"/>
    <w:rsid w:val="003C1293"/>
    <w:rsid w:val="003C16DC"/>
    <w:rsid w:val="003C19E0"/>
    <w:rsid w:val="003C1EEC"/>
    <w:rsid w:val="003C24E4"/>
    <w:rsid w:val="003C29D0"/>
    <w:rsid w:val="003C2C94"/>
    <w:rsid w:val="003C4339"/>
    <w:rsid w:val="003C4348"/>
    <w:rsid w:val="003C4873"/>
    <w:rsid w:val="003C50F0"/>
    <w:rsid w:val="003C547B"/>
    <w:rsid w:val="003C61D1"/>
    <w:rsid w:val="003C77D0"/>
    <w:rsid w:val="003D0D50"/>
    <w:rsid w:val="003D1BE8"/>
    <w:rsid w:val="003D1C40"/>
    <w:rsid w:val="003D3023"/>
    <w:rsid w:val="003D390A"/>
    <w:rsid w:val="003D3AE9"/>
    <w:rsid w:val="003D3FED"/>
    <w:rsid w:val="003D5B7B"/>
    <w:rsid w:val="003D5DF8"/>
    <w:rsid w:val="003D6321"/>
    <w:rsid w:val="003D634B"/>
    <w:rsid w:val="003E04B9"/>
    <w:rsid w:val="003E0B42"/>
    <w:rsid w:val="003E138C"/>
    <w:rsid w:val="003E17F4"/>
    <w:rsid w:val="003E1BF8"/>
    <w:rsid w:val="003E326F"/>
    <w:rsid w:val="003E3733"/>
    <w:rsid w:val="003E3ABA"/>
    <w:rsid w:val="003E3AC8"/>
    <w:rsid w:val="003E491A"/>
    <w:rsid w:val="003E4A96"/>
    <w:rsid w:val="003E58BD"/>
    <w:rsid w:val="003E61C7"/>
    <w:rsid w:val="003E661F"/>
    <w:rsid w:val="003E67D4"/>
    <w:rsid w:val="003E6A4C"/>
    <w:rsid w:val="003E6F82"/>
    <w:rsid w:val="003F012D"/>
    <w:rsid w:val="003F17C6"/>
    <w:rsid w:val="003F266E"/>
    <w:rsid w:val="003F2B74"/>
    <w:rsid w:val="003F43E1"/>
    <w:rsid w:val="003F4B8E"/>
    <w:rsid w:val="003F5E32"/>
    <w:rsid w:val="003F6165"/>
    <w:rsid w:val="003F6424"/>
    <w:rsid w:val="003F6B3E"/>
    <w:rsid w:val="003F78CD"/>
    <w:rsid w:val="003F7941"/>
    <w:rsid w:val="004001F5"/>
    <w:rsid w:val="00400370"/>
    <w:rsid w:val="004003AA"/>
    <w:rsid w:val="00400E8E"/>
    <w:rsid w:val="00401DA4"/>
    <w:rsid w:val="0040256D"/>
    <w:rsid w:val="00403307"/>
    <w:rsid w:val="00403B62"/>
    <w:rsid w:val="0040501D"/>
    <w:rsid w:val="00405CF0"/>
    <w:rsid w:val="00406C88"/>
    <w:rsid w:val="00407F96"/>
    <w:rsid w:val="004100E0"/>
    <w:rsid w:val="004105D5"/>
    <w:rsid w:val="004107E6"/>
    <w:rsid w:val="00410A56"/>
    <w:rsid w:val="00410B93"/>
    <w:rsid w:val="00411374"/>
    <w:rsid w:val="0041171B"/>
    <w:rsid w:val="00411851"/>
    <w:rsid w:val="0041347E"/>
    <w:rsid w:val="004139E3"/>
    <w:rsid w:val="00414145"/>
    <w:rsid w:val="004141AF"/>
    <w:rsid w:val="00415DE0"/>
    <w:rsid w:val="0041697E"/>
    <w:rsid w:val="00416BB6"/>
    <w:rsid w:val="00417DAB"/>
    <w:rsid w:val="00417E4B"/>
    <w:rsid w:val="00420568"/>
    <w:rsid w:val="00420FDA"/>
    <w:rsid w:val="00421146"/>
    <w:rsid w:val="0042116B"/>
    <w:rsid w:val="00421AB4"/>
    <w:rsid w:val="004226A0"/>
    <w:rsid w:val="004229C2"/>
    <w:rsid w:val="0042343B"/>
    <w:rsid w:val="00424548"/>
    <w:rsid w:val="0042477F"/>
    <w:rsid w:val="004256F0"/>
    <w:rsid w:val="00425B76"/>
    <w:rsid w:val="00425CA9"/>
    <w:rsid w:val="00426E43"/>
    <w:rsid w:val="00426F45"/>
    <w:rsid w:val="00427CF8"/>
    <w:rsid w:val="004303A8"/>
    <w:rsid w:val="0043092F"/>
    <w:rsid w:val="004310E4"/>
    <w:rsid w:val="0043142E"/>
    <w:rsid w:val="004316AB"/>
    <w:rsid w:val="004317DF"/>
    <w:rsid w:val="00431B29"/>
    <w:rsid w:val="0043229A"/>
    <w:rsid w:val="00432393"/>
    <w:rsid w:val="00432A6F"/>
    <w:rsid w:val="00432F7B"/>
    <w:rsid w:val="00433443"/>
    <w:rsid w:val="00435181"/>
    <w:rsid w:val="004365E4"/>
    <w:rsid w:val="00437C15"/>
    <w:rsid w:val="00437C79"/>
    <w:rsid w:val="00441ECE"/>
    <w:rsid w:val="004425D8"/>
    <w:rsid w:val="00443C5A"/>
    <w:rsid w:val="00444621"/>
    <w:rsid w:val="004450D0"/>
    <w:rsid w:val="00445599"/>
    <w:rsid w:val="00445823"/>
    <w:rsid w:val="00445D1A"/>
    <w:rsid w:val="00446311"/>
    <w:rsid w:val="00446320"/>
    <w:rsid w:val="004463B9"/>
    <w:rsid w:val="00446446"/>
    <w:rsid w:val="00446A6E"/>
    <w:rsid w:val="00446CDE"/>
    <w:rsid w:val="00446EED"/>
    <w:rsid w:val="004476F1"/>
    <w:rsid w:val="004507E3"/>
    <w:rsid w:val="004508C5"/>
    <w:rsid w:val="00450FD0"/>
    <w:rsid w:val="00451145"/>
    <w:rsid w:val="004518B9"/>
    <w:rsid w:val="00451E8E"/>
    <w:rsid w:val="0045346B"/>
    <w:rsid w:val="0045418D"/>
    <w:rsid w:val="00454AD5"/>
    <w:rsid w:val="004550A8"/>
    <w:rsid w:val="0045549B"/>
    <w:rsid w:val="004557F0"/>
    <w:rsid w:val="004568F8"/>
    <w:rsid w:val="00456D95"/>
    <w:rsid w:val="004575E4"/>
    <w:rsid w:val="004576B0"/>
    <w:rsid w:val="0046045F"/>
    <w:rsid w:val="00460CA8"/>
    <w:rsid w:val="00460E07"/>
    <w:rsid w:val="0046216C"/>
    <w:rsid w:val="00462A05"/>
    <w:rsid w:val="004631EA"/>
    <w:rsid w:val="00463E91"/>
    <w:rsid w:val="00463FF9"/>
    <w:rsid w:val="004649FF"/>
    <w:rsid w:val="00464D80"/>
    <w:rsid w:val="00465088"/>
    <w:rsid w:val="00465990"/>
    <w:rsid w:val="00465D65"/>
    <w:rsid w:val="00465E9A"/>
    <w:rsid w:val="00466198"/>
    <w:rsid w:val="00466983"/>
    <w:rsid w:val="004701B2"/>
    <w:rsid w:val="00470F2B"/>
    <w:rsid w:val="004724ED"/>
    <w:rsid w:val="004727EE"/>
    <w:rsid w:val="00475365"/>
    <w:rsid w:val="00475A0A"/>
    <w:rsid w:val="00475D01"/>
    <w:rsid w:val="00475E8E"/>
    <w:rsid w:val="004769FB"/>
    <w:rsid w:val="00476A8A"/>
    <w:rsid w:val="00476DA8"/>
    <w:rsid w:val="00477A3D"/>
    <w:rsid w:val="00477D88"/>
    <w:rsid w:val="00480C14"/>
    <w:rsid w:val="0048137C"/>
    <w:rsid w:val="0048187F"/>
    <w:rsid w:val="004824B8"/>
    <w:rsid w:val="00482599"/>
    <w:rsid w:val="00482EEC"/>
    <w:rsid w:val="00483BAD"/>
    <w:rsid w:val="00483E9E"/>
    <w:rsid w:val="0048529B"/>
    <w:rsid w:val="00486510"/>
    <w:rsid w:val="00486739"/>
    <w:rsid w:val="0048701B"/>
    <w:rsid w:val="0048740C"/>
    <w:rsid w:val="0048785D"/>
    <w:rsid w:val="00487F55"/>
    <w:rsid w:val="0049019F"/>
    <w:rsid w:val="0049067F"/>
    <w:rsid w:val="00493A51"/>
    <w:rsid w:val="00493B86"/>
    <w:rsid w:val="004956E1"/>
    <w:rsid w:val="00495E29"/>
    <w:rsid w:val="00496050"/>
    <w:rsid w:val="00496DB7"/>
    <w:rsid w:val="00497F2C"/>
    <w:rsid w:val="004A03B5"/>
    <w:rsid w:val="004A04B5"/>
    <w:rsid w:val="004A0AD0"/>
    <w:rsid w:val="004A1608"/>
    <w:rsid w:val="004A1AF1"/>
    <w:rsid w:val="004A211E"/>
    <w:rsid w:val="004A2E07"/>
    <w:rsid w:val="004A30E5"/>
    <w:rsid w:val="004A32A5"/>
    <w:rsid w:val="004A39B2"/>
    <w:rsid w:val="004A4ADA"/>
    <w:rsid w:val="004A50BF"/>
    <w:rsid w:val="004A54F3"/>
    <w:rsid w:val="004A62B2"/>
    <w:rsid w:val="004A6641"/>
    <w:rsid w:val="004A6E00"/>
    <w:rsid w:val="004A758C"/>
    <w:rsid w:val="004A7685"/>
    <w:rsid w:val="004A7947"/>
    <w:rsid w:val="004A7E8C"/>
    <w:rsid w:val="004B003A"/>
    <w:rsid w:val="004B055E"/>
    <w:rsid w:val="004B0AE3"/>
    <w:rsid w:val="004B12C3"/>
    <w:rsid w:val="004B1BF4"/>
    <w:rsid w:val="004B1DE2"/>
    <w:rsid w:val="004B2076"/>
    <w:rsid w:val="004B3300"/>
    <w:rsid w:val="004B3974"/>
    <w:rsid w:val="004B3B03"/>
    <w:rsid w:val="004B40A9"/>
    <w:rsid w:val="004B41FA"/>
    <w:rsid w:val="004B430E"/>
    <w:rsid w:val="004B454F"/>
    <w:rsid w:val="004B5D29"/>
    <w:rsid w:val="004B67B7"/>
    <w:rsid w:val="004B6FAB"/>
    <w:rsid w:val="004B708E"/>
    <w:rsid w:val="004B7189"/>
    <w:rsid w:val="004B7C85"/>
    <w:rsid w:val="004C001E"/>
    <w:rsid w:val="004C17AD"/>
    <w:rsid w:val="004C2020"/>
    <w:rsid w:val="004C2224"/>
    <w:rsid w:val="004C2B4D"/>
    <w:rsid w:val="004C2D6C"/>
    <w:rsid w:val="004C365C"/>
    <w:rsid w:val="004C3DDD"/>
    <w:rsid w:val="004C55EA"/>
    <w:rsid w:val="004C5D9B"/>
    <w:rsid w:val="004C5E0A"/>
    <w:rsid w:val="004C6CC8"/>
    <w:rsid w:val="004C6CCE"/>
    <w:rsid w:val="004C7934"/>
    <w:rsid w:val="004C7EE3"/>
    <w:rsid w:val="004D0ADE"/>
    <w:rsid w:val="004D1464"/>
    <w:rsid w:val="004D1C6B"/>
    <w:rsid w:val="004D1E19"/>
    <w:rsid w:val="004D2A71"/>
    <w:rsid w:val="004D2F71"/>
    <w:rsid w:val="004D37B5"/>
    <w:rsid w:val="004D51BA"/>
    <w:rsid w:val="004D53B6"/>
    <w:rsid w:val="004D55B2"/>
    <w:rsid w:val="004D6024"/>
    <w:rsid w:val="004D653F"/>
    <w:rsid w:val="004D65D4"/>
    <w:rsid w:val="004D65D6"/>
    <w:rsid w:val="004D7EAE"/>
    <w:rsid w:val="004D7F00"/>
    <w:rsid w:val="004D7F8D"/>
    <w:rsid w:val="004E0029"/>
    <w:rsid w:val="004E043D"/>
    <w:rsid w:val="004E1A18"/>
    <w:rsid w:val="004E2870"/>
    <w:rsid w:val="004E2F55"/>
    <w:rsid w:val="004E316B"/>
    <w:rsid w:val="004E3172"/>
    <w:rsid w:val="004E34BD"/>
    <w:rsid w:val="004E38F3"/>
    <w:rsid w:val="004E4711"/>
    <w:rsid w:val="004E4A9A"/>
    <w:rsid w:val="004E598D"/>
    <w:rsid w:val="004E5DF9"/>
    <w:rsid w:val="004E71CB"/>
    <w:rsid w:val="004E7750"/>
    <w:rsid w:val="004E7E24"/>
    <w:rsid w:val="004F057D"/>
    <w:rsid w:val="004F0E68"/>
    <w:rsid w:val="004F0F3D"/>
    <w:rsid w:val="004F1AC0"/>
    <w:rsid w:val="004F1BE6"/>
    <w:rsid w:val="004F2C8B"/>
    <w:rsid w:val="004F2F83"/>
    <w:rsid w:val="004F34F4"/>
    <w:rsid w:val="004F3ADE"/>
    <w:rsid w:val="004F4465"/>
    <w:rsid w:val="004F51E8"/>
    <w:rsid w:val="004F5BB9"/>
    <w:rsid w:val="004F6092"/>
    <w:rsid w:val="004F65B0"/>
    <w:rsid w:val="004F6B8E"/>
    <w:rsid w:val="004F6FE2"/>
    <w:rsid w:val="004F7907"/>
    <w:rsid w:val="00500F75"/>
    <w:rsid w:val="0050103A"/>
    <w:rsid w:val="00501829"/>
    <w:rsid w:val="00501917"/>
    <w:rsid w:val="005021CA"/>
    <w:rsid w:val="00502ACC"/>
    <w:rsid w:val="00502B09"/>
    <w:rsid w:val="005044B5"/>
    <w:rsid w:val="00504570"/>
    <w:rsid w:val="0051054E"/>
    <w:rsid w:val="0051163D"/>
    <w:rsid w:val="00511A00"/>
    <w:rsid w:val="00511AB2"/>
    <w:rsid w:val="0051388B"/>
    <w:rsid w:val="00513F9E"/>
    <w:rsid w:val="005141C4"/>
    <w:rsid w:val="00514A1E"/>
    <w:rsid w:val="00516455"/>
    <w:rsid w:val="00516456"/>
    <w:rsid w:val="00517263"/>
    <w:rsid w:val="00517D8E"/>
    <w:rsid w:val="00517FDD"/>
    <w:rsid w:val="0052086D"/>
    <w:rsid w:val="00520C70"/>
    <w:rsid w:val="00520F7D"/>
    <w:rsid w:val="0052111B"/>
    <w:rsid w:val="0052149F"/>
    <w:rsid w:val="00521E5A"/>
    <w:rsid w:val="00521FB0"/>
    <w:rsid w:val="0052200A"/>
    <w:rsid w:val="005222D7"/>
    <w:rsid w:val="00523636"/>
    <w:rsid w:val="005247DD"/>
    <w:rsid w:val="00524CFF"/>
    <w:rsid w:val="005257B4"/>
    <w:rsid w:val="0052599B"/>
    <w:rsid w:val="00526095"/>
    <w:rsid w:val="00526505"/>
    <w:rsid w:val="005267AF"/>
    <w:rsid w:val="00526CFC"/>
    <w:rsid w:val="005273E1"/>
    <w:rsid w:val="0052753D"/>
    <w:rsid w:val="005277D9"/>
    <w:rsid w:val="00527D3B"/>
    <w:rsid w:val="005302C8"/>
    <w:rsid w:val="0053035A"/>
    <w:rsid w:val="00530BB7"/>
    <w:rsid w:val="00530FD5"/>
    <w:rsid w:val="005315EB"/>
    <w:rsid w:val="0053213A"/>
    <w:rsid w:val="00532607"/>
    <w:rsid w:val="005326F9"/>
    <w:rsid w:val="00533925"/>
    <w:rsid w:val="00534005"/>
    <w:rsid w:val="005345F3"/>
    <w:rsid w:val="00535031"/>
    <w:rsid w:val="00535BC7"/>
    <w:rsid w:val="00536023"/>
    <w:rsid w:val="00536604"/>
    <w:rsid w:val="005367D5"/>
    <w:rsid w:val="00536F1A"/>
    <w:rsid w:val="00537ED6"/>
    <w:rsid w:val="00540215"/>
    <w:rsid w:val="00540F5A"/>
    <w:rsid w:val="005415F8"/>
    <w:rsid w:val="00542725"/>
    <w:rsid w:val="00542C6A"/>
    <w:rsid w:val="0054486B"/>
    <w:rsid w:val="005449BB"/>
    <w:rsid w:val="005449C2"/>
    <w:rsid w:val="0054569A"/>
    <w:rsid w:val="00545B7D"/>
    <w:rsid w:val="00545CFA"/>
    <w:rsid w:val="0054783C"/>
    <w:rsid w:val="00547F4B"/>
    <w:rsid w:val="00547FE1"/>
    <w:rsid w:val="00550CD3"/>
    <w:rsid w:val="00550DD3"/>
    <w:rsid w:val="00550F23"/>
    <w:rsid w:val="0055179D"/>
    <w:rsid w:val="005520DD"/>
    <w:rsid w:val="00552BB7"/>
    <w:rsid w:val="00552F55"/>
    <w:rsid w:val="00554260"/>
    <w:rsid w:val="00554D50"/>
    <w:rsid w:val="00555397"/>
    <w:rsid w:val="005559B3"/>
    <w:rsid w:val="00555CE3"/>
    <w:rsid w:val="00556AE2"/>
    <w:rsid w:val="00556D21"/>
    <w:rsid w:val="00560561"/>
    <w:rsid w:val="00560CAD"/>
    <w:rsid w:val="00561A18"/>
    <w:rsid w:val="00561AD8"/>
    <w:rsid w:val="00561C4B"/>
    <w:rsid w:val="00561CC7"/>
    <w:rsid w:val="0056237B"/>
    <w:rsid w:val="00562CBF"/>
    <w:rsid w:val="00562CEA"/>
    <w:rsid w:val="00562E5C"/>
    <w:rsid w:val="0056350B"/>
    <w:rsid w:val="00563A95"/>
    <w:rsid w:val="00564CAD"/>
    <w:rsid w:val="00565F67"/>
    <w:rsid w:val="00566773"/>
    <w:rsid w:val="00566B5E"/>
    <w:rsid w:val="00567084"/>
    <w:rsid w:val="00567088"/>
    <w:rsid w:val="00567D5D"/>
    <w:rsid w:val="00567DA5"/>
    <w:rsid w:val="00567F6A"/>
    <w:rsid w:val="00570506"/>
    <w:rsid w:val="00571160"/>
    <w:rsid w:val="005724F6"/>
    <w:rsid w:val="00573233"/>
    <w:rsid w:val="0057441A"/>
    <w:rsid w:val="00574580"/>
    <w:rsid w:val="00574B05"/>
    <w:rsid w:val="00574CC6"/>
    <w:rsid w:val="0057604B"/>
    <w:rsid w:val="005805DA"/>
    <w:rsid w:val="00580D98"/>
    <w:rsid w:val="00581834"/>
    <w:rsid w:val="00582391"/>
    <w:rsid w:val="00583625"/>
    <w:rsid w:val="00583CE8"/>
    <w:rsid w:val="00583DF6"/>
    <w:rsid w:val="005848C3"/>
    <w:rsid w:val="005864F2"/>
    <w:rsid w:val="0058686A"/>
    <w:rsid w:val="0059009F"/>
    <w:rsid w:val="005903BF"/>
    <w:rsid w:val="00591348"/>
    <w:rsid w:val="00591AEA"/>
    <w:rsid w:val="00592643"/>
    <w:rsid w:val="0059265E"/>
    <w:rsid w:val="00593328"/>
    <w:rsid w:val="00593838"/>
    <w:rsid w:val="00593868"/>
    <w:rsid w:val="00593DD4"/>
    <w:rsid w:val="005943C8"/>
    <w:rsid w:val="00594BEA"/>
    <w:rsid w:val="00595103"/>
    <w:rsid w:val="00595856"/>
    <w:rsid w:val="0059655E"/>
    <w:rsid w:val="00597111"/>
    <w:rsid w:val="005977B7"/>
    <w:rsid w:val="00597C87"/>
    <w:rsid w:val="005A1A4F"/>
    <w:rsid w:val="005A3AF2"/>
    <w:rsid w:val="005A3CA0"/>
    <w:rsid w:val="005A4D06"/>
    <w:rsid w:val="005A4EB0"/>
    <w:rsid w:val="005A5102"/>
    <w:rsid w:val="005A510F"/>
    <w:rsid w:val="005A70AA"/>
    <w:rsid w:val="005A7924"/>
    <w:rsid w:val="005A7DF9"/>
    <w:rsid w:val="005B064D"/>
    <w:rsid w:val="005B1BEE"/>
    <w:rsid w:val="005B384D"/>
    <w:rsid w:val="005B38AB"/>
    <w:rsid w:val="005B504F"/>
    <w:rsid w:val="005B50FD"/>
    <w:rsid w:val="005B5347"/>
    <w:rsid w:val="005B5728"/>
    <w:rsid w:val="005B5830"/>
    <w:rsid w:val="005B74A9"/>
    <w:rsid w:val="005B7F3D"/>
    <w:rsid w:val="005C010F"/>
    <w:rsid w:val="005C0473"/>
    <w:rsid w:val="005C0768"/>
    <w:rsid w:val="005C0948"/>
    <w:rsid w:val="005C0CA8"/>
    <w:rsid w:val="005C0CD8"/>
    <w:rsid w:val="005C0DFC"/>
    <w:rsid w:val="005C0F02"/>
    <w:rsid w:val="005C24CC"/>
    <w:rsid w:val="005C2DBC"/>
    <w:rsid w:val="005C2F31"/>
    <w:rsid w:val="005C45A6"/>
    <w:rsid w:val="005C4620"/>
    <w:rsid w:val="005C47CB"/>
    <w:rsid w:val="005C4896"/>
    <w:rsid w:val="005C5607"/>
    <w:rsid w:val="005C5FED"/>
    <w:rsid w:val="005C6B03"/>
    <w:rsid w:val="005C7E69"/>
    <w:rsid w:val="005C7ED8"/>
    <w:rsid w:val="005D0A34"/>
    <w:rsid w:val="005D0AA0"/>
    <w:rsid w:val="005D210D"/>
    <w:rsid w:val="005D2627"/>
    <w:rsid w:val="005D2724"/>
    <w:rsid w:val="005D3056"/>
    <w:rsid w:val="005D30CD"/>
    <w:rsid w:val="005D3701"/>
    <w:rsid w:val="005D46E1"/>
    <w:rsid w:val="005D4E7A"/>
    <w:rsid w:val="005D5A34"/>
    <w:rsid w:val="005D6422"/>
    <w:rsid w:val="005E0FA0"/>
    <w:rsid w:val="005E1756"/>
    <w:rsid w:val="005E247C"/>
    <w:rsid w:val="005E25FA"/>
    <w:rsid w:val="005E2798"/>
    <w:rsid w:val="005E27D5"/>
    <w:rsid w:val="005E434B"/>
    <w:rsid w:val="005E45BE"/>
    <w:rsid w:val="005E4F7D"/>
    <w:rsid w:val="005E5AFE"/>
    <w:rsid w:val="005E5D2D"/>
    <w:rsid w:val="005E6145"/>
    <w:rsid w:val="005E6750"/>
    <w:rsid w:val="005E6AD1"/>
    <w:rsid w:val="005E6CBA"/>
    <w:rsid w:val="005E6DFD"/>
    <w:rsid w:val="005E7738"/>
    <w:rsid w:val="005F0DCB"/>
    <w:rsid w:val="005F16FE"/>
    <w:rsid w:val="005F3609"/>
    <w:rsid w:val="005F3F44"/>
    <w:rsid w:val="005F4611"/>
    <w:rsid w:val="005F490F"/>
    <w:rsid w:val="005F4E09"/>
    <w:rsid w:val="005F4FDF"/>
    <w:rsid w:val="005F5181"/>
    <w:rsid w:val="005F536B"/>
    <w:rsid w:val="005F57B7"/>
    <w:rsid w:val="005F7022"/>
    <w:rsid w:val="005F7B00"/>
    <w:rsid w:val="005F7DA2"/>
    <w:rsid w:val="005F7E70"/>
    <w:rsid w:val="00600F0A"/>
    <w:rsid w:val="00601EBA"/>
    <w:rsid w:val="0060221C"/>
    <w:rsid w:val="006023CD"/>
    <w:rsid w:val="006035F5"/>
    <w:rsid w:val="00603A1B"/>
    <w:rsid w:val="00604059"/>
    <w:rsid w:val="00604124"/>
    <w:rsid w:val="006045B4"/>
    <w:rsid w:val="00605EE2"/>
    <w:rsid w:val="0060608A"/>
    <w:rsid w:val="0060667A"/>
    <w:rsid w:val="00606900"/>
    <w:rsid w:val="00606BCF"/>
    <w:rsid w:val="00606E8C"/>
    <w:rsid w:val="006111B8"/>
    <w:rsid w:val="006117EE"/>
    <w:rsid w:val="00611A8E"/>
    <w:rsid w:val="00611BB0"/>
    <w:rsid w:val="00611BCB"/>
    <w:rsid w:val="006121A1"/>
    <w:rsid w:val="006122AB"/>
    <w:rsid w:val="00612C33"/>
    <w:rsid w:val="006137A1"/>
    <w:rsid w:val="00613C79"/>
    <w:rsid w:val="00614039"/>
    <w:rsid w:val="00614114"/>
    <w:rsid w:val="0061417A"/>
    <w:rsid w:val="00614444"/>
    <w:rsid w:val="0061527B"/>
    <w:rsid w:val="0061590C"/>
    <w:rsid w:val="00616798"/>
    <w:rsid w:val="006168C7"/>
    <w:rsid w:val="0061692E"/>
    <w:rsid w:val="00617D58"/>
    <w:rsid w:val="006215B2"/>
    <w:rsid w:val="006223E4"/>
    <w:rsid w:val="0062275B"/>
    <w:rsid w:val="00623658"/>
    <w:rsid w:val="00623DB2"/>
    <w:rsid w:val="0062552A"/>
    <w:rsid w:val="00625FFB"/>
    <w:rsid w:val="00626069"/>
    <w:rsid w:val="0062694A"/>
    <w:rsid w:val="00626D88"/>
    <w:rsid w:val="00626DDF"/>
    <w:rsid w:val="00627337"/>
    <w:rsid w:val="0062734D"/>
    <w:rsid w:val="0062749B"/>
    <w:rsid w:val="0062769E"/>
    <w:rsid w:val="00630711"/>
    <w:rsid w:val="00631E7D"/>
    <w:rsid w:val="006321BA"/>
    <w:rsid w:val="00633CE8"/>
    <w:rsid w:val="0063428C"/>
    <w:rsid w:val="006342E8"/>
    <w:rsid w:val="00634F9C"/>
    <w:rsid w:val="00635B22"/>
    <w:rsid w:val="0063664B"/>
    <w:rsid w:val="00636B69"/>
    <w:rsid w:val="0064028D"/>
    <w:rsid w:val="006403E0"/>
    <w:rsid w:val="00641900"/>
    <w:rsid w:val="00643943"/>
    <w:rsid w:val="00643E9C"/>
    <w:rsid w:val="00644770"/>
    <w:rsid w:val="006469E0"/>
    <w:rsid w:val="006470CA"/>
    <w:rsid w:val="006475AE"/>
    <w:rsid w:val="00647C38"/>
    <w:rsid w:val="00650A4A"/>
    <w:rsid w:val="00650ABB"/>
    <w:rsid w:val="00650B8A"/>
    <w:rsid w:val="00650BE0"/>
    <w:rsid w:val="00650CFF"/>
    <w:rsid w:val="00651122"/>
    <w:rsid w:val="00651CD9"/>
    <w:rsid w:val="00652054"/>
    <w:rsid w:val="00652147"/>
    <w:rsid w:val="00652328"/>
    <w:rsid w:val="006548F9"/>
    <w:rsid w:val="006554E5"/>
    <w:rsid w:val="0065556D"/>
    <w:rsid w:val="006558E1"/>
    <w:rsid w:val="00656807"/>
    <w:rsid w:val="00656F65"/>
    <w:rsid w:val="00657E19"/>
    <w:rsid w:val="006600F8"/>
    <w:rsid w:val="0066134E"/>
    <w:rsid w:val="0066166C"/>
    <w:rsid w:val="00661C43"/>
    <w:rsid w:val="00661EC4"/>
    <w:rsid w:val="00662316"/>
    <w:rsid w:val="006633B7"/>
    <w:rsid w:val="00665730"/>
    <w:rsid w:val="00666054"/>
    <w:rsid w:val="00666345"/>
    <w:rsid w:val="0066647A"/>
    <w:rsid w:val="0066745A"/>
    <w:rsid w:val="006675DF"/>
    <w:rsid w:val="00670A91"/>
    <w:rsid w:val="00670D07"/>
    <w:rsid w:val="00671363"/>
    <w:rsid w:val="006723CC"/>
    <w:rsid w:val="00672CD8"/>
    <w:rsid w:val="00675021"/>
    <w:rsid w:val="0067722B"/>
    <w:rsid w:val="00680AEA"/>
    <w:rsid w:val="00681856"/>
    <w:rsid w:val="00681A92"/>
    <w:rsid w:val="00682587"/>
    <w:rsid w:val="00682E29"/>
    <w:rsid w:val="00683124"/>
    <w:rsid w:val="006848A3"/>
    <w:rsid w:val="006851C8"/>
    <w:rsid w:val="00685322"/>
    <w:rsid w:val="006855F9"/>
    <w:rsid w:val="0068585E"/>
    <w:rsid w:val="006860F8"/>
    <w:rsid w:val="0068613D"/>
    <w:rsid w:val="006863F1"/>
    <w:rsid w:val="0068676A"/>
    <w:rsid w:val="006868BF"/>
    <w:rsid w:val="00686BE7"/>
    <w:rsid w:val="00686FF5"/>
    <w:rsid w:val="00687E7C"/>
    <w:rsid w:val="00690C11"/>
    <w:rsid w:val="00690C1E"/>
    <w:rsid w:val="00690E87"/>
    <w:rsid w:val="006912A3"/>
    <w:rsid w:val="00691324"/>
    <w:rsid w:val="00691B23"/>
    <w:rsid w:val="00691FA3"/>
    <w:rsid w:val="00692564"/>
    <w:rsid w:val="00692EB3"/>
    <w:rsid w:val="00693E2D"/>
    <w:rsid w:val="00694855"/>
    <w:rsid w:val="00694ACA"/>
    <w:rsid w:val="00694ED5"/>
    <w:rsid w:val="0069516D"/>
    <w:rsid w:val="00696C69"/>
    <w:rsid w:val="00697DB1"/>
    <w:rsid w:val="006A0378"/>
    <w:rsid w:val="006A06B6"/>
    <w:rsid w:val="006A07DA"/>
    <w:rsid w:val="006A0C65"/>
    <w:rsid w:val="006A16B2"/>
    <w:rsid w:val="006A25EE"/>
    <w:rsid w:val="006A2A4C"/>
    <w:rsid w:val="006A2AC3"/>
    <w:rsid w:val="006A35C5"/>
    <w:rsid w:val="006A3DE3"/>
    <w:rsid w:val="006A42D0"/>
    <w:rsid w:val="006A496D"/>
    <w:rsid w:val="006A699B"/>
    <w:rsid w:val="006A7226"/>
    <w:rsid w:val="006A7253"/>
    <w:rsid w:val="006B2653"/>
    <w:rsid w:val="006B318C"/>
    <w:rsid w:val="006B32D8"/>
    <w:rsid w:val="006B3665"/>
    <w:rsid w:val="006B3F3C"/>
    <w:rsid w:val="006B4AB7"/>
    <w:rsid w:val="006B5625"/>
    <w:rsid w:val="006B616B"/>
    <w:rsid w:val="006B6E62"/>
    <w:rsid w:val="006B789A"/>
    <w:rsid w:val="006B7DD7"/>
    <w:rsid w:val="006C0320"/>
    <w:rsid w:val="006C0641"/>
    <w:rsid w:val="006C0E26"/>
    <w:rsid w:val="006C1750"/>
    <w:rsid w:val="006C1A1C"/>
    <w:rsid w:val="006C2838"/>
    <w:rsid w:val="006C2A03"/>
    <w:rsid w:val="006C3A3F"/>
    <w:rsid w:val="006C3ABF"/>
    <w:rsid w:val="006C3DDB"/>
    <w:rsid w:val="006C49A7"/>
    <w:rsid w:val="006C5597"/>
    <w:rsid w:val="006C57ED"/>
    <w:rsid w:val="006C5F66"/>
    <w:rsid w:val="006C5FE3"/>
    <w:rsid w:val="006C6DED"/>
    <w:rsid w:val="006C7DC3"/>
    <w:rsid w:val="006D0BEF"/>
    <w:rsid w:val="006D0F33"/>
    <w:rsid w:val="006D1B2A"/>
    <w:rsid w:val="006D2972"/>
    <w:rsid w:val="006D2B5F"/>
    <w:rsid w:val="006D2CA5"/>
    <w:rsid w:val="006D2EE7"/>
    <w:rsid w:val="006D3255"/>
    <w:rsid w:val="006D3C6F"/>
    <w:rsid w:val="006D3F73"/>
    <w:rsid w:val="006D4266"/>
    <w:rsid w:val="006D47F3"/>
    <w:rsid w:val="006D5D6E"/>
    <w:rsid w:val="006D7D7D"/>
    <w:rsid w:val="006E1597"/>
    <w:rsid w:val="006E1A7B"/>
    <w:rsid w:val="006E1AA0"/>
    <w:rsid w:val="006E2134"/>
    <w:rsid w:val="006E315C"/>
    <w:rsid w:val="006E3223"/>
    <w:rsid w:val="006E3446"/>
    <w:rsid w:val="006E3ADC"/>
    <w:rsid w:val="006E5355"/>
    <w:rsid w:val="006E5623"/>
    <w:rsid w:val="006E5633"/>
    <w:rsid w:val="006E5912"/>
    <w:rsid w:val="006E5B09"/>
    <w:rsid w:val="006E77D5"/>
    <w:rsid w:val="006E7F10"/>
    <w:rsid w:val="006F0153"/>
    <w:rsid w:val="006F0334"/>
    <w:rsid w:val="006F0414"/>
    <w:rsid w:val="006F0511"/>
    <w:rsid w:val="006F0567"/>
    <w:rsid w:val="006F24B0"/>
    <w:rsid w:val="006F302B"/>
    <w:rsid w:val="006F32FB"/>
    <w:rsid w:val="006F3398"/>
    <w:rsid w:val="006F3C8E"/>
    <w:rsid w:val="006F415D"/>
    <w:rsid w:val="006F49D3"/>
    <w:rsid w:val="006F4E28"/>
    <w:rsid w:val="006F55EE"/>
    <w:rsid w:val="006F5D4B"/>
    <w:rsid w:val="006F5FB8"/>
    <w:rsid w:val="006F6703"/>
    <w:rsid w:val="006F6E77"/>
    <w:rsid w:val="006F7A31"/>
    <w:rsid w:val="006F7B0A"/>
    <w:rsid w:val="0070039D"/>
    <w:rsid w:val="00700640"/>
    <w:rsid w:val="00701844"/>
    <w:rsid w:val="00702048"/>
    <w:rsid w:val="00703680"/>
    <w:rsid w:val="0070398D"/>
    <w:rsid w:val="0070566B"/>
    <w:rsid w:val="00705CEA"/>
    <w:rsid w:val="0070657D"/>
    <w:rsid w:val="0070764F"/>
    <w:rsid w:val="00710344"/>
    <w:rsid w:val="00710AD1"/>
    <w:rsid w:val="00710B40"/>
    <w:rsid w:val="00710FF4"/>
    <w:rsid w:val="0071107F"/>
    <w:rsid w:val="00711849"/>
    <w:rsid w:val="0071186E"/>
    <w:rsid w:val="007123D9"/>
    <w:rsid w:val="00712F70"/>
    <w:rsid w:val="0071303D"/>
    <w:rsid w:val="00713B2E"/>
    <w:rsid w:val="00713DFE"/>
    <w:rsid w:val="0071411D"/>
    <w:rsid w:val="007167A2"/>
    <w:rsid w:val="00716C39"/>
    <w:rsid w:val="00716D2D"/>
    <w:rsid w:val="00716FE8"/>
    <w:rsid w:val="00717EE6"/>
    <w:rsid w:val="0072090C"/>
    <w:rsid w:val="00721085"/>
    <w:rsid w:val="0072139B"/>
    <w:rsid w:val="00723C29"/>
    <w:rsid w:val="00726BC9"/>
    <w:rsid w:val="00726C8B"/>
    <w:rsid w:val="00726CF4"/>
    <w:rsid w:val="00726E9B"/>
    <w:rsid w:val="0072787E"/>
    <w:rsid w:val="00727BFD"/>
    <w:rsid w:val="00727C17"/>
    <w:rsid w:val="00730186"/>
    <w:rsid w:val="00730203"/>
    <w:rsid w:val="00730B48"/>
    <w:rsid w:val="007340E2"/>
    <w:rsid w:val="0073421A"/>
    <w:rsid w:val="00734505"/>
    <w:rsid w:val="0073557D"/>
    <w:rsid w:val="007357FF"/>
    <w:rsid w:val="00735B2E"/>
    <w:rsid w:val="00736147"/>
    <w:rsid w:val="00736A1E"/>
    <w:rsid w:val="00736A9D"/>
    <w:rsid w:val="00737CE8"/>
    <w:rsid w:val="00737D97"/>
    <w:rsid w:val="00737FCF"/>
    <w:rsid w:val="00740627"/>
    <w:rsid w:val="00741286"/>
    <w:rsid w:val="007434FB"/>
    <w:rsid w:val="00744951"/>
    <w:rsid w:val="00744FEA"/>
    <w:rsid w:val="00745A76"/>
    <w:rsid w:val="00745A84"/>
    <w:rsid w:val="00746B92"/>
    <w:rsid w:val="00746D35"/>
    <w:rsid w:val="00747466"/>
    <w:rsid w:val="007479ED"/>
    <w:rsid w:val="00750813"/>
    <w:rsid w:val="00750D8B"/>
    <w:rsid w:val="00750E0B"/>
    <w:rsid w:val="00751260"/>
    <w:rsid w:val="007513E1"/>
    <w:rsid w:val="0075169D"/>
    <w:rsid w:val="00751802"/>
    <w:rsid w:val="00752D13"/>
    <w:rsid w:val="007531E2"/>
    <w:rsid w:val="007534BA"/>
    <w:rsid w:val="007534E4"/>
    <w:rsid w:val="00753E11"/>
    <w:rsid w:val="007545A3"/>
    <w:rsid w:val="00754D76"/>
    <w:rsid w:val="00754F92"/>
    <w:rsid w:val="00755BF9"/>
    <w:rsid w:val="00756147"/>
    <w:rsid w:val="00756344"/>
    <w:rsid w:val="00756C1A"/>
    <w:rsid w:val="00757724"/>
    <w:rsid w:val="007602D3"/>
    <w:rsid w:val="00761CB7"/>
    <w:rsid w:val="007621FE"/>
    <w:rsid w:val="00762FAE"/>
    <w:rsid w:val="00764166"/>
    <w:rsid w:val="00764C30"/>
    <w:rsid w:val="00764C70"/>
    <w:rsid w:val="00764F76"/>
    <w:rsid w:val="00765D49"/>
    <w:rsid w:val="007665A3"/>
    <w:rsid w:val="007667A3"/>
    <w:rsid w:val="007667A8"/>
    <w:rsid w:val="00770426"/>
    <w:rsid w:val="00770EA8"/>
    <w:rsid w:val="00772625"/>
    <w:rsid w:val="00773AE6"/>
    <w:rsid w:val="00774228"/>
    <w:rsid w:val="00774DD5"/>
    <w:rsid w:val="00775023"/>
    <w:rsid w:val="007750F8"/>
    <w:rsid w:val="007760A9"/>
    <w:rsid w:val="00776259"/>
    <w:rsid w:val="00776DBD"/>
    <w:rsid w:val="0078024D"/>
    <w:rsid w:val="0078047B"/>
    <w:rsid w:val="0078049C"/>
    <w:rsid w:val="00780EFC"/>
    <w:rsid w:val="00781180"/>
    <w:rsid w:val="00781FE2"/>
    <w:rsid w:val="007828B0"/>
    <w:rsid w:val="00782BDD"/>
    <w:rsid w:val="00785736"/>
    <w:rsid w:val="00785B89"/>
    <w:rsid w:val="0078622B"/>
    <w:rsid w:val="00786C37"/>
    <w:rsid w:val="0078751D"/>
    <w:rsid w:val="007876B0"/>
    <w:rsid w:val="00787952"/>
    <w:rsid w:val="007911D5"/>
    <w:rsid w:val="0079261D"/>
    <w:rsid w:val="00793287"/>
    <w:rsid w:val="00793F78"/>
    <w:rsid w:val="00794151"/>
    <w:rsid w:val="00794332"/>
    <w:rsid w:val="00794BAE"/>
    <w:rsid w:val="00795916"/>
    <w:rsid w:val="00795C97"/>
    <w:rsid w:val="00795EF9"/>
    <w:rsid w:val="007968A2"/>
    <w:rsid w:val="007975A6"/>
    <w:rsid w:val="0079768A"/>
    <w:rsid w:val="00797983"/>
    <w:rsid w:val="00797EE6"/>
    <w:rsid w:val="007A06DD"/>
    <w:rsid w:val="007A0FAB"/>
    <w:rsid w:val="007A184A"/>
    <w:rsid w:val="007A2122"/>
    <w:rsid w:val="007A234B"/>
    <w:rsid w:val="007A245D"/>
    <w:rsid w:val="007A2D46"/>
    <w:rsid w:val="007A4B49"/>
    <w:rsid w:val="007A4DE3"/>
    <w:rsid w:val="007A4F71"/>
    <w:rsid w:val="007A51F9"/>
    <w:rsid w:val="007A5AB7"/>
    <w:rsid w:val="007A6A39"/>
    <w:rsid w:val="007A73AB"/>
    <w:rsid w:val="007A78A4"/>
    <w:rsid w:val="007A7AEF"/>
    <w:rsid w:val="007A7DE1"/>
    <w:rsid w:val="007A7E27"/>
    <w:rsid w:val="007B0448"/>
    <w:rsid w:val="007B0E14"/>
    <w:rsid w:val="007B1049"/>
    <w:rsid w:val="007B1A07"/>
    <w:rsid w:val="007B3E8B"/>
    <w:rsid w:val="007B4366"/>
    <w:rsid w:val="007B4DBC"/>
    <w:rsid w:val="007B5146"/>
    <w:rsid w:val="007B5326"/>
    <w:rsid w:val="007B60B9"/>
    <w:rsid w:val="007B68F0"/>
    <w:rsid w:val="007B6B83"/>
    <w:rsid w:val="007C0532"/>
    <w:rsid w:val="007C0F57"/>
    <w:rsid w:val="007C1BB2"/>
    <w:rsid w:val="007C2D1A"/>
    <w:rsid w:val="007C3697"/>
    <w:rsid w:val="007C3786"/>
    <w:rsid w:val="007C391B"/>
    <w:rsid w:val="007C3BEA"/>
    <w:rsid w:val="007C49B9"/>
    <w:rsid w:val="007C4A0E"/>
    <w:rsid w:val="007C4FB9"/>
    <w:rsid w:val="007C5A7B"/>
    <w:rsid w:val="007C6E98"/>
    <w:rsid w:val="007D1237"/>
    <w:rsid w:val="007D1A87"/>
    <w:rsid w:val="007D22EE"/>
    <w:rsid w:val="007D28E1"/>
    <w:rsid w:val="007D29E9"/>
    <w:rsid w:val="007D2F8F"/>
    <w:rsid w:val="007D2FC8"/>
    <w:rsid w:val="007D379E"/>
    <w:rsid w:val="007D399E"/>
    <w:rsid w:val="007D45C3"/>
    <w:rsid w:val="007D506A"/>
    <w:rsid w:val="007D601F"/>
    <w:rsid w:val="007D6B78"/>
    <w:rsid w:val="007D7585"/>
    <w:rsid w:val="007D78B2"/>
    <w:rsid w:val="007E09F4"/>
    <w:rsid w:val="007E0EF0"/>
    <w:rsid w:val="007E26DC"/>
    <w:rsid w:val="007E2FC4"/>
    <w:rsid w:val="007E36AB"/>
    <w:rsid w:val="007E466F"/>
    <w:rsid w:val="007E5055"/>
    <w:rsid w:val="007E5B19"/>
    <w:rsid w:val="007E6AF1"/>
    <w:rsid w:val="007E6C77"/>
    <w:rsid w:val="007F0638"/>
    <w:rsid w:val="007F08D7"/>
    <w:rsid w:val="007F0C1C"/>
    <w:rsid w:val="007F1AA1"/>
    <w:rsid w:val="007F1B24"/>
    <w:rsid w:val="007F22AB"/>
    <w:rsid w:val="007F2578"/>
    <w:rsid w:val="007F2864"/>
    <w:rsid w:val="007F310B"/>
    <w:rsid w:val="007F59A7"/>
    <w:rsid w:val="007F5E2D"/>
    <w:rsid w:val="007F671B"/>
    <w:rsid w:val="007F6D9B"/>
    <w:rsid w:val="00802CB7"/>
    <w:rsid w:val="00802D8C"/>
    <w:rsid w:val="00803895"/>
    <w:rsid w:val="00803AB5"/>
    <w:rsid w:val="0080492D"/>
    <w:rsid w:val="00805098"/>
    <w:rsid w:val="00805499"/>
    <w:rsid w:val="00805850"/>
    <w:rsid w:val="00805BDE"/>
    <w:rsid w:val="00806096"/>
    <w:rsid w:val="00806238"/>
    <w:rsid w:val="00806C7D"/>
    <w:rsid w:val="00806DEC"/>
    <w:rsid w:val="00806F4F"/>
    <w:rsid w:val="00807727"/>
    <w:rsid w:val="00807C5F"/>
    <w:rsid w:val="008107F3"/>
    <w:rsid w:val="00810E1C"/>
    <w:rsid w:val="00811EDA"/>
    <w:rsid w:val="008124FF"/>
    <w:rsid w:val="0081276A"/>
    <w:rsid w:val="008132FD"/>
    <w:rsid w:val="0081345E"/>
    <w:rsid w:val="0081424C"/>
    <w:rsid w:val="00814BDE"/>
    <w:rsid w:val="008152CE"/>
    <w:rsid w:val="008152FC"/>
    <w:rsid w:val="00815C03"/>
    <w:rsid w:val="00815CA2"/>
    <w:rsid w:val="00816207"/>
    <w:rsid w:val="00816C8B"/>
    <w:rsid w:val="00816F8E"/>
    <w:rsid w:val="008171E0"/>
    <w:rsid w:val="00820244"/>
    <w:rsid w:val="00820463"/>
    <w:rsid w:val="00820991"/>
    <w:rsid w:val="00820A03"/>
    <w:rsid w:val="00820DBB"/>
    <w:rsid w:val="00821199"/>
    <w:rsid w:val="00821AB2"/>
    <w:rsid w:val="00823524"/>
    <w:rsid w:val="00823859"/>
    <w:rsid w:val="00823961"/>
    <w:rsid w:val="0082493C"/>
    <w:rsid w:val="00824FC7"/>
    <w:rsid w:val="00825863"/>
    <w:rsid w:val="00825D58"/>
    <w:rsid w:val="0082618D"/>
    <w:rsid w:val="00826860"/>
    <w:rsid w:val="00826A13"/>
    <w:rsid w:val="00826B53"/>
    <w:rsid w:val="00826EA2"/>
    <w:rsid w:val="00827803"/>
    <w:rsid w:val="00830286"/>
    <w:rsid w:val="008309AD"/>
    <w:rsid w:val="00830AE5"/>
    <w:rsid w:val="0083110A"/>
    <w:rsid w:val="008312A7"/>
    <w:rsid w:val="0083133B"/>
    <w:rsid w:val="008331D7"/>
    <w:rsid w:val="00833738"/>
    <w:rsid w:val="0083397B"/>
    <w:rsid w:val="00833E21"/>
    <w:rsid w:val="00833F8E"/>
    <w:rsid w:val="0083433F"/>
    <w:rsid w:val="00834CEF"/>
    <w:rsid w:val="008361DC"/>
    <w:rsid w:val="008371F8"/>
    <w:rsid w:val="00840A2D"/>
    <w:rsid w:val="00841401"/>
    <w:rsid w:val="0084164B"/>
    <w:rsid w:val="0084166C"/>
    <w:rsid w:val="0084222D"/>
    <w:rsid w:val="00842E42"/>
    <w:rsid w:val="0084339A"/>
    <w:rsid w:val="0084377E"/>
    <w:rsid w:val="00843B7E"/>
    <w:rsid w:val="00843BEC"/>
    <w:rsid w:val="00844876"/>
    <w:rsid w:val="00844D10"/>
    <w:rsid w:val="008460EF"/>
    <w:rsid w:val="0084622F"/>
    <w:rsid w:val="0084680E"/>
    <w:rsid w:val="00846AB1"/>
    <w:rsid w:val="00847D24"/>
    <w:rsid w:val="00850D25"/>
    <w:rsid w:val="00851451"/>
    <w:rsid w:val="0085171B"/>
    <w:rsid w:val="00851D9A"/>
    <w:rsid w:val="008520F8"/>
    <w:rsid w:val="00852B64"/>
    <w:rsid w:val="00853288"/>
    <w:rsid w:val="00853976"/>
    <w:rsid w:val="00854C9D"/>
    <w:rsid w:val="00854DBA"/>
    <w:rsid w:val="00854E38"/>
    <w:rsid w:val="00854EBE"/>
    <w:rsid w:val="00855027"/>
    <w:rsid w:val="008551F1"/>
    <w:rsid w:val="008552C0"/>
    <w:rsid w:val="00856C2D"/>
    <w:rsid w:val="00857535"/>
    <w:rsid w:val="00857590"/>
    <w:rsid w:val="0085762E"/>
    <w:rsid w:val="00857EA1"/>
    <w:rsid w:val="00860A4C"/>
    <w:rsid w:val="00860F37"/>
    <w:rsid w:val="008614D9"/>
    <w:rsid w:val="00863764"/>
    <w:rsid w:val="008659AB"/>
    <w:rsid w:val="00866919"/>
    <w:rsid w:val="00866FBD"/>
    <w:rsid w:val="00867327"/>
    <w:rsid w:val="0087015F"/>
    <w:rsid w:val="00870A0C"/>
    <w:rsid w:val="00870AC9"/>
    <w:rsid w:val="008713EE"/>
    <w:rsid w:val="00871F7B"/>
    <w:rsid w:val="00872DE4"/>
    <w:rsid w:val="00872F0E"/>
    <w:rsid w:val="0087326D"/>
    <w:rsid w:val="0087412F"/>
    <w:rsid w:val="00874DC8"/>
    <w:rsid w:val="008754DA"/>
    <w:rsid w:val="00876633"/>
    <w:rsid w:val="00876A47"/>
    <w:rsid w:val="008771FC"/>
    <w:rsid w:val="00877B46"/>
    <w:rsid w:val="00880AEF"/>
    <w:rsid w:val="00880CB1"/>
    <w:rsid w:val="008825F9"/>
    <w:rsid w:val="00883B06"/>
    <w:rsid w:val="00883E8B"/>
    <w:rsid w:val="00885361"/>
    <w:rsid w:val="008855D6"/>
    <w:rsid w:val="0088597C"/>
    <w:rsid w:val="00886405"/>
    <w:rsid w:val="00886CDC"/>
    <w:rsid w:val="00886D1A"/>
    <w:rsid w:val="008870E6"/>
    <w:rsid w:val="008903DB"/>
    <w:rsid w:val="008904DC"/>
    <w:rsid w:val="00890791"/>
    <w:rsid w:val="00890A97"/>
    <w:rsid w:val="00892224"/>
    <w:rsid w:val="008923AF"/>
    <w:rsid w:val="00892534"/>
    <w:rsid w:val="0089371C"/>
    <w:rsid w:val="00895D92"/>
    <w:rsid w:val="0089644B"/>
    <w:rsid w:val="00896CC4"/>
    <w:rsid w:val="008973A5"/>
    <w:rsid w:val="0089793D"/>
    <w:rsid w:val="00897F8D"/>
    <w:rsid w:val="008A008B"/>
    <w:rsid w:val="008A030D"/>
    <w:rsid w:val="008A180C"/>
    <w:rsid w:val="008A1A26"/>
    <w:rsid w:val="008A1ED1"/>
    <w:rsid w:val="008A23B4"/>
    <w:rsid w:val="008A294B"/>
    <w:rsid w:val="008A682F"/>
    <w:rsid w:val="008A7142"/>
    <w:rsid w:val="008A7320"/>
    <w:rsid w:val="008A762F"/>
    <w:rsid w:val="008A79AB"/>
    <w:rsid w:val="008B1A0B"/>
    <w:rsid w:val="008B2581"/>
    <w:rsid w:val="008B2698"/>
    <w:rsid w:val="008B396C"/>
    <w:rsid w:val="008B4448"/>
    <w:rsid w:val="008B4E8E"/>
    <w:rsid w:val="008B5E00"/>
    <w:rsid w:val="008B69F1"/>
    <w:rsid w:val="008B7B62"/>
    <w:rsid w:val="008B7C99"/>
    <w:rsid w:val="008B7D3C"/>
    <w:rsid w:val="008B7DEE"/>
    <w:rsid w:val="008B7F1E"/>
    <w:rsid w:val="008C0A6F"/>
    <w:rsid w:val="008C0BEE"/>
    <w:rsid w:val="008C0EE9"/>
    <w:rsid w:val="008C158C"/>
    <w:rsid w:val="008C1DB3"/>
    <w:rsid w:val="008C2DA2"/>
    <w:rsid w:val="008C363B"/>
    <w:rsid w:val="008C449A"/>
    <w:rsid w:val="008C59D2"/>
    <w:rsid w:val="008C61E2"/>
    <w:rsid w:val="008C6CD4"/>
    <w:rsid w:val="008C6FE6"/>
    <w:rsid w:val="008C74A9"/>
    <w:rsid w:val="008C74EE"/>
    <w:rsid w:val="008C7BA4"/>
    <w:rsid w:val="008D043B"/>
    <w:rsid w:val="008D06D0"/>
    <w:rsid w:val="008D36AA"/>
    <w:rsid w:val="008D38A4"/>
    <w:rsid w:val="008D3C6D"/>
    <w:rsid w:val="008D400D"/>
    <w:rsid w:val="008D4709"/>
    <w:rsid w:val="008D6580"/>
    <w:rsid w:val="008D6E05"/>
    <w:rsid w:val="008D7762"/>
    <w:rsid w:val="008D7C7F"/>
    <w:rsid w:val="008E0300"/>
    <w:rsid w:val="008E1845"/>
    <w:rsid w:val="008E229B"/>
    <w:rsid w:val="008E2385"/>
    <w:rsid w:val="008E297B"/>
    <w:rsid w:val="008E2D31"/>
    <w:rsid w:val="008E2E76"/>
    <w:rsid w:val="008E34E2"/>
    <w:rsid w:val="008E4B2A"/>
    <w:rsid w:val="008E50F5"/>
    <w:rsid w:val="008E55C9"/>
    <w:rsid w:val="008E5A2E"/>
    <w:rsid w:val="008E691A"/>
    <w:rsid w:val="008F0BFC"/>
    <w:rsid w:val="008F0D11"/>
    <w:rsid w:val="008F0E66"/>
    <w:rsid w:val="008F0F37"/>
    <w:rsid w:val="008F0F90"/>
    <w:rsid w:val="008F1110"/>
    <w:rsid w:val="008F123B"/>
    <w:rsid w:val="008F16A9"/>
    <w:rsid w:val="008F1DA0"/>
    <w:rsid w:val="008F2E89"/>
    <w:rsid w:val="008F3E1B"/>
    <w:rsid w:val="008F3E38"/>
    <w:rsid w:val="008F43D4"/>
    <w:rsid w:val="008F558A"/>
    <w:rsid w:val="008F62F4"/>
    <w:rsid w:val="008F695E"/>
    <w:rsid w:val="008F6CCC"/>
    <w:rsid w:val="008F6FB9"/>
    <w:rsid w:val="008F723A"/>
    <w:rsid w:val="008F7B58"/>
    <w:rsid w:val="0090023D"/>
    <w:rsid w:val="009008E3"/>
    <w:rsid w:val="009012B1"/>
    <w:rsid w:val="009012DC"/>
    <w:rsid w:val="00901957"/>
    <w:rsid w:val="00904386"/>
    <w:rsid w:val="00904568"/>
    <w:rsid w:val="009049A7"/>
    <w:rsid w:val="00904C53"/>
    <w:rsid w:val="00905E46"/>
    <w:rsid w:val="009062C0"/>
    <w:rsid w:val="0091063B"/>
    <w:rsid w:val="0091110A"/>
    <w:rsid w:val="0091195F"/>
    <w:rsid w:val="00911D47"/>
    <w:rsid w:val="00912988"/>
    <w:rsid w:val="0091303D"/>
    <w:rsid w:val="00913968"/>
    <w:rsid w:val="009140BC"/>
    <w:rsid w:val="0091410C"/>
    <w:rsid w:val="00914121"/>
    <w:rsid w:val="0091538F"/>
    <w:rsid w:val="00915A7F"/>
    <w:rsid w:val="00915F1C"/>
    <w:rsid w:val="00916858"/>
    <w:rsid w:val="00917B46"/>
    <w:rsid w:val="00920F24"/>
    <w:rsid w:val="00921277"/>
    <w:rsid w:val="00921D8B"/>
    <w:rsid w:val="009225F0"/>
    <w:rsid w:val="00922A9A"/>
    <w:rsid w:val="00923B9D"/>
    <w:rsid w:val="00923FFC"/>
    <w:rsid w:val="0092489C"/>
    <w:rsid w:val="00924CFB"/>
    <w:rsid w:val="00924E84"/>
    <w:rsid w:val="0092516B"/>
    <w:rsid w:val="009258F0"/>
    <w:rsid w:val="00925D37"/>
    <w:rsid w:val="00925E61"/>
    <w:rsid w:val="00926474"/>
    <w:rsid w:val="00926682"/>
    <w:rsid w:val="009269D8"/>
    <w:rsid w:val="009271A8"/>
    <w:rsid w:val="0092747C"/>
    <w:rsid w:val="009308BE"/>
    <w:rsid w:val="00930D2B"/>
    <w:rsid w:val="00931456"/>
    <w:rsid w:val="0093187C"/>
    <w:rsid w:val="009319F6"/>
    <w:rsid w:val="00931F3E"/>
    <w:rsid w:val="009327A7"/>
    <w:rsid w:val="0093361D"/>
    <w:rsid w:val="00933A80"/>
    <w:rsid w:val="009340A6"/>
    <w:rsid w:val="00934263"/>
    <w:rsid w:val="00934771"/>
    <w:rsid w:val="0093639A"/>
    <w:rsid w:val="00936487"/>
    <w:rsid w:val="009366CD"/>
    <w:rsid w:val="00940563"/>
    <w:rsid w:val="009406BE"/>
    <w:rsid w:val="0094091A"/>
    <w:rsid w:val="00942DC0"/>
    <w:rsid w:val="00943223"/>
    <w:rsid w:val="009435B3"/>
    <w:rsid w:val="00943675"/>
    <w:rsid w:val="00943677"/>
    <w:rsid w:val="00943F2B"/>
    <w:rsid w:val="0094450D"/>
    <w:rsid w:val="00944B7C"/>
    <w:rsid w:val="009458B1"/>
    <w:rsid w:val="009467AB"/>
    <w:rsid w:val="009468F5"/>
    <w:rsid w:val="0094750C"/>
    <w:rsid w:val="0095001E"/>
    <w:rsid w:val="00950C88"/>
    <w:rsid w:val="009519D4"/>
    <w:rsid w:val="00951C7B"/>
    <w:rsid w:val="00952170"/>
    <w:rsid w:val="00952271"/>
    <w:rsid w:val="0095229B"/>
    <w:rsid w:val="00952CDD"/>
    <w:rsid w:val="00953C0F"/>
    <w:rsid w:val="0095525D"/>
    <w:rsid w:val="00955C91"/>
    <w:rsid w:val="00955F76"/>
    <w:rsid w:val="009561C3"/>
    <w:rsid w:val="00956453"/>
    <w:rsid w:val="009574A9"/>
    <w:rsid w:val="00957CA7"/>
    <w:rsid w:val="009600E3"/>
    <w:rsid w:val="009602E2"/>
    <w:rsid w:val="0096224C"/>
    <w:rsid w:val="0096245A"/>
    <w:rsid w:val="00963111"/>
    <w:rsid w:val="009638D0"/>
    <w:rsid w:val="00963F68"/>
    <w:rsid w:val="00964D6E"/>
    <w:rsid w:val="00965023"/>
    <w:rsid w:val="0096505C"/>
    <w:rsid w:val="009650F0"/>
    <w:rsid w:val="00965C7F"/>
    <w:rsid w:val="00965FE5"/>
    <w:rsid w:val="009666EC"/>
    <w:rsid w:val="00967729"/>
    <w:rsid w:val="00970998"/>
    <w:rsid w:val="00970EE2"/>
    <w:rsid w:val="00972051"/>
    <w:rsid w:val="00974B57"/>
    <w:rsid w:val="00974BAA"/>
    <w:rsid w:val="00975122"/>
    <w:rsid w:val="0097527A"/>
    <w:rsid w:val="0097527B"/>
    <w:rsid w:val="00975AD2"/>
    <w:rsid w:val="00975F21"/>
    <w:rsid w:val="00976713"/>
    <w:rsid w:val="0097740B"/>
    <w:rsid w:val="00977D5A"/>
    <w:rsid w:val="00977E0A"/>
    <w:rsid w:val="0098018B"/>
    <w:rsid w:val="00980933"/>
    <w:rsid w:val="00980AB5"/>
    <w:rsid w:val="00982628"/>
    <w:rsid w:val="0098299A"/>
    <w:rsid w:val="00982ECB"/>
    <w:rsid w:val="00983ECD"/>
    <w:rsid w:val="0098458F"/>
    <w:rsid w:val="00984FAF"/>
    <w:rsid w:val="00985503"/>
    <w:rsid w:val="009856A6"/>
    <w:rsid w:val="00985AFC"/>
    <w:rsid w:val="0098620A"/>
    <w:rsid w:val="0098661F"/>
    <w:rsid w:val="00986C77"/>
    <w:rsid w:val="009876B8"/>
    <w:rsid w:val="00990B8D"/>
    <w:rsid w:val="009914B6"/>
    <w:rsid w:val="009918B7"/>
    <w:rsid w:val="00991B5D"/>
    <w:rsid w:val="00991B75"/>
    <w:rsid w:val="00991F4A"/>
    <w:rsid w:val="00994862"/>
    <w:rsid w:val="00996355"/>
    <w:rsid w:val="009963F5"/>
    <w:rsid w:val="009968EF"/>
    <w:rsid w:val="009A028E"/>
    <w:rsid w:val="009A0B41"/>
    <w:rsid w:val="009A0B7C"/>
    <w:rsid w:val="009A0E03"/>
    <w:rsid w:val="009A1673"/>
    <w:rsid w:val="009A2384"/>
    <w:rsid w:val="009A28B5"/>
    <w:rsid w:val="009A2CAF"/>
    <w:rsid w:val="009A3C2A"/>
    <w:rsid w:val="009A48B4"/>
    <w:rsid w:val="009A5581"/>
    <w:rsid w:val="009A5F6D"/>
    <w:rsid w:val="009A609D"/>
    <w:rsid w:val="009A6608"/>
    <w:rsid w:val="009A6A6F"/>
    <w:rsid w:val="009A6F76"/>
    <w:rsid w:val="009A7170"/>
    <w:rsid w:val="009A7E0A"/>
    <w:rsid w:val="009B0892"/>
    <w:rsid w:val="009B0D8D"/>
    <w:rsid w:val="009B0F7D"/>
    <w:rsid w:val="009B2DB9"/>
    <w:rsid w:val="009B3756"/>
    <w:rsid w:val="009B3BAA"/>
    <w:rsid w:val="009B4078"/>
    <w:rsid w:val="009B471A"/>
    <w:rsid w:val="009B4781"/>
    <w:rsid w:val="009B4E8A"/>
    <w:rsid w:val="009B5A20"/>
    <w:rsid w:val="009B5B59"/>
    <w:rsid w:val="009B5D54"/>
    <w:rsid w:val="009B70AB"/>
    <w:rsid w:val="009B7438"/>
    <w:rsid w:val="009B7913"/>
    <w:rsid w:val="009C02FB"/>
    <w:rsid w:val="009C0B1D"/>
    <w:rsid w:val="009C24C6"/>
    <w:rsid w:val="009C28AA"/>
    <w:rsid w:val="009C3933"/>
    <w:rsid w:val="009C3AEE"/>
    <w:rsid w:val="009C41C7"/>
    <w:rsid w:val="009C503B"/>
    <w:rsid w:val="009C5122"/>
    <w:rsid w:val="009C55A2"/>
    <w:rsid w:val="009C614F"/>
    <w:rsid w:val="009C62CC"/>
    <w:rsid w:val="009C6F3F"/>
    <w:rsid w:val="009D0F7C"/>
    <w:rsid w:val="009D1E23"/>
    <w:rsid w:val="009D3385"/>
    <w:rsid w:val="009D438D"/>
    <w:rsid w:val="009D5614"/>
    <w:rsid w:val="009D5768"/>
    <w:rsid w:val="009D6A33"/>
    <w:rsid w:val="009D728A"/>
    <w:rsid w:val="009D7CD1"/>
    <w:rsid w:val="009D7EA7"/>
    <w:rsid w:val="009E0336"/>
    <w:rsid w:val="009E049B"/>
    <w:rsid w:val="009E0E37"/>
    <w:rsid w:val="009E1E91"/>
    <w:rsid w:val="009E250F"/>
    <w:rsid w:val="009E2626"/>
    <w:rsid w:val="009E2CBF"/>
    <w:rsid w:val="009E3B1D"/>
    <w:rsid w:val="009E3BFA"/>
    <w:rsid w:val="009E41E4"/>
    <w:rsid w:val="009E4336"/>
    <w:rsid w:val="009E5499"/>
    <w:rsid w:val="009E6909"/>
    <w:rsid w:val="009E6D6B"/>
    <w:rsid w:val="009E6E79"/>
    <w:rsid w:val="009E79D5"/>
    <w:rsid w:val="009F0187"/>
    <w:rsid w:val="009F03D6"/>
    <w:rsid w:val="009F06DC"/>
    <w:rsid w:val="009F107F"/>
    <w:rsid w:val="009F168D"/>
    <w:rsid w:val="009F2167"/>
    <w:rsid w:val="009F222E"/>
    <w:rsid w:val="009F2E1B"/>
    <w:rsid w:val="009F32D7"/>
    <w:rsid w:val="009F46AD"/>
    <w:rsid w:val="009F49DC"/>
    <w:rsid w:val="009F51C2"/>
    <w:rsid w:val="009F5752"/>
    <w:rsid w:val="009F5B7A"/>
    <w:rsid w:val="009F6946"/>
    <w:rsid w:val="009F71C5"/>
    <w:rsid w:val="00A00064"/>
    <w:rsid w:val="00A01204"/>
    <w:rsid w:val="00A01653"/>
    <w:rsid w:val="00A019DF"/>
    <w:rsid w:val="00A02FA2"/>
    <w:rsid w:val="00A032CE"/>
    <w:rsid w:val="00A039F6"/>
    <w:rsid w:val="00A04FE1"/>
    <w:rsid w:val="00A05EFA"/>
    <w:rsid w:val="00A065E8"/>
    <w:rsid w:val="00A066A2"/>
    <w:rsid w:val="00A078D4"/>
    <w:rsid w:val="00A10483"/>
    <w:rsid w:val="00A12136"/>
    <w:rsid w:val="00A13258"/>
    <w:rsid w:val="00A13622"/>
    <w:rsid w:val="00A147C3"/>
    <w:rsid w:val="00A14830"/>
    <w:rsid w:val="00A14D11"/>
    <w:rsid w:val="00A1765B"/>
    <w:rsid w:val="00A17F8E"/>
    <w:rsid w:val="00A207E8"/>
    <w:rsid w:val="00A21BCE"/>
    <w:rsid w:val="00A21DFA"/>
    <w:rsid w:val="00A21F1F"/>
    <w:rsid w:val="00A225BE"/>
    <w:rsid w:val="00A22C86"/>
    <w:rsid w:val="00A23AC2"/>
    <w:rsid w:val="00A23D63"/>
    <w:rsid w:val="00A242B3"/>
    <w:rsid w:val="00A24B0D"/>
    <w:rsid w:val="00A24E57"/>
    <w:rsid w:val="00A256F8"/>
    <w:rsid w:val="00A30006"/>
    <w:rsid w:val="00A30B52"/>
    <w:rsid w:val="00A30C88"/>
    <w:rsid w:val="00A30E70"/>
    <w:rsid w:val="00A30F12"/>
    <w:rsid w:val="00A31277"/>
    <w:rsid w:val="00A315FB"/>
    <w:rsid w:val="00A322C1"/>
    <w:rsid w:val="00A329A1"/>
    <w:rsid w:val="00A32BD8"/>
    <w:rsid w:val="00A33DEB"/>
    <w:rsid w:val="00A34054"/>
    <w:rsid w:val="00A3488C"/>
    <w:rsid w:val="00A34FCA"/>
    <w:rsid w:val="00A3716A"/>
    <w:rsid w:val="00A372E7"/>
    <w:rsid w:val="00A37F2A"/>
    <w:rsid w:val="00A404BC"/>
    <w:rsid w:val="00A41280"/>
    <w:rsid w:val="00A41A8F"/>
    <w:rsid w:val="00A41F8C"/>
    <w:rsid w:val="00A42612"/>
    <w:rsid w:val="00A42855"/>
    <w:rsid w:val="00A42F7F"/>
    <w:rsid w:val="00A4303C"/>
    <w:rsid w:val="00A439B8"/>
    <w:rsid w:val="00A441DE"/>
    <w:rsid w:val="00A4446F"/>
    <w:rsid w:val="00A44E19"/>
    <w:rsid w:val="00A46B6D"/>
    <w:rsid w:val="00A50EAC"/>
    <w:rsid w:val="00A5186B"/>
    <w:rsid w:val="00A51E35"/>
    <w:rsid w:val="00A5248E"/>
    <w:rsid w:val="00A525C1"/>
    <w:rsid w:val="00A53256"/>
    <w:rsid w:val="00A53579"/>
    <w:rsid w:val="00A53EAD"/>
    <w:rsid w:val="00A5439F"/>
    <w:rsid w:val="00A5443E"/>
    <w:rsid w:val="00A5487F"/>
    <w:rsid w:val="00A54B00"/>
    <w:rsid w:val="00A559CE"/>
    <w:rsid w:val="00A55F0B"/>
    <w:rsid w:val="00A5673D"/>
    <w:rsid w:val="00A57E91"/>
    <w:rsid w:val="00A607CD"/>
    <w:rsid w:val="00A60CE2"/>
    <w:rsid w:val="00A618A5"/>
    <w:rsid w:val="00A62925"/>
    <w:rsid w:val="00A6354A"/>
    <w:rsid w:val="00A64D14"/>
    <w:rsid w:val="00A64DFE"/>
    <w:rsid w:val="00A64F69"/>
    <w:rsid w:val="00A65DB9"/>
    <w:rsid w:val="00A6656D"/>
    <w:rsid w:val="00A6701D"/>
    <w:rsid w:val="00A67726"/>
    <w:rsid w:val="00A67E12"/>
    <w:rsid w:val="00A700D0"/>
    <w:rsid w:val="00A70589"/>
    <w:rsid w:val="00A70B6D"/>
    <w:rsid w:val="00A70DF9"/>
    <w:rsid w:val="00A7136A"/>
    <w:rsid w:val="00A716B3"/>
    <w:rsid w:val="00A7182A"/>
    <w:rsid w:val="00A72175"/>
    <w:rsid w:val="00A72221"/>
    <w:rsid w:val="00A727CE"/>
    <w:rsid w:val="00A72E4B"/>
    <w:rsid w:val="00A72FF8"/>
    <w:rsid w:val="00A73DA8"/>
    <w:rsid w:val="00A75650"/>
    <w:rsid w:val="00A759ED"/>
    <w:rsid w:val="00A76082"/>
    <w:rsid w:val="00A763B4"/>
    <w:rsid w:val="00A76C1F"/>
    <w:rsid w:val="00A8054D"/>
    <w:rsid w:val="00A8079A"/>
    <w:rsid w:val="00A80F72"/>
    <w:rsid w:val="00A8276F"/>
    <w:rsid w:val="00A84B26"/>
    <w:rsid w:val="00A84BCB"/>
    <w:rsid w:val="00A85A63"/>
    <w:rsid w:val="00A85AC7"/>
    <w:rsid w:val="00A85C77"/>
    <w:rsid w:val="00A85F7B"/>
    <w:rsid w:val="00A86DD9"/>
    <w:rsid w:val="00A87EAD"/>
    <w:rsid w:val="00A91DEA"/>
    <w:rsid w:val="00A91FF6"/>
    <w:rsid w:val="00A91FFE"/>
    <w:rsid w:val="00A931D2"/>
    <w:rsid w:val="00A93406"/>
    <w:rsid w:val="00A938E6"/>
    <w:rsid w:val="00A95974"/>
    <w:rsid w:val="00A95FE3"/>
    <w:rsid w:val="00A9642A"/>
    <w:rsid w:val="00A96696"/>
    <w:rsid w:val="00A971AB"/>
    <w:rsid w:val="00A97B53"/>
    <w:rsid w:val="00A97D6E"/>
    <w:rsid w:val="00AA01F8"/>
    <w:rsid w:val="00AA02BC"/>
    <w:rsid w:val="00AA09D4"/>
    <w:rsid w:val="00AA0EAE"/>
    <w:rsid w:val="00AA1DE7"/>
    <w:rsid w:val="00AA1E60"/>
    <w:rsid w:val="00AA30C6"/>
    <w:rsid w:val="00AA357B"/>
    <w:rsid w:val="00AA4E6B"/>
    <w:rsid w:val="00AA6315"/>
    <w:rsid w:val="00AA6690"/>
    <w:rsid w:val="00AA7A36"/>
    <w:rsid w:val="00AA7B9D"/>
    <w:rsid w:val="00AA7FE8"/>
    <w:rsid w:val="00AB118E"/>
    <w:rsid w:val="00AB1B19"/>
    <w:rsid w:val="00AB1C7F"/>
    <w:rsid w:val="00AB214E"/>
    <w:rsid w:val="00AB226C"/>
    <w:rsid w:val="00AB289C"/>
    <w:rsid w:val="00AB2E9F"/>
    <w:rsid w:val="00AB30F5"/>
    <w:rsid w:val="00AB3C9E"/>
    <w:rsid w:val="00AB3EED"/>
    <w:rsid w:val="00AB4107"/>
    <w:rsid w:val="00AB45C9"/>
    <w:rsid w:val="00AB4A96"/>
    <w:rsid w:val="00AB4CDB"/>
    <w:rsid w:val="00AB5A01"/>
    <w:rsid w:val="00AB6BE9"/>
    <w:rsid w:val="00AB6C69"/>
    <w:rsid w:val="00AB6DDC"/>
    <w:rsid w:val="00AB75EE"/>
    <w:rsid w:val="00AC0EB9"/>
    <w:rsid w:val="00AC116D"/>
    <w:rsid w:val="00AC18F6"/>
    <w:rsid w:val="00AC1962"/>
    <w:rsid w:val="00AC1E72"/>
    <w:rsid w:val="00AC2648"/>
    <w:rsid w:val="00AC291E"/>
    <w:rsid w:val="00AC2C13"/>
    <w:rsid w:val="00AC30BD"/>
    <w:rsid w:val="00AC311F"/>
    <w:rsid w:val="00AC3461"/>
    <w:rsid w:val="00AC389D"/>
    <w:rsid w:val="00AC3E67"/>
    <w:rsid w:val="00AC4EB3"/>
    <w:rsid w:val="00AC5546"/>
    <w:rsid w:val="00AC6BE0"/>
    <w:rsid w:val="00AC6E6C"/>
    <w:rsid w:val="00AD032A"/>
    <w:rsid w:val="00AD1530"/>
    <w:rsid w:val="00AD19BE"/>
    <w:rsid w:val="00AD272D"/>
    <w:rsid w:val="00AD3515"/>
    <w:rsid w:val="00AD3FAB"/>
    <w:rsid w:val="00AD54B0"/>
    <w:rsid w:val="00AD5683"/>
    <w:rsid w:val="00AD5CC1"/>
    <w:rsid w:val="00AD5DC8"/>
    <w:rsid w:val="00AD6B5B"/>
    <w:rsid w:val="00AD76F6"/>
    <w:rsid w:val="00AD778F"/>
    <w:rsid w:val="00AE04BB"/>
    <w:rsid w:val="00AE056B"/>
    <w:rsid w:val="00AE0615"/>
    <w:rsid w:val="00AE0827"/>
    <w:rsid w:val="00AE0DC8"/>
    <w:rsid w:val="00AE24E1"/>
    <w:rsid w:val="00AE26AD"/>
    <w:rsid w:val="00AE27B7"/>
    <w:rsid w:val="00AE28F3"/>
    <w:rsid w:val="00AE2AAF"/>
    <w:rsid w:val="00AE2F56"/>
    <w:rsid w:val="00AE31ED"/>
    <w:rsid w:val="00AE37C0"/>
    <w:rsid w:val="00AE4258"/>
    <w:rsid w:val="00AE4833"/>
    <w:rsid w:val="00AE4C35"/>
    <w:rsid w:val="00AE5EC5"/>
    <w:rsid w:val="00AE7BB3"/>
    <w:rsid w:val="00AF1BA3"/>
    <w:rsid w:val="00AF24A8"/>
    <w:rsid w:val="00AF2792"/>
    <w:rsid w:val="00AF2828"/>
    <w:rsid w:val="00AF3252"/>
    <w:rsid w:val="00AF37C4"/>
    <w:rsid w:val="00AF3983"/>
    <w:rsid w:val="00AF476B"/>
    <w:rsid w:val="00AF4D09"/>
    <w:rsid w:val="00AF56E1"/>
    <w:rsid w:val="00AF57D5"/>
    <w:rsid w:val="00AF6359"/>
    <w:rsid w:val="00AF667C"/>
    <w:rsid w:val="00AF70E0"/>
    <w:rsid w:val="00AF766B"/>
    <w:rsid w:val="00AF7B6E"/>
    <w:rsid w:val="00AF7DAB"/>
    <w:rsid w:val="00B010F8"/>
    <w:rsid w:val="00B01720"/>
    <w:rsid w:val="00B02352"/>
    <w:rsid w:val="00B02369"/>
    <w:rsid w:val="00B02DFA"/>
    <w:rsid w:val="00B039B3"/>
    <w:rsid w:val="00B04E6E"/>
    <w:rsid w:val="00B051E1"/>
    <w:rsid w:val="00B05433"/>
    <w:rsid w:val="00B054A7"/>
    <w:rsid w:val="00B05972"/>
    <w:rsid w:val="00B07AEA"/>
    <w:rsid w:val="00B10186"/>
    <w:rsid w:val="00B10479"/>
    <w:rsid w:val="00B10D53"/>
    <w:rsid w:val="00B115AA"/>
    <w:rsid w:val="00B115E5"/>
    <w:rsid w:val="00B11BF7"/>
    <w:rsid w:val="00B123CF"/>
    <w:rsid w:val="00B12464"/>
    <w:rsid w:val="00B12DEA"/>
    <w:rsid w:val="00B130A6"/>
    <w:rsid w:val="00B130E2"/>
    <w:rsid w:val="00B141E6"/>
    <w:rsid w:val="00B155C2"/>
    <w:rsid w:val="00B162A1"/>
    <w:rsid w:val="00B16462"/>
    <w:rsid w:val="00B16E9D"/>
    <w:rsid w:val="00B17BEC"/>
    <w:rsid w:val="00B223ED"/>
    <w:rsid w:val="00B22BC7"/>
    <w:rsid w:val="00B22E40"/>
    <w:rsid w:val="00B22FF7"/>
    <w:rsid w:val="00B233F9"/>
    <w:rsid w:val="00B23CFC"/>
    <w:rsid w:val="00B23D30"/>
    <w:rsid w:val="00B2445F"/>
    <w:rsid w:val="00B24D0D"/>
    <w:rsid w:val="00B251B0"/>
    <w:rsid w:val="00B259B6"/>
    <w:rsid w:val="00B25F29"/>
    <w:rsid w:val="00B26C67"/>
    <w:rsid w:val="00B26D57"/>
    <w:rsid w:val="00B27845"/>
    <w:rsid w:val="00B27E16"/>
    <w:rsid w:val="00B31059"/>
    <w:rsid w:val="00B312C2"/>
    <w:rsid w:val="00B313BE"/>
    <w:rsid w:val="00B31628"/>
    <w:rsid w:val="00B31F0F"/>
    <w:rsid w:val="00B320B6"/>
    <w:rsid w:val="00B33DDF"/>
    <w:rsid w:val="00B34557"/>
    <w:rsid w:val="00B3548F"/>
    <w:rsid w:val="00B354EB"/>
    <w:rsid w:val="00B355B1"/>
    <w:rsid w:val="00B3677D"/>
    <w:rsid w:val="00B369F1"/>
    <w:rsid w:val="00B37754"/>
    <w:rsid w:val="00B37A2F"/>
    <w:rsid w:val="00B401BE"/>
    <w:rsid w:val="00B43277"/>
    <w:rsid w:val="00B43A77"/>
    <w:rsid w:val="00B43B04"/>
    <w:rsid w:val="00B441FC"/>
    <w:rsid w:val="00B45349"/>
    <w:rsid w:val="00B45ACD"/>
    <w:rsid w:val="00B466B8"/>
    <w:rsid w:val="00B46B26"/>
    <w:rsid w:val="00B46DEB"/>
    <w:rsid w:val="00B47BCE"/>
    <w:rsid w:val="00B47BD3"/>
    <w:rsid w:val="00B47C12"/>
    <w:rsid w:val="00B47D0E"/>
    <w:rsid w:val="00B47F3A"/>
    <w:rsid w:val="00B50AA7"/>
    <w:rsid w:val="00B511FA"/>
    <w:rsid w:val="00B51A90"/>
    <w:rsid w:val="00B5386B"/>
    <w:rsid w:val="00B538E6"/>
    <w:rsid w:val="00B541FF"/>
    <w:rsid w:val="00B5426C"/>
    <w:rsid w:val="00B54C0B"/>
    <w:rsid w:val="00B557AE"/>
    <w:rsid w:val="00B5581A"/>
    <w:rsid w:val="00B56F39"/>
    <w:rsid w:val="00B575E3"/>
    <w:rsid w:val="00B57A65"/>
    <w:rsid w:val="00B57B19"/>
    <w:rsid w:val="00B57C02"/>
    <w:rsid w:val="00B57D5C"/>
    <w:rsid w:val="00B6019A"/>
    <w:rsid w:val="00B6156F"/>
    <w:rsid w:val="00B6190A"/>
    <w:rsid w:val="00B621DA"/>
    <w:rsid w:val="00B622AA"/>
    <w:rsid w:val="00B6277A"/>
    <w:rsid w:val="00B62B22"/>
    <w:rsid w:val="00B63717"/>
    <w:rsid w:val="00B64418"/>
    <w:rsid w:val="00B64A60"/>
    <w:rsid w:val="00B650AA"/>
    <w:rsid w:val="00B65D9D"/>
    <w:rsid w:val="00B661EA"/>
    <w:rsid w:val="00B66295"/>
    <w:rsid w:val="00B66554"/>
    <w:rsid w:val="00B6684A"/>
    <w:rsid w:val="00B675B5"/>
    <w:rsid w:val="00B70D29"/>
    <w:rsid w:val="00B70E67"/>
    <w:rsid w:val="00B70FF0"/>
    <w:rsid w:val="00B71024"/>
    <w:rsid w:val="00B71633"/>
    <w:rsid w:val="00B71792"/>
    <w:rsid w:val="00B71A09"/>
    <w:rsid w:val="00B71CB7"/>
    <w:rsid w:val="00B71F6D"/>
    <w:rsid w:val="00B722D3"/>
    <w:rsid w:val="00B726B6"/>
    <w:rsid w:val="00B7273E"/>
    <w:rsid w:val="00B727E5"/>
    <w:rsid w:val="00B728AD"/>
    <w:rsid w:val="00B7389F"/>
    <w:rsid w:val="00B7438C"/>
    <w:rsid w:val="00B74A00"/>
    <w:rsid w:val="00B751E8"/>
    <w:rsid w:val="00B75382"/>
    <w:rsid w:val="00B75C7D"/>
    <w:rsid w:val="00B75D10"/>
    <w:rsid w:val="00B77367"/>
    <w:rsid w:val="00B81712"/>
    <w:rsid w:val="00B81B1F"/>
    <w:rsid w:val="00B81EC4"/>
    <w:rsid w:val="00B8246D"/>
    <w:rsid w:val="00B835F9"/>
    <w:rsid w:val="00B83CAC"/>
    <w:rsid w:val="00B84481"/>
    <w:rsid w:val="00B84C0B"/>
    <w:rsid w:val="00B84E95"/>
    <w:rsid w:val="00B86939"/>
    <w:rsid w:val="00B86DA0"/>
    <w:rsid w:val="00B873F2"/>
    <w:rsid w:val="00B87C5D"/>
    <w:rsid w:val="00B91F76"/>
    <w:rsid w:val="00B91F7D"/>
    <w:rsid w:val="00B93082"/>
    <w:rsid w:val="00B93114"/>
    <w:rsid w:val="00B93293"/>
    <w:rsid w:val="00B93322"/>
    <w:rsid w:val="00B935C9"/>
    <w:rsid w:val="00B93AFC"/>
    <w:rsid w:val="00B93C39"/>
    <w:rsid w:val="00B94320"/>
    <w:rsid w:val="00B943EE"/>
    <w:rsid w:val="00B95467"/>
    <w:rsid w:val="00B95656"/>
    <w:rsid w:val="00B965D0"/>
    <w:rsid w:val="00B96764"/>
    <w:rsid w:val="00B96A6B"/>
    <w:rsid w:val="00B96F63"/>
    <w:rsid w:val="00B97A81"/>
    <w:rsid w:val="00BA0392"/>
    <w:rsid w:val="00BA0751"/>
    <w:rsid w:val="00BA097E"/>
    <w:rsid w:val="00BA0D78"/>
    <w:rsid w:val="00BA11D0"/>
    <w:rsid w:val="00BA16C2"/>
    <w:rsid w:val="00BA1C06"/>
    <w:rsid w:val="00BA1CB6"/>
    <w:rsid w:val="00BA221F"/>
    <w:rsid w:val="00BA2D04"/>
    <w:rsid w:val="00BA3E49"/>
    <w:rsid w:val="00BA4FB0"/>
    <w:rsid w:val="00BA5374"/>
    <w:rsid w:val="00BA63B8"/>
    <w:rsid w:val="00BB1A78"/>
    <w:rsid w:val="00BB1FFA"/>
    <w:rsid w:val="00BB2C5E"/>
    <w:rsid w:val="00BB32D7"/>
    <w:rsid w:val="00BB38E6"/>
    <w:rsid w:val="00BB3A57"/>
    <w:rsid w:val="00BB3BBA"/>
    <w:rsid w:val="00BB44D3"/>
    <w:rsid w:val="00BB47D5"/>
    <w:rsid w:val="00BB50B3"/>
    <w:rsid w:val="00BB5D2D"/>
    <w:rsid w:val="00BB625E"/>
    <w:rsid w:val="00BC0958"/>
    <w:rsid w:val="00BC10CD"/>
    <w:rsid w:val="00BC119E"/>
    <w:rsid w:val="00BC3773"/>
    <w:rsid w:val="00BC3C9C"/>
    <w:rsid w:val="00BC4C27"/>
    <w:rsid w:val="00BC5327"/>
    <w:rsid w:val="00BC535C"/>
    <w:rsid w:val="00BC54AA"/>
    <w:rsid w:val="00BC5665"/>
    <w:rsid w:val="00BC64B2"/>
    <w:rsid w:val="00BC69AC"/>
    <w:rsid w:val="00BC6D2E"/>
    <w:rsid w:val="00BC7BA0"/>
    <w:rsid w:val="00BD038D"/>
    <w:rsid w:val="00BD04EB"/>
    <w:rsid w:val="00BD0625"/>
    <w:rsid w:val="00BD0EFD"/>
    <w:rsid w:val="00BD1262"/>
    <w:rsid w:val="00BD35E2"/>
    <w:rsid w:val="00BD4CD6"/>
    <w:rsid w:val="00BD53C2"/>
    <w:rsid w:val="00BD54A7"/>
    <w:rsid w:val="00BD554E"/>
    <w:rsid w:val="00BD5F46"/>
    <w:rsid w:val="00BD67BF"/>
    <w:rsid w:val="00BD7066"/>
    <w:rsid w:val="00BD72C5"/>
    <w:rsid w:val="00BD751A"/>
    <w:rsid w:val="00BE02A9"/>
    <w:rsid w:val="00BE03A2"/>
    <w:rsid w:val="00BE07D8"/>
    <w:rsid w:val="00BE143C"/>
    <w:rsid w:val="00BE2A69"/>
    <w:rsid w:val="00BE2DA6"/>
    <w:rsid w:val="00BE3657"/>
    <w:rsid w:val="00BE4E5E"/>
    <w:rsid w:val="00BE53C7"/>
    <w:rsid w:val="00BE5B57"/>
    <w:rsid w:val="00BE5B9D"/>
    <w:rsid w:val="00BE6441"/>
    <w:rsid w:val="00BE652B"/>
    <w:rsid w:val="00BE6A31"/>
    <w:rsid w:val="00BE73E4"/>
    <w:rsid w:val="00BE75FE"/>
    <w:rsid w:val="00BF1756"/>
    <w:rsid w:val="00BF1B03"/>
    <w:rsid w:val="00BF21A5"/>
    <w:rsid w:val="00BF3F14"/>
    <w:rsid w:val="00BF40B0"/>
    <w:rsid w:val="00BF43A1"/>
    <w:rsid w:val="00BF449B"/>
    <w:rsid w:val="00BF44B8"/>
    <w:rsid w:val="00BF48F3"/>
    <w:rsid w:val="00BF50C4"/>
    <w:rsid w:val="00BF57C0"/>
    <w:rsid w:val="00BF5917"/>
    <w:rsid w:val="00BF5C00"/>
    <w:rsid w:val="00BF653C"/>
    <w:rsid w:val="00BF66C7"/>
    <w:rsid w:val="00BF6D55"/>
    <w:rsid w:val="00BF7025"/>
    <w:rsid w:val="00BF73CF"/>
    <w:rsid w:val="00BF7C5C"/>
    <w:rsid w:val="00C00FDE"/>
    <w:rsid w:val="00C01414"/>
    <w:rsid w:val="00C01627"/>
    <w:rsid w:val="00C01D4B"/>
    <w:rsid w:val="00C01EBB"/>
    <w:rsid w:val="00C029A5"/>
    <w:rsid w:val="00C02E94"/>
    <w:rsid w:val="00C04240"/>
    <w:rsid w:val="00C05CE3"/>
    <w:rsid w:val="00C06695"/>
    <w:rsid w:val="00C074BB"/>
    <w:rsid w:val="00C07DFD"/>
    <w:rsid w:val="00C10C3D"/>
    <w:rsid w:val="00C1150D"/>
    <w:rsid w:val="00C118ED"/>
    <w:rsid w:val="00C12050"/>
    <w:rsid w:val="00C121AD"/>
    <w:rsid w:val="00C123D7"/>
    <w:rsid w:val="00C1332B"/>
    <w:rsid w:val="00C15403"/>
    <w:rsid w:val="00C15B2E"/>
    <w:rsid w:val="00C15DAF"/>
    <w:rsid w:val="00C15F80"/>
    <w:rsid w:val="00C16132"/>
    <w:rsid w:val="00C1662A"/>
    <w:rsid w:val="00C1797E"/>
    <w:rsid w:val="00C204BE"/>
    <w:rsid w:val="00C2053D"/>
    <w:rsid w:val="00C21C26"/>
    <w:rsid w:val="00C21F82"/>
    <w:rsid w:val="00C22098"/>
    <w:rsid w:val="00C22767"/>
    <w:rsid w:val="00C23739"/>
    <w:rsid w:val="00C23F14"/>
    <w:rsid w:val="00C24161"/>
    <w:rsid w:val="00C2445E"/>
    <w:rsid w:val="00C2464C"/>
    <w:rsid w:val="00C256DB"/>
    <w:rsid w:val="00C25B40"/>
    <w:rsid w:val="00C25B96"/>
    <w:rsid w:val="00C27519"/>
    <w:rsid w:val="00C27907"/>
    <w:rsid w:val="00C302CA"/>
    <w:rsid w:val="00C31566"/>
    <w:rsid w:val="00C31574"/>
    <w:rsid w:val="00C315F2"/>
    <w:rsid w:val="00C319B1"/>
    <w:rsid w:val="00C31A64"/>
    <w:rsid w:val="00C31C21"/>
    <w:rsid w:val="00C32075"/>
    <w:rsid w:val="00C3262A"/>
    <w:rsid w:val="00C32C2B"/>
    <w:rsid w:val="00C336B8"/>
    <w:rsid w:val="00C337A6"/>
    <w:rsid w:val="00C33B50"/>
    <w:rsid w:val="00C34432"/>
    <w:rsid w:val="00C34F70"/>
    <w:rsid w:val="00C35594"/>
    <w:rsid w:val="00C3628B"/>
    <w:rsid w:val="00C362C1"/>
    <w:rsid w:val="00C3658E"/>
    <w:rsid w:val="00C36BC8"/>
    <w:rsid w:val="00C36C2D"/>
    <w:rsid w:val="00C36ECB"/>
    <w:rsid w:val="00C374FC"/>
    <w:rsid w:val="00C40492"/>
    <w:rsid w:val="00C40541"/>
    <w:rsid w:val="00C40656"/>
    <w:rsid w:val="00C4086A"/>
    <w:rsid w:val="00C40A6D"/>
    <w:rsid w:val="00C40C11"/>
    <w:rsid w:val="00C42005"/>
    <w:rsid w:val="00C426E2"/>
    <w:rsid w:val="00C42725"/>
    <w:rsid w:val="00C42933"/>
    <w:rsid w:val="00C43880"/>
    <w:rsid w:val="00C439E4"/>
    <w:rsid w:val="00C43C60"/>
    <w:rsid w:val="00C449CC"/>
    <w:rsid w:val="00C44D9B"/>
    <w:rsid w:val="00C44F77"/>
    <w:rsid w:val="00C45406"/>
    <w:rsid w:val="00C45525"/>
    <w:rsid w:val="00C45F18"/>
    <w:rsid w:val="00C4790A"/>
    <w:rsid w:val="00C5093D"/>
    <w:rsid w:val="00C523E4"/>
    <w:rsid w:val="00C52815"/>
    <w:rsid w:val="00C52CA0"/>
    <w:rsid w:val="00C532EF"/>
    <w:rsid w:val="00C54B90"/>
    <w:rsid w:val="00C5500D"/>
    <w:rsid w:val="00C554FB"/>
    <w:rsid w:val="00C557FF"/>
    <w:rsid w:val="00C55D45"/>
    <w:rsid w:val="00C5605D"/>
    <w:rsid w:val="00C566C6"/>
    <w:rsid w:val="00C56750"/>
    <w:rsid w:val="00C567C2"/>
    <w:rsid w:val="00C571FE"/>
    <w:rsid w:val="00C57AD4"/>
    <w:rsid w:val="00C60203"/>
    <w:rsid w:val="00C6044A"/>
    <w:rsid w:val="00C60554"/>
    <w:rsid w:val="00C623A5"/>
    <w:rsid w:val="00C627B1"/>
    <w:rsid w:val="00C63DF3"/>
    <w:rsid w:val="00C64839"/>
    <w:rsid w:val="00C657BA"/>
    <w:rsid w:val="00C6589F"/>
    <w:rsid w:val="00C65E4B"/>
    <w:rsid w:val="00C66957"/>
    <w:rsid w:val="00C6749C"/>
    <w:rsid w:val="00C67BF0"/>
    <w:rsid w:val="00C67CE2"/>
    <w:rsid w:val="00C703B3"/>
    <w:rsid w:val="00C71090"/>
    <w:rsid w:val="00C7157B"/>
    <w:rsid w:val="00C718E1"/>
    <w:rsid w:val="00C7218F"/>
    <w:rsid w:val="00C72673"/>
    <w:rsid w:val="00C72DB9"/>
    <w:rsid w:val="00C73B7F"/>
    <w:rsid w:val="00C74DAE"/>
    <w:rsid w:val="00C74FD9"/>
    <w:rsid w:val="00C75234"/>
    <w:rsid w:val="00C7525E"/>
    <w:rsid w:val="00C756D3"/>
    <w:rsid w:val="00C761FB"/>
    <w:rsid w:val="00C76396"/>
    <w:rsid w:val="00C7641C"/>
    <w:rsid w:val="00C76D8B"/>
    <w:rsid w:val="00C77203"/>
    <w:rsid w:val="00C778CB"/>
    <w:rsid w:val="00C77977"/>
    <w:rsid w:val="00C80865"/>
    <w:rsid w:val="00C82E14"/>
    <w:rsid w:val="00C82F83"/>
    <w:rsid w:val="00C8474A"/>
    <w:rsid w:val="00C856AF"/>
    <w:rsid w:val="00C86356"/>
    <w:rsid w:val="00C86A45"/>
    <w:rsid w:val="00C86EC7"/>
    <w:rsid w:val="00C903D4"/>
    <w:rsid w:val="00C90B46"/>
    <w:rsid w:val="00C915B7"/>
    <w:rsid w:val="00C915E7"/>
    <w:rsid w:val="00C92EBE"/>
    <w:rsid w:val="00C93023"/>
    <w:rsid w:val="00C93051"/>
    <w:rsid w:val="00C93455"/>
    <w:rsid w:val="00C934E0"/>
    <w:rsid w:val="00C9374E"/>
    <w:rsid w:val="00C941AB"/>
    <w:rsid w:val="00C943C7"/>
    <w:rsid w:val="00C959DE"/>
    <w:rsid w:val="00C96BFC"/>
    <w:rsid w:val="00C96D9C"/>
    <w:rsid w:val="00C972C0"/>
    <w:rsid w:val="00C974F9"/>
    <w:rsid w:val="00C975D7"/>
    <w:rsid w:val="00C97C5B"/>
    <w:rsid w:val="00C97D48"/>
    <w:rsid w:val="00CA0375"/>
    <w:rsid w:val="00CA0378"/>
    <w:rsid w:val="00CA0A4D"/>
    <w:rsid w:val="00CA13ED"/>
    <w:rsid w:val="00CA15B3"/>
    <w:rsid w:val="00CA20D3"/>
    <w:rsid w:val="00CA33A4"/>
    <w:rsid w:val="00CA3F27"/>
    <w:rsid w:val="00CA49E7"/>
    <w:rsid w:val="00CA59F3"/>
    <w:rsid w:val="00CA5FBA"/>
    <w:rsid w:val="00CA6049"/>
    <w:rsid w:val="00CA63C4"/>
    <w:rsid w:val="00CA6A7C"/>
    <w:rsid w:val="00CA6B21"/>
    <w:rsid w:val="00CA74F3"/>
    <w:rsid w:val="00CB06E9"/>
    <w:rsid w:val="00CB149E"/>
    <w:rsid w:val="00CB1A70"/>
    <w:rsid w:val="00CB2E60"/>
    <w:rsid w:val="00CB339A"/>
    <w:rsid w:val="00CB4740"/>
    <w:rsid w:val="00CB484E"/>
    <w:rsid w:val="00CB74A3"/>
    <w:rsid w:val="00CB751D"/>
    <w:rsid w:val="00CC01B8"/>
    <w:rsid w:val="00CC0486"/>
    <w:rsid w:val="00CC37BC"/>
    <w:rsid w:val="00CC4C90"/>
    <w:rsid w:val="00CC522F"/>
    <w:rsid w:val="00CC577F"/>
    <w:rsid w:val="00CC5872"/>
    <w:rsid w:val="00CC60ED"/>
    <w:rsid w:val="00CC73CA"/>
    <w:rsid w:val="00CD0000"/>
    <w:rsid w:val="00CD01EC"/>
    <w:rsid w:val="00CD04DF"/>
    <w:rsid w:val="00CD0662"/>
    <w:rsid w:val="00CD0828"/>
    <w:rsid w:val="00CD09A0"/>
    <w:rsid w:val="00CD09EF"/>
    <w:rsid w:val="00CD2667"/>
    <w:rsid w:val="00CD4485"/>
    <w:rsid w:val="00CD6382"/>
    <w:rsid w:val="00CD672B"/>
    <w:rsid w:val="00CD6F11"/>
    <w:rsid w:val="00CD736E"/>
    <w:rsid w:val="00CD78EF"/>
    <w:rsid w:val="00CD7A44"/>
    <w:rsid w:val="00CD7C5F"/>
    <w:rsid w:val="00CE0993"/>
    <w:rsid w:val="00CE0E6D"/>
    <w:rsid w:val="00CE1B5D"/>
    <w:rsid w:val="00CE2C65"/>
    <w:rsid w:val="00CE321D"/>
    <w:rsid w:val="00CE3562"/>
    <w:rsid w:val="00CE3ABA"/>
    <w:rsid w:val="00CE4267"/>
    <w:rsid w:val="00CE4D88"/>
    <w:rsid w:val="00CE604B"/>
    <w:rsid w:val="00CF03EC"/>
    <w:rsid w:val="00CF096B"/>
    <w:rsid w:val="00CF2354"/>
    <w:rsid w:val="00CF33B3"/>
    <w:rsid w:val="00CF364C"/>
    <w:rsid w:val="00CF49E7"/>
    <w:rsid w:val="00CF547E"/>
    <w:rsid w:val="00CF586F"/>
    <w:rsid w:val="00CF6DAA"/>
    <w:rsid w:val="00CF6E73"/>
    <w:rsid w:val="00CF6EB0"/>
    <w:rsid w:val="00CF7252"/>
    <w:rsid w:val="00D00D87"/>
    <w:rsid w:val="00D02967"/>
    <w:rsid w:val="00D02BEF"/>
    <w:rsid w:val="00D03CA3"/>
    <w:rsid w:val="00D03E84"/>
    <w:rsid w:val="00D0419D"/>
    <w:rsid w:val="00D04D0E"/>
    <w:rsid w:val="00D05892"/>
    <w:rsid w:val="00D05CAD"/>
    <w:rsid w:val="00D06380"/>
    <w:rsid w:val="00D068C4"/>
    <w:rsid w:val="00D069BE"/>
    <w:rsid w:val="00D0795C"/>
    <w:rsid w:val="00D07D1E"/>
    <w:rsid w:val="00D10047"/>
    <w:rsid w:val="00D10D1A"/>
    <w:rsid w:val="00D11573"/>
    <w:rsid w:val="00D11972"/>
    <w:rsid w:val="00D11BF0"/>
    <w:rsid w:val="00D1208C"/>
    <w:rsid w:val="00D12752"/>
    <w:rsid w:val="00D13364"/>
    <w:rsid w:val="00D146A8"/>
    <w:rsid w:val="00D15FF3"/>
    <w:rsid w:val="00D1605E"/>
    <w:rsid w:val="00D1666C"/>
    <w:rsid w:val="00D16A43"/>
    <w:rsid w:val="00D17D6B"/>
    <w:rsid w:val="00D202B5"/>
    <w:rsid w:val="00D20601"/>
    <w:rsid w:val="00D21EF6"/>
    <w:rsid w:val="00D21F14"/>
    <w:rsid w:val="00D22006"/>
    <w:rsid w:val="00D22482"/>
    <w:rsid w:val="00D2248B"/>
    <w:rsid w:val="00D22E66"/>
    <w:rsid w:val="00D2302F"/>
    <w:rsid w:val="00D23882"/>
    <w:rsid w:val="00D23A53"/>
    <w:rsid w:val="00D24143"/>
    <w:rsid w:val="00D24C44"/>
    <w:rsid w:val="00D252C9"/>
    <w:rsid w:val="00D258B8"/>
    <w:rsid w:val="00D2596C"/>
    <w:rsid w:val="00D26BBE"/>
    <w:rsid w:val="00D27804"/>
    <w:rsid w:val="00D27901"/>
    <w:rsid w:val="00D3026D"/>
    <w:rsid w:val="00D3030F"/>
    <w:rsid w:val="00D3107B"/>
    <w:rsid w:val="00D31AE3"/>
    <w:rsid w:val="00D31B5C"/>
    <w:rsid w:val="00D3230B"/>
    <w:rsid w:val="00D33940"/>
    <w:rsid w:val="00D33A79"/>
    <w:rsid w:val="00D34DFA"/>
    <w:rsid w:val="00D34EFC"/>
    <w:rsid w:val="00D3520D"/>
    <w:rsid w:val="00D359D0"/>
    <w:rsid w:val="00D36230"/>
    <w:rsid w:val="00D368A0"/>
    <w:rsid w:val="00D369F5"/>
    <w:rsid w:val="00D37117"/>
    <w:rsid w:val="00D37E6E"/>
    <w:rsid w:val="00D4036D"/>
    <w:rsid w:val="00D409A8"/>
    <w:rsid w:val="00D40B18"/>
    <w:rsid w:val="00D413DF"/>
    <w:rsid w:val="00D41874"/>
    <w:rsid w:val="00D42393"/>
    <w:rsid w:val="00D43206"/>
    <w:rsid w:val="00D444FA"/>
    <w:rsid w:val="00D4459B"/>
    <w:rsid w:val="00D45576"/>
    <w:rsid w:val="00D4636D"/>
    <w:rsid w:val="00D463E3"/>
    <w:rsid w:val="00D474F5"/>
    <w:rsid w:val="00D47624"/>
    <w:rsid w:val="00D478F1"/>
    <w:rsid w:val="00D501AA"/>
    <w:rsid w:val="00D50526"/>
    <w:rsid w:val="00D5129A"/>
    <w:rsid w:val="00D516A5"/>
    <w:rsid w:val="00D52121"/>
    <w:rsid w:val="00D527C5"/>
    <w:rsid w:val="00D52EDC"/>
    <w:rsid w:val="00D52FB0"/>
    <w:rsid w:val="00D530C2"/>
    <w:rsid w:val="00D534C7"/>
    <w:rsid w:val="00D534FC"/>
    <w:rsid w:val="00D53796"/>
    <w:rsid w:val="00D53D15"/>
    <w:rsid w:val="00D53E14"/>
    <w:rsid w:val="00D544CB"/>
    <w:rsid w:val="00D54D80"/>
    <w:rsid w:val="00D55020"/>
    <w:rsid w:val="00D55415"/>
    <w:rsid w:val="00D55B6F"/>
    <w:rsid w:val="00D55B8C"/>
    <w:rsid w:val="00D56B81"/>
    <w:rsid w:val="00D56F79"/>
    <w:rsid w:val="00D570A0"/>
    <w:rsid w:val="00D57A86"/>
    <w:rsid w:val="00D61BEC"/>
    <w:rsid w:val="00D61F06"/>
    <w:rsid w:val="00D626DD"/>
    <w:rsid w:val="00D62B72"/>
    <w:rsid w:val="00D62DE3"/>
    <w:rsid w:val="00D632A8"/>
    <w:rsid w:val="00D6393D"/>
    <w:rsid w:val="00D642F1"/>
    <w:rsid w:val="00D64595"/>
    <w:rsid w:val="00D646B2"/>
    <w:rsid w:val="00D64A33"/>
    <w:rsid w:val="00D653AB"/>
    <w:rsid w:val="00D65F23"/>
    <w:rsid w:val="00D65FCF"/>
    <w:rsid w:val="00D6776D"/>
    <w:rsid w:val="00D67B68"/>
    <w:rsid w:val="00D70095"/>
    <w:rsid w:val="00D70A1A"/>
    <w:rsid w:val="00D70AFE"/>
    <w:rsid w:val="00D70EFF"/>
    <w:rsid w:val="00D71C8D"/>
    <w:rsid w:val="00D72999"/>
    <w:rsid w:val="00D735CB"/>
    <w:rsid w:val="00D742DD"/>
    <w:rsid w:val="00D7516A"/>
    <w:rsid w:val="00D756A6"/>
    <w:rsid w:val="00D75BF7"/>
    <w:rsid w:val="00D75C4C"/>
    <w:rsid w:val="00D76AE1"/>
    <w:rsid w:val="00D772DC"/>
    <w:rsid w:val="00D7741B"/>
    <w:rsid w:val="00D803AE"/>
    <w:rsid w:val="00D8080B"/>
    <w:rsid w:val="00D80B9D"/>
    <w:rsid w:val="00D8179D"/>
    <w:rsid w:val="00D8227E"/>
    <w:rsid w:val="00D825A9"/>
    <w:rsid w:val="00D82FD5"/>
    <w:rsid w:val="00D8301B"/>
    <w:rsid w:val="00D838C9"/>
    <w:rsid w:val="00D84150"/>
    <w:rsid w:val="00D85193"/>
    <w:rsid w:val="00D85983"/>
    <w:rsid w:val="00D85C35"/>
    <w:rsid w:val="00D867AF"/>
    <w:rsid w:val="00D86CA4"/>
    <w:rsid w:val="00D87078"/>
    <w:rsid w:val="00D90363"/>
    <w:rsid w:val="00D90F9E"/>
    <w:rsid w:val="00D91052"/>
    <w:rsid w:val="00D917CA"/>
    <w:rsid w:val="00D92B38"/>
    <w:rsid w:val="00D92B9D"/>
    <w:rsid w:val="00D92E2F"/>
    <w:rsid w:val="00D93BBB"/>
    <w:rsid w:val="00D95A50"/>
    <w:rsid w:val="00D9631A"/>
    <w:rsid w:val="00D966D7"/>
    <w:rsid w:val="00D96DDD"/>
    <w:rsid w:val="00D96FBD"/>
    <w:rsid w:val="00D976E6"/>
    <w:rsid w:val="00D978F8"/>
    <w:rsid w:val="00D97A6E"/>
    <w:rsid w:val="00D97AD6"/>
    <w:rsid w:val="00D97C93"/>
    <w:rsid w:val="00DA0407"/>
    <w:rsid w:val="00DA0DB0"/>
    <w:rsid w:val="00DA1A70"/>
    <w:rsid w:val="00DA2189"/>
    <w:rsid w:val="00DA46FE"/>
    <w:rsid w:val="00DA4BB0"/>
    <w:rsid w:val="00DA58A2"/>
    <w:rsid w:val="00DA5E69"/>
    <w:rsid w:val="00DA70AA"/>
    <w:rsid w:val="00DA7585"/>
    <w:rsid w:val="00DA7A3D"/>
    <w:rsid w:val="00DA7B97"/>
    <w:rsid w:val="00DA7C15"/>
    <w:rsid w:val="00DB08C4"/>
    <w:rsid w:val="00DB0F2C"/>
    <w:rsid w:val="00DB1505"/>
    <w:rsid w:val="00DB1775"/>
    <w:rsid w:val="00DB1FFC"/>
    <w:rsid w:val="00DB2584"/>
    <w:rsid w:val="00DB2950"/>
    <w:rsid w:val="00DB2EB6"/>
    <w:rsid w:val="00DB367F"/>
    <w:rsid w:val="00DB3F58"/>
    <w:rsid w:val="00DB4063"/>
    <w:rsid w:val="00DB46D7"/>
    <w:rsid w:val="00DB4C87"/>
    <w:rsid w:val="00DB507D"/>
    <w:rsid w:val="00DB55DD"/>
    <w:rsid w:val="00DB6669"/>
    <w:rsid w:val="00DB687A"/>
    <w:rsid w:val="00DB6984"/>
    <w:rsid w:val="00DB7134"/>
    <w:rsid w:val="00DB7259"/>
    <w:rsid w:val="00DB7AAA"/>
    <w:rsid w:val="00DB7DA6"/>
    <w:rsid w:val="00DC03D6"/>
    <w:rsid w:val="00DC051B"/>
    <w:rsid w:val="00DC1736"/>
    <w:rsid w:val="00DC202D"/>
    <w:rsid w:val="00DC24A4"/>
    <w:rsid w:val="00DC2C14"/>
    <w:rsid w:val="00DC2E5C"/>
    <w:rsid w:val="00DC3321"/>
    <w:rsid w:val="00DC3B04"/>
    <w:rsid w:val="00DC42E7"/>
    <w:rsid w:val="00DC4328"/>
    <w:rsid w:val="00DC4A5A"/>
    <w:rsid w:val="00DC4A5D"/>
    <w:rsid w:val="00DC4C20"/>
    <w:rsid w:val="00DC5756"/>
    <w:rsid w:val="00DC61BC"/>
    <w:rsid w:val="00DC626F"/>
    <w:rsid w:val="00DC6431"/>
    <w:rsid w:val="00DC6548"/>
    <w:rsid w:val="00DC6754"/>
    <w:rsid w:val="00DC690C"/>
    <w:rsid w:val="00DC79BB"/>
    <w:rsid w:val="00DC7BE6"/>
    <w:rsid w:val="00DD0F07"/>
    <w:rsid w:val="00DD14E4"/>
    <w:rsid w:val="00DD18B4"/>
    <w:rsid w:val="00DD1C4A"/>
    <w:rsid w:val="00DD1F4D"/>
    <w:rsid w:val="00DD3D2B"/>
    <w:rsid w:val="00DD41E0"/>
    <w:rsid w:val="00DD42D1"/>
    <w:rsid w:val="00DD460C"/>
    <w:rsid w:val="00DD48EC"/>
    <w:rsid w:val="00DD5C3F"/>
    <w:rsid w:val="00DD5DDA"/>
    <w:rsid w:val="00DD65CC"/>
    <w:rsid w:val="00DD6CFC"/>
    <w:rsid w:val="00DD75B1"/>
    <w:rsid w:val="00DD76FC"/>
    <w:rsid w:val="00DE0D0A"/>
    <w:rsid w:val="00DE13FA"/>
    <w:rsid w:val="00DE1C4B"/>
    <w:rsid w:val="00DE2E55"/>
    <w:rsid w:val="00DE2F28"/>
    <w:rsid w:val="00DE3E22"/>
    <w:rsid w:val="00DE40D2"/>
    <w:rsid w:val="00DE4206"/>
    <w:rsid w:val="00DE4455"/>
    <w:rsid w:val="00DE62D3"/>
    <w:rsid w:val="00DE75E9"/>
    <w:rsid w:val="00DF1A12"/>
    <w:rsid w:val="00DF2391"/>
    <w:rsid w:val="00DF31EE"/>
    <w:rsid w:val="00DF381F"/>
    <w:rsid w:val="00DF4A0E"/>
    <w:rsid w:val="00DF51A1"/>
    <w:rsid w:val="00DF57D1"/>
    <w:rsid w:val="00DF663E"/>
    <w:rsid w:val="00DF6C4E"/>
    <w:rsid w:val="00DF6DF1"/>
    <w:rsid w:val="00DF6FAF"/>
    <w:rsid w:val="00DF7B4B"/>
    <w:rsid w:val="00E006FF"/>
    <w:rsid w:val="00E0092A"/>
    <w:rsid w:val="00E00CA2"/>
    <w:rsid w:val="00E01348"/>
    <w:rsid w:val="00E01C4A"/>
    <w:rsid w:val="00E027A8"/>
    <w:rsid w:val="00E03828"/>
    <w:rsid w:val="00E03BE3"/>
    <w:rsid w:val="00E03EC7"/>
    <w:rsid w:val="00E0405A"/>
    <w:rsid w:val="00E04261"/>
    <w:rsid w:val="00E04333"/>
    <w:rsid w:val="00E04721"/>
    <w:rsid w:val="00E04915"/>
    <w:rsid w:val="00E04EFA"/>
    <w:rsid w:val="00E0645E"/>
    <w:rsid w:val="00E110EB"/>
    <w:rsid w:val="00E124ED"/>
    <w:rsid w:val="00E142EF"/>
    <w:rsid w:val="00E144DB"/>
    <w:rsid w:val="00E147A5"/>
    <w:rsid w:val="00E14CF9"/>
    <w:rsid w:val="00E14DAD"/>
    <w:rsid w:val="00E15EAD"/>
    <w:rsid w:val="00E16436"/>
    <w:rsid w:val="00E178D1"/>
    <w:rsid w:val="00E17B64"/>
    <w:rsid w:val="00E20195"/>
    <w:rsid w:val="00E207F4"/>
    <w:rsid w:val="00E21385"/>
    <w:rsid w:val="00E213B0"/>
    <w:rsid w:val="00E213DF"/>
    <w:rsid w:val="00E21E1E"/>
    <w:rsid w:val="00E22147"/>
    <w:rsid w:val="00E223C7"/>
    <w:rsid w:val="00E23717"/>
    <w:rsid w:val="00E24614"/>
    <w:rsid w:val="00E25035"/>
    <w:rsid w:val="00E25E07"/>
    <w:rsid w:val="00E25F3F"/>
    <w:rsid w:val="00E2725A"/>
    <w:rsid w:val="00E2782D"/>
    <w:rsid w:val="00E30211"/>
    <w:rsid w:val="00E30CB1"/>
    <w:rsid w:val="00E311A7"/>
    <w:rsid w:val="00E31C06"/>
    <w:rsid w:val="00E3226E"/>
    <w:rsid w:val="00E34539"/>
    <w:rsid w:val="00E3462F"/>
    <w:rsid w:val="00E368B8"/>
    <w:rsid w:val="00E36AD9"/>
    <w:rsid w:val="00E36BCA"/>
    <w:rsid w:val="00E400BF"/>
    <w:rsid w:val="00E41428"/>
    <w:rsid w:val="00E44F39"/>
    <w:rsid w:val="00E45199"/>
    <w:rsid w:val="00E45688"/>
    <w:rsid w:val="00E4585E"/>
    <w:rsid w:val="00E45DF5"/>
    <w:rsid w:val="00E4617A"/>
    <w:rsid w:val="00E46412"/>
    <w:rsid w:val="00E468A5"/>
    <w:rsid w:val="00E509E3"/>
    <w:rsid w:val="00E52ED5"/>
    <w:rsid w:val="00E531D3"/>
    <w:rsid w:val="00E53777"/>
    <w:rsid w:val="00E5380A"/>
    <w:rsid w:val="00E538A0"/>
    <w:rsid w:val="00E54193"/>
    <w:rsid w:val="00E55CB9"/>
    <w:rsid w:val="00E56068"/>
    <w:rsid w:val="00E56772"/>
    <w:rsid w:val="00E568AA"/>
    <w:rsid w:val="00E5698A"/>
    <w:rsid w:val="00E572AD"/>
    <w:rsid w:val="00E627FF"/>
    <w:rsid w:val="00E63B4F"/>
    <w:rsid w:val="00E6482D"/>
    <w:rsid w:val="00E65090"/>
    <w:rsid w:val="00E653DC"/>
    <w:rsid w:val="00E65553"/>
    <w:rsid w:val="00E666ED"/>
    <w:rsid w:val="00E670AB"/>
    <w:rsid w:val="00E67140"/>
    <w:rsid w:val="00E67144"/>
    <w:rsid w:val="00E67D1C"/>
    <w:rsid w:val="00E67DB5"/>
    <w:rsid w:val="00E70132"/>
    <w:rsid w:val="00E702BC"/>
    <w:rsid w:val="00E70920"/>
    <w:rsid w:val="00E7190C"/>
    <w:rsid w:val="00E7198B"/>
    <w:rsid w:val="00E739BE"/>
    <w:rsid w:val="00E73EDE"/>
    <w:rsid w:val="00E741D1"/>
    <w:rsid w:val="00E74ED7"/>
    <w:rsid w:val="00E76640"/>
    <w:rsid w:val="00E76E81"/>
    <w:rsid w:val="00E76F14"/>
    <w:rsid w:val="00E7707F"/>
    <w:rsid w:val="00E77489"/>
    <w:rsid w:val="00E77AD1"/>
    <w:rsid w:val="00E80D35"/>
    <w:rsid w:val="00E81CCD"/>
    <w:rsid w:val="00E81F81"/>
    <w:rsid w:val="00E8262A"/>
    <w:rsid w:val="00E8445D"/>
    <w:rsid w:val="00E84525"/>
    <w:rsid w:val="00E84AE8"/>
    <w:rsid w:val="00E8546F"/>
    <w:rsid w:val="00E85903"/>
    <w:rsid w:val="00E8767B"/>
    <w:rsid w:val="00E8769B"/>
    <w:rsid w:val="00E90383"/>
    <w:rsid w:val="00E91A95"/>
    <w:rsid w:val="00E91BC2"/>
    <w:rsid w:val="00E92751"/>
    <w:rsid w:val="00E92783"/>
    <w:rsid w:val="00E93D3C"/>
    <w:rsid w:val="00E93FD5"/>
    <w:rsid w:val="00E94A74"/>
    <w:rsid w:val="00E94B9C"/>
    <w:rsid w:val="00E959D0"/>
    <w:rsid w:val="00E9646D"/>
    <w:rsid w:val="00E96B8E"/>
    <w:rsid w:val="00E976BF"/>
    <w:rsid w:val="00E97FE2"/>
    <w:rsid w:val="00EA0025"/>
    <w:rsid w:val="00EA12A8"/>
    <w:rsid w:val="00EA28E0"/>
    <w:rsid w:val="00EA2D31"/>
    <w:rsid w:val="00EA4188"/>
    <w:rsid w:val="00EA436F"/>
    <w:rsid w:val="00EA486E"/>
    <w:rsid w:val="00EA4A35"/>
    <w:rsid w:val="00EA4CCB"/>
    <w:rsid w:val="00EA52BA"/>
    <w:rsid w:val="00EA53BC"/>
    <w:rsid w:val="00EA5DA2"/>
    <w:rsid w:val="00EA6CBF"/>
    <w:rsid w:val="00EA740B"/>
    <w:rsid w:val="00EB00D0"/>
    <w:rsid w:val="00EB013A"/>
    <w:rsid w:val="00EB30CE"/>
    <w:rsid w:val="00EB36AB"/>
    <w:rsid w:val="00EB3D0A"/>
    <w:rsid w:val="00EB4554"/>
    <w:rsid w:val="00EB5D80"/>
    <w:rsid w:val="00EB6C1A"/>
    <w:rsid w:val="00EB745C"/>
    <w:rsid w:val="00EB750D"/>
    <w:rsid w:val="00EB769E"/>
    <w:rsid w:val="00EB7F87"/>
    <w:rsid w:val="00EC2292"/>
    <w:rsid w:val="00EC2D2B"/>
    <w:rsid w:val="00EC33FF"/>
    <w:rsid w:val="00EC3635"/>
    <w:rsid w:val="00EC3F14"/>
    <w:rsid w:val="00EC4227"/>
    <w:rsid w:val="00EC6425"/>
    <w:rsid w:val="00EC7968"/>
    <w:rsid w:val="00ED1487"/>
    <w:rsid w:val="00ED3185"/>
    <w:rsid w:val="00ED397C"/>
    <w:rsid w:val="00ED3A59"/>
    <w:rsid w:val="00ED41BB"/>
    <w:rsid w:val="00ED4840"/>
    <w:rsid w:val="00ED48EC"/>
    <w:rsid w:val="00ED4A66"/>
    <w:rsid w:val="00ED4C0A"/>
    <w:rsid w:val="00ED5E56"/>
    <w:rsid w:val="00ED6517"/>
    <w:rsid w:val="00ED684B"/>
    <w:rsid w:val="00ED77E0"/>
    <w:rsid w:val="00ED7BE8"/>
    <w:rsid w:val="00ED7E58"/>
    <w:rsid w:val="00ED7FEE"/>
    <w:rsid w:val="00EE0788"/>
    <w:rsid w:val="00EE1014"/>
    <w:rsid w:val="00EE1749"/>
    <w:rsid w:val="00EE18CA"/>
    <w:rsid w:val="00EE1E9E"/>
    <w:rsid w:val="00EE1F7B"/>
    <w:rsid w:val="00EE1F9B"/>
    <w:rsid w:val="00EE20B2"/>
    <w:rsid w:val="00EE22BF"/>
    <w:rsid w:val="00EE2C07"/>
    <w:rsid w:val="00EE32D3"/>
    <w:rsid w:val="00EE597C"/>
    <w:rsid w:val="00EE7B13"/>
    <w:rsid w:val="00EE7B1F"/>
    <w:rsid w:val="00EF1932"/>
    <w:rsid w:val="00EF2292"/>
    <w:rsid w:val="00EF3056"/>
    <w:rsid w:val="00EF3C48"/>
    <w:rsid w:val="00EF469C"/>
    <w:rsid w:val="00EF479A"/>
    <w:rsid w:val="00EF4B36"/>
    <w:rsid w:val="00EF55F3"/>
    <w:rsid w:val="00EF5DEC"/>
    <w:rsid w:val="00EF62C0"/>
    <w:rsid w:val="00EF6EA6"/>
    <w:rsid w:val="00EF784F"/>
    <w:rsid w:val="00F00076"/>
    <w:rsid w:val="00F012A0"/>
    <w:rsid w:val="00F01840"/>
    <w:rsid w:val="00F01C28"/>
    <w:rsid w:val="00F026A7"/>
    <w:rsid w:val="00F02CAC"/>
    <w:rsid w:val="00F02E21"/>
    <w:rsid w:val="00F036B9"/>
    <w:rsid w:val="00F03DFF"/>
    <w:rsid w:val="00F0464B"/>
    <w:rsid w:val="00F0521D"/>
    <w:rsid w:val="00F0555C"/>
    <w:rsid w:val="00F0573F"/>
    <w:rsid w:val="00F05BB5"/>
    <w:rsid w:val="00F05D97"/>
    <w:rsid w:val="00F06BD5"/>
    <w:rsid w:val="00F07CD1"/>
    <w:rsid w:val="00F10F79"/>
    <w:rsid w:val="00F11188"/>
    <w:rsid w:val="00F1183D"/>
    <w:rsid w:val="00F11970"/>
    <w:rsid w:val="00F12621"/>
    <w:rsid w:val="00F14CF2"/>
    <w:rsid w:val="00F1534E"/>
    <w:rsid w:val="00F1613E"/>
    <w:rsid w:val="00F1622C"/>
    <w:rsid w:val="00F163D0"/>
    <w:rsid w:val="00F178F6"/>
    <w:rsid w:val="00F2143F"/>
    <w:rsid w:val="00F21BB9"/>
    <w:rsid w:val="00F21CB4"/>
    <w:rsid w:val="00F21FAA"/>
    <w:rsid w:val="00F22DF8"/>
    <w:rsid w:val="00F24098"/>
    <w:rsid w:val="00F24953"/>
    <w:rsid w:val="00F24CD8"/>
    <w:rsid w:val="00F252E9"/>
    <w:rsid w:val="00F254D2"/>
    <w:rsid w:val="00F26538"/>
    <w:rsid w:val="00F26793"/>
    <w:rsid w:val="00F267A4"/>
    <w:rsid w:val="00F273D9"/>
    <w:rsid w:val="00F30067"/>
    <w:rsid w:val="00F31F00"/>
    <w:rsid w:val="00F32AE4"/>
    <w:rsid w:val="00F32D77"/>
    <w:rsid w:val="00F3353E"/>
    <w:rsid w:val="00F33555"/>
    <w:rsid w:val="00F336DB"/>
    <w:rsid w:val="00F33B5F"/>
    <w:rsid w:val="00F34B5B"/>
    <w:rsid w:val="00F3521A"/>
    <w:rsid w:val="00F367BB"/>
    <w:rsid w:val="00F37D86"/>
    <w:rsid w:val="00F37DC4"/>
    <w:rsid w:val="00F40385"/>
    <w:rsid w:val="00F40F70"/>
    <w:rsid w:val="00F411C9"/>
    <w:rsid w:val="00F413DC"/>
    <w:rsid w:val="00F415DD"/>
    <w:rsid w:val="00F42031"/>
    <w:rsid w:val="00F42235"/>
    <w:rsid w:val="00F422A5"/>
    <w:rsid w:val="00F42DD2"/>
    <w:rsid w:val="00F4327A"/>
    <w:rsid w:val="00F43C10"/>
    <w:rsid w:val="00F4617B"/>
    <w:rsid w:val="00F46711"/>
    <w:rsid w:val="00F475E0"/>
    <w:rsid w:val="00F476DF"/>
    <w:rsid w:val="00F47938"/>
    <w:rsid w:val="00F50E17"/>
    <w:rsid w:val="00F52886"/>
    <w:rsid w:val="00F52AA4"/>
    <w:rsid w:val="00F52EAC"/>
    <w:rsid w:val="00F52F30"/>
    <w:rsid w:val="00F52F8F"/>
    <w:rsid w:val="00F53724"/>
    <w:rsid w:val="00F54162"/>
    <w:rsid w:val="00F548EF"/>
    <w:rsid w:val="00F54AB3"/>
    <w:rsid w:val="00F54B5D"/>
    <w:rsid w:val="00F54DF6"/>
    <w:rsid w:val="00F57918"/>
    <w:rsid w:val="00F57E68"/>
    <w:rsid w:val="00F615BE"/>
    <w:rsid w:val="00F61F38"/>
    <w:rsid w:val="00F623FE"/>
    <w:rsid w:val="00F62FB5"/>
    <w:rsid w:val="00F63272"/>
    <w:rsid w:val="00F63521"/>
    <w:rsid w:val="00F6398D"/>
    <w:rsid w:val="00F63C8B"/>
    <w:rsid w:val="00F642E7"/>
    <w:rsid w:val="00F64AF9"/>
    <w:rsid w:val="00F6509E"/>
    <w:rsid w:val="00F650A3"/>
    <w:rsid w:val="00F65B67"/>
    <w:rsid w:val="00F65FD3"/>
    <w:rsid w:val="00F66197"/>
    <w:rsid w:val="00F66841"/>
    <w:rsid w:val="00F66BF8"/>
    <w:rsid w:val="00F66F1E"/>
    <w:rsid w:val="00F670B6"/>
    <w:rsid w:val="00F71026"/>
    <w:rsid w:val="00F71C34"/>
    <w:rsid w:val="00F71D01"/>
    <w:rsid w:val="00F72A3A"/>
    <w:rsid w:val="00F72AFB"/>
    <w:rsid w:val="00F72B6D"/>
    <w:rsid w:val="00F72E49"/>
    <w:rsid w:val="00F738A4"/>
    <w:rsid w:val="00F73EBA"/>
    <w:rsid w:val="00F740FB"/>
    <w:rsid w:val="00F74589"/>
    <w:rsid w:val="00F74D44"/>
    <w:rsid w:val="00F757E1"/>
    <w:rsid w:val="00F803AE"/>
    <w:rsid w:val="00F81354"/>
    <w:rsid w:val="00F824D6"/>
    <w:rsid w:val="00F8255C"/>
    <w:rsid w:val="00F82C0B"/>
    <w:rsid w:val="00F835F3"/>
    <w:rsid w:val="00F8441B"/>
    <w:rsid w:val="00F847F1"/>
    <w:rsid w:val="00F84B4B"/>
    <w:rsid w:val="00F84F7D"/>
    <w:rsid w:val="00F855FE"/>
    <w:rsid w:val="00F85FD6"/>
    <w:rsid w:val="00F861B4"/>
    <w:rsid w:val="00F87F4E"/>
    <w:rsid w:val="00F903AD"/>
    <w:rsid w:val="00F90ABA"/>
    <w:rsid w:val="00F90B1E"/>
    <w:rsid w:val="00F90C80"/>
    <w:rsid w:val="00F90D03"/>
    <w:rsid w:val="00F91C38"/>
    <w:rsid w:val="00F91DC4"/>
    <w:rsid w:val="00F92660"/>
    <w:rsid w:val="00F9284C"/>
    <w:rsid w:val="00F92F9D"/>
    <w:rsid w:val="00F932B1"/>
    <w:rsid w:val="00F943A8"/>
    <w:rsid w:val="00F94FDC"/>
    <w:rsid w:val="00F951B5"/>
    <w:rsid w:val="00F96794"/>
    <w:rsid w:val="00F967B7"/>
    <w:rsid w:val="00F96A62"/>
    <w:rsid w:val="00F9742D"/>
    <w:rsid w:val="00F979D3"/>
    <w:rsid w:val="00F97B6D"/>
    <w:rsid w:val="00F97DF3"/>
    <w:rsid w:val="00FA14F4"/>
    <w:rsid w:val="00FA1775"/>
    <w:rsid w:val="00FA1996"/>
    <w:rsid w:val="00FA1CFD"/>
    <w:rsid w:val="00FA20FC"/>
    <w:rsid w:val="00FA27F6"/>
    <w:rsid w:val="00FA28D1"/>
    <w:rsid w:val="00FA2948"/>
    <w:rsid w:val="00FA2DAC"/>
    <w:rsid w:val="00FA3681"/>
    <w:rsid w:val="00FA3EF2"/>
    <w:rsid w:val="00FA5093"/>
    <w:rsid w:val="00FA5DFF"/>
    <w:rsid w:val="00FA66BF"/>
    <w:rsid w:val="00FA6AFD"/>
    <w:rsid w:val="00FA6B0D"/>
    <w:rsid w:val="00FA7DBF"/>
    <w:rsid w:val="00FA7FE3"/>
    <w:rsid w:val="00FB09E3"/>
    <w:rsid w:val="00FB0A23"/>
    <w:rsid w:val="00FB24A0"/>
    <w:rsid w:val="00FB2738"/>
    <w:rsid w:val="00FB279C"/>
    <w:rsid w:val="00FB2F2B"/>
    <w:rsid w:val="00FB3350"/>
    <w:rsid w:val="00FB3A9A"/>
    <w:rsid w:val="00FB402B"/>
    <w:rsid w:val="00FB45E6"/>
    <w:rsid w:val="00FB49B0"/>
    <w:rsid w:val="00FB6621"/>
    <w:rsid w:val="00FB6E9D"/>
    <w:rsid w:val="00FC0024"/>
    <w:rsid w:val="00FC00B2"/>
    <w:rsid w:val="00FC0721"/>
    <w:rsid w:val="00FC0DBB"/>
    <w:rsid w:val="00FC1126"/>
    <w:rsid w:val="00FC182F"/>
    <w:rsid w:val="00FC219A"/>
    <w:rsid w:val="00FC2211"/>
    <w:rsid w:val="00FC2389"/>
    <w:rsid w:val="00FC2A36"/>
    <w:rsid w:val="00FC2AD2"/>
    <w:rsid w:val="00FC3BD9"/>
    <w:rsid w:val="00FC4CB5"/>
    <w:rsid w:val="00FC520E"/>
    <w:rsid w:val="00FC521B"/>
    <w:rsid w:val="00FC5401"/>
    <w:rsid w:val="00FC5896"/>
    <w:rsid w:val="00FC5E1C"/>
    <w:rsid w:val="00FC6C41"/>
    <w:rsid w:val="00FC7140"/>
    <w:rsid w:val="00FD05CA"/>
    <w:rsid w:val="00FD0E1E"/>
    <w:rsid w:val="00FD1B5A"/>
    <w:rsid w:val="00FD2191"/>
    <w:rsid w:val="00FD2411"/>
    <w:rsid w:val="00FD2570"/>
    <w:rsid w:val="00FD2628"/>
    <w:rsid w:val="00FD3380"/>
    <w:rsid w:val="00FD4A6B"/>
    <w:rsid w:val="00FD4F7F"/>
    <w:rsid w:val="00FD61B0"/>
    <w:rsid w:val="00FD6220"/>
    <w:rsid w:val="00FD6B3F"/>
    <w:rsid w:val="00FD716B"/>
    <w:rsid w:val="00FD7826"/>
    <w:rsid w:val="00FD78FB"/>
    <w:rsid w:val="00FD7AAE"/>
    <w:rsid w:val="00FD7EAB"/>
    <w:rsid w:val="00FE0006"/>
    <w:rsid w:val="00FE0781"/>
    <w:rsid w:val="00FE0AEF"/>
    <w:rsid w:val="00FE1238"/>
    <w:rsid w:val="00FE18B7"/>
    <w:rsid w:val="00FE1E82"/>
    <w:rsid w:val="00FE3837"/>
    <w:rsid w:val="00FE43E2"/>
    <w:rsid w:val="00FE4BF1"/>
    <w:rsid w:val="00FE4C89"/>
    <w:rsid w:val="00FE5D1A"/>
    <w:rsid w:val="00FE5D28"/>
    <w:rsid w:val="00FE5E39"/>
    <w:rsid w:val="00FE5F3E"/>
    <w:rsid w:val="00FE5FE9"/>
    <w:rsid w:val="00FF0647"/>
    <w:rsid w:val="00FF0EA9"/>
    <w:rsid w:val="00FF10E1"/>
    <w:rsid w:val="00FF19CE"/>
    <w:rsid w:val="00FF1B85"/>
    <w:rsid w:val="00FF1DDC"/>
    <w:rsid w:val="00FF1E7C"/>
    <w:rsid w:val="00FF27A2"/>
    <w:rsid w:val="00FF291D"/>
    <w:rsid w:val="00FF312D"/>
    <w:rsid w:val="00FF5214"/>
    <w:rsid w:val="00FF5290"/>
    <w:rsid w:val="00FF5F49"/>
    <w:rsid w:val="00FF6C4E"/>
    <w:rsid w:val="00FF6EC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49BA"/>
  <w15:docId w15:val="{92F6C95B-DFBF-45FC-9FA6-24542398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E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8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20"/>
    <w:rPr>
      <w:rFonts w:ascii="GHEA Grapalat" w:hAnsi="GHEA Grapalat"/>
      <w:color w:val="0070C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5A20"/>
    <w:rPr>
      <w:rFonts w:ascii="GHEA Grapalat" w:eastAsia="Times New Roman" w:hAnsi="GHEA Grapalat"/>
      <w:color w:val="0070C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A45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link w:val="Heading1"/>
    <w:uiPriority w:val="9"/>
    <w:rsid w:val="003C1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Akapit z listą BS,List Paragraph2,Bullets,List Paragraph nowy,List Paragraph (numbered (a)),Liste 1,List Paragraph 1,List_Paragraph,Multilevel para_II,References,IBL List Paragraph,Numbered List Paragraph,Bullet1,List Paragraph4,OBC Bulle"/>
    <w:basedOn w:val="Normal"/>
    <w:link w:val="ListParagraphChar"/>
    <w:uiPriority w:val="34"/>
    <w:qFormat/>
    <w:rsid w:val="00456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154F0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Akapit z listą BS Char,List Paragraph2 Char,Bullets Char,List Paragraph nowy Char,List Paragraph (numbered (a)) Char,Liste 1 Char,List Paragraph 1 Char,List_Paragraph Char,Multilevel para_II Char,References Char,Bullet1 Char"/>
    <w:link w:val="ListParagraph"/>
    <w:uiPriority w:val="34"/>
    <w:qFormat/>
    <w:locked/>
    <w:rsid w:val="00990B8D"/>
    <w:rPr>
      <w:sz w:val="22"/>
      <w:szCs w:val="22"/>
    </w:rPr>
  </w:style>
  <w:style w:type="table" w:styleId="TableGrid">
    <w:name w:val="Table Grid"/>
    <w:basedOn w:val="TableNormal"/>
    <w:uiPriority w:val="59"/>
    <w:rsid w:val="0033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8C46-2909-4BB1-A788-8357329B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18</Pages>
  <Words>4476</Words>
  <Characters>25518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keywords>https:/mul2-minfin.gov.am/tasks/683841/oneclick/July.docx?token=1a15316ef4d99e687c184cb3b49f949d</cp:keywords>
  <cp:lastModifiedBy>Emma Ghaytanjyan</cp:lastModifiedBy>
  <cp:revision>25</cp:revision>
  <cp:lastPrinted>2023-09-25T08:41:00Z</cp:lastPrinted>
  <dcterms:created xsi:type="dcterms:W3CDTF">2023-09-19T06:13:00Z</dcterms:created>
  <dcterms:modified xsi:type="dcterms:W3CDTF">2023-09-25T10:53:00Z</dcterms:modified>
</cp:coreProperties>
</file>