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EF" w:rsidRPr="006970E2" w:rsidRDefault="003862E9" w:rsidP="00CF6DAA">
      <w:pPr>
        <w:spacing w:line="360" w:lineRule="auto"/>
        <w:jc w:val="center"/>
        <w:rPr>
          <w:rFonts w:ascii="GHEA Grapalat" w:hAnsi="GHEA Grapalat" w:cs="GHEA Grapalat"/>
          <w:b/>
        </w:rPr>
      </w:pPr>
      <w:bookmarkStart w:id="0" w:name="OLE_LINK1"/>
      <w:r w:rsidRPr="006970E2">
        <w:rPr>
          <w:rFonts w:ascii="GHEA Grapalat" w:hAnsi="GHEA Grapalat" w:cs="GHEA Grapalat"/>
          <w:b/>
        </w:rPr>
        <w:t>202</w:t>
      </w:r>
      <w:r w:rsidR="00901258" w:rsidRPr="006970E2">
        <w:rPr>
          <w:rFonts w:ascii="GHEA Grapalat" w:hAnsi="GHEA Grapalat" w:cs="GHEA Grapalat"/>
          <w:b/>
        </w:rPr>
        <w:t>5</w:t>
      </w:r>
      <w:r w:rsidRPr="006970E2">
        <w:rPr>
          <w:rFonts w:ascii="GHEA Grapalat" w:hAnsi="GHEA Grapalat" w:cs="GHEA Grapalat"/>
          <w:b/>
        </w:rPr>
        <w:t xml:space="preserve"> թվականի </w:t>
      </w:r>
      <w:r w:rsidR="006953EF" w:rsidRPr="006970E2">
        <w:rPr>
          <w:rFonts w:ascii="GHEA Grapalat" w:hAnsi="GHEA Grapalat" w:cs="GHEA Grapalat"/>
          <w:b/>
        </w:rPr>
        <w:t>առաջին եռամսյակում</w:t>
      </w:r>
    </w:p>
    <w:p w:rsidR="006953EF" w:rsidRPr="006970E2" w:rsidRDefault="006953EF" w:rsidP="006953EF">
      <w:pPr>
        <w:spacing w:line="360" w:lineRule="auto"/>
        <w:jc w:val="center"/>
        <w:rPr>
          <w:rFonts w:ascii="GHEA Grapalat" w:hAnsi="GHEA Grapalat" w:cs="GHEA Grapalat"/>
          <w:b/>
        </w:rPr>
      </w:pPr>
      <w:r w:rsidRPr="006970E2">
        <w:rPr>
          <w:rFonts w:ascii="GHEA Grapalat" w:hAnsi="GHEA Grapalat" w:cs="GHEA Grapalat"/>
          <w:b/>
        </w:rPr>
        <w:t>ՀՀ պետական բյուջեի կատարման ամփոփ բնութագիրը</w:t>
      </w:r>
      <w:r w:rsidR="0022046E">
        <w:rPr>
          <w:rStyle w:val="FootnoteReference"/>
          <w:rFonts w:ascii="GHEA Grapalat" w:hAnsi="GHEA Grapalat" w:cs="GHEA Grapalat"/>
          <w:b/>
        </w:rPr>
        <w:footnoteReference w:id="1"/>
      </w:r>
    </w:p>
    <w:p w:rsidR="003862E9" w:rsidRPr="006970E2" w:rsidRDefault="003862E9" w:rsidP="003862E9">
      <w:pPr>
        <w:spacing w:line="360" w:lineRule="auto"/>
        <w:jc w:val="center"/>
        <w:rPr>
          <w:rFonts w:ascii="GHEA Grapalat" w:hAnsi="GHEA Grapalat" w:cs="GHEA Grapalat"/>
          <w:b/>
        </w:rPr>
      </w:pPr>
    </w:p>
    <w:bookmarkEnd w:id="0"/>
    <w:p w:rsidR="00901957" w:rsidRPr="006970E2" w:rsidRDefault="00FD61B0" w:rsidP="003862E9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970E2">
        <w:rPr>
          <w:rFonts w:ascii="GHEA Grapalat" w:hAnsi="GHEA Grapalat" w:cs="GHEA Grapalat"/>
          <w:color w:val="000000"/>
        </w:rPr>
        <w:t>202</w:t>
      </w:r>
      <w:r w:rsidR="00901258" w:rsidRPr="006970E2">
        <w:rPr>
          <w:rFonts w:ascii="GHEA Grapalat" w:hAnsi="GHEA Grapalat" w:cs="GHEA Grapalat"/>
          <w:color w:val="000000"/>
        </w:rPr>
        <w:t>5</w:t>
      </w:r>
      <w:r w:rsidRPr="006970E2">
        <w:rPr>
          <w:rFonts w:ascii="GHEA Grapalat" w:hAnsi="GHEA Grapalat" w:cs="GHEA Grapalat"/>
          <w:color w:val="000000"/>
        </w:rPr>
        <w:t xml:space="preserve"> թվականի </w:t>
      </w:r>
      <w:r w:rsidR="002C13EF" w:rsidRPr="006970E2">
        <w:rPr>
          <w:rFonts w:ascii="GHEA Grapalat" w:hAnsi="GHEA Grapalat" w:cs="GHEA Grapalat"/>
          <w:color w:val="000000"/>
        </w:rPr>
        <w:t>առաջին եռամսյակում</w:t>
      </w:r>
      <w:r w:rsidR="000A1A23" w:rsidRPr="006970E2">
        <w:rPr>
          <w:rFonts w:ascii="GHEA Grapalat" w:hAnsi="GHEA Grapalat" w:cs="GHEA Grapalat"/>
          <w:color w:val="000000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ՀՀ պետական բյուջեի եկամուտները կազմել են </w:t>
      </w:r>
      <w:r w:rsidR="009E00AB" w:rsidRPr="006970E2">
        <w:rPr>
          <w:rFonts w:ascii="GHEA Grapalat" w:hAnsi="GHEA Grapalat" w:cs="GHEA Grapalat"/>
          <w:color w:val="000000"/>
        </w:rPr>
        <w:t>597.4</w:t>
      </w:r>
      <w:r w:rsidRPr="006970E2">
        <w:rPr>
          <w:rFonts w:ascii="GHEA Grapalat" w:hAnsi="GHEA Grapalat" w:cs="GHEA Grapalat"/>
          <w:color w:val="000000"/>
        </w:rPr>
        <w:t xml:space="preserve"> մլրդ դրամ, ծախսերը` </w:t>
      </w:r>
      <w:r w:rsidR="009E00AB" w:rsidRPr="006970E2">
        <w:rPr>
          <w:rFonts w:ascii="GHEA Grapalat" w:hAnsi="GHEA Grapalat" w:cs="GHEA Grapalat"/>
          <w:color w:val="000000"/>
        </w:rPr>
        <w:t>576.2</w:t>
      </w:r>
      <w:r w:rsidR="00313431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մլրդ դրամ, </w:t>
      </w:r>
      <w:r w:rsidR="00B34557" w:rsidRPr="006970E2">
        <w:rPr>
          <w:rFonts w:ascii="GHEA Grapalat" w:hAnsi="GHEA Grapalat" w:cs="GHEA Grapalat"/>
          <w:color w:val="000000"/>
        </w:rPr>
        <w:t>հավել</w:t>
      </w:r>
      <w:r w:rsidRPr="006970E2">
        <w:rPr>
          <w:rFonts w:ascii="GHEA Grapalat" w:hAnsi="GHEA Grapalat" w:cs="GHEA Grapalat"/>
          <w:color w:val="000000"/>
        </w:rPr>
        <w:t>ուրդը՝</w:t>
      </w:r>
      <w:r w:rsidR="008269CE" w:rsidRPr="006970E2">
        <w:rPr>
          <w:rFonts w:ascii="GHEA Grapalat" w:hAnsi="GHEA Grapalat" w:cs="GHEA Grapalat"/>
          <w:color w:val="000000"/>
        </w:rPr>
        <w:t xml:space="preserve"> </w:t>
      </w:r>
      <w:r w:rsidR="009E00AB" w:rsidRPr="006970E2">
        <w:rPr>
          <w:rFonts w:ascii="GHEA Grapalat" w:hAnsi="GHEA Grapalat" w:cs="GHEA Grapalat"/>
          <w:color w:val="000000"/>
        </w:rPr>
        <w:t>21.2</w:t>
      </w:r>
      <w:r w:rsidR="00313431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0C77FF" w:rsidRPr="006970E2">
        <w:rPr>
          <w:rFonts w:ascii="GHEA Grapalat" w:hAnsi="GHEA Grapalat" w:cs="GHEA Grapalat"/>
          <w:color w:val="000000"/>
        </w:rPr>
        <w:t xml:space="preserve">մլրդ դրամ: </w:t>
      </w:r>
      <w:r w:rsidR="004576B0" w:rsidRPr="006970E2">
        <w:rPr>
          <w:rFonts w:ascii="GHEA Grapalat" w:hAnsi="GHEA Grapalat" w:cs="GHEA Grapalat"/>
          <w:color w:val="000000"/>
        </w:rPr>
        <w:t>Պետական բյուջեի</w:t>
      </w:r>
      <w:r w:rsidRPr="006970E2">
        <w:rPr>
          <w:rFonts w:ascii="GHEA Grapalat" w:hAnsi="GHEA Grapalat" w:cs="GHEA Grapalat"/>
          <w:color w:val="000000"/>
        </w:rPr>
        <w:t xml:space="preserve"> ծրագրային և փաստացի</w:t>
      </w:r>
      <w:r w:rsidR="004576B0" w:rsidRPr="006970E2">
        <w:rPr>
          <w:rFonts w:ascii="GHEA Grapalat" w:hAnsi="GHEA Grapalat" w:cs="GHEA Grapalat"/>
          <w:color w:val="000000"/>
        </w:rPr>
        <w:t xml:space="preserve"> ցուցանիշներում, պետության դրամական միջոցների համախմբված հաշվառման նպատակով, ներառվել են առանց սահմանափակման կատարվող վճարումները և վերջիններիս արդյունքում ձևավորված եկամուտները՝ ելնելով</w:t>
      </w:r>
      <w:r w:rsidR="004576B0" w:rsidRPr="006970E2" w:rsidDel="004576B0">
        <w:rPr>
          <w:rFonts w:ascii="GHEA Grapalat" w:hAnsi="GHEA Grapalat" w:cs="GHEA Grapalat"/>
          <w:color w:val="000000"/>
        </w:rPr>
        <w:t xml:space="preserve"> </w:t>
      </w:r>
      <w:r w:rsidR="00901957" w:rsidRPr="006970E2">
        <w:rPr>
          <w:rFonts w:ascii="GHEA Grapalat" w:hAnsi="GHEA Grapalat" w:cs="GHEA Grapalat"/>
          <w:color w:val="000000"/>
        </w:rPr>
        <w:t>«Հայաստանի Հանրապետության 202</w:t>
      </w:r>
      <w:r w:rsidR="00D908F5" w:rsidRPr="006970E2">
        <w:rPr>
          <w:rFonts w:ascii="GHEA Grapalat" w:hAnsi="GHEA Grapalat" w:cs="GHEA Grapalat"/>
          <w:color w:val="000000"/>
        </w:rPr>
        <w:t>5</w:t>
      </w:r>
      <w:r w:rsidR="00901957" w:rsidRPr="006970E2">
        <w:rPr>
          <w:rFonts w:ascii="GHEA Grapalat" w:hAnsi="GHEA Grapalat" w:cs="GHEA Grapalat"/>
          <w:color w:val="000000"/>
        </w:rPr>
        <w:t xml:space="preserve"> թվականի պետ</w:t>
      </w:r>
      <w:r w:rsidR="005C0DFC" w:rsidRPr="006970E2">
        <w:rPr>
          <w:rFonts w:ascii="GHEA Grapalat" w:hAnsi="GHEA Grapalat" w:cs="GHEA Grapalat"/>
          <w:color w:val="000000"/>
        </w:rPr>
        <w:t>ական բյուջեի մասին» ՀՀ օրենքի 9</w:t>
      </w:r>
      <w:r w:rsidR="005C0DFC" w:rsidRPr="006970E2">
        <w:rPr>
          <w:rFonts w:ascii="GHEA Grapalat" w:hAnsi="GHEA Grapalat" w:cs="GHEA Grapalat"/>
          <w:color w:val="000000"/>
        </w:rPr>
        <w:noBreakHyphen/>
      </w:r>
      <w:r w:rsidR="00901957" w:rsidRPr="006970E2">
        <w:rPr>
          <w:rFonts w:ascii="GHEA Grapalat" w:hAnsi="GHEA Grapalat" w:cs="GHEA Grapalat"/>
          <w:color w:val="000000"/>
        </w:rPr>
        <w:t>րդ հոդվածի 2</w:t>
      </w:r>
      <w:r w:rsidR="00901957" w:rsidRPr="006970E2">
        <w:rPr>
          <w:rFonts w:ascii="GHEA Grapalat" w:hAnsi="GHEA Grapalat" w:cs="GHEA Grapalat"/>
          <w:color w:val="000000"/>
        </w:rPr>
        <w:noBreakHyphen/>
        <w:t>րդ կետի պահանջներից:</w:t>
      </w:r>
      <w:r w:rsidR="004576B0" w:rsidRPr="006970E2">
        <w:rPr>
          <w:rFonts w:ascii="GHEA Grapalat" w:hAnsi="GHEA Grapalat" w:cs="GHEA Grapalat"/>
          <w:color w:val="000000"/>
        </w:rPr>
        <w:t xml:space="preserve"> Նշենք, որ հաշվետու ժամանակահատվածում ապահովվել է պետական բյուջեի ծախսային ծրագրերի շրջանակներում պետական մարմինների կողմից սահմանված կարգով ստանձնված պարտավորությունների ամբողջական կատարումը:</w:t>
      </w:r>
    </w:p>
    <w:p w:rsidR="004576B0" w:rsidRPr="006970E2" w:rsidRDefault="004576B0" w:rsidP="00F943A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6970E2" w:rsidRDefault="00B727E5" w:rsidP="00B30D01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3402" w:hanging="3402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154F03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պետական բյուջեի ցուցանիշները</w:t>
      </w:r>
      <w:r w:rsidR="00E0092A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</w:t>
      </w:r>
      <w:r w:rsidR="005B064D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701"/>
        <w:gridCol w:w="1843"/>
        <w:gridCol w:w="2268"/>
        <w:gridCol w:w="1837"/>
      </w:tblGrid>
      <w:tr w:rsidR="00F163D0" w:rsidRPr="006970E2" w:rsidTr="00E97BEA">
        <w:trPr>
          <w:trHeight w:val="105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F163D0" w:rsidRPr="006970E2" w:rsidRDefault="00F163D0" w:rsidP="00AA669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163D0" w:rsidRPr="006970E2" w:rsidRDefault="000B507C" w:rsidP="000A052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F163D0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C77FF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եռամսյակի</w:t>
            </w:r>
            <w:r w:rsidR="00F163D0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ճշտված պլան</w:t>
            </w:r>
          </w:p>
          <w:p w:rsidR="00F163D0" w:rsidRPr="006970E2" w:rsidRDefault="00F163D0" w:rsidP="000A0520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F163D0" w:rsidRPr="006970E2" w:rsidRDefault="006953EF" w:rsidP="006953E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2268" w:type="dxa"/>
            <w:shd w:val="clear" w:color="auto" w:fill="auto"/>
            <w:hideMark/>
          </w:tcPr>
          <w:p w:rsidR="00F163D0" w:rsidRPr="006970E2" w:rsidRDefault="00F163D0" w:rsidP="00E97BEA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Կատարողական</w:t>
            </w:r>
            <w:r w:rsidR="005A5102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ն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</w:t>
            </w:r>
            <w:r w:rsidR="000B507C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0C77FF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եռամսյակի 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ճշտված պլանի նկատմամբ</w:t>
            </w:r>
            <w:r w:rsidR="00244958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837" w:type="dxa"/>
            <w:shd w:val="clear" w:color="auto" w:fill="auto"/>
            <w:hideMark/>
          </w:tcPr>
          <w:p w:rsidR="00F163D0" w:rsidRPr="006970E2" w:rsidRDefault="00F163D0" w:rsidP="000D5B3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Կատարողա</w:t>
            </w:r>
            <w:r w:rsidR="00244958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կանը տարեկան ճշտված պլանի նկատմամբ</w:t>
            </w:r>
          </w:p>
        </w:tc>
      </w:tr>
      <w:tr w:rsidR="003A02E6" w:rsidRPr="006970E2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color w:val="000000"/>
                <w:sz w:val="20"/>
                <w:szCs w:val="20"/>
              </w:rPr>
              <w:t>Եկամուտներ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585.0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597.4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102.1 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21.0 </w:t>
            </w:r>
          </w:p>
        </w:tc>
      </w:tr>
      <w:tr w:rsidR="003A02E6" w:rsidRPr="006970E2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color w:val="000000"/>
                <w:sz w:val="20"/>
                <w:szCs w:val="20"/>
              </w:rPr>
              <w:t>Ծախսեր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818.3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576.2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70.4 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16.7 </w:t>
            </w:r>
          </w:p>
        </w:tc>
      </w:tr>
      <w:tr w:rsidR="003A02E6" w:rsidRPr="006970E2" w:rsidTr="00E97BEA">
        <w:trPr>
          <w:trHeight w:val="360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3A02E6" w:rsidRPr="006970E2" w:rsidRDefault="00CC1B83" w:rsidP="00CC1B83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</w:t>
            </w:r>
            <w:r w:rsidRPr="006970E2">
              <w:rPr>
                <w:rFonts w:ascii="GHEA Grapalat" w:hAnsi="GHEA Grapalat" w:cs="Calibri"/>
                <w:color w:val="000000"/>
                <w:sz w:val="20"/>
                <w:szCs w:val="20"/>
              </w:rPr>
              <w:t>ակասուրդ</w:t>
            </w:r>
            <w:r w:rsidRPr="006970E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="003A02E6" w:rsidRPr="006970E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</w:t>
            </w:r>
            <w:r w:rsidRPr="006970E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ավելուրդ</w:t>
            </w:r>
            <w:r w:rsidR="003A02E6" w:rsidRPr="006970E2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233.3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(21.2)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(9.1)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(3.5)</w:t>
            </w:r>
          </w:p>
        </w:tc>
      </w:tr>
    </w:tbl>
    <w:p w:rsidR="00154F03" w:rsidRPr="006970E2" w:rsidRDefault="00154F03" w:rsidP="00B727E5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901957" w:rsidRPr="006970E2" w:rsidRDefault="00901957" w:rsidP="00901957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</w:rPr>
      </w:pPr>
      <w:r w:rsidRPr="006970E2">
        <w:rPr>
          <w:rFonts w:ascii="GHEA Grapalat" w:hAnsi="GHEA Grapalat" w:cs="GHEA Grapalat"/>
          <w:i/>
          <w:u w:val="single"/>
        </w:rPr>
        <w:t>ՀՀ պետական բյուջեի եկամուտները</w:t>
      </w:r>
    </w:p>
    <w:p w:rsidR="00901957" w:rsidRPr="006970E2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970E2">
        <w:rPr>
          <w:rFonts w:ascii="GHEA Grapalat" w:hAnsi="GHEA Grapalat" w:cs="GHEA Grapalat"/>
          <w:color w:val="000000"/>
        </w:rPr>
        <w:t>202</w:t>
      </w:r>
      <w:r w:rsidR="009345BD" w:rsidRPr="006970E2">
        <w:rPr>
          <w:rFonts w:ascii="GHEA Grapalat" w:hAnsi="GHEA Grapalat" w:cs="GHEA Grapalat"/>
          <w:color w:val="000000"/>
        </w:rPr>
        <w:t>4</w:t>
      </w:r>
      <w:r w:rsidRPr="006970E2">
        <w:rPr>
          <w:rFonts w:ascii="GHEA Grapalat" w:hAnsi="GHEA Grapalat" w:cs="GHEA Grapalat"/>
          <w:color w:val="000000"/>
        </w:rPr>
        <w:t xml:space="preserve"> թվականի</w:t>
      </w:r>
      <w:r w:rsidR="00BD6ECF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6953EF" w:rsidRPr="006970E2">
        <w:rPr>
          <w:rFonts w:ascii="GHEA Grapalat" w:hAnsi="GHEA Grapalat" w:cs="GHEA Grapalat"/>
          <w:color w:val="000000"/>
        </w:rPr>
        <w:t>առաջին եռամսյակի</w:t>
      </w:r>
      <w:r w:rsidR="00BD6ECF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համեմատ պետական բյուջեի եկամուտներն աճել են </w:t>
      </w:r>
      <w:r w:rsidR="009E00AB" w:rsidRPr="006970E2">
        <w:rPr>
          <w:rFonts w:ascii="GHEA Grapalat" w:hAnsi="GHEA Grapalat" w:cs="GHEA Grapalat"/>
          <w:color w:val="000000"/>
        </w:rPr>
        <w:t>1</w:t>
      </w:r>
      <w:r w:rsidR="004D3FB2" w:rsidRPr="006970E2">
        <w:rPr>
          <w:rFonts w:ascii="GHEA Grapalat" w:hAnsi="GHEA Grapalat" w:cs="GHEA Grapalat"/>
          <w:color w:val="000000"/>
        </w:rPr>
        <w:t>3</w:t>
      </w:r>
      <w:r w:rsidR="009E00AB" w:rsidRPr="006970E2">
        <w:rPr>
          <w:rFonts w:ascii="GHEA Grapalat" w:hAnsi="GHEA Grapalat" w:cs="GHEA Grapalat"/>
          <w:color w:val="000000"/>
        </w:rPr>
        <w:t>.8</w:t>
      </w:r>
      <w:r w:rsidRPr="006970E2">
        <w:rPr>
          <w:rFonts w:ascii="GHEA Grapalat" w:hAnsi="GHEA Grapalat" w:cs="GHEA Grapalat"/>
          <w:color w:val="000000"/>
        </w:rPr>
        <w:t>%</w:t>
      </w:r>
      <w:r w:rsidRPr="006970E2">
        <w:rPr>
          <w:rFonts w:ascii="GHEA Grapalat" w:hAnsi="GHEA Grapalat" w:cs="GHEA Grapalat"/>
          <w:color w:val="000000"/>
        </w:rPr>
        <w:noBreakHyphen/>
        <w:t>ով կամ</w:t>
      </w:r>
      <w:r w:rsidR="004D3FB2" w:rsidRPr="006970E2">
        <w:rPr>
          <w:rFonts w:ascii="GHEA Grapalat" w:hAnsi="GHEA Grapalat" w:cs="GHEA Grapalat"/>
          <w:color w:val="000000"/>
          <w:lang w:val="hy-AM"/>
        </w:rPr>
        <w:t xml:space="preserve"> շուրջ </w:t>
      </w:r>
      <w:r w:rsidR="004D3FB2" w:rsidRPr="006970E2">
        <w:rPr>
          <w:rFonts w:ascii="GHEA Grapalat" w:hAnsi="GHEA Grapalat" w:cs="GHEA Grapalat"/>
          <w:color w:val="000000"/>
        </w:rPr>
        <w:t>72.4</w:t>
      </w:r>
      <w:r w:rsidR="00DD5D1E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>մլրդ դրամով, որը հիմնականում պայմանավորված է հարկային եկամուտների աճով:</w:t>
      </w:r>
    </w:p>
    <w:p w:rsidR="001A4448" w:rsidRPr="006970E2" w:rsidRDefault="001A4448" w:rsidP="001A444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970E2">
        <w:rPr>
          <w:rFonts w:ascii="GHEA Grapalat" w:hAnsi="GHEA Grapalat" w:cs="GHEA Grapalat"/>
          <w:color w:val="000000"/>
        </w:rPr>
        <w:t>202</w:t>
      </w:r>
      <w:r w:rsidR="009345BD" w:rsidRPr="006970E2">
        <w:rPr>
          <w:rFonts w:ascii="GHEA Grapalat" w:hAnsi="GHEA Grapalat" w:cs="GHEA Grapalat"/>
          <w:color w:val="000000"/>
        </w:rPr>
        <w:t>5</w:t>
      </w:r>
      <w:r w:rsidRPr="006970E2">
        <w:rPr>
          <w:rFonts w:ascii="GHEA Grapalat" w:hAnsi="GHEA Grapalat" w:cs="GHEA Grapalat"/>
          <w:color w:val="000000"/>
        </w:rPr>
        <w:t xml:space="preserve"> թվականի </w:t>
      </w:r>
      <w:r w:rsidR="006953EF" w:rsidRPr="006970E2">
        <w:rPr>
          <w:rFonts w:ascii="GHEA Grapalat" w:hAnsi="GHEA Grapalat" w:cs="GHEA Grapalat"/>
          <w:color w:val="000000"/>
        </w:rPr>
        <w:t>առաջին եռամսյակում</w:t>
      </w:r>
      <w:r w:rsidR="00BD6ECF" w:rsidRPr="006970E2">
        <w:rPr>
          <w:rFonts w:ascii="GHEA Grapalat" w:hAnsi="GHEA Grapalat" w:cs="GHEA Grapalat"/>
          <w:color w:val="000000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ՀՀ պետական բյուջե են մուտքագրվել </w:t>
      </w:r>
      <w:r w:rsidR="00DD5D1E" w:rsidRPr="006970E2">
        <w:rPr>
          <w:rFonts w:ascii="GHEA Grapalat" w:hAnsi="GHEA Grapalat" w:cs="GHEA Grapalat"/>
          <w:color w:val="000000"/>
        </w:rPr>
        <w:t xml:space="preserve">շուրջ </w:t>
      </w:r>
      <w:r w:rsidR="004D3FB2" w:rsidRPr="006970E2">
        <w:rPr>
          <w:rFonts w:ascii="GHEA Grapalat" w:hAnsi="GHEA Grapalat" w:cs="GHEA Grapalat"/>
          <w:color w:val="000000"/>
        </w:rPr>
        <w:t>566.5</w:t>
      </w:r>
      <w:r w:rsidR="006E02FD" w:rsidRPr="006970E2">
        <w:rPr>
          <w:rFonts w:ascii="GHEA Grapalat" w:hAnsi="GHEA Grapalat" w:cs="GHEA Grapalat"/>
          <w:color w:val="000000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մլրդ դրամ </w:t>
      </w:r>
      <w:r w:rsidRPr="006970E2">
        <w:rPr>
          <w:rFonts w:ascii="GHEA Grapalat" w:hAnsi="GHEA Grapalat" w:cs="GHEA Grapalat"/>
          <w:i/>
          <w:color w:val="000000"/>
        </w:rPr>
        <w:t>հարկային եկամուտներ և պետական տուրքեր</w:t>
      </w:r>
      <w:r w:rsidR="004D3FB2" w:rsidRPr="006970E2">
        <w:rPr>
          <w:rFonts w:ascii="GHEA Grapalat" w:hAnsi="GHEA Grapalat" w:cs="GHEA Grapalat"/>
          <w:color w:val="000000"/>
        </w:rPr>
        <w:t>, որոնք</w:t>
      </w:r>
      <w:r w:rsidR="00C17955" w:rsidRPr="006970E2">
        <w:rPr>
          <w:rFonts w:ascii="GHEA Grapalat" w:hAnsi="GHEA Grapalat" w:cs="GHEA Grapalat"/>
          <w:color w:val="000000"/>
        </w:rPr>
        <w:t xml:space="preserve"> </w:t>
      </w:r>
      <w:r w:rsidR="004D3FB2" w:rsidRPr="006970E2">
        <w:rPr>
          <w:rFonts w:ascii="GHEA Grapalat" w:hAnsi="GHEA Grapalat" w:cs="GHEA Grapalat"/>
          <w:color w:val="000000"/>
          <w:lang w:val="hy-AM"/>
        </w:rPr>
        <w:t xml:space="preserve">ապահովել </w:t>
      </w:r>
      <w:r w:rsidR="00444621" w:rsidRPr="006970E2">
        <w:rPr>
          <w:rFonts w:ascii="GHEA Grapalat" w:hAnsi="GHEA Grapalat" w:cs="GHEA Grapalat"/>
          <w:color w:val="000000"/>
        </w:rPr>
        <w:t xml:space="preserve">են առաջին եռամսյակի ծրագրային ցուցանիշի </w:t>
      </w:r>
      <w:r w:rsidR="004D3FB2" w:rsidRPr="006970E2">
        <w:rPr>
          <w:rFonts w:ascii="GHEA Grapalat" w:hAnsi="GHEA Grapalat" w:cs="GHEA Grapalat"/>
          <w:color w:val="000000"/>
          <w:lang w:val="hy-AM"/>
        </w:rPr>
        <w:t>100.5</w:t>
      </w:r>
      <w:r w:rsidR="00444621" w:rsidRPr="006970E2">
        <w:rPr>
          <w:rFonts w:ascii="GHEA Grapalat" w:hAnsi="GHEA Grapalat" w:cs="GHEA Grapalat"/>
          <w:color w:val="000000"/>
        </w:rPr>
        <w:t xml:space="preserve">%-ը: </w:t>
      </w:r>
      <w:r w:rsidRPr="006970E2">
        <w:rPr>
          <w:rFonts w:ascii="GHEA Grapalat" w:hAnsi="GHEA Grapalat" w:cs="GHEA Grapalat"/>
          <w:color w:val="000000"/>
        </w:rPr>
        <w:t>202</w:t>
      </w:r>
      <w:r w:rsidR="00A4071F" w:rsidRPr="006970E2">
        <w:rPr>
          <w:rFonts w:ascii="GHEA Grapalat" w:hAnsi="GHEA Grapalat" w:cs="GHEA Grapalat"/>
          <w:color w:val="000000"/>
          <w:lang w:val="hy-AM"/>
        </w:rPr>
        <w:t>4</w:t>
      </w:r>
      <w:r w:rsidRPr="006970E2">
        <w:rPr>
          <w:rFonts w:ascii="GHEA Grapalat" w:hAnsi="GHEA Grapalat" w:cs="GHEA Grapalat"/>
          <w:color w:val="000000"/>
        </w:rPr>
        <w:t xml:space="preserve"> թվականի նույն ժամանակահատվածի համեմատ հարկային եկամուտներն ու պետական տուրքերն աճել են </w:t>
      </w:r>
      <w:r w:rsidR="004D3FB2" w:rsidRPr="006970E2">
        <w:rPr>
          <w:rFonts w:ascii="GHEA Grapalat" w:hAnsi="GHEA Grapalat" w:cs="GHEA Grapalat"/>
          <w:color w:val="000000"/>
          <w:lang w:val="hy-AM"/>
        </w:rPr>
        <w:lastRenderedPageBreak/>
        <w:t>13.</w:t>
      </w:r>
      <w:r w:rsidR="005D3B9B" w:rsidRPr="006970E2">
        <w:rPr>
          <w:rFonts w:ascii="GHEA Grapalat" w:hAnsi="GHEA Grapalat" w:cs="GHEA Grapalat"/>
          <w:color w:val="000000"/>
          <w:lang w:val="hy-AM"/>
        </w:rPr>
        <w:t>2</w:t>
      </w:r>
      <w:r w:rsidRPr="006970E2">
        <w:rPr>
          <w:rFonts w:ascii="GHEA Grapalat" w:hAnsi="GHEA Grapalat" w:cs="GHEA Grapalat"/>
          <w:color w:val="000000"/>
        </w:rPr>
        <w:t>%</w:t>
      </w:r>
      <w:r w:rsidRPr="006970E2">
        <w:rPr>
          <w:rFonts w:ascii="GHEA Grapalat" w:hAnsi="GHEA Grapalat" w:cs="GHEA Grapalat"/>
          <w:color w:val="000000"/>
        </w:rPr>
        <w:noBreakHyphen/>
        <w:t xml:space="preserve">ով կամ </w:t>
      </w:r>
      <w:r w:rsidR="005D3B9B" w:rsidRPr="006970E2">
        <w:rPr>
          <w:rFonts w:ascii="GHEA Grapalat" w:hAnsi="GHEA Grapalat" w:cs="GHEA Grapalat"/>
          <w:color w:val="000000"/>
          <w:lang w:val="hy-AM"/>
        </w:rPr>
        <w:t>6</w:t>
      </w:r>
      <w:r w:rsidR="004D3FB2" w:rsidRPr="006970E2">
        <w:rPr>
          <w:rFonts w:ascii="GHEA Grapalat" w:hAnsi="GHEA Grapalat" w:cs="GHEA Grapalat"/>
          <w:color w:val="000000"/>
          <w:lang w:val="hy-AM"/>
        </w:rPr>
        <w:t>5.</w:t>
      </w:r>
      <w:r w:rsidR="005D3B9B" w:rsidRPr="006970E2">
        <w:rPr>
          <w:rFonts w:ascii="GHEA Grapalat" w:hAnsi="GHEA Grapalat" w:cs="GHEA Grapalat"/>
          <w:color w:val="000000"/>
          <w:lang w:val="hy-AM"/>
        </w:rPr>
        <w:t>9</w:t>
      </w:r>
      <w:r w:rsidR="0049019F" w:rsidRPr="006970E2">
        <w:rPr>
          <w:rFonts w:ascii="GHEA Grapalat" w:hAnsi="GHEA Grapalat" w:cs="GHEA Grapalat"/>
          <w:color w:val="000000"/>
        </w:rPr>
        <w:t xml:space="preserve"> </w:t>
      </w:r>
      <w:r w:rsidR="00444621" w:rsidRPr="006970E2">
        <w:rPr>
          <w:rFonts w:ascii="GHEA Grapalat" w:hAnsi="GHEA Grapalat" w:cs="GHEA Grapalat"/>
          <w:color w:val="000000"/>
        </w:rPr>
        <w:t>մլրդ</w:t>
      </w:r>
      <w:r w:rsidR="0049019F" w:rsidRPr="006970E2">
        <w:rPr>
          <w:rFonts w:ascii="GHEA Grapalat" w:hAnsi="GHEA Grapalat" w:cs="GHEA Grapalat"/>
          <w:color w:val="000000"/>
        </w:rPr>
        <w:t xml:space="preserve"> </w:t>
      </w:r>
      <w:r w:rsidRPr="006970E2">
        <w:rPr>
          <w:rFonts w:ascii="GHEA Grapalat" w:hAnsi="GHEA Grapalat" w:cs="GHEA Grapalat"/>
          <w:color w:val="000000"/>
        </w:rPr>
        <w:t xml:space="preserve">դրամով, </w:t>
      </w:r>
      <w:r w:rsidR="00444621" w:rsidRPr="006970E2">
        <w:rPr>
          <w:rFonts w:ascii="GHEA Grapalat" w:hAnsi="GHEA Grapalat" w:cs="GHEA Grapalat"/>
          <w:color w:val="000000"/>
        </w:rPr>
        <w:t xml:space="preserve">որը հիմնականում պայմանավորված է </w:t>
      </w:r>
      <w:r w:rsidR="00A4071F" w:rsidRPr="006970E2">
        <w:rPr>
          <w:rFonts w:ascii="GHEA Grapalat" w:hAnsi="GHEA Grapalat" w:cs="GHEA Grapalat"/>
          <w:color w:val="000000"/>
        </w:rPr>
        <w:t>ավելացված արժեքի հարկի</w:t>
      </w:r>
      <w:r w:rsidR="007C4BB5" w:rsidRPr="006970E2">
        <w:rPr>
          <w:rFonts w:ascii="GHEA Grapalat" w:hAnsi="GHEA Grapalat" w:cs="GHEA Grapalat"/>
          <w:color w:val="000000"/>
        </w:rPr>
        <w:t xml:space="preserve">, </w:t>
      </w:r>
      <w:r w:rsidR="00A4071F" w:rsidRPr="006970E2">
        <w:rPr>
          <w:rFonts w:ascii="GHEA Grapalat" w:hAnsi="GHEA Grapalat" w:cs="GHEA Grapalat"/>
          <w:color w:val="000000"/>
          <w:lang w:val="hy-AM"/>
        </w:rPr>
        <w:t>եկամտային</w:t>
      </w:r>
      <w:r w:rsidR="00A4071F" w:rsidRPr="006970E2">
        <w:rPr>
          <w:rFonts w:ascii="GHEA Grapalat" w:hAnsi="GHEA Grapalat" w:cs="GHEA Grapalat"/>
          <w:color w:val="000000"/>
        </w:rPr>
        <w:t xml:space="preserve"> հարկի </w:t>
      </w:r>
      <w:r w:rsidR="00A4071F" w:rsidRPr="006970E2">
        <w:rPr>
          <w:rFonts w:ascii="GHEA Grapalat" w:hAnsi="GHEA Grapalat" w:cs="GHEA Grapalat"/>
          <w:color w:val="000000"/>
          <w:lang w:val="hy-AM"/>
        </w:rPr>
        <w:t xml:space="preserve">և </w:t>
      </w:r>
      <w:r w:rsidR="00A4071F" w:rsidRPr="006970E2">
        <w:rPr>
          <w:rFonts w:ascii="GHEA Grapalat" w:hAnsi="GHEA Grapalat" w:cs="GHEA Grapalat"/>
          <w:color w:val="000000"/>
        </w:rPr>
        <w:t xml:space="preserve">շահութահարկի </w:t>
      </w:r>
      <w:r w:rsidRPr="006970E2">
        <w:rPr>
          <w:rFonts w:ascii="GHEA Grapalat" w:hAnsi="GHEA Grapalat" w:cs="GHEA Grapalat"/>
          <w:color w:val="000000"/>
        </w:rPr>
        <w:t>գծով մուտքերի աճով:</w:t>
      </w:r>
    </w:p>
    <w:p w:rsidR="00C27BAF" w:rsidRPr="006970E2" w:rsidRDefault="00C27BAF" w:rsidP="001A444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154F03" w:rsidRPr="006970E2" w:rsidRDefault="00154F03" w:rsidP="0081291C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ՀՀ</w:t>
      </w:r>
      <w:r w:rsidR="004B2A31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</w:t>
      </w: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պետական բյուջեի եկամուտները</w:t>
      </w:r>
      <w:r w:rsidR="005B064D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(մլրդ դրամ) </w:t>
      </w:r>
    </w:p>
    <w:tbl>
      <w:tblPr>
        <w:tblW w:w="10215" w:type="dxa"/>
        <w:tblInd w:w="-5" w:type="dxa"/>
        <w:tblLook w:val="04A0" w:firstRow="1" w:lastRow="0" w:firstColumn="1" w:lastColumn="0" w:noHBand="0" w:noVBand="1"/>
      </w:tblPr>
      <w:tblGrid>
        <w:gridCol w:w="4650"/>
        <w:gridCol w:w="1313"/>
        <w:gridCol w:w="1417"/>
        <w:gridCol w:w="1418"/>
        <w:gridCol w:w="1417"/>
      </w:tblGrid>
      <w:tr w:rsidR="002C0C67" w:rsidRPr="006970E2" w:rsidTr="00C049FF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31C" w:rsidRPr="006970E2" w:rsidRDefault="000F131C" w:rsidP="001A4448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31C" w:rsidRPr="006970E2" w:rsidRDefault="00204DA1" w:rsidP="00204DA1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6970E2" w:rsidRDefault="00463FF9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9345BD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տ</w:t>
            </w:r>
            <w:r w:rsidR="000F131C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արեկան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6970E2" w:rsidRDefault="000F131C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="009345BD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 w:rsidR="000B507C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առաջին</w:t>
            </w:r>
            <w:r w:rsidR="00542725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եռամսյակի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131C" w:rsidRPr="006970E2" w:rsidRDefault="00204DA1" w:rsidP="000A1A23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</w:tr>
      <w:tr w:rsidR="00C049FF" w:rsidRPr="006970E2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9FF" w:rsidRPr="006970E2" w:rsidRDefault="00C049FF" w:rsidP="00C049FF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Պետական բյուջեի եկամուտներ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525.0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2,838.1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585.0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597.4</w:t>
            </w:r>
          </w:p>
        </w:tc>
      </w:tr>
      <w:tr w:rsidR="00C049FF" w:rsidRPr="006970E2" w:rsidTr="00C049FF">
        <w:trPr>
          <w:trHeight w:val="293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Հարկային եկամուտներ և պետական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500.6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2,720.6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563.4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566.5</w:t>
            </w:r>
          </w:p>
        </w:tc>
      </w:tr>
      <w:tr w:rsidR="00C049FF" w:rsidRPr="006970E2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20.9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1.5</w:t>
            </w:r>
          </w:p>
        </w:tc>
      </w:tr>
      <w:tr w:rsidR="00C049FF" w:rsidRPr="006970E2" w:rsidTr="00C049FF">
        <w:trPr>
          <w:trHeight w:val="167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23.9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96.6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19.7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29.4</w:t>
            </w:r>
          </w:p>
        </w:tc>
      </w:tr>
      <w:tr w:rsidR="00C15B2E" w:rsidRPr="006970E2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B2E" w:rsidRPr="006970E2" w:rsidRDefault="00C15B2E" w:rsidP="00C15B2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եկամուտների մեջ</w:t>
            </w:r>
            <w:r w:rsidR="00244958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B2E" w:rsidRPr="006970E2" w:rsidRDefault="00C15B2E" w:rsidP="00C15B2E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6970E2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6970E2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2E" w:rsidRPr="006970E2" w:rsidRDefault="00C15B2E" w:rsidP="00C15B2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C049FF" w:rsidRPr="006970E2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Հարկեր և տուրքեր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95.4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96.3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94.8</w:t>
            </w:r>
          </w:p>
        </w:tc>
      </w:tr>
      <w:tr w:rsidR="00C049FF" w:rsidRPr="006970E2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</w:tr>
      <w:tr w:rsidR="00C049FF" w:rsidRPr="006970E2" w:rsidTr="00C049FF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9FF" w:rsidRPr="006970E2" w:rsidRDefault="00C049FF" w:rsidP="00C049FF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Այլ եկամուտներ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4.5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FF" w:rsidRPr="006970E2" w:rsidRDefault="00C049FF" w:rsidP="00C049FF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4.9</w:t>
            </w:r>
          </w:p>
        </w:tc>
      </w:tr>
    </w:tbl>
    <w:p w:rsidR="002A4689" w:rsidRPr="006970E2" w:rsidRDefault="002A4689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D84004" w:rsidRPr="006970E2" w:rsidRDefault="00901957" w:rsidP="00D8400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</w:rPr>
        <w:t xml:space="preserve">Հաշվետու ժամանակահատվածի հարկային եկամուտների և պետական տուրքերի </w:t>
      </w:r>
      <w:r w:rsidR="00A2473C" w:rsidRPr="006970E2">
        <w:rPr>
          <w:rFonts w:ascii="GHEA Grapalat" w:hAnsi="GHEA Grapalat" w:cs="GHEA Grapalat"/>
          <w:color w:val="000000"/>
          <w:lang w:val="hy-AM"/>
        </w:rPr>
        <w:t>36.9</w:t>
      </w:r>
      <w:r w:rsidRPr="006970E2">
        <w:rPr>
          <w:rFonts w:ascii="GHEA Grapalat" w:hAnsi="GHEA Grapalat" w:cs="GHEA Grapalat"/>
          <w:color w:val="000000"/>
        </w:rPr>
        <w:t>%</w:t>
      </w:r>
      <w:r w:rsidRPr="006970E2">
        <w:rPr>
          <w:rFonts w:ascii="GHEA Grapalat" w:hAnsi="GHEA Grapalat" w:cs="GHEA Grapalat"/>
          <w:color w:val="000000"/>
        </w:rPr>
        <w:noBreakHyphen/>
        <w:t xml:space="preserve">ն ապահովվել է ավելացված արժեքի հարկի հաշվին: Նախորդ տարվա նույն ժամանակահատվածի համեմատ </w:t>
      </w:r>
      <w:r w:rsidR="00563639">
        <w:rPr>
          <w:rFonts w:ascii="GHEA Grapalat" w:hAnsi="GHEA Grapalat" w:cs="GHEA Grapalat"/>
          <w:color w:val="000000"/>
        </w:rPr>
        <w:t xml:space="preserve">ավելացել են ինչպես </w:t>
      </w:r>
      <w:r w:rsidR="00563639" w:rsidRPr="006970E2">
        <w:rPr>
          <w:rFonts w:ascii="GHEA Grapalat" w:hAnsi="GHEA Grapalat" w:cs="GHEA Grapalat"/>
          <w:color w:val="000000"/>
          <w:lang w:val="hy-AM"/>
        </w:rPr>
        <w:t>ՀՀ</w:t>
      </w:r>
      <w:r w:rsidR="00563639" w:rsidRPr="006970E2">
        <w:rPr>
          <w:rFonts w:ascii="GHEA Grapalat" w:hAnsi="GHEA Grapalat" w:cs="GHEA Grapalat"/>
          <w:color w:val="000000"/>
          <w:lang w:val="hy-AM"/>
        </w:rPr>
        <w:noBreakHyphen/>
        <w:t>ում արտադրվող ապրանքների ու ծառայությունների շրջանառությ</w:t>
      </w:r>
      <w:r w:rsidR="00563639">
        <w:rPr>
          <w:rFonts w:ascii="GHEA Grapalat" w:hAnsi="GHEA Grapalat" w:cs="GHEA Grapalat"/>
          <w:color w:val="000000"/>
        </w:rPr>
        <w:t xml:space="preserve">ան, այնպես էլ ներմուծման գծով </w:t>
      </w:r>
      <w:r w:rsidR="00D84004" w:rsidRPr="006970E2">
        <w:rPr>
          <w:rFonts w:ascii="GHEA Grapalat" w:hAnsi="GHEA Grapalat" w:cs="GHEA Grapalat"/>
          <w:color w:val="000000"/>
          <w:lang w:val="hy-AM"/>
        </w:rPr>
        <w:t>մուտքեր</w:t>
      </w:r>
      <w:r w:rsidR="00563639">
        <w:rPr>
          <w:rFonts w:ascii="GHEA Grapalat" w:hAnsi="GHEA Grapalat" w:cs="GHEA Grapalat"/>
          <w:color w:val="000000"/>
        </w:rPr>
        <w:t>ը</w:t>
      </w:r>
      <w:r w:rsidR="00D84004" w:rsidRPr="006970E2">
        <w:rPr>
          <w:rFonts w:ascii="GHEA Grapalat" w:hAnsi="GHEA Grapalat" w:cs="GHEA Grapalat"/>
          <w:color w:val="000000"/>
          <w:lang w:val="hy-AM"/>
        </w:rPr>
        <w:t>:</w:t>
      </w:r>
    </w:p>
    <w:p w:rsidR="002849B2" w:rsidRPr="006970E2" w:rsidRDefault="002849B2" w:rsidP="00C523E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5B064D" w:rsidRPr="006970E2" w:rsidRDefault="00F1622C" w:rsidP="008269CE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ԱԱՀ-ի</w:t>
      </w:r>
      <w:r w:rsidR="00B727E5"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գծով ՀՀ պետական բյուջեի</w:t>
      </w: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մուտքերը</w:t>
      </w:r>
      <w:r w:rsidR="005B064D"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 xml:space="preserve"> (մլրդ դրամ)</w:t>
      </w: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515"/>
        <w:gridCol w:w="1560"/>
        <w:gridCol w:w="1559"/>
        <w:gridCol w:w="1984"/>
        <w:gridCol w:w="1588"/>
      </w:tblGrid>
      <w:tr w:rsidR="009345BD" w:rsidRPr="006970E2" w:rsidTr="0038161B">
        <w:trPr>
          <w:trHeight w:val="85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5BD" w:rsidRPr="006970E2" w:rsidRDefault="009345BD" w:rsidP="009345BD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5BD" w:rsidRPr="006970E2" w:rsidRDefault="006C28F9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5BD" w:rsidRPr="006970E2" w:rsidRDefault="006C28F9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եռամսյակը 2024թ. առաջին եռամսյակի նկատմամբ</w:t>
            </w:r>
          </w:p>
          <w:p w:rsidR="009345BD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5BD" w:rsidRPr="006970E2" w:rsidRDefault="009345BD" w:rsidP="009345BD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3A02E6" w:rsidRPr="006970E2" w:rsidTr="0038161B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Ավելացված արժեքի հարկ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164.3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208.8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127.1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44.5 </w:t>
            </w:r>
          </w:p>
        </w:tc>
      </w:tr>
      <w:tr w:rsidR="003A02E6" w:rsidRPr="006970E2" w:rsidTr="0038161B">
        <w:trPr>
          <w:trHeight w:val="29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Ներմուծումից, այդ թվում՝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88.9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117.3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15.4 </w:t>
            </w:r>
          </w:p>
        </w:tc>
      </w:tr>
      <w:tr w:rsidR="003A02E6" w:rsidRPr="006970E2" w:rsidTr="0038161B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 xml:space="preserve"> ԵԱՏՄ երկրներից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31.8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34.6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108.9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 xml:space="preserve">2.8 </w:t>
            </w:r>
          </w:p>
        </w:tc>
      </w:tr>
      <w:tr w:rsidR="003A02E6" w:rsidRPr="006970E2" w:rsidTr="0038161B">
        <w:trPr>
          <w:trHeight w:val="16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Ներքին շրջանառությունից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75.4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104.6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138.7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29.1</w:t>
            </w:r>
          </w:p>
        </w:tc>
      </w:tr>
    </w:tbl>
    <w:p w:rsidR="00EF469C" w:rsidRPr="006970E2" w:rsidRDefault="00EF469C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C3262A" w:rsidRPr="006970E2" w:rsidRDefault="00593328" w:rsidP="00C3262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970E2">
        <w:rPr>
          <w:rFonts w:ascii="GHEA Grapalat" w:hAnsi="GHEA Grapalat" w:cs="GHEA Grapalat"/>
          <w:color w:val="000000"/>
        </w:rPr>
        <w:t>202</w:t>
      </w:r>
      <w:r w:rsidR="00A4071F" w:rsidRPr="006970E2">
        <w:rPr>
          <w:rFonts w:ascii="GHEA Grapalat" w:hAnsi="GHEA Grapalat" w:cs="GHEA Grapalat"/>
          <w:color w:val="000000"/>
        </w:rPr>
        <w:t>5</w:t>
      </w:r>
      <w:r w:rsidR="00BC69AC" w:rsidRPr="006970E2">
        <w:rPr>
          <w:rFonts w:ascii="GHEA Grapalat" w:hAnsi="GHEA Grapalat" w:cs="GHEA Grapalat"/>
          <w:color w:val="000000"/>
        </w:rPr>
        <w:t xml:space="preserve"> թվականի </w:t>
      </w:r>
      <w:r w:rsidR="006F0770" w:rsidRPr="006970E2">
        <w:rPr>
          <w:rFonts w:ascii="GHEA Grapalat" w:hAnsi="GHEA Grapalat" w:cs="GHEA Grapalat"/>
          <w:color w:val="000000"/>
        </w:rPr>
        <w:t>առաջին եռամսյակ</w:t>
      </w:r>
      <w:r w:rsidR="006F0770" w:rsidRPr="006970E2">
        <w:rPr>
          <w:rFonts w:ascii="GHEA Grapalat" w:hAnsi="GHEA Grapalat" w:cs="GHEA Grapalat"/>
          <w:color w:val="000000"/>
          <w:lang w:val="hy-AM"/>
        </w:rPr>
        <w:t>ում</w:t>
      </w:r>
      <w:r w:rsidRPr="006970E2">
        <w:rPr>
          <w:rFonts w:ascii="GHEA Grapalat" w:hAnsi="GHEA Grapalat" w:cs="GHEA Grapalat"/>
          <w:b/>
        </w:rPr>
        <w:t xml:space="preserve"> </w:t>
      </w:r>
      <w:r w:rsidR="000427C5" w:rsidRPr="006970E2">
        <w:rPr>
          <w:rFonts w:ascii="GHEA Grapalat" w:hAnsi="GHEA Grapalat" w:cs="GHEA Grapalat"/>
          <w:color w:val="000000"/>
        </w:rPr>
        <w:t>պետական բյուջե մուտքագրված</w:t>
      </w:r>
      <w:r w:rsidR="00901957" w:rsidRPr="006970E2">
        <w:rPr>
          <w:rFonts w:ascii="GHEA Grapalat" w:hAnsi="GHEA Grapalat" w:cs="GHEA Grapalat"/>
          <w:color w:val="000000"/>
        </w:rPr>
        <w:t xml:space="preserve"> հարկային եկամուտների ու պետական տուրքերի </w:t>
      </w:r>
      <w:r w:rsidR="000C3D9F" w:rsidRPr="006970E2">
        <w:rPr>
          <w:rFonts w:ascii="GHEA Grapalat" w:hAnsi="GHEA Grapalat" w:cs="GHEA Grapalat"/>
          <w:color w:val="000000"/>
        </w:rPr>
        <w:t>5</w:t>
      </w:r>
      <w:r w:rsidR="00901957" w:rsidRPr="006970E2">
        <w:rPr>
          <w:rFonts w:ascii="GHEA Grapalat" w:hAnsi="GHEA Grapalat" w:cs="GHEA Grapalat"/>
          <w:color w:val="000000"/>
        </w:rPr>
        <w:t xml:space="preserve">%-ն ապահովվել է ակցիզային հարկի հաշվին: Նախորդ տարվա նույն ժամանակահատվածի համեմատ ակցիզային հարկի </w:t>
      </w:r>
      <w:r w:rsidR="000F6EC0" w:rsidRPr="006970E2">
        <w:rPr>
          <w:rFonts w:ascii="GHEA Grapalat" w:hAnsi="GHEA Grapalat" w:cs="GHEA Grapalat"/>
          <w:color w:val="000000"/>
          <w:lang w:val="hy-AM"/>
        </w:rPr>
        <w:t>նվազում</w:t>
      </w:r>
      <w:r w:rsidR="00F1622C" w:rsidRPr="006970E2">
        <w:rPr>
          <w:rFonts w:ascii="GHEA Grapalat" w:hAnsi="GHEA Grapalat" w:cs="GHEA Grapalat"/>
          <w:color w:val="000000"/>
        </w:rPr>
        <w:t xml:space="preserve">ը </w:t>
      </w:r>
      <w:r w:rsidR="00901957" w:rsidRPr="006970E2">
        <w:rPr>
          <w:rFonts w:ascii="GHEA Grapalat" w:hAnsi="GHEA Grapalat" w:cs="GHEA Grapalat"/>
          <w:color w:val="000000"/>
        </w:rPr>
        <w:lastRenderedPageBreak/>
        <w:t>պայմանավորված</w:t>
      </w:r>
      <w:r w:rsidR="00F1622C" w:rsidRPr="006970E2">
        <w:rPr>
          <w:rFonts w:ascii="GHEA Grapalat" w:hAnsi="GHEA Grapalat" w:cs="GHEA Grapalat"/>
          <w:color w:val="000000"/>
        </w:rPr>
        <w:t xml:space="preserve"> է</w:t>
      </w:r>
      <w:r w:rsidR="00C3262A" w:rsidRPr="006970E2">
        <w:rPr>
          <w:rFonts w:ascii="GHEA Grapalat" w:hAnsi="GHEA Grapalat" w:cs="GHEA Grapalat"/>
          <w:color w:val="000000"/>
        </w:rPr>
        <w:t xml:space="preserve"> </w:t>
      </w:r>
      <w:r w:rsidR="007D22EE" w:rsidRPr="006970E2">
        <w:rPr>
          <w:rFonts w:ascii="GHEA Grapalat" w:hAnsi="GHEA Grapalat" w:cs="GHEA Grapalat"/>
          <w:color w:val="000000"/>
        </w:rPr>
        <w:t>հանրապետությունում արտադրվող</w:t>
      </w:r>
      <w:r w:rsidR="00C3262A" w:rsidRPr="006970E2">
        <w:rPr>
          <w:rFonts w:ascii="GHEA Grapalat" w:hAnsi="GHEA Grapalat" w:cs="GHEA Grapalat"/>
          <w:color w:val="000000"/>
        </w:rPr>
        <w:t xml:space="preserve"> ենթաակցիզային ապրանքների</w:t>
      </w:r>
      <w:r w:rsidR="007E23E9" w:rsidRPr="006970E2">
        <w:rPr>
          <w:rFonts w:ascii="GHEA Grapalat" w:hAnsi="GHEA Grapalat" w:cs="GHEA Grapalat"/>
          <w:color w:val="000000"/>
        </w:rPr>
        <w:t>ց ստացված</w:t>
      </w:r>
      <w:r w:rsidR="00C3262A" w:rsidRPr="006970E2">
        <w:rPr>
          <w:rFonts w:ascii="GHEA Grapalat" w:hAnsi="GHEA Grapalat" w:cs="GHEA Grapalat"/>
          <w:color w:val="000000"/>
        </w:rPr>
        <w:t xml:space="preserve"> մուտքերի </w:t>
      </w:r>
      <w:r w:rsidR="000F6EC0" w:rsidRPr="006970E2">
        <w:rPr>
          <w:rFonts w:ascii="GHEA Grapalat" w:hAnsi="GHEA Grapalat" w:cs="GHEA Grapalat"/>
          <w:color w:val="000000"/>
          <w:lang w:val="hy-AM"/>
        </w:rPr>
        <w:t>նվազմամբ</w:t>
      </w:r>
      <w:r w:rsidR="00C3262A" w:rsidRPr="006970E2">
        <w:rPr>
          <w:rFonts w:ascii="GHEA Grapalat" w:hAnsi="GHEA Grapalat" w:cs="GHEA Grapalat"/>
          <w:color w:val="000000"/>
        </w:rPr>
        <w:t>:</w:t>
      </w:r>
    </w:p>
    <w:p w:rsidR="0030520B" w:rsidRPr="006970E2" w:rsidRDefault="0030520B" w:rsidP="00C3262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770426" w:rsidRPr="006970E2" w:rsidRDefault="00B727E5" w:rsidP="007E23E9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Ա</w:t>
      </w:r>
      <w:r w:rsidR="00770426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>կցիզային հարկի</w:t>
      </w: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գծով ՀՀ պետական բյուջեի</w:t>
      </w:r>
      <w:r w:rsidR="00770426" w:rsidRPr="006970E2">
        <w:rPr>
          <w:rFonts w:ascii="GHEA Grapalat" w:hAnsi="GHEA Grapalat"/>
          <w:b/>
          <w:bCs/>
          <w:iCs w:val="0"/>
          <w:color w:val="auto"/>
          <w:sz w:val="20"/>
          <w:szCs w:val="20"/>
        </w:rPr>
        <w:t xml:space="preserve"> մուտքերը (մլրդ դրամ)</w:t>
      </w:r>
    </w:p>
    <w:tbl>
      <w:tblPr>
        <w:tblW w:w="10210" w:type="dxa"/>
        <w:tblInd w:w="-5" w:type="dxa"/>
        <w:tblLook w:val="04A0" w:firstRow="1" w:lastRow="0" w:firstColumn="1" w:lastColumn="0" w:noHBand="0" w:noVBand="1"/>
      </w:tblPr>
      <w:tblGrid>
        <w:gridCol w:w="4082"/>
        <w:gridCol w:w="1418"/>
        <w:gridCol w:w="1417"/>
        <w:gridCol w:w="1937"/>
        <w:gridCol w:w="1356"/>
      </w:tblGrid>
      <w:tr w:rsidR="006C28F9" w:rsidRPr="006970E2" w:rsidTr="00D51B30">
        <w:trPr>
          <w:trHeight w:val="85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F9" w:rsidRPr="006970E2" w:rsidRDefault="006C28F9" w:rsidP="006C28F9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եռամսյակը 2024թ. առաջին եռամսյակի նկատմամբ</w:t>
            </w:r>
          </w:p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3A02E6" w:rsidRPr="006970E2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30.1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28.5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94.6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(1.6)</w:t>
            </w:r>
          </w:p>
        </w:tc>
      </w:tr>
      <w:tr w:rsidR="003A02E6" w:rsidRPr="006970E2" w:rsidTr="00FF0CF8">
        <w:trPr>
          <w:trHeight w:val="29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Ներմուծվող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8.8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11.6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131.6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2.8</w:t>
            </w:r>
          </w:p>
        </w:tc>
      </w:tr>
      <w:tr w:rsidR="003A02E6" w:rsidRPr="006970E2" w:rsidTr="00FF0CF8">
        <w:trPr>
          <w:trHeight w:val="3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ՀՀ-ում արտադրվող ենթաակցիզային ապրանքներից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21.3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16.9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79.4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(4.4)</w:t>
            </w:r>
          </w:p>
        </w:tc>
      </w:tr>
    </w:tbl>
    <w:p w:rsidR="00770426" w:rsidRPr="006970E2" w:rsidRDefault="00770426" w:rsidP="00C915E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ru-RU"/>
        </w:rPr>
      </w:pPr>
    </w:p>
    <w:p w:rsidR="00BC69AC" w:rsidRPr="006970E2" w:rsidRDefault="00BC69A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  <w:lang w:val="hy-AM"/>
        </w:rPr>
        <w:t>202</w:t>
      </w:r>
      <w:r w:rsidR="00A4071F" w:rsidRPr="006970E2">
        <w:rPr>
          <w:rFonts w:ascii="GHEA Grapalat" w:hAnsi="GHEA Grapalat" w:cs="GHEA Grapalat"/>
          <w:color w:val="000000"/>
          <w:lang w:val="hy-AM"/>
        </w:rPr>
        <w:t>5</w:t>
      </w:r>
      <w:r w:rsidR="00E548F1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="006F0770" w:rsidRPr="006970E2">
        <w:rPr>
          <w:rFonts w:ascii="GHEA Grapalat" w:hAnsi="GHEA Grapalat" w:cs="GHEA Grapalat"/>
          <w:color w:val="000000"/>
          <w:lang w:val="hy-AM"/>
        </w:rPr>
        <w:t>առաջին եռամսյակում</w:t>
      </w:r>
      <w:r w:rsidR="002412FA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>պետական բյուջե մուտքագրված առանձին հարկատեսակների վերաբերյալ տեղեկատվությունը ներկայացված է Աղյուսակ 5</w:t>
      </w:r>
      <w:r w:rsidRPr="006970E2">
        <w:rPr>
          <w:rFonts w:ascii="GHEA Grapalat" w:hAnsi="GHEA Grapalat" w:cs="GHEA Grapalat"/>
          <w:color w:val="000000"/>
          <w:lang w:val="hy-AM"/>
        </w:rPr>
        <w:noBreakHyphen/>
        <w:t>ում:</w:t>
      </w:r>
    </w:p>
    <w:p w:rsidR="00C15DAF" w:rsidRPr="006970E2" w:rsidRDefault="00C15DAF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CD01EC" w:rsidRPr="006970E2" w:rsidRDefault="00CD01EC" w:rsidP="00113EF2">
      <w:pPr>
        <w:pStyle w:val="Caption"/>
        <w:keepNext/>
        <w:numPr>
          <w:ilvl w:val="0"/>
          <w:numId w:val="3"/>
        </w:numPr>
        <w:tabs>
          <w:tab w:val="left" w:pos="1134"/>
          <w:tab w:val="left" w:pos="1276"/>
        </w:tabs>
        <w:spacing w:after="120"/>
        <w:ind w:left="0" w:firstLine="0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հարկային եկամուտների և պետական տուրքերի փաստացի ցուցանիշները (մլրդ դրամ)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219"/>
        <w:gridCol w:w="1418"/>
        <w:gridCol w:w="1313"/>
        <w:gridCol w:w="1903"/>
        <w:gridCol w:w="1348"/>
      </w:tblGrid>
      <w:tr w:rsidR="006C28F9" w:rsidRPr="006970E2" w:rsidTr="003A02E6">
        <w:trPr>
          <w:trHeight w:val="118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F9" w:rsidRPr="006970E2" w:rsidRDefault="006C28F9" w:rsidP="006C28F9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թ. առաջին եռամսյակի փաստ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եռամսյակը 2024թ. առաջին եռամսյակի նկատմամբ</w:t>
            </w:r>
          </w:p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2025թ. և 2024թ. տարբերու-թյունը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Հարկային եկամուտներ և 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պետական 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500.6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566.5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113.2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65.9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485.7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549.3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113.1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63.6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164.3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208.8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127.1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44.5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30.1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28.5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94.6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(1.6)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50.8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61.8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121.8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11.1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17.9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18.1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101.2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150.6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169.2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112.4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18.6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15.1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18.3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121.4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6970E2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6970E2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 գծով)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25.7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28.6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111.1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2.9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(1.7)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(13.0)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(14.5)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18.4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17.6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95.7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(0.8)</w:t>
            </w: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14.9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17.2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115.3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2.3</w:t>
            </w:r>
          </w:p>
        </w:tc>
      </w:tr>
      <w:tr w:rsidR="00CD01EC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EC" w:rsidRPr="006970E2" w:rsidRDefault="00CD01EC" w:rsidP="007D22EE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ընդամենը հարկերի և տուրքերի մեջ</w:t>
            </w:r>
            <w:r w:rsidR="00C45525"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1EC" w:rsidRPr="006970E2" w:rsidRDefault="00CD01EC" w:rsidP="007D22EE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6970E2" w:rsidRDefault="00CD01EC" w:rsidP="007D22E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1EC" w:rsidRPr="006970E2" w:rsidRDefault="00CD01EC" w:rsidP="007D22EE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1EC" w:rsidRPr="006970E2" w:rsidRDefault="00CD01EC" w:rsidP="007D22EE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1. Հարկային եկամուտներ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97.0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97.0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lastRenderedPageBreak/>
              <w:t>ԱԱՀ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32.8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36.9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Ակցիզային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6.0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Շահութահարկ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Մաքսատուրք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Եկամտային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30.1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29.9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Շրջանառության հարկ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Սոցիալակա</w:t>
            </w:r>
            <w:r w:rsidRPr="006970E2">
              <w:rPr>
                <w:rFonts w:ascii="GHEA Grapalat" w:hAnsi="GHEA Grapalat" w:cs="Calibri"/>
                <w:sz w:val="20"/>
                <w:szCs w:val="20"/>
                <w:lang w:val="hy-AM"/>
              </w:rPr>
              <w:t>ն</w:t>
            </w:r>
            <w:r w:rsidRPr="006970E2">
              <w:rPr>
                <w:rFonts w:ascii="GHEA Grapalat" w:hAnsi="GHEA Grapalat" w:cs="Calibri"/>
                <w:sz w:val="20"/>
                <w:szCs w:val="20"/>
              </w:rPr>
              <w:t xml:space="preserve"> վճար (կուտակային կենսաթոշակից)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5.1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Բնապահպանական հարկ և բնօգտագործման վճար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2.6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(0.3)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ind w:firstLineChars="100" w:firstLine="200"/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այլ հարկեր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3.1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6970E2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3A02E6" w:rsidRPr="006970E2" w:rsidTr="003A02E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2E6" w:rsidRPr="006970E2" w:rsidRDefault="003A02E6" w:rsidP="003A02E6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2. Պետական տուրք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2E6" w:rsidRPr="006970E2" w:rsidRDefault="003A02E6" w:rsidP="003A02E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2E6" w:rsidRPr="006970E2" w:rsidRDefault="003A02E6" w:rsidP="003A02E6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</w:p>
        </w:tc>
      </w:tr>
    </w:tbl>
    <w:p w:rsidR="00CD01EC" w:rsidRPr="006970E2" w:rsidRDefault="00CD01EC" w:rsidP="00BC69A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440C38" w:rsidRPr="006970E2" w:rsidRDefault="00EE1F7B" w:rsidP="00D30793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6970E2">
        <w:rPr>
          <w:rFonts w:ascii="GHEA Grapalat" w:hAnsi="GHEA Grapalat" w:cs="GHEA Grapalat"/>
          <w:color w:val="000000"/>
        </w:rPr>
        <w:t>2</w:t>
      </w:r>
      <w:r w:rsidR="002412FA" w:rsidRPr="006970E2">
        <w:rPr>
          <w:rFonts w:ascii="GHEA Grapalat" w:hAnsi="GHEA Grapalat" w:cs="GHEA Grapalat"/>
          <w:color w:val="000000"/>
        </w:rPr>
        <w:t>02</w:t>
      </w:r>
      <w:r w:rsidR="00A4071F" w:rsidRPr="006970E2">
        <w:rPr>
          <w:rFonts w:ascii="GHEA Grapalat" w:hAnsi="GHEA Grapalat" w:cs="GHEA Grapalat"/>
          <w:color w:val="000000"/>
        </w:rPr>
        <w:t>5</w:t>
      </w:r>
      <w:r w:rsidRPr="006970E2">
        <w:rPr>
          <w:rFonts w:ascii="GHEA Grapalat" w:hAnsi="GHEA Grapalat" w:cs="GHEA Grapalat"/>
          <w:color w:val="000000"/>
        </w:rPr>
        <w:t xml:space="preserve"> թվականի </w:t>
      </w:r>
      <w:r w:rsidR="006F0770" w:rsidRPr="006970E2">
        <w:rPr>
          <w:rFonts w:ascii="GHEA Grapalat" w:hAnsi="GHEA Grapalat" w:cs="GHEA Grapalat"/>
          <w:color w:val="000000"/>
        </w:rPr>
        <w:t>առաջին եռամսյակում</w:t>
      </w:r>
      <w:r w:rsidR="001B2207" w:rsidRPr="006970E2">
        <w:rPr>
          <w:rFonts w:ascii="GHEA Grapalat" w:hAnsi="GHEA Grapalat" w:cs="GHEA Grapalat"/>
          <w:color w:val="000000"/>
        </w:rPr>
        <w:t xml:space="preserve"> </w:t>
      </w:r>
      <w:r w:rsidR="00901957" w:rsidRPr="006970E2">
        <w:rPr>
          <w:rFonts w:ascii="GHEA Grapalat" w:hAnsi="GHEA Grapalat" w:cs="GHEA Grapalat"/>
          <w:color w:val="000000"/>
        </w:rPr>
        <w:t xml:space="preserve">բնապահպանական հարկի և </w:t>
      </w:r>
      <w:r w:rsidR="00D05892" w:rsidRPr="006970E2">
        <w:rPr>
          <w:rFonts w:ascii="GHEA Grapalat" w:hAnsi="GHEA Grapalat" w:cs="GHEA Grapalat"/>
          <w:color w:val="000000"/>
        </w:rPr>
        <w:t>բնօգտագործման վճարների գծով</w:t>
      </w:r>
      <w:r w:rsidR="00D30793" w:rsidRPr="006970E2">
        <w:rPr>
          <w:rFonts w:ascii="GHEA Grapalat" w:hAnsi="GHEA Grapalat" w:cs="GHEA Grapalat"/>
          <w:color w:val="000000"/>
        </w:rPr>
        <w:t xml:space="preserve"> պետական բյուջեի զուտ մուտքերը կազմել են </w:t>
      </w:r>
      <w:r w:rsidR="00D30793" w:rsidRPr="006970E2">
        <w:rPr>
          <w:rFonts w:ascii="GHEA Grapalat" w:hAnsi="GHEA Grapalat" w:cs="GHEA Grapalat"/>
          <w:color w:val="000000"/>
        </w:rPr>
        <w:noBreakHyphen/>
        <w:t>1.7</w:t>
      </w:r>
      <w:r w:rsidR="00932FFE">
        <w:rPr>
          <w:rFonts w:ascii="GHEA Grapalat" w:hAnsi="GHEA Grapalat" w:cs="GHEA Grapalat"/>
          <w:color w:val="000000"/>
        </w:rPr>
        <w:t xml:space="preserve"> </w:t>
      </w:r>
      <w:r w:rsidR="00D30793" w:rsidRPr="006970E2">
        <w:rPr>
          <w:rFonts w:ascii="GHEA Grapalat" w:hAnsi="GHEA Grapalat" w:cs="GHEA Grapalat"/>
          <w:color w:val="000000"/>
        </w:rPr>
        <w:t>մլրդ դրամ:</w:t>
      </w:r>
      <w:r w:rsidR="00F225B2">
        <w:rPr>
          <w:rFonts w:ascii="GHEA Grapalat" w:hAnsi="GHEA Grapalat" w:cs="GHEA Grapalat"/>
          <w:color w:val="000000"/>
        </w:rPr>
        <w:t xml:space="preserve"> Բացասական ցուցանիշը պայմանավորված է ա</w:t>
      </w:r>
      <w:r w:rsidR="00D30793" w:rsidRPr="006970E2">
        <w:rPr>
          <w:rFonts w:ascii="GHEA Grapalat" w:hAnsi="GHEA Grapalat" w:cs="GHEA Grapalat"/>
          <w:color w:val="000000"/>
        </w:rPr>
        <w:t>դյունահանված մետաղական օգտակար հանածոների և դրանց վերամշակման արդյունքում ստացված արտադրանքի իրացման համար վճարվող ռոյալթիի գծով նախորդ տարի ստացված գերավճարների վերադարձ</w:t>
      </w:r>
      <w:r w:rsidR="00F225B2">
        <w:rPr>
          <w:rFonts w:ascii="GHEA Grapalat" w:hAnsi="GHEA Grapalat" w:cs="GHEA Grapalat"/>
          <w:color w:val="000000"/>
        </w:rPr>
        <w:t>ով, որի</w:t>
      </w:r>
      <w:r w:rsidR="00D30793" w:rsidRPr="006970E2">
        <w:rPr>
          <w:rFonts w:ascii="GHEA Grapalat" w:hAnsi="GHEA Grapalat" w:cs="GHEA Grapalat"/>
          <w:color w:val="000000"/>
        </w:rPr>
        <w:t xml:space="preserve"> արդյունքում արձանագրվել </w:t>
      </w:r>
      <w:r w:rsidR="00F225B2">
        <w:rPr>
          <w:rFonts w:ascii="GHEA Grapalat" w:hAnsi="GHEA Grapalat" w:cs="GHEA Grapalat"/>
          <w:color w:val="000000"/>
        </w:rPr>
        <w:t>է</w:t>
      </w:r>
      <w:r w:rsidR="00D30793" w:rsidRPr="006970E2">
        <w:rPr>
          <w:rFonts w:ascii="GHEA Grapalat" w:hAnsi="GHEA Grapalat" w:cs="GHEA Grapalat"/>
          <w:color w:val="000000"/>
        </w:rPr>
        <w:t xml:space="preserve"> ռոյալթիի </w:t>
      </w:r>
      <w:r w:rsidR="00D30793" w:rsidRPr="006970E2">
        <w:rPr>
          <w:rFonts w:ascii="GHEA Grapalat" w:hAnsi="GHEA Grapalat" w:cs="GHEA Grapalat"/>
          <w:color w:val="000000"/>
        </w:rPr>
        <w:noBreakHyphen/>
        <w:t>8.8 մլրդ դրամ զուտ մուտք</w:t>
      </w:r>
      <w:r w:rsidR="00F225B2">
        <w:rPr>
          <w:rFonts w:ascii="GHEA Grapalat" w:hAnsi="GHEA Grapalat" w:cs="GHEA Grapalat"/>
          <w:color w:val="000000"/>
        </w:rPr>
        <w:t>ի ցուցանիշ</w:t>
      </w:r>
      <w:r w:rsidR="00D30793" w:rsidRPr="006970E2">
        <w:rPr>
          <w:rFonts w:ascii="GHEA Grapalat" w:hAnsi="GHEA Grapalat" w:cs="GHEA Grapalat"/>
          <w:color w:val="000000"/>
        </w:rPr>
        <w:t>: Առանց ռոյալթիի՝ բնապահպանական հարկի ու բնօգտագործման վճարն</w:t>
      </w:r>
      <w:r w:rsidR="00F225B2">
        <w:rPr>
          <w:rFonts w:ascii="GHEA Grapalat" w:hAnsi="GHEA Grapalat" w:cs="GHEA Grapalat"/>
          <w:color w:val="000000"/>
        </w:rPr>
        <w:t>երի գծով մուտքերը կազմել են 7.2</w:t>
      </w:r>
      <w:r w:rsidR="00F225B2">
        <w:rPr>
          <w:rFonts w:ascii="Calibri" w:hAnsi="Calibri" w:cs="Calibri"/>
          <w:color w:val="000000"/>
        </w:rPr>
        <w:t> </w:t>
      </w:r>
      <w:r w:rsidR="00D30793" w:rsidRPr="006970E2">
        <w:rPr>
          <w:rFonts w:ascii="GHEA Grapalat" w:hAnsi="GHEA Grapalat" w:cs="GHEA Grapalat"/>
          <w:color w:val="000000"/>
        </w:rPr>
        <w:t>մլրդ դրամ և 84.3%</w:t>
      </w:r>
      <w:r w:rsidR="00D30793" w:rsidRPr="006970E2">
        <w:rPr>
          <w:rFonts w:ascii="GHEA Grapalat" w:hAnsi="GHEA Grapalat" w:cs="GHEA Grapalat"/>
          <w:color w:val="000000"/>
        </w:rPr>
        <w:noBreakHyphen/>
        <w:t>ով կամ շուրջ 3.3</w:t>
      </w:r>
      <w:r w:rsidR="00D30793" w:rsidRPr="006970E2">
        <w:rPr>
          <w:rFonts w:ascii="Calibri" w:hAnsi="Calibri" w:cs="Calibri"/>
          <w:color w:val="000000"/>
        </w:rPr>
        <w:t> </w:t>
      </w:r>
      <w:r w:rsidR="00D30793" w:rsidRPr="006970E2">
        <w:rPr>
          <w:rFonts w:ascii="GHEA Grapalat" w:hAnsi="GHEA Grapalat" w:cs="GHEA Grapalat"/>
          <w:color w:val="000000"/>
        </w:rPr>
        <w:t xml:space="preserve">մլրդ դրամով գերազանցել նախորդ տարվա նույն </w:t>
      </w:r>
      <w:r w:rsidR="00D30793" w:rsidRPr="006970E2">
        <w:rPr>
          <w:rFonts w:ascii="GHEA Grapalat" w:hAnsi="GHEA Grapalat" w:cs="GHEA Grapalat"/>
          <w:color w:val="000000"/>
          <w:lang w:val="hy-AM"/>
        </w:rPr>
        <w:t xml:space="preserve">ժամանակահատվածի փաստացի </w:t>
      </w:r>
      <w:r w:rsidR="00D30793" w:rsidRPr="006970E2">
        <w:rPr>
          <w:rFonts w:ascii="GHEA Grapalat" w:hAnsi="GHEA Grapalat" w:cs="GHEA Grapalat"/>
          <w:color w:val="000000"/>
        </w:rPr>
        <w:t xml:space="preserve">ցուցանիշը, որը հիմնականում պայմանավորված է </w:t>
      </w:r>
      <w:r w:rsidR="00440C38" w:rsidRPr="006970E2">
        <w:rPr>
          <w:rFonts w:ascii="GHEA Grapalat" w:hAnsi="GHEA Grapalat" w:cs="GHEA Grapalat"/>
          <w:color w:val="000000"/>
        </w:rPr>
        <w:t>ՀՀ ներմուծվող շրջակա միջավայրին վնաս պատճառող ապրանքների համար գանձված բնապահպանական հարկի գծով ստացված մուտքեր</w:t>
      </w:r>
      <w:r w:rsidR="00D30793" w:rsidRPr="006970E2">
        <w:rPr>
          <w:rFonts w:ascii="GHEA Grapalat" w:hAnsi="GHEA Grapalat" w:cs="GHEA Grapalat"/>
          <w:color w:val="000000"/>
        </w:rPr>
        <w:t xml:space="preserve">ի 3 </w:t>
      </w:r>
      <w:r w:rsidR="00440C38" w:rsidRPr="006970E2">
        <w:rPr>
          <w:rFonts w:ascii="GHEA Grapalat" w:hAnsi="GHEA Grapalat" w:cs="GHEA Grapalat"/>
          <w:color w:val="000000"/>
        </w:rPr>
        <w:t>անգամ (</w:t>
      </w:r>
      <w:r w:rsidR="00D30793" w:rsidRPr="006970E2">
        <w:rPr>
          <w:rFonts w:ascii="GHEA Grapalat" w:hAnsi="GHEA Grapalat" w:cs="GHEA Grapalat"/>
          <w:color w:val="000000"/>
        </w:rPr>
        <w:t xml:space="preserve">ավելի քան </w:t>
      </w:r>
      <w:r w:rsidR="00440C38" w:rsidRPr="006970E2">
        <w:rPr>
          <w:rFonts w:ascii="GHEA Grapalat" w:hAnsi="GHEA Grapalat" w:cs="GHEA Grapalat"/>
          <w:color w:val="000000"/>
        </w:rPr>
        <w:t>2</w:t>
      </w:r>
      <w:r w:rsidR="00D30793" w:rsidRPr="006970E2">
        <w:rPr>
          <w:rFonts w:ascii="GHEA Grapalat" w:hAnsi="GHEA Grapalat" w:cs="GHEA Grapalat"/>
          <w:color w:val="000000"/>
        </w:rPr>
        <w:t>.8</w:t>
      </w:r>
      <w:r w:rsidR="00440C38" w:rsidRPr="006970E2">
        <w:rPr>
          <w:rFonts w:ascii="GHEA Grapalat" w:hAnsi="GHEA Grapalat" w:cs="GHEA Grapalat"/>
          <w:color w:val="000000"/>
        </w:rPr>
        <w:t xml:space="preserve"> մլրդ</w:t>
      </w:r>
      <w:r w:rsidR="00440C38" w:rsidRPr="006970E2">
        <w:rPr>
          <w:rFonts w:ascii="Calibri" w:hAnsi="Calibri" w:cs="Calibri"/>
          <w:color w:val="000000"/>
        </w:rPr>
        <w:t> </w:t>
      </w:r>
      <w:r w:rsidR="00440C38" w:rsidRPr="006970E2">
        <w:rPr>
          <w:rFonts w:ascii="GHEA Grapalat" w:hAnsi="GHEA Grapalat" w:cs="GHEA Grapalat"/>
          <w:color w:val="000000"/>
        </w:rPr>
        <w:t>դրամ</w:t>
      </w:r>
      <w:r w:rsidR="00311BD8" w:rsidRPr="006970E2">
        <w:rPr>
          <w:rFonts w:ascii="GHEA Grapalat" w:hAnsi="GHEA Grapalat" w:cs="GHEA Grapalat"/>
          <w:color w:val="000000"/>
        </w:rPr>
        <w:t>)</w:t>
      </w:r>
      <w:r w:rsidR="00D30793" w:rsidRPr="006970E2">
        <w:rPr>
          <w:rFonts w:ascii="GHEA Grapalat" w:hAnsi="GHEA Grapalat" w:cs="GHEA Grapalat"/>
          <w:color w:val="000000"/>
        </w:rPr>
        <w:t xml:space="preserve"> աճով:</w:t>
      </w:r>
    </w:p>
    <w:p w:rsidR="00901957" w:rsidRPr="006970E2" w:rsidRDefault="00901957" w:rsidP="00901957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</w:rPr>
        <w:t>Հաշվետու ժամանակահատվածում պետական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 բյուջեի հարկերի և տուրքերի </w:t>
      </w:r>
      <w:r w:rsidR="000566E6" w:rsidRPr="006970E2">
        <w:rPr>
          <w:rFonts w:ascii="GHEA Grapalat" w:hAnsi="GHEA Grapalat" w:cs="GHEA Grapalat"/>
          <w:color w:val="000000"/>
          <w:lang w:val="hy-AM"/>
        </w:rPr>
        <w:t>3</w:t>
      </w:r>
      <w:r w:rsidR="00F225B2">
        <w:rPr>
          <w:rFonts w:ascii="GHEA Grapalat" w:hAnsi="GHEA Grapalat" w:cs="GHEA Grapalat"/>
          <w:color w:val="000000"/>
        </w:rPr>
        <w:t>.1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%-ը ձևավորվել է այլ հարկերի հաշվին՝ կազմելով </w:t>
      </w:r>
      <w:r w:rsidR="000566E6" w:rsidRPr="006970E2">
        <w:rPr>
          <w:rFonts w:ascii="GHEA Grapalat" w:hAnsi="GHEA Grapalat" w:cs="GHEA Grapalat"/>
          <w:color w:val="000000"/>
          <w:lang w:val="hy-AM"/>
        </w:rPr>
        <w:t>1</w:t>
      </w:r>
      <w:r w:rsidR="00421341" w:rsidRPr="006970E2">
        <w:rPr>
          <w:rFonts w:ascii="GHEA Grapalat" w:hAnsi="GHEA Grapalat" w:cs="GHEA Grapalat"/>
          <w:color w:val="000000"/>
          <w:lang w:val="hy-AM"/>
        </w:rPr>
        <w:t>7.6</w:t>
      </w:r>
      <w:r w:rsidR="004B5D29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մլրդ դրամ: Մասնավորապես` </w:t>
      </w:r>
      <w:r w:rsidR="00421341" w:rsidRPr="006970E2">
        <w:rPr>
          <w:rFonts w:ascii="GHEA Grapalat" w:hAnsi="GHEA Grapalat" w:cs="GHEA Grapalat"/>
          <w:color w:val="000000"/>
          <w:lang w:val="hy-AM"/>
        </w:rPr>
        <w:t>12.2</w:t>
      </w:r>
      <w:r w:rsidR="006C4AE0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մլրդ դրամ են կազմել «Հայաստանի Հանրապետության պաշտպանության ժամանակ զինծառայողների կյանքին կամ առողջությանը պատճառված վնասների հատուցման մասին» ՀՀ օրենքով սահմանված դրոշմանիշային վճարները, </w:t>
      </w:r>
      <w:r w:rsidR="00421341" w:rsidRPr="006970E2">
        <w:rPr>
          <w:rFonts w:ascii="GHEA Grapalat" w:hAnsi="GHEA Grapalat" w:cs="GHEA Grapalat"/>
          <w:color w:val="000000"/>
          <w:lang w:val="hy-AM"/>
        </w:rPr>
        <w:t>շուրջ 2.1</w:t>
      </w:r>
      <w:r w:rsidR="00BA31D5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6970E2">
        <w:rPr>
          <w:rFonts w:ascii="GHEA Grapalat" w:hAnsi="GHEA Grapalat" w:cs="GHEA Grapalat"/>
          <w:color w:val="000000"/>
          <w:lang w:val="hy-AM"/>
        </w:rPr>
        <w:t>մլրդ</w:t>
      </w:r>
      <w:r w:rsidR="00BA31D5" w:rsidRPr="006970E2">
        <w:rPr>
          <w:rFonts w:ascii="GHEA Grapalat" w:hAnsi="GHEA Grapalat" w:cs="GHEA Grapalat"/>
          <w:color w:val="000000"/>
          <w:lang w:val="hy-AM"/>
        </w:rPr>
        <w:t xml:space="preserve"> դրամ՝ ԵԱՏՄ անդամ չհանդիսացող պետություններից միջազգային փոստային կամ սուրհանդակային առաքումներով կամ որպես ուղեկցող բեռ ներմուծվող ապրանքների համար ՀՀ մաքսային մարմինների կողմից գանձվող միասնական մաքսային վճարը, </w:t>
      </w:r>
      <w:r w:rsidR="00421341" w:rsidRPr="006970E2">
        <w:rPr>
          <w:rFonts w:ascii="GHEA Grapalat" w:hAnsi="GHEA Grapalat" w:cs="GHEA Grapalat"/>
          <w:color w:val="000000"/>
          <w:lang w:val="hy-AM"/>
        </w:rPr>
        <w:t xml:space="preserve">1.2 մլրդ </w:t>
      </w:r>
      <w:r w:rsidR="00666517" w:rsidRPr="006970E2">
        <w:rPr>
          <w:rFonts w:ascii="GHEA Grapalat" w:hAnsi="GHEA Grapalat" w:cs="GHEA Grapalat"/>
          <w:color w:val="000000"/>
          <w:lang w:val="hy-AM"/>
        </w:rPr>
        <w:t>դրամ՝ ճանապարհային հարկը</w:t>
      </w:r>
      <w:r w:rsidR="00421341" w:rsidRPr="006970E2">
        <w:rPr>
          <w:rFonts w:ascii="GHEA Grapalat" w:hAnsi="GHEA Grapalat" w:cs="GHEA Grapalat"/>
          <w:color w:val="000000"/>
          <w:lang w:val="hy-AM"/>
        </w:rPr>
        <w:t xml:space="preserve">, շուրջ 1.2 մլրդ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դրամ՝ ռադիոհաճախականության օգտագործման </w:t>
      </w:r>
      <w:r w:rsidRPr="006970E2">
        <w:rPr>
          <w:rFonts w:ascii="GHEA Grapalat" w:hAnsi="GHEA Grapalat" w:cs="GHEA Grapalat"/>
          <w:color w:val="000000"/>
          <w:lang w:val="hy-AM"/>
        </w:rPr>
        <w:lastRenderedPageBreak/>
        <w:t>պարտադիր վճարները</w:t>
      </w:r>
      <w:r w:rsidR="001D1118" w:rsidRPr="006970E2">
        <w:rPr>
          <w:rFonts w:ascii="GHEA Grapalat" w:hAnsi="GHEA Grapalat" w:cs="GHEA Grapalat"/>
          <w:lang w:val="hy-AM"/>
        </w:rPr>
        <w:t>:</w:t>
      </w:r>
      <w:r w:rsidR="00B65BC3" w:rsidRPr="006970E2">
        <w:rPr>
          <w:rFonts w:ascii="GHEA Grapalat" w:hAnsi="GHEA Grapalat" w:cs="GHEA Grapalat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6F0770" w:rsidRPr="006970E2">
        <w:rPr>
          <w:rFonts w:ascii="GHEA Grapalat" w:hAnsi="GHEA Grapalat" w:cs="GHEA Grapalat"/>
          <w:color w:val="000000"/>
          <w:lang w:val="hy-AM"/>
        </w:rPr>
        <w:t>առաջին եռամսյակ</w:t>
      </w:r>
      <w:r w:rsidR="00BE2DE0" w:rsidRPr="006970E2">
        <w:rPr>
          <w:rFonts w:ascii="GHEA Grapalat" w:hAnsi="GHEA Grapalat" w:cs="GHEA Grapalat"/>
          <w:color w:val="000000"/>
          <w:lang w:val="hy-AM"/>
        </w:rPr>
        <w:t xml:space="preserve">ի </w:t>
      </w:r>
      <w:r w:rsidRPr="006970E2">
        <w:rPr>
          <w:rFonts w:ascii="GHEA Grapalat" w:hAnsi="GHEA Grapalat" w:cs="GHEA Grapalat"/>
          <w:lang w:val="hy-AM"/>
        </w:rPr>
        <w:t xml:space="preserve">համեմատ այլ հարկերի </w:t>
      </w:r>
      <w:r w:rsidRPr="006970E2">
        <w:rPr>
          <w:rFonts w:ascii="GHEA Grapalat" w:hAnsi="GHEA Grapalat" w:cs="GHEA Grapalat"/>
          <w:color w:val="000000"/>
          <w:lang w:val="hy-AM"/>
        </w:rPr>
        <w:t>փաստացի ցուցանիշ</w:t>
      </w:r>
      <w:r w:rsidR="006C4AE0" w:rsidRPr="006970E2">
        <w:rPr>
          <w:rFonts w:ascii="GHEA Grapalat" w:hAnsi="GHEA Grapalat" w:cs="GHEA Grapalat"/>
          <w:color w:val="000000"/>
          <w:lang w:val="hy-AM"/>
        </w:rPr>
        <w:t xml:space="preserve">ը </w:t>
      </w:r>
      <w:r w:rsidRPr="006970E2">
        <w:rPr>
          <w:rFonts w:ascii="GHEA Grapalat" w:hAnsi="GHEA Grapalat" w:cs="GHEA Grapalat"/>
          <w:color w:val="000000"/>
          <w:lang w:val="hy-AM"/>
        </w:rPr>
        <w:t>ն</w:t>
      </w:r>
      <w:r w:rsidR="006C4AE0" w:rsidRPr="006970E2">
        <w:rPr>
          <w:rFonts w:ascii="GHEA Grapalat" w:hAnsi="GHEA Grapalat" w:cs="GHEA Grapalat"/>
          <w:color w:val="000000"/>
          <w:lang w:val="hy-AM"/>
        </w:rPr>
        <w:t>վ</w:t>
      </w:r>
      <w:r w:rsidRPr="006970E2">
        <w:rPr>
          <w:rFonts w:ascii="GHEA Grapalat" w:hAnsi="GHEA Grapalat" w:cs="GHEA Grapalat"/>
          <w:color w:val="000000"/>
          <w:lang w:val="hy-AM"/>
        </w:rPr>
        <w:t>ա</w:t>
      </w:r>
      <w:r w:rsidR="006C4AE0" w:rsidRPr="006970E2">
        <w:rPr>
          <w:rFonts w:ascii="GHEA Grapalat" w:hAnsi="GHEA Grapalat" w:cs="GHEA Grapalat"/>
          <w:color w:val="000000"/>
          <w:lang w:val="hy-AM"/>
        </w:rPr>
        <w:t>զ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ել է </w:t>
      </w:r>
      <w:r w:rsidR="00B65BC3" w:rsidRPr="006970E2">
        <w:rPr>
          <w:rFonts w:ascii="GHEA Grapalat" w:hAnsi="GHEA Grapalat" w:cs="GHEA Grapalat"/>
          <w:color w:val="000000"/>
          <w:lang w:val="hy-AM"/>
        </w:rPr>
        <w:t>4.</w:t>
      </w:r>
      <w:r w:rsidR="00AF07FC">
        <w:rPr>
          <w:rFonts w:ascii="GHEA Grapalat" w:hAnsi="GHEA Grapalat" w:cs="GHEA Grapalat"/>
          <w:color w:val="000000"/>
        </w:rPr>
        <w:t>3</w:t>
      </w:r>
      <w:r w:rsidRPr="006970E2">
        <w:rPr>
          <w:rFonts w:ascii="GHEA Grapalat" w:hAnsi="GHEA Grapalat" w:cs="GHEA Grapalat"/>
          <w:color w:val="000000"/>
          <w:lang w:val="hy-AM"/>
        </w:rPr>
        <w:t>%-ով</w:t>
      </w:r>
      <w:r w:rsidR="006C4AE0" w:rsidRPr="006970E2">
        <w:rPr>
          <w:rFonts w:ascii="GHEA Grapalat" w:hAnsi="GHEA Grapalat" w:cs="GHEA Grapalat"/>
          <w:color w:val="000000"/>
          <w:lang w:val="hy-AM"/>
        </w:rPr>
        <w:t xml:space="preserve"> կամ </w:t>
      </w:r>
      <w:r w:rsidR="00E13306">
        <w:rPr>
          <w:rFonts w:ascii="GHEA Grapalat" w:hAnsi="GHEA Grapalat" w:cs="GHEA Grapalat"/>
          <w:color w:val="000000"/>
        </w:rPr>
        <w:t>80</w:t>
      </w:r>
      <w:r w:rsidR="00AF07FC">
        <w:rPr>
          <w:rFonts w:ascii="GHEA Grapalat" w:hAnsi="GHEA Grapalat" w:cs="GHEA Grapalat"/>
          <w:color w:val="000000"/>
        </w:rPr>
        <w:t>0.8</w:t>
      </w:r>
      <w:r w:rsidR="006C4AE0" w:rsidRPr="006970E2">
        <w:rPr>
          <w:rFonts w:ascii="GHEA Grapalat" w:hAnsi="GHEA Grapalat" w:cs="GHEA Grapalat"/>
          <w:color w:val="000000"/>
          <w:lang w:val="hy-AM"/>
        </w:rPr>
        <w:t xml:space="preserve"> մլ</w:t>
      </w:r>
      <w:r w:rsidR="00B65BC3" w:rsidRPr="006970E2">
        <w:rPr>
          <w:rFonts w:ascii="GHEA Grapalat" w:hAnsi="GHEA Grapalat" w:cs="GHEA Grapalat"/>
          <w:color w:val="000000"/>
          <w:lang w:val="hy-AM"/>
        </w:rPr>
        <w:t>ն</w:t>
      </w:r>
      <w:r w:rsidR="006C4AE0" w:rsidRPr="006970E2">
        <w:rPr>
          <w:rFonts w:ascii="GHEA Grapalat" w:hAnsi="GHEA Grapalat" w:cs="GHEA Grapalat"/>
          <w:color w:val="000000"/>
          <w:lang w:val="hy-AM"/>
        </w:rPr>
        <w:t xml:space="preserve"> դրամով, ինչը հիմնականում ձևավորվել է միասնական մաքսային վճարի և ռադիոհաճախականության օգտագործման պարտադիր վճարների նվ</w:t>
      </w:r>
      <w:r w:rsidR="00B65BC3" w:rsidRPr="006970E2">
        <w:rPr>
          <w:rFonts w:ascii="GHEA Grapalat" w:hAnsi="GHEA Grapalat" w:cs="GHEA Grapalat"/>
          <w:color w:val="000000"/>
          <w:lang w:val="hy-AM"/>
        </w:rPr>
        <w:t>ազման ու դրոշմանիշային վճարների և հարկային օրենսդրության խախտման համար սահմանված տուգանքների</w:t>
      </w:r>
      <w:r w:rsidR="00AF07FC">
        <w:rPr>
          <w:rFonts w:ascii="GHEA Grapalat" w:hAnsi="GHEA Grapalat" w:cs="GHEA Grapalat"/>
          <w:color w:val="000000"/>
        </w:rPr>
        <w:t>ց մուտքերի</w:t>
      </w:r>
      <w:r w:rsidR="00B65BC3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6C4AE0" w:rsidRPr="006970E2">
        <w:rPr>
          <w:rFonts w:ascii="GHEA Grapalat" w:hAnsi="GHEA Grapalat" w:cs="GHEA Grapalat"/>
          <w:color w:val="000000"/>
          <w:lang w:val="hy-AM"/>
        </w:rPr>
        <w:t>աճի արդյունքում</w:t>
      </w:r>
      <w:r w:rsidR="0057441A" w:rsidRPr="006970E2">
        <w:rPr>
          <w:rFonts w:ascii="GHEA Grapalat" w:hAnsi="GHEA Grapalat" w:cs="GHEA Grapalat"/>
          <w:color w:val="000000"/>
          <w:lang w:val="hy-AM"/>
        </w:rPr>
        <w:t>:</w:t>
      </w:r>
    </w:p>
    <w:p w:rsidR="007472BD" w:rsidRPr="006970E2" w:rsidRDefault="009968EF" w:rsidP="00E81D08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  <w:lang w:val="hy-AM"/>
        </w:rPr>
        <w:t>202</w:t>
      </w:r>
      <w:r w:rsidR="00A4071F" w:rsidRPr="006970E2">
        <w:rPr>
          <w:rFonts w:ascii="GHEA Grapalat" w:hAnsi="GHEA Grapalat" w:cs="GHEA Grapalat"/>
          <w:color w:val="000000"/>
          <w:lang w:val="hy-AM"/>
        </w:rPr>
        <w:t>5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 թվականի </w:t>
      </w:r>
      <w:r w:rsidR="006F0770" w:rsidRPr="006970E2">
        <w:rPr>
          <w:rFonts w:ascii="GHEA Grapalat" w:hAnsi="GHEA Grapalat" w:cs="GHEA Grapalat"/>
          <w:color w:val="000000"/>
          <w:lang w:val="hy-AM"/>
        </w:rPr>
        <w:t xml:space="preserve">առաջին եռամսյակում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պետական բյուջե են մուտքագրվել </w:t>
      </w:r>
      <w:r w:rsidR="005F7EC9" w:rsidRPr="006970E2">
        <w:rPr>
          <w:rFonts w:ascii="GHEA Grapalat" w:hAnsi="GHEA Grapalat" w:cs="GHEA Grapalat"/>
          <w:color w:val="000000"/>
          <w:lang w:val="hy-AM"/>
        </w:rPr>
        <w:t>1</w:t>
      </w:r>
      <w:r w:rsidR="00A1403E" w:rsidRPr="006970E2">
        <w:rPr>
          <w:rFonts w:ascii="GHEA Grapalat" w:hAnsi="GHEA Grapalat" w:cs="GHEA Grapalat"/>
          <w:color w:val="000000"/>
          <w:lang w:val="hy-AM"/>
        </w:rPr>
        <w:t>7</w:t>
      </w:r>
      <w:r w:rsidR="005F7EC9" w:rsidRPr="006970E2">
        <w:rPr>
          <w:rFonts w:ascii="GHEA Grapalat" w:hAnsi="GHEA Grapalat" w:cs="GHEA Grapalat"/>
          <w:color w:val="000000"/>
          <w:lang w:val="hy-AM"/>
        </w:rPr>
        <w:t>.</w:t>
      </w:r>
      <w:r w:rsidR="00A1403E" w:rsidRPr="006970E2">
        <w:rPr>
          <w:rFonts w:ascii="GHEA Grapalat" w:hAnsi="GHEA Grapalat" w:cs="GHEA Grapalat"/>
          <w:color w:val="000000"/>
          <w:lang w:val="hy-AM"/>
        </w:rPr>
        <w:t>2</w:t>
      </w:r>
      <w:r w:rsidR="003E1C6F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մլրդ դրամ </w:t>
      </w:r>
      <w:r w:rsidRPr="006970E2">
        <w:rPr>
          <w:rFonts w:ascii="GHEA Grapalat" w:hAnsi="GHEA Grapalat" w:cs="GHEA Grapalat"/>
          <w:i/>
          <w:color w:val="000000"/>
          <w:lang w:val="hy-AM"/>
        </w:rPr>
        <w:t>պետական տուրքեր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` կազմելով եռամսյակային ծրագրի </w:t>
      </w:r>
      <w:r w:rsidR="00BA31D5" w:rsidRPr="006970E2">
        <w:rPr>
          <w:rFonts w:ascii="GHEA Grapalat" w:hAnsi="GHEA Grapalat" w:cs="GHEA Grapalat"/>
          <w:color w:val="000000"/>
          <w:lang w:val="hy-AM"/>
        </w:rPr>
        <w:t>1</w:t>
      </w:r>
      <w:r w:rsidR="00A1403E" w:rsidRPr="006970E2">
        <w:rPr>
          <w:rFonts w:ascii="GHEA Grapalat" w:hAnsi="GHEA Grapalat" w:cs="GHEA Grapalat"/>
          <w:color w:val="000000"/>
          <w:lang w:val="hy-AM"/>
        </w:rPr>
        <w:t>02</w:t>
      </w:r>
      <w:r w:rsidRPr="006970E2">
        <w:rPr>
          <w:rFonts w:ascii="GHEA Grapalat" w:hAnsi="GHEA Grapalat" w:cs="GHEA Grapalat"/>
          <w:color w:val="000000"/>
          <w:lang w:val="hy-AM"/>
        </w:rPr>
        <w:t>.</w:t>
      </w:r>
      <w:r w:rsidR="003E1C6F" w:rsidRPr="006970E2">
        <w:rPr>
          <w:rFonts w:ascii="GHEA Grapalat" w:hAnsi="GHEA Grapalat" w:cs="GHEA Grapalat"/>
          <w:color w:val="000000"/>
          <w:lang w:val="hy-AM"/>
        </w:rPr>
        <w:t>4</w:t>
      </w:r>
      <w:r w:rsidRPr="006970E2">
        <w:rPr>
          <w:rFonts w:ascii="GHEA Grapalat" w:hAnsi="GHEA Grapalat" w:cs="GHEA Grapalat"/>
          <w:color w:val="000000"/>
          <w:lang w:val="hy-AM"/>
        </w:rPr>
        <w:t>%</w:t>
      </w:r>
      <w:r w:rsidRPr="006970E2">
        <w:rPr>
          <w:rFonts w:ascii="GHEA Grapalat" w:hAnsi="GHEA Grapalat" w:cs="GHEA Grapalat"/>
          <w:color w:val="000000"/>
          <w:lang w:val="hy-AM"/>
        </w:rPr>
        <w:noBreakHyphen/>
        <w:t>ը: Պետական տուրքերում 4</w:t>
      </w:r>
      <w:r w:rsidR="00A1403E" w:rsidRPr="006970E2">
        <w:rPr>
          <w:rFonts w:ascii="GHEA Grapalat" w:hAnsi="GHEA Grapalat" w:cs="GHEA Grapalat"/>
          <w:color w:val="000000"/>
          <w:lang w:val="hy-AM"/>
        </w:rPr>
        <w:t>7.5</w:t>
      </w:r>
      <w:r w:rsidR="006B3F3C" w:rsidRPr="006970E2">
        <w:rPr>
          <w:rFonts w:ascii="GHEA Grapalat" w:hAnsi="GHEA Grapalat" w:cs="GHEA Grapalat"/>
          <w:color w:val="000000"/>
          <w:lang w:val="hy-AM"/>
        </w:rPr>
        <w:t xml:space="preserve">% տեսակարար կշիռ ունեն </w:t>
      </w:r>
      <w:r w:rsidR="003E1C6F" w:rsidRPr="006970E2">
        <w:rPr>
          <w:rFonts w:ascii="GHEA Grapalat" w:hAnsi="GHEA Grapalat" w:cs="GHEA Grapalat"/>
          <w:color w:val="000000"/>
          <w:lang w:val="hy-AM"/>
        </w:rPr>
        <w:t>լիցենզավորման ենթակա կամ թույլտվություններով</w:t>
      </w:r>
      <w:r w:rsidR="003E1C6F" w:rsidRPr="006970E2">
        <w:rPr>
          <w:rFonts w:ascii="Courier New" w:hAnsi="Courier New" w:cs="Courier New"/>
          <w:color w:val="000000"/>
          <w:lang w:val="hy-AM"/>
        </w:rPr>
        <w:t> </w:t>
      </w:r>
      <w:r w:rsidR="003E1C6F" w:rsidRPr="006970E2">
        <w:rPr>
          <w:rFonts w:ascii="GHEA Grapalat" w:hAnsi="GHEA Grapalat" w:cs="GHEA Grapalat"/>
          <w:color w:val="000000"/>
          <w:lang w:val="hy-AM"/>
        </w:rPr>
        <w:t xml:space="preserve">գործունեություն իրականացնելու նպատակով լիցենզիաներ, արտոնագրեր (թույլտվություններ) տալու համար գանձվող տուրքերը, որոնք </w:t>
      </w:r>
      <w:r w:rsidR="003958A2" w:rsidRPr="006970E2">
        <w:rPr>
          <w:rFonts w:ascii="GHEA Grapalat" w:hAnsi="GHEA Grapalat" w:cs="GHEA Grapalat"/>
          <w:color w:val="000000"/>
          <w:lang w:val="hy-AM"/>
        </w:rPr>
        <w:t xml:space="preserve">կազմել են շուրջ 8.2 մլրդ դրամ՝ </w:t>
      </w:r>
      <w:r w:rsidR="00A1403E" w:rsidRPr="006970E2">
        <w:rPr>
          <w:rFonts w:ascii="GHEA Grapalat" w:hAnsi="GHEA Grapalat" w:cs="GHEA Grapalat"/>
          <w:color w:val="000000"/>
          <w:lang w:val="hy-AM"/>
        </w:rPr>
        <w:t>14.4</w:t>
      </w:r>
      <w:r w:rsidR="00AD3E57" w:rsidRPr="006970E2">
        <w:rPr>
          <w:rFonts w:ascii="GHEA Grapalat" w:hAnsi="GHEA Grapalat" w:cs="GHEA Grapalat"/>
          <w:color w:val="000000"/>
          <w:lang w:val="hy-AM"/>
        </w:rPr>
        <w:t>%</w:t>
      </w:r>
      <w:r w:rsidR="00AD3E57" w:rsidRPr="006970E2">
        <w:rPr>
          <w:rFonts w:ascii="GHEA Grapalat" w:hAnsi="GHEA Grapalat" w:cs="GHEA Grapalat"/>
          <w:color w:val="000000"/>
          <w:lang w:val="hy-AM"/>
        </w:rPr>
        <w:noBreakHyphen/>
        <w:t xml:space="preserve">ով </w:t>
      </w:r>
      <w:r w:rsidR="003657EF" w:rsidRPr="006970E2">
        <w:rPr>
          <w:rFonts w:ascii="GHEA Grapalat" w:hAnsi="GHEA Grapalat" w:cs="GHEA Grapalat"/>
          <w:color w:val="000000"/>
          <w:lang w:val="hy-AM"/>
        </w:rPr>
        <w:t>գերազանց</w:t>
      </w:r>
      <w:r w:rsidR="00AD3E57" w:rsidRPr="006970E2">
        <w:rPr>
          <w:rFonts w:ascii="GHEA Grapalat" w:hAnsi="GHEA Grapalat" w:cs="GHEA Grapalat"/>
          <w:color w:val="000000"/>
          <w:lang w:val="hy-AM"/>
        </w:rPr>
        <w:t>ել</w:t>
      </w:r>
      <w:r w:rsidR="003958A2" w:rsidRPr="006970E2">
        <w:rPr>
          <w:rFonts w:ascii="GHEA Grapalat" w:hAnsi="GHEA Grapalat" w:cs="GHEA Grapalat"/>
          <w:color w:val="000000"/>
          <w:lang w:val="hy-AM"/>
        </w:rPr>
        <w:t xml:space="preserve">ով </w:t>
      </w:r>
      <w:r w:rsidR="00AD3E57" w:rsidRPr="006970E2">
        <w:rPr>
          <w:rFonts w:ascii="GHEA Grapalat" w:hAnsi="GHEA Grapalat" w:cs="GHEA Grapalat"/>
          <w:color w:val="000000"/>
          <w:lang w:val="hy-AM"/>
        </w:rPr>
        <w:t>եռամսյակային ծրագրային ցուցանիշը:</w:t>
      </w:r>
      <w:r w:rsidR="003958A2" w:rsidRPr="006970E2">
        <w:rPr>
          <w:rFonts w:ascii="GHEA Grapalat" w:hAnsi="GHEA Grapalat" w:cs="GHEA Grapalat"/>
          <w:color w:val="000000"/>
          <w:lang w:val="hy-AM"/>
        </w:rPr>
        <w:t xml:space="preserve"> Մուտքերի գերազանցումը հիմնականում պայմանավորված է</w:t>
      </w:r>
      <w:r w:rsidR="002B29DA" w:rsidRPr="006970E2">
        <w:rPr>
          <w:rFonts w:ascii="GHEA Grapalat" w:hAnsi="GHEA Grapalat" w:cs="GHEA Grapalat"/>
          <w:color w:val="000000"/>
          <w:lang w:val="hy-AM"/>
        </w:rPr>
        <w:t xml:space="preserve"> 2024 թվականի մայիսի 13-ից ոսկե, պլատինե և պալադիումե ապրանքների (բացի ՀՀ ծագման պլատին և պալադիում պարունակող համաձուլվածքներից և խտանյութերից) արտահանման լիցենզիաներ կամ թույլտվություններ կամ հավաստագրեր տրամադրելու համար (բացառությամբ ԵԱՏՄ երկրներ արտահանման (տեղափոխման) և «Վերամշակում մաքսային տարածքից դուրս» մաքսային ընթացակարգով արտահանվող և հետագայում ներմուծվող ապրանքների) պետական տուրքերի սահմանմամբ, որոնց գծով հաշվետու ժամանակահատվածում պետական բյուջե է մուտքագրվել 866.3 մլն դրամ: Բացի այդ, մուտքերի գերազանցումը պայամանավորված է նաև տրանսպորտի բնագավառում լիցենզավորման գծով գանձվող տուրքերի</w:t>
      </w:r>
      <w:r w:rsidR="005264D9" w:rsidRPr="006970E2">
        <w:rPr>
          <w:rFonts w:ascii="GHEA Grapalat" w:hAnsi="GHEA Grapalat" w:cs="GHEA Grapalat"/>
          <w:color w:val="000000"/>
          <w:lang w:val="hy-AM"/>
        </w:rPr>
        <w:t xml:space="preserve"> կատարողականով, որոնք կազմել են 811.8 մլն դրամ՝ </w:t>
      </w:r>
      <w:r w:rsidR="002B29DA" w:rsidRPr="006970E2">
        <w:rPr>
          <w:rFonts w:ascii="GHEA Grapalat" w:hAnsi="GHEA Grapalat" w:cs="GHEA Grapalat"/>
          <w:color w:val="000000"/>
          <w:lang w:val="hy-AM"/>
        </w:rPr>
        <w:t>3.7</w:t>
      </w:r>
      <w:r w:rsidR="005264D9" w:rsidRPr="006970E2">
        <w:rPr>
          <w:rFonts w:ascii="GHEA Grapalat" w:hAnsi="GHEA Grapalat" w:cs="GHEA Grapalat"/>
          <w:color w:val="000000"/>
          <w:lang w:val="hy-AM"/>
        </w:rPr>
        <w:t xml:space="preserve"> անգամ </w:t>
      </w:r>
      <w:r w:rsidR="002B29DA" w:rsidRPr="006970E2">
        <w:rPr>
          <w:rFonts w:ascii="GHEA Grapalat" w:hAnsi="GHEA Grapalat" w:cs="GHEA Grapalat"/>
          <w:color w:val="000000"/>
          <w:lang w:val="hy-AM"/>
        </w:rPr>
        <w:t xml:space="preserve">կամ </w:t>
      </w:r>
      <w:r w:rsidR="002A4C75">
        <w:rPr>
          <w:rFonts w:ascii="GHEA Grapalat" w:hAnsi="GHEA Grapalat" w:cs="GHEA Grapalat"/>
          <w:color w:val="000000"/>
          <w:lang w:val="hy-AM"/>
        </w:rPr>
        <w:t xml:space="preserve">592 </w:t>
      </w:r>
      <w:r w:rsidR="002B29DA" w:rsidRPr="006970E2">
        <w:rPr>
          <w:rFonts w:ascii="GHEA Grapalat" w:hAnsi="GHEA Grapalat" w:cs="GHEA Grapalat"/>
          <w:color w:val="000000"/>
          <w:lang w:val="hy-AM"/>
        </w:rPr>
        <w:t>մլն դրամով գերազանցելով եռամսյակային ծրագրային ցուցանիշը</w:t>
      </w:r>
      <w:r w:rsidR="005264D9" w:rsidRPr="006970E2">
        <w:rPr>
          <w:rFonts w:ascii="GHEA Grapalat" w:hAnsi="GHEA Grapalat" w:cs="GHEA Grapalat"/>
          <w:color w:val="000000"/>
          <w:lang w:val="hy-AM"/>
        </w:rPr>
        <w:t>:</w:t>
      </w:r>
      <w:r w:rsidR="009712F3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5264D9" w:rsidRPr="006970E2">
        <w:rPr>
          <w:rFonts w:ascii="GHEA Grapalat" w:hAnsi="GHEA Grapalat" w:cs="GHEA Grapalat"/>
          <w:color w:val="000000"/>
          <w:lang w:val="hy-AM"/>
        </w:rPr>
        <w:t>Լիցենզավորման ենթակա կամ թույլտվություններով</w:t>
      </w:r>
      <w:r w:rsidR="005264D9" w:rsidRPr="006970E2">
        <w:rPr>
          <w:rFonts w:ascii="Courier New" w:hAnsi="Courier New" w:cs="Courier New"/>
          <w:color w:val="000000"/>
          <w:lang w:val="hy-AM"/>
        </w:rPr>
        <w:t> </w:t>
      </w:r>
      <w:r w:rsidR="005264D9" w:rsidRPr="006970E2">
        <w:rPr>
          <w:rFonts w:ascii="GHEA Grapalat" w:hAnsi="GHEA Grapalat" w:cs="GHEA Grapalat"/>
          <w:color w:val="000000"/>
          <w:lang w:val="hy-AM"/>
        </w:rPr>
        <w:t xml:space="preserve">գործունեություն իրականացնելու նպատակով լիցենզիաներ, արտոնագրեր (թույլտվություններ) տալու համար գանձվող </w:t>
      </w:r>
      <w:r w:rsidR="005264D9" w:rsidRPr="006970E2">
        <w:rPr>
          <w:rFonts w:ascii="GHEA Grapalat" w:hAnsi="GHEA Grapalat" w:cs="GHEA Grapalat"/>
          <w:lang w:val="hy-AM"/>
        </w:rPr>
        <w:t xml:space="preserve">տուրքերում 52.1% տեսակարար կշիռ ունեն </w:t>
      </w:r>
      <w:r w:rsidR="005264D9" w:rsidRPr="006970E2">
        <w:rPr>
          <w:rFonts w:ascii="GHEA Grapalat" w:hAnsi="GHEA Grapalat" w:cs="GHEA Grapalat"/>
          <w:color w:val="000000"/>
          <w:lang w:val="hy-AM"/>
        </w:rPr>
        <w:t>վիճակախաղերի, շահումներով խաղերի և մետաղադրամով և (կամ) թղթադրամով շահագործվող ավտոմատների միջոցով սննդի առևտրի և խաղերի բնագավառից գանձվող տուրքերը</w:t>
      </w:r>
      <w:r w:rsidR="005264D9" w:rsidRPr="006970E2">
        <w:rPr>
          <w:rFonts w:ascii="GHEA Grapalat" w:hAnsi="GHEA Grapalat" w:cs="GHEA Grapalat"/>
          <w:lang w:val="hy-AM"/>
        </w:rPr>
        <w:t xml:space="preserve">, որոնք կազմել են </w:t>
      </w:r>
      <w:r w:rsidR="005264D9" w:rsidRPr="006970E2">
        <w:rPr>
          <w:rFonts w:ascii="GHEA Grapalat" w:hAnsi="GHEA Grapalat" w:cs="GHEA Grapalat"/>
          <w:color w:val="000000"/>
          <w:lang w:val="hy-AM"/>
        </w:rPr>
        <w:t xml:space="preserve">շուրջ 4.3 </w:t>
      </w:r>
      <w:r w:rsidR="005264D9" w:rsidRPr="006970E2">
        <w:rPr>
          <w:rFonts w:ascii="GHEA Grapalat" w:hAnsi="GHEA Grapalat" w:cs="GHEA Grapalat"/>
          <w:lang w:val="hy-AM"/>
        </w:rPr>
        <w:t xml:space="preserve">մլրդ դրամ՝ </w:t>
      </w:r>
      <w:r w:rsidR="005264D9" w:rsidRPr="006970E2">
        <w:rPr>
          <w:rFonts w:ascii="GHEA Grapalat" w:hAnsi="GHEA Grapalat" w:cs="GHEA Grapalat"/>
          <w:color w:val="000000"/>
          <w:lang w:val="hy-AM"/>
        </w:rPr>
        <w:t>90.1%</w:t>
      </w:r>
      <w:r w:rsidR="005264D9" w:rsidRPr="006970E2">
        <w:rPr>
          <w:rFonts w:ascii="GHEA Grapalat" w:hAnsi="GHEA Grapalat" w:cs="GHEA Grapalat"/>
          <w:color w:val="000000"/>
          <w:lang w:val="hy-AM"/>
        </w:rPr>
        <w:noBreakHyphen/>
        <w:t xml:space="preserve">ով ապահովելով եռամսյակային ծրագրային ցուցանիշը: </w:t>
      </w:r>
      <w:r w:rsidR="00E81D08" w:rsidRPr="006970E2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9712F3" w:rsidRPr="006970E2">
        <w:rPr>
          <w:rFonts w:ascii="GHEA Grapalat" w:hAnsi="GHEA Grapalat" w:cs="GHEA Grapalat"/>
          <w:color w:val="000000"/>
          <w:lang w:val="hy-AM"/>
        </w:rPr>
        <w:t>1.3</w:t>
      </w:r>
      <w:r w:rsidR="00E81D08" w:rsidRPr="006970E2">
        <w:rPr>
          <w:rFonts w:ascii="GHEA Grapalat" w:hAnsi="GHEA Grapalat" w:cs="GHEA Grapalat"/>
          <w:color w:val="000000"/>
          <w:lang w:val="hy-AM"/>
        </w:rPr>
        <w:t xml:space="preserve"> մլ</w:t>
      </w:r>
      <w:r w:rsidR="009712F3" w:rsidRPr="006970E2">
        <w:rPr>
          <w:rFonts w:ascii="GHEA Grapalat" w:hAnsi="GHEA Grapalat" w:cs="GHEA Grapalat"/>
          <w:color w:val="000000"/>
          <w:lang w:val="hy-AM"/>
        </w:rPr>
        <w:t>րդ</w:t>
      </w:r>
      <w:r w:rsidR="00E81D08" w:rsidRPr="006970E2">
        <w:rPr>
          <w:rFonts w:ascii="GHEA Grapalat" w:hAnsi="GHEA Grapalat" w:cs="GHEA Grapalat"/>
          <w:color w:val="000000"/>
          <w:lang w:val="hy-AM"/>
        </w:rPr>
        <w:t xml:space="preserve"> դրամ են կազմել մաքսային բնագավառում լիցենզավորման գծով գանձվող տուրքերը՝ </w:t>
      </w:r>
      <w:r w:rsidR="009712F3" w:rsidRPr="006970E2">
        <w:rPr>
          <w:rFonts w:ascii="GHEA Grapalat" w:hAnsi="GHEA Grapalat" w:cs="GHEA Grapalat"/>
          <w:color w:val="000000"/>
          <w:lang w:val="hy-AM"/>
        </w:rPr>
        <w:t>14.2</w:t>
      </w:r>
      <w:r w:rsidR="00E81D08" w:rsidRPr="006970E2">
        <w:rPr>
          <w:rFonts w:ascii="GHEA Grapalat" w:hAnsi="GHEA Grapalat" w:cs="GHEA Grapalat"/>
          <w:color w:val="000000"/>
          <w:lang w:val="hy-AM"/>
        </w:rPr>
        <w:t>%</w:t>
      </w:r>
      <w:r w:rsidR="00E81D08" w:rsidRPr="006970E2">
        <w:rPr>
          <w:rFonts w:ascii="GHEA Grapalat" w:hAnsi="GHEA Grapalat" w:cs="GHEA Grapalat"/>
          <w:color w:val="000000"/>
          <w:lang w:val="hy-AM"/>
        </w:rPr>
        <w:noBreakHyphen/>
        <w:t xml:space="preserve">ով </w:t>
      </w:r>
      <w:r w:rsidR="00D335A1">
        <w:rPr>
          <w:rFonts w:ascii="GHEA Grapalat" w:hAnsi="GHEA Grapalat" w:cs="GHEA Grapalat"/>
          <w:color w:val="000000"/>
        </w:rPr>
        <w:t>(</w:t>
      </w:r>
      <w:r w:rsidR="009712F3" w:rsidRPr="006970E2">
        <w:rPr>
          <w:rFonts w:ascii="GHEA Grapalat" w:hAnsi="GHEA Grapalat" w:cs="GHEA Grapalat"/>
          <w:color w:val="000000"/>
          <w:lang w:val="hy-AM"/>
        </w:rPr>
        <w:t>156.2 մլն դրամով</w:t>
      </w:r>
      <w:r w:rsidR="00D335A1">
        <w:rPr>
          <w:rFonts w:ascii="GHEA Grapalat" w:hAnsi="GHEA Grapalat" w:cs="GHEA Grapalat"/>
          <w:color w:val="000000"/>
        </w:rPr>
        <w:t>)</w:t>
      </w:r>
      <w:r w:rsidR="009712F3" w:rsidRPr="006970E2">
        <w:rPr>
          <w:rFonts w:ascii="GHEA Grapalat" w:hAnsi="GHEA Grapalat" w:cs="GHEA Grapalat"/>
          <w:color w:val="000000"/>
          <w:lang w:val="hy-AM"/>
        </w:rPr>
        <w:t xml:space="preserve"> գերազանցելով </w:t>
      </w:r>
      <w:r w:rsidR="00E81D08" w:rsidRPr="006970E2">
        <w:rPr>
          <w:rFonts w:ascii="GHEA Grapalat" w:hAnsi="GHEA Grapalat" w:cs="GHEA Grapalat"/>
          <w:color w:val="000000"/>
          <w:lang w:val="hy-AM"/>
        </w:rPr>
        <w:t>եռամսյակային ծրագրային ցուցանիշը:</w:t>
      </w:r>
    </w:p>
    <w:p w:rsidR="00543E32" w:rsidRPr="006970E2" w:rsidRDefault="007472BD" w:rsidP="00BF131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  <w:lang w:val="hy-AM"/>
        </w:rPr>
        <w:lastRenderedPageBreak/>
        <w:t>Օրենքով սահմանված այլ ծառայությունների և գործողությունների համար գանձվող տուրքերը կազմել են</w:t>
      </w:r>
      <w:r w:rsidR="0033156F" w:rsidRPr="006970E2">
        <w:rPr>
          <w:rFonts w:ascii="GHEA Grapalat" w:hAnsi="GHEA Grapalat" w:cs="GHEA Grapalat"/>
          <w:color w:val="000000"/>
          <w:lang w:val="hy-AM"/>
        </w:rPr>
        <w:t xml:space="preserve"> շուրջ</w:t>
      </w:r>
      <w:r w:rsidR="004E1E19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33156F" w:rsidRPr="006970E2">
        <w:rPr>
          <w:rFonts w:ascii="GHEA Grapalat" w:hAnsi="GHEA Grapalat" w:cs="GHEA Grapalat"/>
          <w:color w:val="000000"/>
          <w:lang w:val="hy-AM"/>
        </w:rPr>
        <w:t>4</w:t>
      </w:r>
      <w:r w:rsidR="004E1E19" w:rsidRPr="006970E2">
        <w:rPr>
          <w:rFonts w:ascii="GHEA Grapalat" w:hAnsi="GHEA Grapalat" w:cs="GHEA Grapalat"/>
          <w:color w:val="000000"/>
          <w:lang w:val="hy-AM"/>
        </w:rPr>
        <w:t>.9</w:t>
      </w:r>
      <w:r w:rsidR="0033156F" w:rsidRPr="006970E2">
        <w:rPr>
          <w:rFonts w:ascii="GHEA Grapalat" w:hAnsi="GHEA Grapalat" w:cs="GHEA Grapalat"/>
          <w:color w:val="000000"/>
          <w:lang w:val="hy-AM"/>
        </w:rPr>
        <w:t xml:space="preserve"> մլրդ դրամ՝ </w:t>
      </w:r>
      <w:r w:rsidR="00E712B6" w:rsidRPr="006970E2">
        <w:rPr>
          <w:rFonts w:ascii="GHEA Grapalat" w:hAnsi="GHEA Grapalat" w:cs="GHEA Grapalat"/>
          <w:color w:val="000000"/>
          <w:lang w:val="hy-AM"/>
        </w:rPr>
        <w:t xml:space="preserve">ապահովելով </w:t>
      </w:r>
      <w:r w:rsidR="004E1E19" w:rsidRPr="006970E2">
        <w:rPr>
          <w:rFonts w:ascii="GHEA Grapalat" w:hAnsi="GHEA Grapalat" w:cs="GHEA Grapalat"/>
          <w:color w:val="000000"/>
          <w:lang w:val="hy-AM"/>
        </w:rPr>
        <w:t xml:space="preserve">պետական տուրքերի </w:t>
      </w:r>
      <w:r w:rsidR="0033156F" w:rsidRPr="006970E2">
        <w:rPr>
          <w:rFonts w:ascii="GHEA Grapalat" w:hAnsi="GHEA Grapalat" w:cs="GHEA Grapalat"/>
          <w:color w:val="000000"/>
          <w:lang w:val="hy-AM"/>
        </w:rPr>
        <w:t>28</w:t>
      </w:r>
      <w:r w:rsidR="004E1E19" w:rsidRPr="006970E2">
        <w:rPr>
          <w:rFonts w:ascii="GHEA Grapalat" w:hAnsi="GHEA Grapalat" w:cs="GHEA Grapalat"/>
          <w:color w:val="000000"/>
          <w:lang w:val="hy-AM"/>
        </w:rPr>
        <w:t>.2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%-ը և </w:t>
      </w:r>
      <w:r w:rsidR="00D739EE" w:rsidRPr="006970E2">
        <w:rPr>
          <w:rFonts w:ascii="GHEA Grapalat" w:hAnsi="GHEA Grapalat" w:cs="GHEA Grapalat"/>
          <w:color w:val="000000"/>
          <w:lang w:val="hy-AM"/>
        </w:rPr>
        <w:t xml:space="preserve">եռամսյակային ծրագրային ցուցանիշի </w:t>
      </w:r>
      <w:r w:rsidR="0033156F" w:rsidRPr="006970E2">
        <w:rPr>
          <w:rFonts w:ascii="GHEA Grapalat" w:hAnsi="GHEA Grapalat" w:cs="GHEA Grapalat"/>
          <w:color w:val="000000"/>
          <w:lang w:val="hy-AM"/>
        </w:rPr>
        <w:t>8</w:t>
      </w:r>
      <w:r w:rsidR="004E1E19" w:rsidRPr="006970E2">
        <w:rPr>
          <w:rFonts w:ascii="GHEA Grapalat" w:hAnsi="GHEA Grapalat" w:cs="GHEA Grapalat"/>
          <w:color w:val="000000"/>
          <w:lang w:val="hy-AM"/>
        </w:rPr>
        <w:t>5</w:t>
      </w:r>
      <w:r w:rsidRPr="006970E2">
        <w:rPr>
          <w:rFonts w:ascii="GHEA Grapalat" w:hAnsi="GHEA Grapalat" w:cs="GHEA Grapalat"/>
          <w:color w:val="000000"/>
          <w:lang w:val="hy-AM"/>
        </w:rPr>
        <w:t>%</w:t>
      </w:r>
      <w:r w:rsidRPr="006970E2">
        <w:rPr>
          <w:rFonts w:ascii="GHEA Grapalat" w:hAnsi="GHEA Grapalat" w:cs="GHEA Grapalat"/>
          <w:color w:val="000000"/>
          <w:lang w:val="hy-AM"/>
        </w:rPr>
        <w:noBreakHyphen/>
      </w:r>
      <w:r w:rsidR="00D739EE" w:rsidRPr="006970E2">
        <w:rPr>
          <w:rFonts w:ascii="GHEA Grapalat" w:hAnsi="GHEA Grapalat" w:cs="GHEA Grapalat"/>
          <w:color w:val="000000"/>
          <w:lang w:val="hy-AM"/>
        </w:rPr>
        <w:t>ը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: </w:t>
      </w:r>
      <w:r w:rsidR="00BF131F" w:rsidRPr="006970E2">
        <w:rPr>
          <w:rFonts w:ascii="GHEA Grapalat" w:hAnsi="GHEA Grapalat" w:cs="GHEA Grapalat"/>
          <w:color w:val="000000"/>
          <w:lang w:val="hy-AM"/>
        </w:rPr>
        <w:t>Նշված մուտքերի հիմնական մասը</w:t>
      </w:r>
      <w:r w:rsidR="0011719B" w:rsidRPr="006970E2">
        <w:rPr>
          <w:rFonts w:ascii="GHEA Grapalat" w:hAnsi="GHEA Grapalat" w:cs="GHEA Grapalat"/>
          <w:color w:val="000000"/>
          <w:lang w:val="hy-AM"/>
        </w:rPr>
        <w:t>`</w:t>
      </w:r>
      <w:r w:rsidR="00BF131F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33156F" w:rsidRPr="006970E2">
        <w:rPr>
          <w:rFonts w:ascii="GHEA Grapalat" w:hAnsi="GHEA Grapalat" w:cs="GHEA Grapalat"/>
          <w:color w:val="000000"/>
          <w:lang w:val="hy-AM"/>
        </w:rPr>
        <w:t>69.</w:t>
      </w:r>
      <w:r w:rsidR="00A57830" w:rsidRPr="006970E2">
        <w:rPr>
          <w:rFonts w:ascii="GHEA Grapalat" w:hAnsi="GHEA Grapalat" w:cs="GHEA Grapalat"/>
          <w:color w:val="000000"/>
          <w:lang w:val="hy-AM"/>
        </w:rPr>
        <w:t>5</w:t>
      </w:r>
      <w:r w:rsidR="0011719B" w:rsidRPr="006970E2">
        <w:rPr>
          <w:rFonts w:ascii="GHEA Grapalat" w:hAnsi="GHEA Grapalat" w:cs="GHEA Grapalat"/>
          <w:color w:val="000000"/>
          <w:lang w:val="hy-AM"/>
        </w:rPr>
        <w:t xml:space="preserve">%-ը </w:t>
      </w:r>
      <w:r w:rsidR="00BF131F" w:rsidRPr="006970E2">
        <w:rPr>
          <w:rFonts w:ascii="GHEA Grapalat" w:hAnsi="GHEA Grapalat" w:cs="GHEA Grapalat"/>
          <w:color w:val="000000"/>
          <w:lang w:val="hy-AM"/>
        </w:rPr>
        <w:t xml:space="preserve">ստացվել է </w:t>
      </w:r>
      <w:r w:rsidRPr="006970E2">
        <w:rPr>
          <w:rFonts w:ascii="GHEA Grapalat" w:hAnsi="GHEA Grapalat" w:cs="GHEA Grapalat"/>
          <w:color w:val="000000"/>
          <w:lang w:val="hy-AM"/>
        </w:rPr>
        <w:t>ՀՀ-ից օդային տրանսպորտի միջոցներով ֆիզիկական անձանց (օդային ուղևորների) ելքի համար</w:t>
      </w:r>
      <w:r w:rsidR="00BF131F" w:rsidRPr="006970E2">
        <w:rPr>
          <w:rFonts w:ascii="GHEA Grapalat" w:hAnsi="GHEA Grapalat" w:cs="GHEA Grapalat"/>
          <w:color w:val="000000"/>
          <w:lang w:val="hy-AM"/>
        </w:rPr>
        <w:t xml:space="preserve">, որոնք կազմել են </w:t>
      </w:r>
      <w:r w:rsidR="00A57830" w:rsidRPr="006970E2">
        <w:rPr>
          <w:rFonts w:ascii="GHEA Grapalat" w:hAnsi="GHEA Grapalat" w:cs="GHEA Grapalat"/>
          <w:color w:val="000000"/>
          <w:lang w:val="hy-AM"/>
        </w:rPr>
        <w:t xml:space="preserve">շուրջ </w:t>
      </w:r>
      <w:r w:rsidR="00543E32" w:rsidRPr="006970E2">
        <w:rPr>
          <w:rFonts w:ascii="GHEA Grapalat" w:hAnsi="GHEA Grapalat" w:cs="GHEA Grapalat"/>
          <w:color w:val="000000"/>
          <w:lang w:val="hy-AM"/>
        </w:rPr>
        <w:t>3</w:t>
      </w:r>
      <w:r w:rsidR="004E1E19" w:rsidRPr="006970E2">
        <w:rPr>
          <w:rFonts w:ascii="GHEA Grapalat" w:hAnsi="GHEA Grapalat" w:cs="GHEA Grapalat"/>
          <w:color w:val="000000"/>
          <w:lang w:val="hy-AM"/>
        </w:rPr>
        <w:t>.4</w:t>
      </w:r>
      <w:r w:rsidR="00BF131F" w:rsidRPr="006970E2">
        <w:rPr>
          <w:rFonts w:ascii="GHEA Grapalat" w:hAnsi="GHEA Grapalat" w:cs="GHEA Grapalat"/>
          <w:color w:val="000000"/>
          <w:lang w:val="hy-AM"/>
        </w:rPr>
        <w:t xml:space="preserve"> մլրդ դրամ կամ եռամսյակային ծրագրային ցուցանիշի </w:t>
      </w:r>
      <w:r w:rsidR="00A57830" w:rsidRPr="006970E2">
        <w:rPr>
          <w:rFonts w:ascii="GHEA Grapalat" w:hAnsi="GHEA Grapalat" w:cs="GHEA Grapalat"/>
          <w:color w:val="000000"/>
          <w:lang w:val="hy-AM"/>
        </w:rPr>
        <w:t>73.4</w:t>
      </w:r>
      <w:r w:rsidRPr="006970E2">
        <w:rPr>
          <w:rFonts w:ascii="GHEA Grapalat" w:hAnsi="GHEA Grapalat" w:cs="GHEA Grapalat"/>
          <w:color w:val="000000"/>
          <w:lang w:val="hy-AM"/>
        </w:rPr>
        <w:t>%</w:t>
      </w:r>
      <w:r w:rsidR="00BF131F" w:rsidRPr="006970E2">
        <w:rPr>
          <w:rFonts w:ascii="GHEA Grapalat" w:hAnsi="GHEA Grapalat" w:cs="GHEA Grapalat"/>
          <w:color w:val="000000"/>
          <w:lang w:val="hy-AM"/>
        </w:rPr>
        <w:t>-ը</w:t>
      </w:r>
      <w:r w:rsidRPr="006970E2">
        <w:rPr>
          <w:rFonts w:ascii="GHEA Grapalat" w:hAnsi="GHEA Grapalat" w:cs="GHEA Grapalat"/>
          <w:color w:val="000000"/>
          <w:lang w:val="hy-AM"/>
        </w:rPr>
        <w:t>:</w:t>
      </w:r>
    </w:p>
    <w:p w:rsidR="00C15DAF" w:rsidRPr="006970E2" w:rsidRDefault="00543E32" w:rsidP="00CA3D2F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6970E2">
        <w:rPr>
          <w:rFonts w:ascii="GHEA Grapalat" w:hAnsi="GHEA Grapalat" w:cs="GHEA Grapalat"/>
          <w:color w:val="000000"/>
          <w:lang w:val="hy-AM"/>
        </w:rPr>
        <w:t xml:space="preserve">Նախորդ տարվա </w:t>
      </w:r>
      <w:r w:rsidR="006F0770" w:rsidRPr="006970E2">
        <w:rPr>
          <w:rFonts w:ascii="GHEA Grapalat" w:hAnsi="GHEA Grapalat" w:cs="GHEA Grapalat"/>
          <w:color w:val="000000"/>
          <w:lang w:val="hy-AM"/>
        </w:rPr>
        <w:t>առաջին եռամսյակ</w:t>
      </w:r>
      <w:r w:rsidR="00BE2DE0" w:rsidRPr="006970E2">
        <w:rPr>
          <w:rFonts w:ascii="GHEA Grapalat" w:hAnsi="GHEA Grapalat" w:cs="GHEA Grapalat"/>
          <w:color w:val="000000"/>
          <w:lang w:val="hy-AM"/>
        </w:rPr>
        <w:t xml:space="preserve">ի </w:t>
      </w:r>
      <w:r w:rsidRPr="006970E2">
        <w:rPr>
          <w:rFonts w:ascii="GHEA Grapalat" w:hAnsi="GHEA Grapalat" w:cs="GHEA Grapalat"/>
          <w:color w:val="000000"/>
          <w:lang w:val="hy-AM"/>
        </w:rPr>
        <w:t>համեմատ պետական տուրքերն</w:t>
      </w:r>
      <w:r w:rsidR="006535BD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աճել են </w:t>
      </w:r>
      <w:r w:rsidR="00A57830" w:rsidRPr="006970E2">
        <w:rPr>
          <w:rFonts w:ascii="GHEA Grapalat" w:hAnsi="GHEA Grapalat" w:cs="GHEA Grapalat"/>
          <w:color w:val="000000"/>
          <w:lang w:val="hy-AM"/>
        </w:rPr>
        <w:t>15.3%</w:t>
      </w:r>
      <w:r w:rsidR="00A57830" w:rsidRPr="006970E2">
        <w:rPr>
          <w:rFonts w:ascii="GHEA Grapalat" w:hAnsi="GHEA Grapalat" w:cs="GHEA Grapalat"/>
          <w:color w:val="000000"/>
          <w:lang w:val="hy-AM"/>
        </w:rPr>
        <w:noBreakHyphen/>
      </w:r>
      <w:r w:rsidRPr="006970E2">
        <w:rPr>
          <w:rFonts w:ascii="GHEA Grapalat" w:hAnsi="GHEA Grapalat" w:cs="GHEA Grapalat"/>
          <w:color w:val="000000"/>
          <w:lang w:val="hy-AM"/>
        </w:rPr>
        <w:t>ով (</w:t>
      </w:r>
      <w:r w:rsidR="00A57830" w:rsidRPr="006970E2">
        <w:rPr>
          <w:rFonts w:ascii="GHEA Grapalat" w:hAnsi="GHEA Grapalat" w:cs="GHEA Grapalat"/>
          <w:color w:val="000000"/>
          <w:lang w:val="hy-AM"/>
        </w:rPr>
        <w:t>շուրջ</w:t>
      </w:r>
      <w:r w:rsidR="0033156F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A57830" w:rsidRPr="006970E2">
        <w:rPr>
          <w:rFonts w:ascii="GHEA Grapalat" w:hAnsi="GHEA Grapalat" w:cs="GHEA Grapalat"/>
          <w:color w:val="000000"/>
          <w:lang w:val="hy-AM"/>
        </w:rPr>
        <w:t xml:space="preserve">2.3 </w:t>
      </w:r>
      <w:r w:rsidRPr="006970E2">
        <w:rPr>
          <w:rFonts w:ascii="GHEA Grapalat" w:hAnsi="GHEA Grapalat" w:cs="GHEA Grapalat"/>
          <w:color w:val="000000"/>
          <w:lang w:val="hy-AM"/>
        </w:rPr>
        <w:t>մլ</w:t>
      </w:r>
      <w:r w:rsidR="0033156F" w:rsidRPr="006970E2">
        <w:rPr>
          <w:rFonts w:ascii="GHEA Grapalat" w:hAnsi="GHEA Grapalat" w:cs="GHEA Grapalat"/>
          <w:color w:val="000000"/>
          <w:lang w:val="hy-AM"/>
        </w:rPr>
        <w:t>րդ</w:t>
      </w:r>
      <w:r w:rsidRPr="006970E2">
        <w:rPr>
          <w:rFonts w:ascii="GHEA Grapalat" w:hAnsi="GHEA Grapalat" w:cs="GHEA Grapalat"/>
          <w:color w:val="000000"/>
          <w:lang w:val="hy-AM"/>
        </w:rPr>
        <w:t xml:space="preserve"> դրամով)՝ հիմնականում պայմանավորված </w:t>
      </w:r>
      <w:r w:rsidR="006535BD" w:rsidRPr="006970E2">
        <w:rPr>
          <w:rFonts w:ascii="GHEA Grapalat" w:hAnsi="GHEA Grapalat" w:cs="GHEA Grapalat"/>
          <w:color w:val="000000"/>
          <w:lang w:val="hy-AM"/>
        </w:rPr>
        <w:t xml:space="preserve">2024 թվականի մայիսի 13-ից ոսկե, պլատինե և պալադիումե ապրանքների արտահանման լիցենզիաներ կամ թույլտվություններ կամ հավաստագրեր տրամադրելու համար </w:t>
      </w:r>
      <w:r w:rsidR="001255CE">
        <w:rPr>
          <w:rFonts w:ascii="GHEA Grapalat" w:hAnsi="GHEA Grapalat" w:cs="GHEA Grapalat"/>
          <w:color w:val="000000"/>
          <w:lang w:val="hy-AM"/>
        </w:rPr>
        <w:t>պետական տուրքերի սահմանմամբ</w:t>
      </w:r>
      <w:r w:rsidR="001255CE">
        <w:rPr>
          <w:rFonts w:ascii="GHEA Grapalat" w:hAnsi="GHEA Grapalat" w:cs="GHEA Grapalat"/>
          <w:color w:val="000000"/>
        </w:rPr>
        <w:t>, ինչպես</w:t>
      </w:r>
      <w:r w:rsidR="006535BD" w:rsidRPr="006970E2">
        <w:rPr>
          <w:rFonts w:ascii="GHEA Grapalat" w:hAnsi="GHEA Grapalat" w:cs="GHEA Grapalat"/>
          <w:color w:val="000000"/>
          <w:lang w:val="hy-AM"/>
        </w:rPr>
        <w:t xml:space="preserve"> նաև ֆիզիկական անձանց տրվող իրավաբանական նշանակություն ունեցող փաստաթղթերի, որոշակի ծառայությունների կամ գործողությունների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համար գանձվող պետական տուրքի</w:t>
      </w:r>
      <w:r w:rsidR="0033506E">
        <w:rPr>
          <w:rFonts w:ascii="GHEA Grapalat" w:hAnsi="GHEA Grapalat" w:cs="GHEA Grapalat"/>
          <w:color w:val="000000"/>
        </w:rPr>
        <w:t>՝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2.</w:t>
      </w:r>
      <w:r w:rsidR="00FE6176" w:rsidRPr="006970E2">
        <w:rPr>
          <w:rFonts w:ascii="GHEA Grapalat" w:hAnsi="GHEA Grapalat" w:cs="GHEA Grapalat"/>
          <w:color w:val="000000"/>
          <w:lang w:val="hy-AM"/>
        </w:rPr>
        <w:t>4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անգամ (</w:t>
      </w:r>
      <w:r w:rsidR="00FE6176" w:rsidRPr="006970E2">
        <w:rPr>
          <w:rFonts w:ascii="GHEA Grapalat" w:hAnsi="GHEA Grapalat" w:cs="GHEA Grapalat"/>
          <w:color w:val="000000"/>
          <w:lang w:val="hy-AM"/>
        </w:rPr>
        <w:t>629</w:t>
      </w:r>
      <w:r w:rsidR="00205BA7" w:rsidRPr="006970E2">
        <w:rPr>
          <w:rFonts w:ascii="Calibri" w:hAnsi="Calibri" w:cs="Calibri"/>
          <w:color w:val="000000"/>
          <w:lang w:val="hy-AM"/>
        </w:rPr>
        <w:t> </w:t>
      </w:r>
      <w:r w:rsidR="00205BA7" w:rsidRPr="006970E2">
        <w:rPr>
          <w:rFonts w:ascii="GHEA Grapalat" w:hAnsi="GHEA Grapalat" w:cs="GHEA Grapalat"/>
          <w:color w:val="000000"/>
          <w:lang w:val="hy-AM"/>
        </w:rPr>
        <w:t>մլն դրամ)</w:t>
      </w:r>
      <w:r w:rsidR="0033506E">
        <w:rPr>
          <w:rFonts w:ascii="GHEA Grapalat" w:hAnsi="GHEA Grapalat" w:cs="GHEA Grapalat"/>
          <w:color w:val="000000"/>
          <w:lang w:val="hy-AM"/>
        </w:rPr>
        <w:t xml:space="preserve"> և</w:t>
      </w:r>
      <w:r w:rsidR="00A52753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CE42C2" w:rsidRPr="006970E2">
        <w:rPr>
          <w:rFonts w:ascii="GHEA Grapalat" w:hAnsi="GHEA Grapalat" w:cs="GHEA Grapalat"/>
          <w:color w:val="000000"/>
          <w:lang w:val="hy-AM"/>
        </w:rPr>
        <w:t xml:space="preserve">տրանսպորտի բնագավառի </w:t>
      </w:r>
      <w:r w:rsidR="00A52753" w:rsidRPr="006970E2">
        <w:rPr>
          <w:rFonts w:ascii="GHEA Grapalat" w:hAnsi="GHEA Grapalat" w:cs="GHEA Grapalat"/>
          <w:color w:val="000000"/>
          <w:lang w:val="hy-AM"/>
        </w:rPr>
        <w:t>լիցենզավորման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համար գանձվող պետական տուրքի՝ 3.</w:t>
      </w:r>
      <w:r w:rsidR="00FE6176" w:rsidRPr="006970E2">
        <w:rPr>
          <w:rFonts w:ascii="GHEA Grapalat" w:hAnsi="GHEA Grapalat" w:cs="GHEA Grapalat"/>
          <w:color w:val="000000"/>
          <w:lang w:val="hy-AM"/>
        </w:rPr>
        <w:t>6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անգամ (</w:t>
      </w:r>
      <w:r w:rsidR="00B11E47" w:rsidRPr="006970E2">
        <w:rPr>
          <w:rFonts w:ascii="GHEA Grapalat" w:hAnsi="GHEA Grapalat" w:cs="GHEA Grapalat"/>
          <w:color w:val="000000"/>
          <w:lang w:val="hy-AM"/>
        </w:rPr>
        <w:t>58</w:t>
      </w:r>
      <w:r w:rsidR="00205BA7" w:rsidRPr="006970E2">
        <w:rPr>
          <w:rFonts w:ascii="GHEA Grapalat" w:hAnsi="GHEA Grapalat" w:cs="GHEA Grapalat"/>
          <w:color w:val="000000"/>
          <w:lang w:val="hy-AM"/>
        </w:rPr>
        <w:t>4.</w:t>
      </w:r>
      <w:r w:rsidR="00B11E47" w:rsidRPr="006970E2">
        <w:rPr>
          <w:rFonts w:ascii="GHEA Grapalat" w:hAnsi="GHEA Grapalat" w:cs="GHEA Grapalat"/>
          <w:color w:val="000000"/>
          <w:lang w:val="hy-AM"/>
        </w:rPr>
        <w:t>2</w:t>
      </w:r>
      <w:r w:rsidR="00205BA7" w:rsidRPr="006970E2">
        <w:rPr>
          <w:rFonts w:ascii="GHEA Grapalat" w:hAnsi="GHEA Grapalat" w:cs="GHEA Grapalat"/>
          <w:color w:val="000000"/>
          <w:lang w:val="hy-AM"/>
        </w:rPr>
        <w:t xml:space="preserve"> մլն դրամ)</w:t>
      </w:r>
      <w:r w:rsidR="00B11E47" w:rsidRPr="006970E2">
        <w:rPr>
          <w:rFonts w:ascii="GHEA Grapalat" w:hAnsi="GHEA Grapalat" w:cs="GHEA Grapalat"/>
          <w:color w:val="000000"/>
          <w:lang w:val="hy-AM"/>
        </w:rPr>
        <w:t xml:space="preserve"> </w:t>
      </w:r>
      <w:r w:rsidR="006535BD" w:rsidRPr="006970E2">
        <w:rPr>
          <w:rFonts w:ascii="GHEA Grapalat" w:hAnsi="GHEA Grapalat" w:cs="GHEA Grapalat"/>
          <w:color w:val="000000"/>
          <w:lang w:val="hy-AM"/>
        </w:rPr>
        <w:t>աճով:</w:t>
      </w:r>
    </w:p>
    <w:p w:rsidR="006535BD" w:rsidRPr="006970E2" w:rsidRDefault="006535BD" w:rsidP="006535BD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9968EF" w:rsidRPr="006970E2" w:rsidRDefault="009968EF" w:rsidP="009968EF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6970E2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Պետական տուրքերի գծով ՀՀ պետական բյուջեի մուտքերը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276"/>
        <w:gridCol w:w="1134"/>
        <w:gridCol w:w="1261"/>
        <w:gridCol w:w="1350"/>
        <w:gridCol w:w="1386"/>
      </w:tblGrid>
      <w:tr w:rsidR="009968EF" w:rsidRPr="006970E2" w:rsidTr="008269CE">
        <w:trPr>
          <w:trHeight w:val="1425"/>
        </w:trPr>
        <w:tc>
          <w:tcPr>
            <w:tcW w:w="3799" w:type="dxa"/>
            <w:shd w:val="clear" w:color="auto" w:fill="auto"/>
            <w:noWrap/>
            <w:hideMark/>
          </w:tcPr>
          <w:p w:rsidR="009968EF" w:rsidRPr="006970E2" w:rsidRDefault="009968EF" w:rsidP="00A618A5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9968EF" w:rsidRPr="006970E2" w:rsidRDefault="006C28F9" w:rsidP="00BD6EC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2024թ. առաջին </w:t>
            </w:r>
            <w:r w:rsidR="00951C59"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եռամս-յակի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փաստ</w:t>
            </w:r>
          </w:p>
        </w:tc>
        <w:tc>
          <w:tcPr>
            <w:tcW w:w="1134" w:type="dxa"/>
            <w:shd w:val="clear" w:color="000000" w:fill="FFFFFF"/>
          </w:tcPr>
          <w:p w:rsidR="009968EF" w:rsidRPr="006970E2" w:rsidRDefault="009968EF" w:rsidP="00A4071F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="00A4071F"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եռամս-յակի ճշտված պլան</w:t>
            </w:r>
          </w:p>
        </w:tc>
        <w:tc>
          <w:tcPr>
            <w:tcW w:w="1261" w:type="dxa"/>
            <w:shd w:val="clear" w:color="000000" w:fill="FFFFFF"/>
            <w:hideMark/>
          </w:tcPr>
          <w:p w:rsidR="009968EF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2025թ. առաջին </w:t>
            </w:r>
            <w:r w:rsidR="00951C59"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եռամս-յակի 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փաստ</w:t>
            </w:r>
          </w:p>
        </w:tc>
        <w:tc>
          <w:tcPr>
            <w:tcW w:w="1350" w:type="dxa"/>
            <w:shd w:val="clear" w:color="000000" w:fill="FFFFFF"/>
          </w:tcPr>
          <w:p w:rsidR="009968EF" w:rsidRPr="006970E2" w:rsidRDefault="009968EF" w:rsidP="00A618A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Կատարո-ղականն առաջին եռամսյակի ճշտված պլանի նկատմամբ (%)</w:t>
            </w:r>
          </w:p>
        </w:tc>
        <w:tc>
          <w:tcPr>
            <w:tcW w:w="1386" w:type="dxa"/>
            <w:shd w:val="clear" w:color="000000" w:fill="FFFFFF"/>
            <w:hideMark/>
          </w:tcPr>
          <w:p w:rsidR="006C28F9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2025թ. առաջին եռամսյակը 2024թ. առաջին եռամսյակի նկատմամբ</w:t>
            </w:r>
          </w:p>
          <w:p w:rsidR="009968EF" w:rsidRPr="006970E2" w:rsidRDefault="006C28F9" w:rsidP="006C28F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Պ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ետական </w:t>
            </w:r>
            <w:r w:rsidRPr="006970E2">
              <w:rPr>
                <w:rFonts w:ascii="GHEA Grapalat" w:hAnsi="GHEA Grapalat" w:cs="Calibri"/>
                <w:b/>
                <w:bCs/>
                <w:sz w:val="20"/>
                <w:szCs w:val="20"/>
              </w:rPr>
              <w:t>տուրքեր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14.9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16.8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17.2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102.4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/>
                <w:b/>
                <w:bCs/>
                <w:sz w:val="20"/>
                <w:szCs w:val="20"/>
              </w:rPr>
              <w:t>115.3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Դատարան տրվող հայցադիմումների, դիմումների, դատարանի դատական ակտերի դեմ վերաքննիչ և վճռաբեկ բողոքների համար, ինչպես նաև դատարանի կողմից տրվող փաստաթղթերի պատճեններ (կրկնօրինակներ), գործում առկա լուսանկարների (լուսաժապավենների), ձայնագրությունների, տեսագրությունների և դրանց էլեկտրոնային կրիչների բնօրինակից պատճենահանված կրիչ և դատական նիստի համակարգչային ձայնագրման կրկնօրինակ տալու համար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0.6</w:t>
            </w:r>
          </w:p>
        </w:tc>
        <w:tc>
          <w:tcPr>
            <w:tcW w:w="1261" w:type="dxa"/>
            <w:shd w:val="clear" w:color="auto" w:fill="auto"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C62F2E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109.</w:t>
            </w:r>
            <w:r w:rsidR="00C62F2E" w:rsidRPr="006970E2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165.4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Հյուպատոսական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0.6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91.2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87.6</w:t>
            </w:r>
          </w:p>
        </w:tc>
      </w:tr>
      <w:tr w:rsidR="00751C00" w:rsidRPr="006970E2" w:rsidTr="008269CE">
        <w:trPr>
          <w:trHeight w:val="377"/>
        </w:trPr>
        <w:tc>
          <w:tcPr>
            <w:tcW w:w="3799" w:type="dxa"/>
            <w:shd w:val="clear" w:color="auto" w:fill="auto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lastRenderedPageBreak/>
              <w:t>Պետական գրանցման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1.6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1.7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103.2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103.0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Ֆիզիկական անձանց տրվող իրավաբանական նշանակություն ունեցող փաստաթղթերի, որոշակի ծառայությունների կամ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0.4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0.9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1.1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117.2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240.9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Լիցենզավորման ենթակա կամ թույլտվություններով գործունեություն իրականացնելու նպատակով լիցենզիաներ, արտոնագրեր (թույլտվություններ) տալու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7.0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7.2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8.2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114.4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117.2</w:t>
            </w:r>
          </w:p>
        </w:tc>
      </w:tr>
      <w:tr w:rsidR="00751C00" w:rsidRPr="006970E2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Օրենքով սահմանված այլ ծառայությունների և գործողությունների համար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4.6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5.7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4.9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85.0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105.0</w:t>
            </w:r>
          </w:p>
        </w:tc>
      </w:tr>
      <w:tr w:rsidR="00751C00" w:rsidRPr="00AB6C69" w:rsidTr="008269CE">
        <w:trPr>
          <w:trHeight w:val="315"/>
        </w:trPr>
        <w:tc>
          <w:tcPr>
            <w:tcW w:w="3799" w:type="dxa"/>
            <w:shd w:val="clear" w:color="auto" w:fill="auto"/>
            <w:vAlign w:val="bottom"/>
            <w:hideMark/>
          </w:tcPr>
          <w:p w:rsidR="00751C00" w:rsidRPr="006970E2" w:rsidRDefault="00751C00" w:rsidP="00751C00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6970E2">
              <w:rPr>
                <w:rFonts w:ascii="GHEA Grapalat" w:hAnsi="GHEA Grapalat" w:cs="Calibri"/>
                <w:sz w:val="20"/>
                <w:szCs w:val="20"/>
              </w:rPr>
              <w:t>Այլ պետական տուրքեր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0.1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0.2</w:t>
            </w:r>
          </w:p>
        </w:tc>
        <w:tc>
          <w:tcPr>
            <w:tcW w:w="1350" w:type="dxa"/>
            <w:vAlign w:val="center"/>
          </w:tcPr>
          <w:p w:rsidR="00751C00" w:rsidRPr="006970E2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120.6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751C00" w:rsidRDefault="00751C00" w:rsidP="00751C0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6970E2">
              <w:rPr>
                <w:rFonts w:ascii="GHEA Grapalat" w:hAnsi="GHEA Grapalat"/>
                <w:sz w:val="20"/>
                <w:szCs w:val="20"/>
              </w:rPr>
              <w:t>97.0</w:t>
            </w:r>
          </w:p>
        </w:tc>
      </w:tr>
    </w:tbl>
    <w:p w:rsidR="003360ED" w:rsidRDefault="003360ED" w:rsidP="00E33CC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882BF7" w:rsidRDefault="00882BF7" w:rsidP="00882BF7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>202</w:t>
      </w:r>
      <w:r>
        <w:rPr>
          <w:rFonts w:ascii="GHEA Grapalat" w:hAnsi="GHEA Grapalat" w:cs="GHEA Grapalat"/>
          <w:color w:val="000000"/>
        </w:rPr>
        <w:t>5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2A39B1">
        <w:rPr>
          <w:rFonts w:ascii="GHEA Grapalat" w:hAnsi="GHEA Grapalat" w:cs="GHEA Grapalat"/>
          <w:color w:val="000000"/>
          <w:lang w:val="hy-AM"/>
        </w:rPr>
        <w:t xml:space="preserve">թվականի </w:t>
      </w:r>
      <w:r>
        <w:rPr>
          <w:rFonts w:ascii="GHEA Grapalat" w:hAnsi="GHEA Grapalat" w:cs="GHEA Grapalat"/>
          <w:color w:val="000000"/>
        </w:rPr>
        <w:t>առաջին եռամսյակի</w:t>
      </w:r>
      <w:r w:rsidRPr="00BA4FB0">
        <w:rPr>
          <w:rFonts w:ascii="GHEA Grapalat" w:hAnsi="GHEA Grapalat" w:cs="GHEA Grapalat"/>
          <w:color w:val="000000"/>
        </w:rPr>
        <w:t xml:space="preserve"> </w:t>
      </w:r>
      <w:r w:rsidRPr="002A39B1">
        <w:rPr>
          <w:rFonts w:ascii="GHEA Grapalat" w:hAnsi="GHEA Grapalat" w:cs="GHEA Grapalat"/>
          <w:color w:val="000000"/>
          <w:lang w:val="hy-AM"/>
        </w:rPr>
        <w:t>ընթացքում ստացվել</w:t>
      </w:r>
      <w:r>
        <w:rPr>
          <w:rFonts w:ascii="GHEA Grapalat" w:hAnsi="GHEA Grapalat" w:cs="GHEA Grapalat"/>
          <w:color w:val="000000"/>
          <w:lang w:val="hy-AM"/>
        </w:rPr>
        <w:t xml:space="preserve"> են</w:t>
      </w:r>
      <w:r>
        <w:rPr>
          <w:rFonts w:ascii="GHEA Grapalat" w:hAnsi="GHEA Grapalat" w:cs="GHEA Grapalat"/>
          <w:color w:val="000000"/>
        </w:rPr>
        <w:t xml:space="preserve"> շուրջ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</w:rPr>
        <w:t>1.5</w:t>
      </w:r>
      <w:r>
        <w:rPr>
          <w:rFonts w:ascii="GHEA Grapalat" w:hAnsi="GHEA Grapalat" w:cs="GHEA Grapalat"/>
          <w:color w:val="000000"/>
          <w:lang w:val="hy-AM"/>
        </w:rPr>
        <w:t xml:space="preserve"> մլրդ դրամ </w:t>
      </w:r>
      <w:r w:rsidRPr="00730203">
        <w:rPr>
          <w:rFonts w:ascii="GHEA Grapalat" w:hAnsi="GHEA Grapalat" w:cs="GHEA Grapalat"/>
          <w:i/>
          <w:color w:val="000000"/>
          <w:lang w:val="hy-AM"/>
        </w:rPr>
        <w:t>պաշտոնական դրամաշնորհներ՝</w:t>
      </w:r>
      <w:r>
        <w:rPr>
          <w:rFonts w:ascii="GHEA Grapalat" w:hAnsi="GHEA Grapalat" w:cs="GHEA Grapalat"/>
          <w:color w:val="000000"/>
          <w:lang w:val="hy-AM"/>
        </w:rPr>
        <w:t xml:space="preserve"> կազմելով </w:t>
      </w:r>
      <w:r>
        <w:rPr>
          <w:rFonts w:ascii="GHEA Grapalat" w:hAnsi="GHEA Grapalat" w:cs="GHEA Grapalat"/>
          <w:lang w:val="hy-AM"/>
        </w:rPr>
        <w:t xml:space="preserve">առաջին եռամսյակում ծրագրված մուտքերի </w:t>
      </w:r>
      <w:r>
        <w:rPr>
          <w:rFonts w:ascii="GHEA Grapalat" w:hAnsi="GHEA Grapalat" w:cs="GHEA Grapalat"/>
        </w:rPr>
        <w:t>77.1</w:t>
      </w:r>
      <w:r>
        <w:rPr>
          <w:rFonts w:ascii="GHEA Grapalat" w:hAnsi="GHEA Grapalat" w:cs="GHEA Grapalat"/>
          <w:color w:val="000000"/>
          <w:lang w:val="hy-AM"/>
        </w:rPr>
        <w:t>%-ը:</w:t>
      </w:r>
      <w:r>
        <w:rPr>
          <w:rFonts w:ascii="GHEA Grapalat" w:hAnsi="GHEA Grapalat" w:cs="GHEA Grapalat"/>
          <w:lang w:val="hy-AM"/>
        </w:rPr>
        <w:t xml:space="preserve"> Միջոցները </w:t>
      </w:r>
      <w:r w:rsidR="00E3412B">
        <w:rPr>
          <w:rFonts w:ascii="GHEA Grapalat" w:hAnsi="GHEA Grapalat" w:cs="GHEA Grapalat"/>
        </w:rPr>
        <w:t>ստաց</w:t>
      </w:r>
      <w:r>
        <w:rPr>
          <w:rFonts w:ascii="GHEA Grapalat" w:hAnsi="GHEA Grapalat" w:cs="GHEA Grapalat"/>
          <w:lang w:val="hy-AM"/>
        </w:rPr>
        <w:t xml:space="preserve">վել են նպատակային ծրագրերի շրջանակներում, որոնց </w:t>
      </w:r>
      <w:r>
        <w:rPr>
          <w:rFonts w:ascii="GHEA Grapalat" w:hAnsi="GHEA Grapalat" w:cs="GHEA Grapalat"/>
          <w:color w:val="000000"/>
          <w:lang w:val="hy-AM"/>
        </w:rPr>
        <w:t>կատարողականով է պայմանավորված նշված ցուցանիշը: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 Մասնավորապես՝ </w:t>
      </w:r>
      <w:r>
        <w:rPr>
          <w:rFonts w:ascii="GHEA Grapalat" w:hAnsi="GHEA Grapalat" w:cs="GHEA Grapalat"/>
          <w:color w:val="000000"/>
          <w:lang w:val="hy-AM"/>
        </w:rPr>
        <w:t>547.</w:t>
      </w:r>
      <w:r w:rsidRPr="005355B1">
        <w:rPr>
          <w:rFonts w:ascii="GHEA Grapalat" w:hAnsi="GHEA Grapalat" w:cs="GHEA Grapalat"/>
          <w:color w:val="000000"/>
          <w:lang w:val="hy-AM"/>
        </w:rPr>
        <w:t>7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 մլն դրամ (նախատեսվածի </w:t>
      </w:r>
      <w:r w:rsidRPr="005355B1">
        <w:rPr>
          <w:rFonts w:ascii="GHEA Grapalat" w:hAnsi="GHEA Grapalat" w:cs="GHEA Grapalat"/>
          <w:color w:val="000000"/>
          <w:lang w:val="hy-AM"/>
        </w:rPr>
        <w:t>80.5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%-ը) տրամադրվել է Գլոբալ հիմնադրամի, </w:t>
      </w:r>
      <w:r>
        <w:rPr>
          <w:rFonts w:ascii="GHEA Grapalat" w:hAnsi="GHEA Grapalat" w:cs="GHEA Grapalat"/>
          <w:color w:val="000000"/>
        </w:rPr>
        <w:t>449.9</w:t>
      </w:r>
      <w:r w:rsidR="002E275B">
        <w:rPr>
          <w:rFonts w:ascii="Calibri" w:hAnsi="Calibri" w:cs="Calibri"/>
          <w:color w:val="000000"/>
          <w:lang w:val="hy-AM"/>
        </w:rPr>
        <w:t xml:space="preserve"> </w:t>
      </w:r>
      <w:r w:rsidRPr="004C3DDD">
        <w:rPr>
          <w:rFonts w:ascii="GHEA Grapalat" w:hAnsi="GHEA Grapalat" w:cs="GHEA Grapalat"/>
          <w:color w:val="000000"/>
          <w:lang w:val="hy-AM"/>
        </w:rPr>
        <w:t>մլն դրամ (</w:t>
      </w:r>
      <w:r w:rsidR="003C04EF">
        <w:rPr>
          <w:rFonts w:ascii="GHEA Grapalat" w:hAnsi="GHEA Grapalat" w:cs="GHEA Grapalat"/>
          <w:color w:val="000000"/>
          <w:lang w:val="hy-AM"/>
        </w:rPr>
        <w:t>նախատեսված</w:t>
      </w:r>
      <w:r w:rsidR="003C04EF">
        <w:rPr>
          <w:rFonts w:ascii="GHEA Grapalat" w:hAnsi="GHEA Grapalat" w:cs="GHEA Grapalat"/>
          <w:color w:val="000000"/>
        </w:rPr>
        <w:t xml:space="preserve"> 44 մլն դրամի դիմաց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)՝ </w:t>
      </w:r>
      <w:r w:rsidR="00E26816" w:rsidRPr="00E26816">
        <w:rPr>
          <w:rFonts w:ascii="GHEA Grapalat" w:hAnsi="GHEA Grapalat" w:cs="GHEA Grapalat"/>
          <w:color w:val="000000"/>
          <w:lang w:val="hy-AM"/>
        </w:rPr>
        <w:t xml:space="preserve">Գերմանիայի զարգացման և </w:t>
      </w:r>
      <w:r w:rsidR="00E26816">
        <w:rPr>
          <w:rFonts w:ascii="GHEA Grapalat" w:hAnsi="GHEA Grapalat" w:cs="GHEA Grapalat"/>
          <w:color w:val="000000"/>
        </w:rPr>
        <w:t>ԵՄ</w:t>
      </w:r>
      <w:r w:rsidR="00E26816" w:rsidRPr="00E26816">
        <w:rPr>
          <w:rFonts w:ascii="GHEA Grapalat" w:hAnsi="GHEA Grapalat" w:cs="GHEA Grapalat"/>
          <w:color w:val="000000"/>
          <w:lang w:val="hy-AM"/>
        </w:rPr>
        <w:t xml:space="preserve"> հարևանության ներդրումային բանկ</w:t>
      </w:r>
      <w:r w:rsidR="00E26816">
        <w:rPr>
          <w:rFonts w:ascii="GHEA Grapalat" w:hAnsi="GHEA Grapalat" w:cs="GHEA Grapalat"/>
          <w:color w:val="000000"/>
        </w:rPr>
        <w:t>երի</w:t>
      </w:r>
      <w:r>
        <w:rPr>
          <w:rFonts w:ascii="GHEA Grapalat" w:hAnsi="GHEA Grapalat" w:cs="GHEA Grapalat"/>
          <w:color w:val="000000"/>
        </w:rPr>
        <w:t>,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118.7</w:t>
      </w:r>
      <w:r w:rsidR="00E26816">
        <w:rPr>
          <w:rFonts w:ascii="GHEA Grapalat" w:hAnsi="GHEA Grapalat" w:cs="GHEA Grapalat"/>
          <w:color w:val="000000"/>
        </w:rPr>
        <w:t xml:space="preserve"> 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մլն դրամ (նախատեսվածի </w:t>
      </w:r>
      <w:r>
        <w:rPr>
          <w:rFonts w:ascii="GHEA Grapalat" w:hAnsi="GHEA Grapalat" w:cs="GHEA Grapalat"/>
          <w:color w:val="000000"/>
          <w:lang w:val="hy-AM"/>
        </w:rPr>
        <w:t>216.</w:t>
      </w:r>
      <w:r w:rsidRPr="005355B1">
        <w:rPr>
          <w:rFonts w:ascii="GHEA Grapalat" w:hAnsi="GHEA Grapalat" w:cs="GHEA Grapalat"/>
          <w:color w:val="000000"/>
          <w:lang w:val="hy-AM"/>
        </w:rPr>
        <w:t>8</w:t>
      </w:r>
      <w:r w:rsidRPr="004C3DDD">
        <w:rPr>
          <w:rFonts w:ascii="GHEA Grapalat" w:hAnsi="GHEA Grapalat" w:cs="GHEA Grapalat"/>
          <w:color w:val="000000"/>
          <w:lang w:val="hy-AM"/>
        </w:rPr>
        <w:t xml:space="preserve">%-ը)՝ </w:t>
      </w:r>
      <w:r>
        <w:rPr>
          <w:rFonts w:ascii="GHEA Grapalat" w:hAnsi="GHEA Grapalat" w:cs="GHEA Grapalat"/>
          <w:color w:val="000000"/>
          <w:lang w:val="hy-AM"/>
        </w:rPr>
        <w:t>Եվրասիական զ</w:t>
      </w:r>
      <w:r w:rsidRPr="00397795">
        <w:rPr>
          <w:rFonts w:ascii="GHEA Grapalat" w:hAnsi="GHEA Grapalat" w:cs="GHEA Grapalat"/>
          <w:color w:val="000000"/>
          <w:lang w:val="hy-AM"/>
        </w:rPr>
        <w:t>արգացման բանկ</w:t>
      </w:r>
      <w:r w:rsidRPr="005355B1">
        <w:rPr>
          <w:rFonts w:ascii="GHEA Grapalat" w:hAnsi="GHEA Grapalat" w:cs="GHEA Grapalat"/>
          <w:color w:val="000000"/>
          <w:lang w:val="hy-AM"/>
        </w:rPr>
        <w:t xml:space="preserve">ի </w:t>
      </w:r>
      <w:r w:rsidRPr="004C3DDD">
        <w:rPr>
          <w:rFonts w:ascii="GHEA Grapalat" w:hAnsi="GHEA Grapalat" w:cs="GHEA Grapalat"/>
          <w:color w:val="000000"/>
          <w:lang w:val="hy-AM"/>
        </w:rPr>
        <w:t>աջակցությամբ իրականացվող դրամաշնորհային ծրագրերի շրջանակներում: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FF5A36">
        <w:rPr>
          <w:rFonts w:ascii="GHEA Grapalat" w:hAnsi="GHEA Grapalat" w:cs="GHEA Grapalat"/>
          <w:lang w:val="hy-AM"/>
        </w:rPr>
        <w:t>Հունվար</w:t>
      </w:r>
      <w:r>
        <w:rPr>
          <w:rFonts w:ascii="GHEA Grapalat" w:hAnsi="GHEA Grapalat" w:cs="GHEA Grapalat"/>
          <w:lang w:val="hy-AM"/>
        </w:rPr>
        <w:t>-մարտին</w:t>
      </w:r>
      <w:r w:rsidRPr="00FF5A36">
        <w:rPr>
          <w:rFonts w:ascii="GHEA Grapalat" w:hAnsi="GHEA Grapalat" w:cs="GHEA Grapalat"/>
          <w:lang w:val="hy-AM"/>
        </w:rPr>
        <w:t xml:space="preserve"> պ</w:t>
      </w:r>
      <w:r>
        <w:rPr>
          <w:rFonts w:ascii="GHEA Grapalat" w:hAnsi="GHEA Grapalat" w:cs="GHEA Grapalat"/>
          <w:lang w:val="hy-AM"/>
        </w:rPr>
        <w:t>ետական բյուջե մուտքագրված պաշտոնական դրամաշնորհները 2.</w:t>
      </w:r>
      <w:r>
        <w:rPr>
          <w:rFonts w:ascii="GHEA Grapalat" w:hAnsi="GHEA Grapalat" w:cs="GHEA Grapalat"/>
        </w:rPr>
        <w:t>7</w:t>
      </w:r>
      <w:r w:rsidRPr="005355B1">
        <w:rPr>
          <w:rFonts w:ascii="GHEA Grapalat" w:hAnsi="GHEA Grapalat" w:cs="GHEA Grapalat"/>
          <w:lang w:val="hy-AM"/>
        </w:rPr>
        <w:t xml:space="preserve"> անգամ</w:t>
      </w:r>
      <w:r>
        <w:rPr>
          <w:rFonts w:ascii="GHEA Grapalat" w:hAnsi="GHEA Grapalat" w:cs="GHEA Grapalat"/>
          <w:lang w:val="hy-AM"/>
        </w:rPr>
        <w:t xml:space="preserve"> կամ 922.</w:t>
      </w:r>
      <w:r>
        <w:rPr>
          <w:rFonts w:ascii="GHEA Grapalat" w:hAnsi="GHEA Grapalat" w:cs="GHEA Grapalat"/>
        </w:rPr>
        <w:t>7</w:t>
      </w:r>
      <w:r w:rsidRPr="005355B1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մլն դրամով </w:t>
      </w:r>
      <w:r w:rsidRPr="005355B1">
        <w:rPr>
          <w:rFonts w:ascii="GHEA Grapalat" w:hAnsi="GHEA Grapalat" w:cs="GHEA Grapalat"/>
          <w:lang w:val="hy-AM"/>
        </w:rPr>
        <w:t xml:space="preserve">գերազանցել </w:t>
      </w:r>
      <w:r w:rsidRPr="00FF5A36">
        <w:rPr>
          <w:rFonts w:ascii="GHEA Grapalat" w:hAnsi="GHEA Grapalat" w:cs="GHEA Grapalat"/>
          <w:lang w:val="hy-AM"/>
        </w:rPr>
        <w:t>են</w:t>
      </w:r>
      <w:r>
        <w:rPr>
          <w:rFonts w:ascii="GHEA Grapalat" w:hAnsi="GHEA Grapalat" w:cs="GHEA Grapalat"/>
          <w:lang w:val="hy-AM"/>
        </w:rPr>
        <w:t xml:space="preserve"> նախորդ տարվա նույն ժամանակահատվածի մուտքերը:</w:t>
      </w:r>
    </w:p>
    <w:p w:rsidR="00882BF7" w:rsidRPr="004232AB" w:rsidRDefault="00882BF7" w:rsidP="00882BF7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2025</w:t>
      </w:r>
      <w:r w:rsidRPr="00DF3C10">
        <w:rPr>
          <w:rFonts w:ascii="GHEA Grapalat" w:hAnsi="GHEA Grapalat" w:cs="GHEA Grapalat"/>
          <w:lang w:val="hy-AM"/>
        </w:rPr>
        <w:t xml:space="preserve"> թվականի </w:t>
      </w:r>
      <w:r w:rsidRPr="004232AB">
        <w:rPr>
          <w:rFonts w:ascii="GHEA Grapalat" w:hAnsi="GHEA Grapalat" w:cs="GHEA Grapalat"/>
          <w:lang w:val="hy-AM"/>
        </w:rPr>
        <w:t xml:space="preserve">առաջին եռամսյակում </w:t>
      </w:r>
      <w:r w:rsidRPr="00441EDB">
        <w:rPr>
          <w:rFonts w:ascii="GHEA Grapalat" w:hAnsi="GHEA Grapalat" w:cs="Calibri"/>
          <w:bCs/>
          <w:lang w:val="hy-AM"/>
        </w:rPr>
        <w:t xml:space="preserve">ՀՀ պետական բյուջեի </w:t>
      </w:r>
      <w:r w:rsidRPr="00441EDB">
        <w:rPr>
          <w:rFonts w:ascii="GHEA Grapalat" w:hAnsi="GHEA Grapalat" w:cs="Calibri"/>
          <w:bCs/>
          <w:i/>
          <w:lang w:val="hy-AM"/>
        </w:rPr>
        <w:t>այլ եկամուտները</w:t>
      </w:r>
      <w:r>
        <w:rPr>
          <w:rFonts w:ascii="GHEA Grapalat" w:hAnsi="GHEA Grapalat" w:cs="Calibri"/>
          <w:bCs/>
          <w:lang w:val="hy-AM"/>
        </w:rPr>
        <w:t xml:space="preserve"> կազմել են ավելի քան </w:t>
      </w:r>
      <w:r w:rsidRPr="004232AB">
        <w:rPr>
          <w:rFonts w:ascii="GHEA Grapalat" w:hAnsi="GHEA Grapalat" w:cs="Calibri"/>
          <w:bCs/>
          <w:lang w:val="hy-AM"/>
        </w:rPr>
        <w:t>29.4</w:t>
      </w:r>
      <w:r>
        <w:rPr>
          <w:rFonts w:ascii="GHEA Grapalat" w:hAnsi="GHEA Grapalat" w:cs="Calibri"/>
          <w:bCs/>
          <w:lang w:val="hy-AM"/>
        </w:rPr>
        <w:t xml:space="preserve"> մլրդ դրամ՝</w:t>
      </w:r>
      <w:r w:rsidRPr="008735FA">
        <w:rPr>
          <w:rFonts w:ascii="GHEA Grapalat" w:hAnsi="GHEA Grapalat" w:cs="Calibri"/>
          <w:bCs/>
          <w:lang w:val="hy-AM"/>
        </w:rPr>
        <w:t xml:space="preserve"> </w:t>
      </w:r>
      <w:r w:rsidRPr="004232AB">
        <w:rPr>
          <w:rFonts w:ascii="GHEA Grapalat" w:hAnsi="GHEA Grapalat" w:cs="Calibri"/>
          <w:bCs/>
          <w:lang w:val="hy-AM"/>
        </w:rPr>
        <w:t>49.6</w:t>
      </w:r>
      <w:r w:rsidRPr="00EE1936">
        <w:rPr>
          <w:rFonts w:ascii="GHEA Grapalat" w:hAnsi="GHEA Grapalat" w:cs="GHEA Grapalat"/>
          <w:color w:val="000000"/>
          <w:lang w:val="hy-AM"/>
        </w:rPr>
        <w:t xml:space="preserve">%-ով </w:t>
      </w:r>
      <w:r w:rsidRPr="0087743D">
        <w:rPr>
          <w:rFonts w:ascii="GHEA Grapalat" w:hAnsi="GHEA Grapalat" w:cs="GHEA Grapalat"/>
          <w:lang w:val="hy-AM"/>
        </w:rPr>
        <w:t>գերազանցելով ծրագրված ցուցանիշը</w:t>
      </w:r>
      <w:r w:rsidRPr="00EE1936">
        <w:rPr>
          <w:rFonts w:ascii="GHEA Grapalat" w:hAnsi="GHEA Grapalat" w:cs="GHEA Grapalat"/>
          <w:color w:val="000000"/>
          <w:lang w:val="hy-AM"/>
        </w:rPr>
        <w:t xml:space="preserve"> </w:t>
      </w:r>
      <w:r w:rsidRPr="00171FB2">
        <w:rPr>
          <w:rFonts w:ascii="GHEA Grapalat" w:hAnsi="GHEA Grapalat" w:cs="GHEA Grapalat"/>
          <w:lang w:val="hy-AM"/>
        </w:rPr>
        <w:t xml:space="preserve">և </w:t>
      </w:r>
      <w:r w:rsidRPr="004232AB">
        <w:rPr>
          <w:rFonts w:ascii="GHEA Grapalat" w:hAnsi="GHEA Grapalat" w:cs="GHEA Grapalat"/>
          <w:lang w:val="hy-AM"/>
        </w:rPr>
        <w:t>23.3</w:t>
      </w:r>
      <w:r w:rsidRPr="00DF3C10">
        <w:rPr>
          <w:rFonts w:ascii="GHEA Grapalat" w:hAnsi="GHEA Grapalat" w:cs="GHEA Grapalat"/>
          <w:lang w:val="hy-AM"/>
        </w:rPr>
        <w:t xml:space="preserve">%-ով կամ </w:t>
      </w:r>
      <w:r w:rsidRPr="004232AB">
        <w:rPr>
          <w:rFonts w:ascii="GHEA Grapalat" w:hAnsi="GHEA Grapalat" w:cs="GHEA Grapalat"/>
          <w:lang w:val="hy-AM"/>
        </w:rPr>
        <w:t xml:space="preserve">5.6 </w:t>
      </w:r>
      <w:r w:rsidRPr="00DF3C10">
        <w:rPr>
          <w:rFonts w:ascii="GHEA Grapalat" w:hAnsi="GHEA Grapalat" w:cs="GHEA Grapalat"/>
          <w:lang w:val="hy-AM"/>
        </w:rPr>
        <w:t>մլրդ դրամով</w:t>
      </w:r>
      <w:r w:rsidR="002E32B8">
        <w:rPr>
          <w:rFonts w:ascii="GHEA Grapalat" w:hAnsi="GHEA Grapalat" w:cs="GHEA Grapalat"/>
        </w:rPr>
        <w:t>`</w:t>
      </w:r>
      <w:r w:rsidRPr="00DF3C10">
        <w:rPr>
          <w:rFonts w:ascii="GHEA Grapalat" w:hAnsi="GHEA Grapalat" w:cs="GHEA Grapalat"/>
          <w:lang w:val="hy-AM"/>
        </w:rPr>
        <w:t xml:space="preserve"> նախորդ տարվա նույն ժամանակահատվածի ցուցանիշը</w:t>
      </w:r>
      <w:r w:rsidRPr="00171FB2">
        <w:rPr>
          <w:rFonts w:ascii="GHEA Grapalat" w:hAnsi="GHEA Grapalat" w:cs="GHEA Grapalat"/>
          <w:lang w:val="hy-AM"/>
        </w:rPr>
        <w:t>:</w:t>
      </w:r>
      <w:r w:rsidR="00622331">
        <w:rPr>
          <w:rFonts w:ascii="GHEA Grapalat" w:hAnsi="GHEA Grapalat" w:cs="GHEA Grapalat"/>
          <w:color w:val="000000"/>
          <w:lang w:val="hy-AM"/>
        </w:rPr>
        <w:t xml:space="preserve"> </w:t>
      </w:r>
      <w:r w:rsidRPr="002300DC">
        <w:rPr>
          <w:rFonts w:ascii="GHEA Grapalat" w:hAnsi="GHEA Grapalat" w:cs="GHEA Grapalat"/>
          <w:lang w:val="hy-AM"/>
        </w:rPr>
        <w:t xml:space="preserve">Ծրագրված </w:t>
      </w:r>
      <w:r w:rsidRPr="004232AB">
        <w:rPr>
          <w:rFonts w:ascii="GHEA Grapalat" w:hAnsi="GHEA Grapalat" w:cs="GHEA Grapalat"/>
          <w:lang w:val="hy-AM"/>
        </w:rPr>
        <w:t xml:space="preserve">և նախորդ տարվա </w:t>
      </w:r>
      <w:r w:rsidR="002E32B8">
        <w:rPr>
          <w:rFonts w:ascii="GHEA Grapalat" w:hAnsi="GHEA Grapalat" w:cs="GHEA Grapalat"/>
        </w:rPr>
        <w:t>ցուցանիշների</w:t>
      </w:r>
      <w:r w:rsidRPr="004232AB">
        <w:rPr>
          <w:rFonts w:ascii="GHEA Grapalat" w:hAnsi="GHEA Grapalat" w:cs="GHEA Grapalat"/>
          <w:lang w:val="hy-AM"/>
        </w:rPr>
        <w:t xml:space="preserve"> </w:t>
      </w:r>
      <w:r w:rsidRPr="002300DC">
        <w:rPr>
          <w:rFonts w:ascii="GHEA Grapalat" w:hAnsi="GHEA Grapalat" w:cs="GHEA Grapalat"/>
          <w:lang w:val="hy-AM"/>
        </w:rPr>
        <w:t xml:space="preserve">գերազանցումը </w:t>
      </w:r>
      <w:r w:rsidRPr="00123982">
        <w:rPr>
          <w:rFonts w:ascii="GHEA Grapalat" w:hAnsi="GHEA Grapalat" w:cs="GHEA Grapalat"/>
          <w:lang w:val="hy-AM"/>
        </w:rPr>
        <w:t xml:space="preserve">հիմնականում </w:t>
      </w:r>
      <w:r w:rsidRPr="00171FB2">
        <w:rPr>
          <w:rFonts w:ascii="GHEA Grapalat" w:hAnsi="GHEA Grapalat" w:cs="GHEA Grapalat"/>
          <w:lang w:val="hy-AM"/>
        </w:rPr>
        <w:t>պայմանավորված</w:t>
      </w:r>
      <w:r w:rsidRPr="00FB147E">
        <w:rPr>
          <w:rFonts w:ascii="GHEA Grapalat" w:hAnsi="GHEA Grapalat" w:cs="GHEA Grapalat"/>
          <w:lang w:val="hy-AM"/>
        </w:rPr>
        <w:t xml:space="preserve"> է</w:t>
      </w:r>
      <w:r w:rsidRPr="00B27F70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Calibri"/>
          <w:bCs/>
          <w:lang w:val="hy-AM"/>
        </w:rPr>
        <w:t>օ</w:t>
      </w:r>
      <w:r w:rsidRPr="004232AB">
        <w:rPr>
          <w:rFonts w:ascii="GHEA Grapalat" w:hAnsi="GHEA Grapalat" w:cs="Calibri"/>
          <w:bCs/>
          <w:lang w:val="hy-AM"/>
        </w:rPr>
        <w:t>րենքով և իրավական այլ ակտերով սահմանված՝ պետական բյուջե մուտքագրվող այլ եկամուտների</w:t>
      </w:r>
      <w:r w:rsidRPr="004232AB">
        <w:rPr>
          <w:rFonts w:ascii="GHEA Grapalat" w:hAnsi="GHEA Grapalat" w:cs="GHEA Grapalat"/>
          <w:lang w:val="hy-AM"/>
        </w:rPr>
        <w:t xml:space="preserve"> և </w:t>
      </w:r>
      <w:r w:rsidRPr="001418D8">
        <w:rPr>
          <w:rFonts w:ascii="GHEA Grapalat" w:hAnsi="GHEA Grapalat" w:cs="GHEA Grapalat"/>
          <w:lang w:val="hy-AM"/>
        </w:rPr>
        <w:t>իրավաբանական անձանց կապիտալում կատարված ներդրումներից ստացվող շահաբաժինների</w:t>
      </w:r>
      <w:r w:rsidR="00770C3E">
        <w:rPr>
          <w:rFonts w:ascii="GHEA Grapalat" w:hAnsi="GHEA Grapalat" w:cs="GHEA Grapalat"/>
        </w:rPr>
        <w:t xml:space="preserve"> մուտքերով</w:t>
      </w:r>
      <w:r w:rsidRPr="00D70230">
        <w:rPr>
          <w:rFonts w:ascii="GHEA Grapalat" w:hAnsi="GHEA Grapalat" w:cs="GHEA Grapalat"/>
          <w:lang w:val="hy-AM"/>
        </w:rPr>
        <w:t>:</w:t>
      </w:r>
      <w:r w:rsidRPr="00731E32">
        <w:rPr>
          <w:rFonts w:ascii="GHEA Grapalat" w:hAnsi="GHEA Grapalat" w:cs="Calibri"/>
          <w:bCs/>
          <w:lang w:val="hy-AM"/>
        </w:rPr>
        <w:t xml:space="preserve"> </w:t>
      </w:r>
    </w:p>
    <w:p w:rsidR="00882BF7" w:rsidRPr="001418D8" w:rsidRDefault="00882BF7" w:rsidP="00882BF7">
      <w:pPr>
        <w:spacing w:line="360" w:lineRule="auto"/>
        <w:ind w:right="9" w:firstLine="567"/>
        <w:jc w:val="both"/>
        <w:rPr>
          <w:rFonts w:ascii="GHEA Grapalat" w:hAnsi="GHEA Grapalat" w:cs="GHEA Grapalat"/>
          <w:lang w:val="hy-AM"/>
        </w:rPr>
      </w:pPr>
      <w:r w:rsidRPr="00441EDB">
        <w:rPr>
          <w:rFonts w:ascii="GHEA Grapalat" w:hAnsi="GHEA Grapalat" w:cs="GHEA Grapalat"/>
          <w:lang w:val="hy-AM"/>
        </w:rPr>
        <w:t>Այլ եկամուտների առանձին բաղադրիչների վերաբերյալ տեղեկատվությունը ներ</w:t>
      </w:r>
      <w:r>
        <w:rPr>
          <w:rFonts w:ascii="GHEA Grapalat" w:hAnsi="GHEA Grapalat" w:cs="GHEA Grapalat"/>
          <w:lang w:val="hy-AM"/>
        </w:rPr>
        <w:t xml:space="preserve">կայացված է Աղյուսակ </w:t>
      </w:r>
      <w:r w:rsidRPr="008C5373">
        <w:rPr>
          <w:rFonts w:ascii="GHEA Grapalat" w:hAnsi="GHEA Grapalat" w:cs="GHEA Grapalat"/>
          <w:lang w:val="hy-AM"/>
        </w:rPr>
        <w:t>7</w:t>
      </w:r>
      <w:r w:rsidRPr="00441EDB">
        <w:rPr>
          <w:rFonts w:ascii="GHEA Grapalat" w:hAnsi="GHEA Grapalat" w:cs="GHEA Grapalat"/>
          <w:lang w:val="hy-AM"/>
        </w:rPr>
        <w:noBreakHyphen/>
        <w:t>ում:</w:t>
      </w:r>
      <w:r w:rsidRPr="001418D8">
        <w:rPr>
          <w:rFonts w:ascii="GHEA Grapalat" w:hAnsi="GHEA Grapalat" w:cs="GHEA Grapalat"/>
          <w:color w:val="FF0000"/>
          <w:lang w:val="hy-AM"/>
        </w:rPr>
        <w:t xml:space="preserve"> </w:t>
      </w:r>
    </w:p>
    <w:p w:rsidR="00882BF7" w:rsidRPr="006126A7" w:rsidRDefault="00882BF7" w:rsidP="00882BF7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882BF7" w:rsidRDefault="00882BF7" w:rsidP="00882BF7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BE3254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Այլ եկամուտների գծով ՀՀ պետական բյուջեի մուտքերը (մլն դրամ)</w:t>
      </w:r>
    </w:p>
    <w:tbl>
      <w:tblPr>
        <w:tblW w:w="10409" w:type="dxa"/>
        <w:tblInd w:w="-9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4"/>
        <w:gridCol w:w="1276"/>
        <w:gridCol w:w="1417"/>
        <w:gridCol w:w="1276"/>
        <w:gridCol w:w="1418"/>
        <w:gridCol w:w="1388"/>
      </w:tblGrid>
      <w:tr w:rsidR="00882BF7" w:rsidRPr="00871F92" w:rsidTr="00FF0CF8">
        <w:trPr>
          <w:trHeight w:val="8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</w:rPr>
              <w:t>4</w:t>
            </w: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թ. առաջին եռամսյակի փաստ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2024թ. առաջին եռամսյակի ճշտված պլան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</w:t>
            </w: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թ. առաջին եռամսյակի փաստ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Կատարո-ղականն առաջին եռամսյակի ճշտված պլանի նկատմամբ (</w:t>
            </w:r>
            <w:r w:rsidRPr="009B28E8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%)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2025</w:t>
            </w: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թ. առաջին ե</w:t>
            </w: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>ռամսյակը 2024թ. առաջին եռամսյակի</w:t>
            </w:r>
            <w:r w:rsidRPr="009B28E8"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  <w:t xml:space="preserve"> նկատմամբ</w:t>
            </w:r>
          </w:p>
          <w:p w:rsidR="00882BF7" w:rsidRPr="009B28E8" w:rsidRDefault="00882BF7" w:rsidP="00FF0CF8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hy-AM"/>
              </w:rPr>
            </w:pPr>
            <w:r w:rsidRPr="009B28E8">
              <w:rPr>
                <w:rFonts w:ascii="GHEA Grapalat" w:hAnsi="GHEA Grapalat" w:cs="Arial"/>
                <w:b/>
                <w:sz w:val="18"/>
                <w:szCs w:val="18"/>
              </w:rPr>
              <w:t>(%)</w:t>
            </w:r>
          </w:p>
        </w:tc>
      </w:tr>
      <w:tr w:rsidR="00882BF7" w:rsidRPr="00871F92" w:rsidTr="00FF0CF8">
        <w:trPr>
          <w:trHeight w:val="323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Այլ եկամուտներ</w:t>
            </w:r>
            <w:r w:rsidRPr="00871F92">
              <w:rPr>
                <w:rFonts w:ascii="GHEA Grapalat" w:hAnsi="GHEA Grapalat" w:cs="Calibri"/>
                <w:bCs/>
                <w:sz w:val="20"/>
                <w:szCs w:val="20"/>
              </w:rPr>
              <w:t xml:space="preserve">, 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այդ թվում`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b/>
                <w:bCs/>
                <w:sz w:val="20"/>
                <w:szCs w:val="20"/>
              </w:rPr>
              <w:t>23,862.0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19,665.9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4A3103" w:rsidRDefault="00882BF7" w:rsidP="00FF0CF8">
            <w:pPr>
              <w:jc w:val="right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29,415.1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b/>
                <w:bCs/>
                <w:sz w:val="20"/>
                <w:szCs w:val="20"/>
              </w:rPr>
              <w:t>149.6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b/>
                <w:bCs/>
                <w:sz w:val="20"/>
                <w:szCs w:val="20"/>
              </w:rPr>
              <w:t>123.3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</w:rPr>
              <w:t>Պետական սեփականություն հանդիսացող գույքի վարձակալությունից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200.5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181.6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247.3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>136.2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>123.4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</w:rPr>
              <w:t>Տոկոսավճարներ և շահաբաժիններ, այդ թվում՝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9,080.9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6,883.1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10,237.5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148.7 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112.7 </w:t>
            </w:r>
          </w:p>
        </w:tc>
      </w:tr>
      <w:tr w:rsidR="00882BF7" w:rsidRPr="00871F92" w:rsidTr="00FF0CF8">
        <w:trPr>
          <w:trHeight w:val="1235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BF7" w:rsidRPr="00871F92" w:rsidRDefault="00882BF7" w:rsidP="00FF0CF8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բանկերում և այլ ֆինանսավար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կային հաստատություններում բյուջեի ժամանակավոր ազատ միջոցների տեղաբաշխումից և դեպոզիտներից ստացվող տոկոսավճարներ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8,064.9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6,873.1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7,716.5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112.3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95.7 </w:t>
            </w:r>
          </w:p>
        </w:tc>
      </w:tr>
      <w:tr w:rsidR="00882BF7" w:rsidRPr="00871F92" w:rsidTr="00FF0CF8">
        <w:trPr>
          <w:trHeight w:val="160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BF7" w:rsidRPr="00871F92" w:rsidRDefault="00882BF7" w:rsidP="00FF0CF8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իրավաբանական անձանց կապիտալում կատարված ներդրում</w:t>
            </w:r>
            <w:r w:rsidRPr="00871F92"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ներից ստացվող շահաբաժիններ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1,016.0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10.0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2,521.0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25,210.3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248.1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871F92" w:rsidRDefault="00882BF7" w:rsidP="00FF0CF8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Պետության կողմից տրված վարկերի օգտագործման դիմաց վճարներ (տոկոսներ), այդ թվում՝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1,790.0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1,877.0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1,937.1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103.2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108.2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ռեզիդենտներին տրամադրված վարկերի օգտագործման տոկոսա</w:t>
            </w: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վճարներ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1,778.0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1,871.0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1,931.1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103.2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108.6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pStyle w:val="ListParagraph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34" w:firstLine="236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ոչ ռեզիդենտներին տրամադրված վարկերի օգտագործման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տոկոսավճար</w:t>
            </w: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12.0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5.9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6.0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101.1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49.9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Այլ կատեգորիաներում չդասակարգված տրանսֆերտներ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(15.4)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0.06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>(0.4)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Իրավախախտումների համար գործադիր, դատական մարմինների կողմից կիրառվող պատժամիջոցներից մուտքեր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7,039.8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5,315.6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6,497.2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122.2 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92.3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5,580.9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4,741.9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5,275.8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111.3 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94.5 </w:t>
            </w:r>
          </w:p>
        </w:tc>
      </w:tr>
      <w:tr w:rsidR="00882BF7" w:rsidRPr="00871F92" w:rsidTr="00FF0CF8">
        <w:trPr>
          <w:trHeight w:val="288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871F92" w:rsidRDefault="00882BF7" w:rsidP="00FF0CF8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71F92">
              <w:rPr>
                <w:rFonts w:ascii="GHEA Grapalat" w:hAnsi="GHEA Grapalat" w:cs="Calibri"/>
                <w:sz w:val="20"/>
                <w:szCs w:val="20"/>
                <w:lang w:val="hy-AM"/>
              </w:rPr>
              <w:t>Օրենքով և իրավական այլ ակտերով սահմանված՝ պետական բյուջե մուտքագրվող այլ եկամուտներ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185.3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882BF7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B15DDC">
              <w:rPr>
                <w:rFonts w:ascii="GHEA Grapalat" w:hAnsi="GHEA Grapalat" w:cs="Arial"/>
                <w:sz w:val="20"/>
                <w:szCs w:val="20"/>
              </w:rPr>
              <w:t xml:space="preserve"> 666.7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>
              <w:rPr>
                <w:rFonts w:ascii="GHEA Grapalat" w:hAnsi="GHEA Grapalat" w:cs="Arial"/>
                <w:sz w:val="20"/>
                <w:szCs w:val="20"/>
              </w:rPr>
              <w:t xml:space="preserve">5,220.1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783.0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BF7" w:rsidRPr="00B15DDC" w:rsidRDefault="00622331" w:rsidP="00FF0CF8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882BF7" w:rsidRPr="00B15DDC">
              <w:rPr>
                <w:rFonts w:ascii="GHEA Grapalat" w:hAnsi="GHEA Grapalat" w:cs="Arial"/>
                <w:sz w:val="20"/>
                <w:szCs w:val="20"/>
              </w:rPr>
              <w:t xml:space="preserve">2,817.1 </w:t>
            </w:r>
          </w:p>
        </w:tc>
      </w:tr>
    </w:tbl>
    <w:p w:rsidR="00882BF7" w:rsidRDefault="00882BF7" w:rsidP="00882BF7">
      <w:pPr>
        <w:spacing w:line="360" w:lineRule="auto"/>
        <w:ind w:right="180"/>
        <w:jc w:val="both"/>
        <w:rPr>
          <w:rFonts w:ascii="GHEA Grapalat" w:hAnsi="GHEA Grapalat" w:cs="Sylfaen"/>
          <w:lang w:val="hy-AM"/>
        </w:rPr>
      </w:pPr>
    </w:p>
    <w:p w:rsidR="00882BF7" w:rsidRDefault="00882BF7" w:rsidP="00882BF7">
      <w:pPr>
        <w:spacing w:line="360" w:lineRule="auto"/>
        <w:ind w:firstLine="540"/>
        <w:jc w:val="both"/>
        <w:rPr>
          <w:rFonts w:ascii="GHEA Grapalat" w:hAnsi="GHEA Grapalat" w:cs="Calibri"/>
          <w:bCs/>
          <w:lang w:val="hy-AM"/>
        </w:rPr>
      </w:pPr>
      <w:r w:rsidRPr="00DB5873">
        <w:rPr>
          <w:rFonts w:ascii="GHEA Grapalat" w:hAnsi="GHEA Grapalat" w:cs="Calibri"/>
          <w:bCs/>
          <w:lang w:val="hy-AM"/>
        </w:rPr>
        <w:t xml:space="preserve">Հաշվետու ժամանակահատվածում բանկերում և այլ ֆինանսավարկային հաստատություններում բյուջեի ժամանակավոր ազատ միջոցների տեղաբաշխումից և դեպոզիտներից ստացվել են 7.7 մլրդ դրամ տոկոսավճարներ, որոնք 12.3%-ով գերազանցել </w:t>
      </w:r>
      <w:r w:rsidRPr="00DB5873">
        <w:rPr>
          <w:rFonts w:ascii="GHEA Grapalat" w:hAnsi="GHEA Grapalat" w:cs="Calibri"/>
          <w:bCs/>
          <w:lang w:val="hy-AM"/>
        </w:rPr>
        <w:lastRenderedPageBreak/>
        <w:t>են եռամսյակային ծրագրային ցուցանիշը և 4.3%-ով (348.4 մլն դրամով)</w:t>
      </w:r>
      <w:r w:rsidR="00A86A45">
        <w:rPr>
          <w:rFonts w:ascii="GHEA Grapalat" w:hAnsi="GHEA Grapalat" w:cs="Calibri"/>
          <w:bCs/>
        </w:rPr>
        <w:t>՝</w:t>
      </w:r>
      <w:r w:rsidRPr="00DB5873">
        <w:rPr>
          <w:rFonts w:ascii="GHEA Grapalat" w:hAnsi="GHEA Grapalat" w:cs="Calibri"/>
          <w:bCs/>
          <w:lang w:val="hy-AM"/>
        </w:rPr>
        <w:t xml:space="preserve"> զիջել նախորդ տարվա նույն ժամանակահատվածի ցուցանիշը: </w:t>
      </w:r>
      <w:r w:rsidRPr="00877CB5">
        <w:rPr>
          <w:rFonts w:ascii="GHEA Grapalat" w:hAnsi="GHEA Grapalat" w:cs="Calibri"/>
          <w:bCs/>
          <w:lang w:val="hy-AM"/>
        </w:rPr>
        <w:t>Ծրագրված ցուցանիշի գերազանցումը պայմանավորված է 2025 թվականի առաջին եռամսյակի ընթացքում պետական բյուջեի ելքերի եռամսյակային ծրագրային ցուցանիշի համեմատաբար ցածր կատարողականով, որի պայմաններում առաջացել են լրացուցիչ ժամանակավոր ազատ դրամական միջոցներ, որոնք ներդրվել են՝ ապահովելով լրացուցիչ տոկոսային եկամուտներ</w:t>
      </w:r>
      <w:r w:rsidRPr="00877CB5">
        <w:rPr>
          <w:rFonts w:ascii="GHEA Grapalat" w:hAnsi="GHEA Grapalat"/>
          <w:lang w:val="hy-AM"/>
        </w:rPr>
        <w:t>:</w:t>
      </w:r>
      <w:r w:rsidRPr="00877CB5">
        <w:rPr>
          <w:rFonts w:ascii="GHEA Grapalat" w:hAnsi="GHEA Grapalat" w:cs="Calibri"/>
          <w:bCs/>
          <w:lang w:val="hy-AM"/>
        </w:rPr>
        <w:t xml:space="preserve"> Նախորդ տարվա նույն ժամանակահատվածի համեմատ </w:t>
      </w:r>
      <w:r w:rsidRPr="00877CB5">
        <w:rPr>
          <w:rFonts w:ascii="GHEA Grapalat" w:hAnsi="GHEA Grapalat"/>
          <w:lang w:val="hy-AM"/>
        </w:rPr>
        <w:t xml:space="preserve">զուտ տոկոսագումարների նվազումը հիմնականում պայմանավորված է տոկոսադրույքների 1.91 տոկոսային կետով իջեցմամբ: </w:t>
      </w:r>
      <w:r w:rsidRPr="00877CB5">
        <w:rPr>
          <w:rFonts w:ascii="GHEA Grapalat" w:hAnsi="GHEA Grapalat" w:cs="Calibri"/>
          <w:bCs/>
          <w:lang w:val="hy-AM"/>
        </w:rPr>
        <w:t>2025 թվականի առաջին եռամսյակում ներդրված ավանդների միջին կշռված տոկոսադրույքը կազմել է 7.37%` 2024 թվականի առաջին եռամսյակի 9.28%-ի դիմաց:</w:t>
      </w:r>
    </w:p>
    <w:p w:rsidR="00331C76" w:rsidRPr="00DB5873" w:rsidRDefault="00331C76" w:rsidP="00331C76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DB5873">
        <w:rPr>
          <w:rFonts w:ascii="GHEA Grapalat" w:hAnsi="GHEA Grapalat" w:cs="GHEA Grapalat"/>
          <w:lang w:val="hy-AM"/>
        </w:rPr>
        <w:t xml:space="preserve">Իրավաբանական անձանց կապիտալում կատարված ներդրումներից հունվար-մարտ ամիսների ընթացքում ստացվել են 2.5 մլրդ դրամ շահաբաժիններ՝ </w:t>
      </w:r>
      <w:r w:rsidRPr="00DB5873">
        <w:rPr>
          <w:rFonts w:ascii="GHEA Grapalat" w:hAnsi="GHEA Grapalat" w:cs="GHEA Grapalat"/>
          <w:color w:val="000000"/>
          <w:lang w:val="hy-AM"/>
        </w:rPr>
        <w:t>ծրագր</w:t>
      </w:r>
      <w:r w:rsidR="00DC68D5">
        <w:rPr>
          <w:rFonts w:ascii="GHEA Grapalat" w:hAnsi="GHEA Grapalat" w:cs="GHEA Grapalat"/>
          <w:color w:val="000000"/>
        </w:rPr>
        <w:t>ված 10 մլն դրամի փոխարեն,</w:t>
      </w:r>
      <w:r w:rsidR="00DC68D5">
        <w:rPr>
          <w:rFonts w:ascii="GHEA Grapalat" w:hAnsi="GHEA Grapalat" w:cs="GHEA Grapalat"/>
          <w:color w:val="000000"/>
          <w:lang w:val="hy-AM"/>
        </w:rPr>
        <w:t xml:space="preserve"> և 2.5 անգամ գերազանցելով</w:t>
      </w:r>
      <w:r w:rsidRPr="00DB5873">
        <w:rPr>
          <w:rFonts w:ascii="GHEA Grapalat" w:hAnsi="GHEA Grapalat" w:cs="GHEA Grapalat"/>
          <w:color w:val="000000"/>
          <w:lang w:val="hy-AM"/>
        </w:rPr>
        <w:t xml:space="preserve"> </w:t>
      </w:r>
      <w:r w:rsidRPr="00DB5873">
        <w:rPr>
          <w:rFonts w:ascii="GHEA Grapalat" w:hAnsi="GHEA Grapalat" w:cs="GHEA Grapalat"/>
          <w:lang w:val="hy-AM"/>
        </w:rPr>
        <w:t xml:space="preserve">նախորդ տարվա նույն ժամանակահատվածի ցուցանիշը: </w:t>
      </w:r>
      <w:r w:rsidRPr="00DB5873">
        <w:rPr>
          <w:rFonts w:ascii="GHEA Grapalat" w:hAnsi="GHEA Grapalat" w:cs="GHEA Grapalat"/>
          <w:color w:val="000000"/>
          <w:lang w:val="hy-AM"/>
        </w:rPr>
        <w:t xml:space="preserve">Աճը </w:t>
      </w:r>
      <w:r w:rsidRPr="00DB5873">
        <w:rPr>
          <w:rFonts w:ascii="GHEA Grapalat" w:hAnsi="GHEA Grapalat" w:cs="GHEA Grapalat"/>
          <w:lang w:val="hy-AM"/>
        </w:rPr>
        <w:t>հիմնականում պայմանավորված է «Վիվա Արմենիա» ՓԲԸ</w:t>
      </w:r>
      <w:r w:rsidRPr="00DB5873">
        <w:rPr>
          <w:rFonts w:ascii="GHEA Grapalat" w:hAnsi="GHEA Grapalat" w:cs="GHEA Grapalat"/>
          <w:lang w:val="hy-AM"/>
        </w:rPr>
        <w:noBreakHyphen/>
        <w:t>ի կողմից վճարված շահաբաժին</w:t>
      </w:r>
      <w:r w:rsidRPr="000F17A7">
        <w:rPr>
          <w:rFonts w:ascii="GHEA Grapalat" w:hAnsi="GHEA Grapalat" w:cs="GHEA Grapalat"/>
          <w:lang w:val="hy-AM"/>
        </w:rPr>
        <w:t>ներ</w:t>
      </w:r>
      <w:r w:rsidRPr="00DB5873">
        <w:rPr>
          <w:rFonts w:ascii="GHEA Grapalat" w:hAnsi="GHEA Grapalat" w:cs="GHEA Grapalat"/>
          <w:lang w:val="hy-AM"/>
        </w:rPr>
        <w:t>ով:</w:t>
      </w:r>
    </w:p>
    <w:p w:rsidR="00882BF7" w:rsidRPr="00DB5873" w:rsidRDefault="00882BF7" w:rsidP="00882BF7">
      <w:pPr>
        <w:spacing w:line="360" w:lineRule="auto"/>
        <w:ind w:right="9" w:firstLine="567"/>
        <w:jc w:val="both"/>
        <w:rPr>
          <w:rFonts w:ascii="GHEA Grapalat" w:hAnsi="GHEA Grapalat" w:cs="Calibri"/>
          <w:bCs/>
          <w:lang w:val="hy-AM"/>
        </w:rPr>
      </w:pPr>
      <w:r w:rsidRPr="00DB5873">
        <w:rPr>
          <w:rFonts w:ascii="GHEA Grapalat" w:hAnsi="GHEA Grapalat" w:cs="Calibri"/>
          <w:bCs/>
          <w:lang w:val="hy-AM"/>
        </w:rPr>
        <w:t xml:space="preserve">2025 թվականի առաջին եռամսյակի ընթացքում իրավախախտումների համար գործադիր և դատական մարմինների կողմից կիրառվող պատժամիջոցներից ստացված մուտքերը գերազանցել են ծրագրված ցուցանիշը 22.2%-ով։ Ծրագրի գերազանցումը մասնավորապես պայմանավորված է Մրցակցության պաշտպանության հանձնաժողովի կողմից </w:t>
      </w:r>
      <w:r w:rsidR="0003000E">
        <w:rPr>
          <w:rFonts w:ascii="GHEA Grapalat" w:hAnsi="GHEA Grapalat" w:cs="Calibri"/>
          <w:bCs/>
        </w:rPr>
        <w:t xml:space="preserve">գանձված չնախատեսված </w:t>
      </w:r>
      <w:r w:rsidR="001844F8" w:rsidRPr="00DB5873">
        <w:rPr>
          <w:rFonts w:ascii="GHEA Grapalat" w:hAnsi="GHEA Grapalat" w:cs="Calibri"/>
          <w:bCs/>
          <w:lang w:val="hy-AM"/>
        </w:rPr>
        <w:t>տուգանքներ</w:t>
      </w:r>
      <w:r w:rsidR="001844F8">
        <w:rPr>
          <w:rFonts w:ascii="GHEA Grapalat" w:hAnsi="GHEA Grapalat" w:cs="Calibri"/>
          <w:bCs/>
        </w:rPr>
        <w:t>ով</w:t>
      </w:r>
      <w:r w:rsidRPr="00DB5873">
        <w:rPr>
          <w:rFonts w:ascii="GHEA Grapalat" w:hAnsi="GHEA Grapalat" w:cs="Calibri"/>
          <w:bCs/>
          <w:lang w:val="hy-AM"/>
        </w:rPr>
        <w:t>, որոնք կազմել են 539.6 մլն դրամ</w:t>
      </w:r>
      <w:r w:rsidR="005E5BA1">
        <w:rPr>
          <w:rFonts w:ascii="GHEA Grapalat" w:hAnsi="GHEA Grapalat" w:cs="Calibri"/>
          <w:bCs/>
        </w:rPr>
        <w:t xml:space="preserve">՝ </w:t>
      </w:r>
      <w:r w:rsidRPr="00DB5873">
        <w:rPr>
          <w:rFonts w:ascii="GHEA Grapalat" w:hAnsi="GHEA Grapalat" w:cs="Calibri"/>
          <w:bCs/>
          <w:lang w:val="hy-AM"/>
        </w:rPr>
        <w:t>23.7 անգամ (516.8 մլն դրամ</w:t>
      </w:r>
      <w:r w:rsidR="005E5BA1">
        <w:rPr>
          <w:rFonts w:ascii="GHEA Grapalat" w:hAnsi="GHEA Grapalat" w:cs="Calibri"/>
          <w:bCs/>
        </w:rPr>
        <w:t>ով</w:t>
      </w:r>
      <w:r w:rsidRPr="00DB5873">
        <w:rPr>
          <w:rFonts w:ascii="GHEA Grapalat" w:hAnsi="GHEA Grapalat" w:cs="Calibri"/>
          <w:bCs/>
          <w:lang w:val="hy-AM"/>
        </w:rPr>
        <w:t>) գերազանցել է նախորդ տարվա նույն ցուցանիշը։ Հաշվետու ժամանակահատվածում մուտքերի բարձր մակարդակ է գրանցվել նաև ՀՀ արդարադատության նախարության կողմից կիրառված պատժամիջոցների դիմաց գանձված գումարների գծով, որոնք կազմել են 459.4</w:t>
      </w:r>
      <w:r w:rsidRPr="00DB5873">
        <w:rPr>
          <w:rFonts w:ascii="Calibri" w:hAnsi="Calibri" w:cs="Calibri"/>
          <w:bCs/>
          <w:lang w:val="hy-AM"/>
        </w:rPr>
        <w:t> </w:t>
      </w:r>
      <w:r w:rsidRPr="00DB5873">
        <w:rPr>
          <w:rFonts w:ascii="GHEA Grapalat" w:hAnsi="GHEA Grapalat" w:cs="Calibri"/>
          <w:bCs/>
          <w:lang w:val="hy-AM"/>
        </w:rPr>
        <w:t>մլն դրամ՝ 2.9 անգամ (301.6 մլն դրամով)</w:t>
      </w:r>
      <w:r w:rsidR="00622331">
        <w:rPr>
          <w:rFonts w:ascii="GHEA Grapalat" w:hAnsi="GHEA Grapalat" w:cs="Calibri"/>
          <w:bCs/>
          <w:lang w:val="hy-AM"/>
        </w:rPr>
        <w:t xml:space="preserve"> </w:t>
      </w:r>
      <w:r w:rsidRPr="00DB5873">
        <w:rPr>
          <w:rFonts w:ascii="GHEA Grapalat" w:hAnsi="GHEA Grapalat" w:cs="Calibri"/>
          <w:bCs/>
          <w:lang w:val="hy-AM"/>
        </w:rPr>
        <w:t>գերազանցելով ծրագրված և 2.2</w:t>
      </w:r>
      <w:r w:rsidR="00622331">
        <w:rPr>
          <w:rFonts w:ascii="GHEA Grapalat" w:hAnsi="GHEA Grapalat" w:cs="Calibri"/>
          <w:bCs/>
          <w:lang w:val="hy-AM"/>
        </w:rPr>
        <w:t xml:space="preserve"> </w:t>
      </w:r>
      <w:r w:rsidRPr="00DB5873">
        <w:rPr>
          <w:rFonts w:ascii="GHEA Grapalat" w:hAnsi="GHEA Grapalat" w:cs="Calibri"/>
          <w:bCs/>
          <w:lang w:val="hy-AM"/>
        </w:rPr>
        <w:t>անգամ (249.4 մլն դրամով)</w:t>
      </w:r>
      <w:r w:rsidR="005E5BA1">
        <w:rPr>
          <w:rFonts w:ascii="GHEA Grapalat" w:hAnsi="GHEA Grapalat" w:cs="Calibri"/>
          <w:bCs/>
        </w:rPr>
        <w:t>՝</w:t>
      </w:r>
      <w:r w:rsidR="00622331">
        <w:rPr>
          <w:rFonts w:ascii="GHEA Grapalat" w:hAnsi="GHEA Grapalat" w:cs="Calibri"/>
          <w:bCs/>
          <w:lang w:val="hy-AM"/>
        </w:rPr>
        <w:t xml:space="preserve"> </w:t>
      </w:r>
      <w:r w:rsidRPr="00DB5873">
        <w:rPr>
          <w:rFonts w:ascii="GHEA Grapalat" w:hAnsi="GHEA Grapalat" w:cs="Calibri"/>
          <w:bCs/>
          <w:lang w:val="hy-AM"/>
        </w:rPr>
        <w:t>նախորդ տարվա առաջին եռամսյակի փաստացի ցուցանիշները՝ պայմանավորված պրոբացիայի ծառայության կողմից գանձված տուգանքների աճով: 345.9 մլն դրամ են կազմել տեսչական մարմինների կողմից ապահովված մուտքերը, որոնք 74.9%</w:t>
      </w:r>
      <w:r w:rsidRPr="00DB5873">
        <w:rPr>
          <w:rFonts w:ascii="GHEA Grapalat" w:hAnsi="GHEA Grapalat" w:cs="Calibri"/>
          <w:bCs/>
          <w:lang w:val="hy-AM"/>
        </w:rPr>
        <w:noBreakHyphen/>
        <w:t>ով գերազանցել են եռամսյա ծրագրված ցուցանիշը և 55.2%</w:t>
      </w:r>
      <w:r w:rsidRPr="00DB5873">
        <w:rPr>
          <w:rFonts w:ascii="GHEA Grapalat" w:hAnsi="GHEA Grapalat" w:cs="Calibri"/>
          <w:bCs/>
          <w:lang w:val="hy-AM"/>
        </w:rPr>
        <w:noBreakHyphen/>
        <w:t xml:space="preserve">ով (123 մլն դրամով)՝ նախորդ տարվա </w:t>
      </w:r>
      <w:r w:rsidR="00B05192">
        <w:rPr>
          <w:rFonts w:ascii="GHEA Grapalat" w:hAnsi="GHEA Grapalat" w:cs="Calibri"/>
          <w:bCs/>
        </w:rPr>
        <w:t>նույն</w:t>
      </w:r>
      <w:r w:rsidRPr="00DB5873">
        <w:rPr>
          <w:rFonts w:ascii="GHEA Grapalat" w:hAnsi="GHEA Grapalat" w:cs="Calibri"/>
          <w:bCs/>
          <w:lang w:val="hy-AM"/>
        </w:rPr>
        <w:t xml:space="preserve"> ժամանակահատվածի</w:t>
      </w:r>
      <w:r w:rsidR="00622331">
        <w:rPr>
          <w:rFonts w:ascii="GHEA Grapalat" w:hAnsi="GHEA Grapalat" w:cs="Calibri"/>
          <w:bCs/>
          <w:lang w:val="hy-AM"/>
        </w:rPr>
        <w:t xml:space="preserve"> </w:t>
      </w:r>
      <w:r w:rsidRPr="00DB5873">
        <w:rPr>
          <w:rFonts w:ascii="GHEA Grapalat" w:hAnsi="GHEA Grapalat" w:cs="Calibri"/>
          <w:bCs/>
          <w:lang w:val="hy-AM"/>
        </w:rPr>
        <w:t xml:space="preserve">ցուցանիշը: </w:t>
      </w:r>
    </w:p>
    <w:p w:rsidR="00882BF7" w:rsidRPr="00DB5873" w:rsidRDefault="00882BF7" w:rsidP="00B05192">
      <w:pPr>
        <w:spacing w:line="360" w:lineRule="auto"/>
        <w:ind w:right="9" w:firstLine="567"/>
        <w:jc w:val="both"/>
        <w:rPr>
          <w:rFonts w:ascii="GHEA Grapalat" w:hAnsi="GHEA Grapalat" w:cs="GHEA Grapalat"/>
          <w:iCs/>
          <w:lang w:val="hy-AM"/>
        </w:rPr>
      </w:pPr>
      <w:r w:rsidRPr="00DB5873">
        <w:rPr>
          <w:rFonts w:ascii="GHEA Grapalat" w:hAnsi="GHEA Grapalat" w:cs="Calibri"/>
          <w:bCs/>
          <w:lang w:val="hy-AM"/>
        </w:rPr>
        <w:lastRenderedPageBreak/>
        <w:t>Հաշվետու ժամանակահատվածում իրավախախտումների համար գործադիր և դատական մարմինների կողմից կիրառվող պատժամ</w:t>
      </w:r>
      <w:r w:rsidR="00B05192">
        <w:rPr>
          <w:rFonts w:ascii="GHEA Grapalat" w:hAnsi="GHEA Grapalat" w:cs="Calibri"/>
          <w:bCs/>
          <w:lang w:val="hy-AM"/>
        </w:rPr>
        <w:t>իջոցներից ստացված մուտքերը 7.7%</w:t>
      </w:r>
      <w:r w:rsidR="00B05192">
        <w:rPr>
          <w:rFonts w:ascii="GHEA Grapalat" w:hAnsi="GHEA Grapalat" w:cs="Calibri"/>
          <w:bCs/>
          <w:lang w:val="hy-AM"/>
        </w:rPr>
        <w:noBreakHyphen/>
      </w:r>
      <w:r w:rsidRPr="00DB5873">
        <w:rPr>
          <w:rFonts w:ascii="GHEA Grapalat" w:hAnsi="GHEA Grapalat" w:cs="Calibri"/>
          <w:bCs/>
          <w:lang w:val="hy-AM"/>
        </w:rPr>
        <w:t>ով (542.6 մլն դրամով) զիջել են նախորդ տարվա</w:t>
      </w:r>
      <w:r w:rsidR="00622331">
        <w:rPr>
          <w:rFonts w:ascii="GHEA Grapalat" w:hAnsi="GHEA Grapalat" w:cs="Calibri"/>
          <w:bCs/>
          <w:lang w:val="hy-AM"/>
        </w:rPr>
        <w:t xml:space="preserve"> </w:t>
      </w:r>
      <w:r w:rsidRPr="00DB5873">
        <w:rPr>
          <w:rFonts w:ascii="GHEA Grapalat" w:hAnsi="GHEA Grapalat" w:cs="Calibri"/>
          <w:bCs/>
          <w:lang w:val="hy-AM"/>
        </w:rPr>
        <w:t>առաջին եռամսյակի փաստացի ցուցանիշը:</w:t>
      </w:r>
      <w:r w:rsidR="00B05192">
        <w:rPr>
          <w:rFonts w:ascii="GHEA Grapalat" w:hAnsi="GHEA Grapalat" w:cs="Calibri"/>
          <w:bCs/>
        </w:rPr>
        <w:t xml:space="preserve"> </w:t>
      </w:r>
      <w:r w:rsidRPr="00DB5873">
        <w:rPr>
          <w:rFonts w:ascii="GHEA Grapalat" w:hAnsi="GHEA Grapalat" w:cs="GHEA Grapalat"/>
          <w:color w:val="000000"/>
          <w:lang w:val="hy-AM"/>
        </w:rPr>
        <w:t xml:space="preserve">Մուտքերի անկումը </w:t>
      </w:r>
      <w:r w:rsidRPr="00DB5873">
        <w:rPr>
          <w:rFonts w:ascii="GHEA Grapalat" w:hAnsi="GHEA Grapalat" w:cs="GHEA Grapalat"/>
          <w:iCs/>
          <w:lang w:val="hy-AM"/>
        </w:rPr>
        <w:t>հիմնականում պայմանավորված է պետական բյուջեի նկատմամբ ստանձնած պայմանագրային պարտավորությունների չկատարման դիմաց գանձվող տույժերից մուտքեր</w:t>
      </w:r>
      <w:r w:rsidR="004E515B">
        <w:rPr>
          <w:rFonts w:ascii="GHEA Grapalat" w:hAnsi="GHEA Grapalat" w:cs="GHEA Grapalat"/>
          <w:iCs/>
        </w:rPr>
        <w:t>ի նվազամբ</w:t>
      </w:r>
      <w:r w:rsidRPr="00DB5873">
        <w:rPr>
          <w:rFonts w:ascii="GHEA Grapalat" w:hAnsi="GHEA Grapalat" w:cs="GHEA Grapalat"/>
          <w:iCs/>
          <w:lang w:val="hy-AM"/>
        </w:rPr>
        <w:t>, որոնք կազմել են 97.8 մլն դրամ՝ 91.1%-ով</w:t>
      </w:r>
      <w:r w:rsidR="00622331">
        <w:rPr>
          <w:rFonts w:ascii="GHEA Grapalat" w:hAnsi="GHEA Grapalat" w:cs="GHEA Grapalat"/>
          <w:iCs/>
        </w:rPr>
        <w:t xml:space="preserve"> (</w:t>
      </w:r>
      <w:r w:rsidR="003F7592">
        <w:rPr>
          <w:rFonts w:ascii="GHEA Grapalat" w:hAnsi="GHEA Grapalat" w:cs="GHEA Grapalat"/>
          <w:iCs/>
        </w:rPr>
        <w:t>995.9</w:t>
      </w:r>
      <w:r w:rsidR="003F7592">
        <w:rPr>
          <w:rFonts w:ascii="Calibri" w:hAnsi="Calibri" w:cs="Calibri"/>
          <w:iCs/>
        </w:rPr>
        <w:t> </w:t>
      </w:r>
      <w:r w:rsidR="00622331">
        <w:rPr>
          <w:rFonts w:ascii="GHEA Grapalat" w:hAnsi="GHEA Grapalat" w:cs="GHEA Grapalat"/>
          <w:iCs/>
        </w:rPr>
        <w:t>մ</w:t>
      </w:r>
      <w:r w:rsidR="003F7592">
        <w:rPr>
          <w:rFonts w:ascii="GHEA Grapalat" w:hAnsi="GHEA Grapalat" w:cs="GHEA Grapalat"/>
          <w:iCs/>
        </w:rPr>
        <w:t>լ</w:t>
      </w:r>
      <w:r w:rsidR="00622331">
        <w:rPr>
          <w:rFonts w:ascii="GHEA Grapalat" w:hAnsi="GHEA Grapalat" w:cs="GHEA Grapalat"/>
          <w:iCs/>
        </w:rPr>
        <w:t>ն դրամով)</w:t>
      </w:r>
      <w:r w:rsidRPr="00DB5873">
        <w:rPr>
          <w:rFonts w:ascii="GHEA Grapalat" w:hAnsi="GHEA Grapalat" w:cs="GHEA Grapalat"/>
          <w:iCs/>
          <w:lang w:val="hy-AM"/>
        </w:rPr>
        <w:t xml:space="preserve"> զիջել</w:t>
      </w:r>
      <w:r w:rsidR="004E515B">
        <w:rPr>
          <w:rFonts w:ascii="GHEA Grapalat" w:hAnsi="GHEA Grapalat" w:cs="GHEA Grapalat"/>
          <w:iCs/>
        </w:rPr>
        <w:t>ով</w:t>
      </w:r>
      <w:r w:rsidR="00622331">
        <w:rPr>
          <w:rFonts w:ascii="GHEA Grapalat" w:hAnsi="GHEA Grapalat" w:cs="GHEA Grapalat"/>
          <w:iCs/>
          <w:lang w:val="hy-AM"/>
        </w:rPr>
        <w:t xml:space="preserve"> </w:t>
      </w:r>
      <w:r w:rsidRPr="00DB5873">
        <w:rPr>
          <w:rFonts w:ascii="GHEA Grapalat" w:hAnsi="GHEA Grapalat" w:cs="GHEA Grapalat"/>
          <w:color w:val="000000"/>
          <w:lang w:val="hy-AM"/>
        </w:rPr>
        <w:t>նախորդ տարվա նույն ժամանակահատվածի ցուցանիշը:</w:t>
      </w:r>
    </w:p>
    <w:p w:rsidR="00882BF7" w:rsidRDefault="00882BF7" w:rsidP="00882BF7">
      <w:pPr>
        <w:spacing w:line="360" w:lineRule="auto"/>
        <w:ind w:firstLine="567"/>
        <w:jc w:val="both"/>
        <w:rPr>
          <w:rFonts w:ascii="GHEA Grapalat" w:hAnsi="GHEA Grapalat" w:cs="Calibri"/>
          <w:bCs/>
          <w:lang w:val="hy-AM"/>
        </w:rPr>
      </w:pPr>
      <w:r w:rsidRPr="00DB5873">
        <w:rPr>
          <w:rFonts w:ascii="GHEA Grapalat" w:hAnsi="GHEA Grapalat" w:cs="GHEA Grapalat"/>
          <w:lang w:val="hy-AM"/>
        </w:rPr>
        <w:t xml:space="preserve">Հաշվետու ժամանակահատվածում ապրանքների մատակարարումից և ծառայությունների մատուցումից ստացված </w:t>
      </w:r>
      <w:r w:rsidR="003F7592">
        <w:rPr>
          <w:rFonts w:ascii="GHEA Grapalat" w:hAnsi="GHEA Grapalat" w:cs="GHEA Grapalat"/>
        </w:rPr>
        <w:t>եկամուտն</w:t>
      </w:r>
      <w:r w:rsidRPr="00DB5873">
        <w:rPr>
          <w:rFonts w:ascii="GHEA Grapalat" w:hAnsi="GHEA Grapalat" w:cs="GHEA Grapalat"/>
          <w:lang w:val="hy-AM"/>
        </w:rPr>
        <w:t>երը 11.3%</w:t>
      </w:r>
      <w:r w:rsidRPr="00DB5873">
        <w:rPr>
          <w:rFonts w:ascii="GHEA Grapalat" w:hAnsi="GHEA Grapalat" w:cs="GHEA Grapalat"/>
          <w:lang w:val="hy-AM"/>
        </w:rPr>
        <w:noBreakHyphen/>
        <w:t>ով (533.9 մլն դրամով) գերազանցել են եռամսյակային ծրագրային ցուցանիշը և 5.5</w:t>
      </w:r>
      <w:r w:rsidRPr="00DB5873">
        <w:rPr>
          <w:rFonts w:ascii="GHEA Grapalat" w:hAnsi="GHEA Grapalat" w:cs="Calibri"/>
          <w:bCs/>
          <w:lang w:val="hy-AM"/>
        </w:rPr>
        <w:t>%</w:t>
      </w:r>
      <w:r w:rsidRPr="00DB5873">
        <w:rPr>
          <w:rFonts w:ascii="GHEA Grapalat" w:hAnsi="GHEA Grapalat" w:cs="Calibri"/>
          <w:bCs/>
          <w:lang w:val="hy-AM"/>
        </w:rPr>
        <w:noBreakHyphen/>
        <w:t>ով (305.1 մլն դրամով)</w:t>
      </w:r>
      <w:r w:rsidR="003F7592">
        <w:rPr>
          <w:rFonts w:ascii="GHEA Grapalat" w:hAnsi="GHEA Grapalat" w:cs="Calibri"/>
          <w:bCs/>
        </w:rPr>
        <w:t>՝</w:t>
      </w:r>
      <w:r w:rsidRPr="00DB5873">
        <w:rPr>
          <w:rFonts w:ascii="GHEA Grapalat" w:hAnsi="GHEA Grapalat" w:cs="Calibri"/>
          <w:bCs/>
          <w:lang w:val="hy-AM"/>
        </w:rPr>
        <w:t xml:space="preserve"> զիջել նախորդ տարվա առաջին եռամսյակի</w:t>
      </w:r>
      <w:r w:rsidRPr="00DB5873">
        <w:rPr>
          <w:rFonts w:ascii="GHEA Grapalat" w:hAnsi="GHEA Grapalat" w:cs="GHEA Grapalat"/>
          <w:lang w:val="hy-AM"/>
        </w:rPr>
        <w:t xml:space="preserve"> ցուցանիշը: </w:t>
      </w:r>
      <w:r w:rsidR="00C12E9E">
        <w:rPr>
          <w:rFonts w:ascii="GHEA Grapalat" w:hAnsi="GHEA Grapalat" w:cs="GHEA Grapalat"/>
        </w:rPr>
        <w:t>Ծրագրի գերազանցումը հիմնականում պայմանավորված է ՀՀ էկոնոմիկայի և ներ</w:t>
      </w:r>
      <w:r w:rsidR="00503BCE">
        <w:rPr>
          <w:rFonts w:ascii="GHEA Grapalat" w:hAnsi="GHEA Grapalat" w:cs="GHEA Grapalat"/>
        </w:rPr>
        <w:t>քին գործերի նախարարությունների, ինչպես նաև</w:t>
      </w:r>
      <w:r w:rsidR="00C12E9E">
        <w:rPr>
          <w:rFonts w:ascii="GHEA Grapalat" w:hAnsi="GHEA Grapalat" w:cs="GHEA Grapalat"/>
        </w:rPr>
        <w:t xml:space="preserve"> Կադաստրի կոմիտեի կողմից մատուցված ծառայություններից ստացված եկամուտների ծրագրային ցուցանիշների գերազանցմամբ, իսկ նախորդ տարվա առաջին եռամսյակի համեմատ անկումը՝ </w:t>
      </w:r>
      <w:r w:rsidR="00503BCE" w:rsidRPr="00DB5873">
        <w:rPr>
          <w:rFonts w:ascii="GHEA Grapalat" w:hAnsi="GHEA Grapalat" w:cs="Calibri"/>
          <w:bCs/>
          <w:lang w:val="hy-AM"/>
        </w:rPr>
        <w:t xml:space="preserve">ՀՀ ներքին գործերի նախարարության </w:t>
      </w:r>
      <w:r w:rsidR="00503BCE">
        <w:rPr>
          <w:rFonts w:ascii="GHEA Grapalat" w:hAnsi="GHEA Grapalat" w:cs="Calibri"/>
          <w:bCs/>
        </w:rPr>
        <w:t xml:space="preserve">և </w:t>
      </w:r>
      <w:r w:rsidR="00503BCE">
        <w:rPr>
          <w:rFonts w:ascii="GHEA Grapalat" w:hAnsi="GHEA Grapalat" w:cs="GHEA Grapalat"/>
        </w:rPr>
        <w:t>Կադաստրի կոմիտեի ապահոված եկամուտների նվազմամբ</w:t>
      </w:r>
      <w:r w:rsidR="00C12E9E">
        <w:rPr>
          <w:rFonts w:ascii="GHEA Grapalat" w:hAnsi="GHEA Grapalat" w:cs="GHEA Grapalat"/>
        </w:rPr>
        <w:t xml:space="preserve">: </w:t>
      </w:r>
      <w:r w:rsidRPr="00DB5873">
        <w:rPr>
          <w:rFonts w:ascii="GHEA Grapalat" w:hAnsi="GHEA Grapalat" w:cs="Calibri"/>
          <w:bCs/>
          <w:lang w:val="hy-AM"/>
        </w:rPr>
        <w:t>Մասնավորապես՝ ՀՀ ներքին գործերի նախարարության կողմից մատուցվ</w:t>
      </w:r>
      <w:r w:rsidR="003F7592">
        <w:rPr>
          <w:rFonts w:ascii="GHEA Grapalat" w:hAnsi="GHEA Grapalat" w:cs="Calibri"/>
          <w:bCs/>
          <w:lang w:val="hy-AM"/>
        </w:rPr>
        <w:t>ած ծառայություններից ստացված եկամուտն</w:t>
      </w:r>
      <w:r w:rsidRPr="00DB5873">
        <w:rPr>
          <w:rFonts w:ascii="GHEA Grapalat" w:hAnsi="GHEA Grapalat" w:cs="Calibri"/>
          <w:bCs/>
          <w:lang w:val="hy-AM"/>
        </w:rPr>
        <w:t xml:space="preserve">երը կազմել են ավելի քան 2.1 մլրդ դրամ՝ 8.4%-ով (163.8 մլն դրամով) գերազանցելով ծրագրված ցուցանիշը և 6.6%-ով </w:t>
      </w:r>
      <w:r w:rsidR="00D37ED7">
        <w:rPr>
          <w:rFonts w:ascii="GHEA Grapalat" w:hAnsi="GHEA Grapalat" w:cs="Calibri"/>
          <w:bCs/>
        </w:rPr>
        <w:t>(</w:t>
      </w:r>
      <w:r w:rsidRPr="00DB5873">
        <w:rPr>
          <w:rFonts w:ascii="GHEA Grapalat" w:hAnsi="GHEA Grapalat" w:cs="Calibri"/>
          <w:bCs/>
          <w:lang w:val="hy-AM"/>
        </w:rPr>
        <w:t>149.7 մլն դրամով</w:t>
      </w:r>
      <w:r w:rsidR="00D37ED7">
        <w:rPr>
          <w:rFonts w:ascii="GHEA Grapalat" w:hAnsi="GHEA Grapalat" w:cs="Calibri"/>
          <w:bCs/>
        </w:rPr>
        <w:t>)</w:t>
      </w:r>
      <w:r w:rsidRPr="00DB5873">
        <w:rPr>
          <w:rFonts w:ascii="GHEA Grapalat" w:hAnsi="GHEA Grapalat" w:cs="Calibri"/>
          <w:bCs/>
          <w:lang w:val="hy-AM"/>
        </w:rPr>
        <w:t xml:space="preserve"> զիջելով նախորդ տարվա առաջին եռամսյակի</w:t>
      </w:r>
      <w:r w:rsidRPr="00DB5873">
        <w:rPr>
          <w:rFonts w:ascii="GHEA Grapalat" w:hAnsi="GHEA Grapalat" w:cs="GHEA Grapalat"/>
          <w:lang w:val="hy-AM"/>
        </w:rPr>
        <w:t xml:space="preserve"> ցուցանիշը: Անկումը հիմնականում պայմանավորված է </w:t>
      </w:r>
      <w:r w:rsidRPr="00DB5873">
        <w:rPr>
          <w:rFonts w:ascii="GHEA Grapalat" w:hAnsi="GHEA Grapalat" w:cs="GHEA Grapalat"/>
          <w:iCs/>
          <w:lang w:val="hy-AM"/>
        </w:rPr>
        <w:t xml:space="preserve">պետական պահպանության ծառայություններ իրականացնող ստորաբաժանումների կողմից մատուցվող պայմանագրային ծառայություններից, ինչպես նաև տրանսպորտային միջոցների </w:t>
      </w:r>
      <w:r w:rsidRPr="00315CA5">
        <w:rPr>
          <w:rFonts w:ascii="GHEA Grapalat" w:hAnsi="GHEA Grapalat" w:cs="GHEA Grapalat"/>
          <w:iCs/>
          <w:lang w:val="hy-AM"/>
        </w:rPr>
        <w:t>համարանիշերի տրամադրման</w:t>
      </w:r>
      <w:r w:rsidRPr="00DB5873">
        <w:rPr>
          <w:rFonts w:ascii="GHEA Grapalat" w:hAnsi="GHEA Grapalat" w:cs="GHEA Grapalat"/>
          <w:iCs/>
          <w:lang w:val="hy-AM"/>
        </w:rPr>
        <w:t xml:space="preserve"> դիմաց ստացվող մուտքերի նվազմամբ։ </w:t>
      </w:r>
      <w:r w:rsidRPr="00315CA5">
        <w:rPr>
          <w:rFonts w:ascii="GHEA Grapalat" w:hAnsi="GHEA Grapalat" w:cs="GHEA Grapalat"/>
          <w:iCs/>
          <w:lang w:val="hy-AM"/>
        </w:rPr>
        <w:t>ՀՀ կադաստրի</w:t>
      </w:r>
      <w:r w:rsidRPr="00DB5873">
        <w:rPr>
          <w:rFonts w:ascii="GHEA Grapalat" w:hAnsi="GHEA Grapalat" w:cs="Calibri"/>
          <w:bCs/>
          <w:lang w:val="hy-AM"/>
        </w:rPr>
        <w:t xml:space="preserve"> կոմիտեի կողմից մատուցված ծառայությունների դիմաց եկամուտները կազմել են 1.5 մլրդ դրամ՝ 9.6%</w:t>
      </w:r>
      <w:r w:rsidRPr="00DB5873">
        <w:rPr>
          <w:rFonts w:ascii="GHEA Grapalat" w:hAnsi="GHEA Grapalat" w:cs="Calibri"/>
          <w:bCs/>
          <w:lang w:val="hy-AM"/>
        </w:rPr>
        <w:noBreakHyphen/>
        <w:t xml:space="preserve">ով (131.6 մլն դրամով) գերազանցելով ծրագրված ցուցանիշը և 6.5%-ով (105.5 մլն դրամով) զիջել նախորդ տարվա ցուցանիշը: ՀՀ էկոնոմիկայի նախարարության կողմից մատուցված ծառայությունների դիմաց </w:t>
      </w:r>
      <w:r w:rsidR="005103AC">
        <w:rPr>
          <w:rFonts w:ascii="GHEA Grapalat" w:hAnsi="GHEA Grapalat" w:cs="Calibri"/>
          <w:bCs/>
        </w:rPr>
        <w:t>ստաց</w:t>
      </w:r>
      <w:r w:rsidRPr="00DB5873">
        <w:rPr>
          <w:rFonts w:ascii="GHEA Grapalat" w:hAnsi="GHEA Grapalat" w:cs="Calibri"/>
          <w:bCs/>
          <w:lang w:val="hy-AM"/>
        </w:rPr>
        <w:t>վել է 300.7 մլն դրամ՝ 3 անգամ (201.4 մլն դրամով) գերազանցելով ծրագրված ցուցանիշը և 3.5%-ով (10.2 մլն դրամով)՝ նախորդ տարվա ցուցանիշը:</w:t>
      </w:r>
    </w:p>
    <w:p w:rsidR="00331C76" w:rsidRDefault="00331C76" w:rsidP="00331C76">
      <w:pPr>
        <w:spacing w:line="360" w:lineRule="auto"/>
        <w:ind w:right="9" w:firstLine="567"/>
        <w:jc w:val="both"/>
        <w:rPr>
          <w:rFonts w:ascii="GHEA Grapalat" w:hAnsi="GHEA Grapalat"/>
          <w:lang w:val="hy-AM"/>
        </w:rPr>
      </w:pPr>
      <w:r w:rsidRPr="00B15DDC">
        <w:rPr>
          <w:rFonts w:ascii="GHEA Grapalat" w:hAnsi="GHEA Grapalat" w:cs="GHEA Grapalat"/>
          <w:lang w:val="hy-AM"/>
        </w:rPr>
        <w:lastRenderedPageBreak/>
        <w:t>Օրենքով և իրավական այլ ակտերով սահմանված պետական բյուջե մուտքագրվող այլ եկամուտները</w:t>
      </w:r>
      <w:r w:rsidRPr="00DB5873">
        <w:rPr>
          <w:rFonts w:ascii="GHEA Grapalat" w:hAnsi="GHEA Grapalat" w:cs="GHEA Grapalat"/>
          <w:i/>
          <w:lang w:val="hy-AM"/>
        </w:rPr>
        <w:t xml:space="preserve"> </w:t>
      </w:r>
      <w:r w:rsidRPr="00DB5873">
        <w:rPr>
          <w:rFonts w:ascii="GHEA Grapalat" w:hAnsi="GHEA Grapalat" w:cs="GHEA Grapalat"/>
          <w:lang w:val="hy-AM"/>
        </w:rPr>
        <w:t>կազմել են 5.2 մլրդ դրամ՝ 7.8 անգամ (4.6 մլրդ դրամով) գերազանցելով առաջին եռամսյակի</w:t>
      </w:r>
      <w:r w:rsidR="00622331">
        <w:rPr>
          <w:rFonts w:ascii="GHEA Grapalat" w:hAnsi="GHEA Grapalat" w:cs="GHEA Grapalat"/>
          <w:lang w:val="hy-AM"/>
        </w:rPr>
        <w:t xml:space="preserve"> </w:t>
      </w:r>
      <w:r w:rsidRPr="00DB5873">
        <w:rPr>
          <w:rFonts w:ascii="GHEA Grapalat" w:hAnsi="GHEA Grapalat" w:cs="GHEA Grapalat"/>
          <w:lang w:val="hy-AM"/>
        </w:rPr>
        <w:t>ծրագրված ցուցանիշը և 28.2 անգամ (5</w:t>
      </w:r>
      <w:r w:rsidRPr="00DB5873">
        <w:rPr>
          <w:rFonts w:ascii="Calibri" w:hAnsi="Calibri" w:cs="Calibri"/>
          <w:lang w:val="hy-AM"/>
        </w:rPr>
        <w:t> </w:t>
      </w:r>
      <w:r w:rsidRPr="00DB5873">
        <w:rPr>
          <w:rFonts w:ascii="GHEA Grapalat" w:hAnsi="GHEA Grapalat" w:cs="GHEA Grapalat"/>
          <w:lang w:val="hy-AM"/>
        </w:rPr>
        <w:t>մլրդ դրամով)՝ նախորդ տարվա</w:t>
      </w:r>
      <w:r w:rsidR="004B2E55">
        <w:rPr>
          <w:rFonts w:ascii="GHEA Grapalat" w:hAnsi="GHEA Grapalat" w:cs="GHEA Grapalat"/>
        </w:rPr>
        <w:t xml:space="preserve"> նույն ժամանակահատվածի</w:t>
      </w:r>
      <w:r w:rsidRPr="00DB5873">
        <w:rPr>
          <w:rFonts w:ascii="GHEA Grapalat" w:hAnsi="GHEA Grapalat" w:cs="GHEA Grapalat"/>
          <w:lang w:val="hy-AM"/>
        </w:rPr>
        <w:t xml:space="preserve"> ցուցանիշը: </w:t>
      </w:r>
      <w:r w:rsidRPr="00DB5873">
        <w:rPr>
          <w:rFonts w:ascii="GHEA Grapalat" w:hAnsi="GHEA Grapalat"/>
          <w:lang w:val="hy-AM"/>
        </w:rPr>
        <w:t>Ծրագրի գերազանցումը և նախորդ տարվա համեմատ աճը պայմանավորված է նրանով, որ ՀՀ կառավարության 2024թ. դեկտեմբերի 5</w:t>
      </w:r>
      <w:r w:rsidR="004B2E55">
        <w:rPr>
          <w:rFonts w:ascii="GHEA Grapalat" w:hAnsi="GHEA Grapalat"/>
          <w:lang w:val="hy-AM"/>
        </w:rPr>
        <w:noBreakHyphen/>
      </w:r>
      <w:r w:rsidRPr="00DB5873">
        <w:rPr>
          <w:rFonts w:ascii="GHEA Grapalat" w:hAnsi="GHEA Grapalat"/>
          <w:lang w:val="hy-AM"/>
        </w:rPr>
        <w:t>ի N</w:t>
      </w:r>
      <w:r w:rsidRPr="00DB5873">
        <w:rPr>
          <w:rFonts w:ascii="Calibri" w:hAnsi="Calibri" w:cs="Calibri"/>
          <w:lang w:val="hy-AM"/>
        </w:rPr>
        <w:t> </w:t>
      </w:r>
      <w:r w:rsidRPr="00DB5873">
        <w:rPr>
          <w:rFonts w:ascii="GHEA Grapalat" w:hAnsi="GHEA Grapalat"/>
          <w:lang w:val="hy-AM"/>
        </w:rPr>
        <w:t>1922-Ն որոշման համաձայն, պետությանը և համայնքին պատճառված վնասի շրջանակներում քրեական վարույթներով վերականգնման ենթակա դրամական միջոցներ</w:t>
      </w:r>
      <w:r>
        <w:rPr>
          <w:rFonts w:ascii="GHEA Grapalat" w:hAnsi="GHEA Grapalat"/>
        </w:rPr>
        <w:t>ը</w:t>
      </w:r>
      <w:r w:rsidRPr="00DB5873">
        <w:rPr>
          <w:rFonts w:ascii="GHEA Grapalat" w:hAnsi="GHEA Grapalat"/>
          <w:lang w:val="hy-AM"/>
        </w:rPr>
        <w:t xml:space="preserve"> սկսել են վճարվել գանձապետական միասնական հաշվին:</w:t>
      </w:r>
    </w:p>
    <w:p w:rsidR="00227624" w:rsidRDefault="00227624" w:rsidP="00331C76">
      <w:pPr>
        <w:spacing w:line="360" w:lineRule="auto"/>
        <w:ind w:right="9" w:firstLine="567"/>
        <w:jc w:val="both"/>
        <w:rPr>
          <w:rFonts w:ascii="GHEA Grapalat" w:hAnsi="GHEA Grapalat"/>
          <w:lang w:val="hy-AM"/>
        </w:rPr>
      </w:pPr>
    </w:p>
    <w:p w:rsidR="00227624" w:rsidRDefault="00227624" w:rsidP="00227624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1B78BD">
        <w:rPr>
          <w:rFonts w:ascii="GHEA Grapalat" w:hAnsi="GHEA Grapalat" w:cs="GHEA Grapalat"/>
          <w:i/>
          <w:u w:val="single"/>
          <w:lang w:val="hy-AM"/>
        </w:rPr>
        <w:t>Պ</w:t>
      </w:r>
      <w:r>
        <w:rPr>
          <w:rFonts w:ascii="GHEA Grapalat" w:hAnsi="GHEA Grapalat" w:cs="GHEA Grapalat"/>
          <w:i/>
          <w:u w:val="single"/>
          <w:lang w:val="hy-AM"/>
        </w:rPr>
        <w:t xml:space="preserve">ետական </w:t>
      </w:r>
      <w:r>
        <w:rPr>
          <w:rFonts w:ascii="GHEA Grapalat" w:hAnsi="GHEA Grapalat" w:cs="GHEA Grapalat"/>
          <w:i/>
          <w:color w:val="000000"/>
          <w:u w:val="single"/>
          <w:lang w:val="hy-AM"/>
        </w:rPr>
        <w:t>բյուջեի</w:t>
      </w:r>
      <w:r>
        <w:rPr>
          <w:rFonts w:ascii="GHEA Grapalat" w:hAnsi="GHEA Grapalat" w:cs="GHEA Grapalat"/>
          <w:i/>
          <w:u w:val="single"/>
          <w:lang w:val="hy-AM"/>
        </w:rPr>
        <w:t xml:space="preserve"> ծախսերը</w:t>
      </w:r>
    </w:p>
    <w:p w:rsidR="00684CD8" w:rsidRPr="00684CD8" w:rsidRDefault="00684CD8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2025 թվականի առաջին եռամսյակում պետական բյուջեի ծախսերը կատարվել են 70.4%-ով: Շեղումը հիմնականում արձանագրվել է կապիտալ ծախսերում և սոցիալական նպաստների ու կենսաթոշակների գծով ծախսերում:</w:t>
      </w:r>
    </w:p>
    <w:p w:rsidR="00227624" w:rsidRDefault="00406635" w:rsidP="00227624">
      <w:pPr>
        <w:spacing w:line="360" w:lineRule="auto"/>
        <w:ind w:firstLine="567"/>
        <w:jc w:val="both"/>
        <w:rPr>
          <w:rFonts w:ascii="GHEA Grapalat" w:hAnsi="GHEA Grapalat" w:cs="Calibri"/>
          <w:color w:val="000000"/>
        </w:rPr>
      </w:pPr>
      <w:r>
        <w:rPr>
          <w:rFonts w:ascii="GHEA Grapalat" w:hAnsi="GHEA Grapalat" w:cs="GHEA Grapalat"/>
          <w:color w:val="000000"/>
        </w:rPr>
        <w:t>Պ</w:t>
      </w:r>
      <w:r w:rsidR="00227624">
        <w:rPr>
          <w:rFonts w:ascii="GHEA Grapalat" w:hAnsi="GHEA Grapalat" w:cs="GHEA Grapalat"/>
          <w:color w:val="000000"/>
          <w:lang w:val="hy-AM"/>
        </w:rPr>
        <w:t xml:space="preserve">ետական բյուջեի ծախսերը նախորդ տարվա </w:t>
      </w:r>
      <w:r>
        <w:rPr>
          <w:rFonts w:ascii="GHEA Grapalat" w:hAnsi="GHEA Grapalat" w:cs="GHEA Grapalat"/>
          <w:color w:val="000000"/>
        </w:rPr>
        <w:t>առաջին եռամսյակի</w:t>
      </w:r>
      <w:r w:rsidR="00227624">
        <w:rPr>
          <w:rFonts w:ascii="GHEA Grapalat" w:hAnsi="GHEA Grapalat" w:cs="GHEA Grapalat"/>
          <w:color w:val="000000"/>
          <w:lang w:val="hy-AM"/>
        </w:rPr>
        <w:t xml:space="preserve"> համեմատ </w:t>
      </w:r>
      <w:r w:rsidR="00227624">
        <w:rPr>
          <w:rFonts w:ascii="GHEA Grapalat" w:hAnsi="GHEA Grapalat" w:cs="GHEA Grapalat"/>
          <w:color w:val="000000"/>
        </w:rPr>
        <w:t xml:space="preserve">աճել </w:t>
      </w:r>
      <w:r w:rsidR="00227624" w:rsidRPr="00204636">
        <w:rPr>
          <w:rFonts w:ascii="GHEA Grapalat" w:hAnsi="GHEA Grapalat" w:cs="GHEA Grapalat"/>
          <w:color w:val="000000"/>
          <w:lang w:val="hy-AM"/>
        </w:rPr>
        <w:t xml:space="preserve">են </w:t>
      </w:r>
      <w:r w:rsidR="00227624">
        <w:rPr>
          <w:rFonts w:ascii="GHEA Grapalat" w:hAnsi="GHEA Grapalat" w:cs="GHEA Grapalat"/>
          <w:color w:val="000000"/>
        </w:rPr>
        <w:t>9.6</w:t>
      </w:r>
      <w:r w:rsidR="00227624" w:rsidRPr="00204636">
        <w:rPr>
          <w:rFonts w:ascii="GHEA Grapalat" w:hAnsi="GHEA Grapalat" w:cs="GHEA Grapalat"/>
          <w:color w:val="000000"/>
          <w:lang w:val="hy-AM"/>
        </w:rPr>
        <w:t xml:space="preserve">%-ով կամ </w:t>
      </w:r>
      <w:r w:rsidR="00227624">
        <w:rPr>
          <w:rFonts w:ascii="GHEA Grapalat" w:hAnsi="GHEA Grapalat" w:cs="GHEA Grapalat"/>
          <w:color w:val="000000"/>
        </w:rPr>
        <w:t>50.3</w:t>
      </w:r>
      <w:r w:rsidR="00227624" w:rsidRPr="00204636">
        <w:rPr>
          <w:rFonts w:ascii="GHEA Grapalat" w:hAnsi="GHEA Grapalat" w:cs="GHEA Grapalat"/>
          <w:color w:val="000000"/>
          <w:lang w:val="hy-AM"/>
        </w:rPr>
        <w:t xml:space="preserve"> մլրդ դրամով՝ </w:t>
      </w:r>
      <w:r w:rsidR="00227624">
        <w:rPr>
          <w:rFonts w:ascii="GHEA Grapalat" w:hAnsi="GHEA Grapalat" w:cs="GHEA Grapalat"/>
          <w:color w:val="000000"/>
          <w:lang w:val="hy-AM"/>
        </w:rPr>
        <w:t xml:space="preserve">հիմնականում </w:t>
      </w:r>
      <w:r w:rsidR="00227624" w:rsidRPr="0072679F">
        <w:rPr>
          <w:rFonts w:ascii="GHEA Grapalat" w:hAnsi="GHEA Grapalat" w:cs="GHEA Grapalat"/>
          <w:color w:val="000000"/>
          <w:lang w:val="hy-AM"/>
        </w:rPr>
        <w:t>պայմանավորված</w:t>
      </w:r>
      <w:r w:rsidR="00227624" w:rsidRPr="0090223B">
        <w:t xml:space="preserve"> </w:t>
      </w:r>
      <w:r w:rsidR="00A01B0C">
        <w:rPr>
          <w:rFonts w:ascii="GHEA Grapalat" w:hAnsi="GHEA Grapalat" w:cs="GHEA Grapalat"/>
          <w:color w:val="000000"/>
        </w:rPr>
        <w:t>ս</w:t>
      </w:r>
      <w:r w:rsidR="00227624" w:rsidRPr="0090223B">
        <w:rPr>
          <w:rFonts w:ascii="GHEA Grapalat" w:hAnsi="GHEA Grapalat" w:cs="GHEA Grapalat"/>
          <w:color w:val="000000"/>
          <w:lang w:val="hy-AM"/>
        </w:rPr>
        <w:t>ոցիալական նպաստներ</w:t>
      </w:r>
      <w:r w:rsidR="00227624">
        <w:rPr>
          <w:rFonts w:ascii="GHEA Grapalat" w:hAnsi="GHEA Grapalat" w:cs="GHEA Grapalat"/>
          <w:color w:val="000000"/>
        </w:rPr>
        <w:t>ի</w:t>
      </w:r>
      <w:r w:rsidR="00227624" w:rsidRPr="0090223B">
        <w:rPr>
          <w:rFonts w:ascii="GHEA Grapalat" w:hAnsi="GHEA Grapalat" w:cs="GHEA Grapalat"/>
          <w:color w:val="000000"/>
          <w:lang w:val="hy-AM"/>
        </w:rPr>
        <w:t>,</w:t>
      </w:r>
      <w:r w:rsidR="00227624" w:rsidRPr="0090223B">
        <w:rPr>
          <w:rFonts w:ascii="GHEA Grapalat" w:hAnsi="GHEA Grapalat" w:cs="Calibri"/>
          <w:color w:val="000000"/>
          <w:sz w:val="20"/>
          <w:szCs w:val="20"/>
        </w:rPr>
        <w:t xml:space="preserve"> </w:t>
      </w:r>
      <w:r w:rsidR="00227624">
        <w:rPr>
          <w:rFonts w:ascii="GHEA Grapalat" w:hAnsi="GHEA Grapalat" w:cs="Calibri"/>
          <w:color w:val="000000"/>
        </w:rPr>
        <w:t>դրամաշնորհների</w:t>
      </w:r>
      <w:r w:rsidR="001347D3">
        <w:rPr>
          <w:rFonts w:ascii="GHEA Grapalat" w:hAnsi="GHEA Grapalat" w:cs="Calibri"/>
          <w:color w:val="000000"/>
        </w:rPr>
        <w:t xml:space="preserve"> և այլ ծախսերի</w:t>
      </w:r>
      <w:r w:rsidR="00227624">
        <w:rPr>
          <w:rFonts w:ascii="GHEA Grapalat" w:hAnsi="GHEA Grapalat" w:cs="Calibri"/>
          <w:color w:val="000000"/>
        </w:rPr>
        <w:t xml:space="preserve"> աճով</w:t>
      </w:r>
      <w:r w:rsidR="0088087E">
        <w:rPr>
          <w:rFonts w:ascii="GHEA Grapalat" w:hAnsi="GHEA Grapalat" w:cs="Calibri"/>
          <w:color w:val="000000"/>
        </w:rPr>
        <w:t xml:space="preserve">, ինչպես նաև </w:t>
      </w:r>
      <w:r w:rsidR="0088087E">
        <w:rPr>
          <w:rFonts w:ascii="GHEA Grapalat" w:hAnsi="GHEA Grapalat" w:cs="Calibri"/>
          <w:color w:val="000000"/>
          <w:sz w:val="20"/>
          <w:szCs w:val="20"/>
        </w:rPr>
        <w:t>ո</w:t>
      </w:r>
      <w:r w:rsidR="0088087E">
        <w:rPr>
          <w:rFonts w:ascii="GHEA Grapalat" w:hAnsi="GHEA Grapalat" w:cs="Calibri"/>
          <w:color w:val="000000"/>
        </w:rPr>
        <w:t xml:space="preserve">չ ֆինանսական ակտիվների օտարումից մուտքերի </w:t>
      </w:r>
      <w:r w:rsidR="006950A6">
        <w:rPr>
          <w:rFonts w:ascii="GHEA Grapalat" w:hAnsi="GHEA Grapalat" w:cs="Calibri"/>
          <w:color w:val="000000"/>
        </w:rPr>
        <w:t>նվազմամբ</w:t>
      </w:r>
      <w:r w:rsidR="00227624">
        <w:rPr>
          <w:rFonts w:ascii="GHEA Grapalat" w:hAnsi="GHEA Grapalat" w:cs="Calibri"/>
          <w:color w:val="000000"/>
        </w:rPr>
        <w:t>:</w:t>
      </w:r>
    </w:p>
    <w:p w:rsidR="00A31F4A" w:rsidRPr="0090223B" w:rsidRDefault="00A31F4A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ծախսերը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969"/>
        <w:gridCol w:w="1985"/>
        <w:gridCol w:w="1842"/>
      </w:tblGrid>
      <w:tr w:rsidR="00227624" w:rsidRPr="00E95DB2" w:rsidTr="001347D3">
        <w:trPr>
          <w:trHeight w:val="8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Pr="001B78BD" w:rsidRDefault="00227624" w:rsidP="00A01B0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2024թ. </w:t>
            </w:r>
            <w:r w:rsidR="00A01B0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ռաջին եռամսյակի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փաստ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1B78BD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202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թ. 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ճշտված պլան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1B78BD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2025թ. </w:t>
            </w:r>
            <w:r w:rsidR="00A01B0C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</w:t>
            </w: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ռաջին եռամսյակի</w:t>
            </w:r>
            <w:r w:rsidRPr="001B78BD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hy-AM"/>
              </w:rPr>
              <w:t xml:space="preserve"> փաստ</w:t>
            </w:r>
          </w:p>
        </w:tc>
      </w:tr>
      <w:tr w:rsidR="00227624" w:rsidTr="001347D3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Ընդամենը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525.9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818.3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576.2</w:t>
            </w:r>
          </w:p>
        </w:tc>
      </w:tr>
      <w:tr w:rsidR="00227624" w:rsidTr="001347D3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461.0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592.4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501.4</w:t>
            </w:r>
          </w:p>
        </w:tc>
      </w:tr>
      <w:tr w:rsidR="00227624" w:rsidTr="001347D3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225.9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74.7</w:t>
            </w:r>
          </w:p>
        </w:tc>
      </w:tr>
      <w:tr w:rsidR="00227624" w:rsidTr="001347D3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ind w:firstLineChars="100" w:firstLine="200"/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7624" w:rsidTr="001347D3">
        <w:trPr>
          <w:trHeight w:val="34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Կշիռն ընդամենը ծախսերի մեջ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7624" w:rsidRPr="00036E62" w:rsidTr="001347D3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Ընթացիկ ծախսեր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87.7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72.4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87.0</w:t>
            </w:r>
          </w:p>
        </w:tc>
      </w:tr>
      <w:tr w:rsidR="00227624" w:rsidRPr="00036E62" w:rsidTr="001347D3">
        <w:trPr>
          <w:trHeight w:val="33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Ոչ ֆինանսական ակտիվների հետ գործառնություններ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color w:val="000000"/>
                <w:sz w:val="20"/>
                <w:szCs w:val="20"/>
              </w:rPr>
              <w:t>13.0</w:t>
            </w:r>
          </w:p>
        </w:tc>
      </w:tr>
    </w:tbl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u w:val="single"/>
          <w:lang w:val="hy-AM"/>
        </w:rPr>
      </w:pPr>
    </w:p>
    <w:p w:rsidR="00406635" w:rsidRPr="0032427C" w:rsidRDefault="0032427C" w:rsidP="0032427C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lastRenderedPageBreak/>
        <w:t xml:space="preserve">2025 թվականի առաջին եռամսյակում պետական բյուջեի ընթացիկ ծախսերը կատարվել են 84.6%-ով: </w:t>
      </w:r>
      <w:r w:rsidRPr="0032427C">
        <w:rPr>
          <w:rFonts w:ascii="GHEA Grapalat" w:hAnsi="GHEA Grapalat" w:cs="GHEA Grapalat"/>
          <w:color w:val="000000"/>
        </w:rPr>
        <w:t>Շեղումների կեսից ավելին բաժին է ընկել սոցիալական նպաստներին և կենսաթոշակներին: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  <w:lang w:val="hy-AM"/>
        </w:rPr>
        <w:t xml:space="preserve">Ընթացիկ ծախսերի բաղադրիչների վերաբերյալ տվյալները ներկայացված են Աղյուսակ </w:t>
      </w:r>
      <w:r w:rsidRPr="001B78BD">
        <w:rPr>
          <w:rFonts w:ascii="GHEA Grapalat" w:hAnsi="GHEA Grapalat" w:cs="GHEA Grapalat"/>
          <w:color w:val="000000"/>
          <w:lang w:val="hy-AM"/>
        </w:rPr>
        <w:t>9</w:t>
      </w:r>
      <w:r>
        <w:rPr>
          <w:rFonts w:ascii="GHEA Grapalat" w:hAnsi="GHEA Grapalat" w:cs="GHEA Grapalat"/>
          <w:color w:val="000000"/>
          <w:lang w:val="hy-AM"/>
        </w:rPr>
        <w:t>-ում: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ընթացիկ ծախսերը (մլրդ դրամ)</w:t>
      </w:r>
    </w:p>
    <w:tbl>
      <w:tblPr>
        <w:tblStyle w:val="TableGrid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1389"/>
        <w:gridCol w:w="1417"/>
        <w:gridCol w:w="1560"/>
        <w:gridCol w:w="1723"/>
      </w:tblGrid>
      <w:tr w:rsidR="00227624" w:rsidRPr="00E95DB2" w:rsidTr="00322901">
        <w:trPr>
          <w:trHeight w:val="14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Pr="002C2D5A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Pr="00A16D55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Pr="00735F51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Pr="0018220C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227624" w:rsidRPr="0094659E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24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227624" w:rsidRPr="0094659E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Ընթացիկ ծախսեր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461.0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592.4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B377C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B377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501.4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84.6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108.8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55.8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110.6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ձեռքբերում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61.6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100.3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98.9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95.4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112.9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114.0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234.2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250.3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634901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106.9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43.9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82.5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120.8</w:t>
            </w: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ind w:firstLineChars="100" w:firstLine="200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Կշիռն ընթացիկ ծախսերում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Աշխատավարձ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Ծառայությունների և ապրանքների ձեռք բերում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Տոկոսավճարներ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Սուբսիդիաներ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Դրամաշնորհներ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Սոցիալական նպաստներ և կենսաթոշակներ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49.9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227624" w:rsidTr="00322901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ծախսեր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D303E1" w:rsidRPr="00D303E1" w:rsidRDefault="00D303E1" w:rsidP="00EF6F29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 xml:space="preserve">Կառավարության պարտքի սպասարկման ծախսերը կազմել են </w:t>
      </w:r>
      <w:r w:rsidR="00641472">
        <w:rPr>
          <w:rFonts w:ascii="GHEA Grapalat" w:hAnsi="GHEA Grapalat" w:cs="GHEA Grapalat"/>
          <w:color w:val="000000"/>
        </w:rPr>
        <w:t xml:space="preserve">39.2 մլրդ դրամ կամ ծրագրված ցուցանիշի 85%-ը: Խնայողությունն արձանագրվել է հիմնականում արտաքին տոկոսավճարների ծախսերում՝ պայմանավորված </w:t>
      </w:r>
      <w:r w:rsidR="00EF6F29" w:rsidRPr="00EF6F29">
        <w:rPr>
          <w:rFonts w:ascii="GHEA Grapalat" w:hAnsi="GHEA Grapalat" w:cs="GHEA Grapalat"/>
          <w:color w:val="000000"/>
        </w:rPr>
        <w:t>6-ամսյա EURIBOR, SOFR և SDR տոկոսադրույքի կանխատեսումային և 2025թ. առաջին եռամսյակի վճարումների համար կիրառված փաստացի դրույքաչափերի տարբերությամբ,</w:t>
      </w:r>
      <w:r w:rsidR="00EF6F29">
        <w:rPr>
          <w:rFonts w:ascii="GHEA Grapalat" w:hAnsi="GHEA Grapalat" w:cs="GHEA Grapalat"/>
          <w:color w:val="000000"/>
        </w:rPr>
        <w:t xml:space="preserve"> </w:t>
      </w:r>
      <w:r w:rsidR="00EF6F29" w:rsidRPr="00EF6F29">
        <w:rPr>
          <w:rFonts w:ascii="GHEA Grapalat" w:hAnsi="GHEA Grapalat" w:cs="GHEA Grapalat"/>
          <w:color w:val="000000"/>
        </w:rPr>
        <w:t xml:space="preserve">2024թ. և 2025թ. առաջին եռամսյակի ընթացքում մի շարք վարկերի գծով մասհանումների պլանային ցուցանիշի </w:t>
      </w:r>
      <w:r w:rsidR="00EF6F29" w:rsidRPr="00EF6F29">
        <w:rPr>
          <w:rFonts w:ascii="GHEA Grapalat" w:hAnsi="GHEA Grapalat" w:cs="GHEA Grapalat"/>
          <w:color w:val="000000"/>
        </w:rPr>
        <w:lastRenderedPageBreak/>
        <w:t>էական թերակատարմամբ,</w:t>
      </w:r>
      <w:r w:rsidR="00EF6F29">
        <w:rPr>
          <w:rFonts w:ascii="GHEA Grapalat" w:hAnsi="GHEA Grapalat" w:cs="GHEA Grapalat"/>
          <w:color w:val="000000"/>
        </w:rPr>
        <w:t xml:space="preserve"> </w:t>
      </w:r>
      <w:r w:rsidR="00EF6F29" w:rsidRPr="00EF6F29">
        <w:rPr>
          <w:rFonts w:ascii="GHEA Grapalat" w:hAnsi="GHEA Grapalat" w:cs="GHEA Grapalat"/>
          <w:color w:val="000000"/>
        </w:rPr>
        <w:t>SDR-ի</w:t>
      </w:r>
      <w:r w:rsidR="00EF6F29">
        <w:rPr>
          <w:rFonts w:ascii="GHEA Grapalat" w:hAnsi="GHEA Grapalat" w:cs="GHEA Grapalat"/>
          <w:color w:val="000000"/>
        </w:rPr>
        <w:t>՝</w:t>
      </w:r>
      <w:r w:rsidR="00EF6F29" w:rsidRPr="00EF6F29">
        <w:rPr>
          <w:rFonts w:ascii="GHEA Grapalat" w:hAnsi="GHEA Grapalat" w:cs="GHEA Grapalat"/>
          <w:color w:val="000000"/>
        </w:rPr>
        <w:t xml:space="preserve"> ԱՄՆ դոլարի նկատմամբ կանխատեսումային և փաստացի ձևավորված փոխարժեք</w:t>
      </w:r>
      <w:r w:rsidR="00EF6F29">
        <w:rPr>
          <w:rFonts w:ascii="GHEA Grapalat" w:hAnsi="GHEA Grapalat" w:cs="GHEA Grapalat"/>
          <w:color w:val="000000"/>
        </w:rPr>
        <w:t>ներ</w:t>
      </w:r>
      <w:r w:rsidR="00EF6F29" w:rsidRPr="00EF6F29">
        <w:rPr>
          <w:rFonts w:ascii="GHEA Grapalat" w:hAnsi="GHEA Grapalat" w:cs="GHEA Grapalat"/>
          <w:color w:val="000000"/>
        </w:rPr>
        <w:t>ի տարբերությամբ,</w:t>
      </w:r>
      <w:r w:rsidR="00EF6F29">
        <w:rPr>
          <w:rFonts w:ascii="GHEA Grapalat" w:hAnsi="GHEA Grapalat" w:cs="GHEA Grapalat"/>
          <w:color w:val="000000"/>
        </w:rPr>
        <w:t xml:space="preserve"> </w:t>
      </w:r>
      <w:r w:rsidR="00EF6F29" w:rsidRPr="00EF6F29">
        <w:rPr>
          <w:rFonts w:ascii="GHEA Grapalat" w:hAnsi="GHEA Grapalat" w:cs="GHEA Grapalat"/>
          <w:color w:val="000000"/>
        </w:rPr>
        <w:t>արտարժույթների նկատմամբ ՀՀ դրամի կանխատեսումային և փաստացի ձևավորված փոխարժեքների տարբերությամբ</w:t>
      </w:r>
      <w:r w:rsidR="00EF6F29">
        <w:rPr>
          <w:rFonts w:ascii="GHEA Grapalat" w:hAnsi="GHEA Grapalat" w:cs="GHEA Grapalat"/>
          <w:color w:val="000000"/>
        </w:rPr>
        <w:t>:</w:t>
      </w:r>
    </w:p>
    <w:p w:rsidR="005907BE" w:rsidRDefault="00227624" w:rsidP="005907BE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204636">
        <w:rPr>
          <w:rFonts w:ascii="GHEA Grapalat" w:hAnsi="GHEA Grapalat" w:cs="GHEA Grapalat"/>
          <w:color w:val="000000"/>
          <w:lang w:val="hy-AM"/>
        </w:rPr>
        <w:t xml:space="preserve">2024 թվականի </w:t>
      </w:r>
      <w:r w:rsidR="00634901">
        <w:rPr>
          <w:rFonts w:ascii="GHEA Grapalat" w:hAnsi="GHEA Grapalat" w:cs="GHEA Grapalat"/>
          <w:color w:val="000000"/>
        </w:rPr>
        <w:t>առաջին եռամսյակի</w:t>
      </w:r>
      <w:r w:rsidRPr="00204636">
        <w:rPr>
          <w:rFonts w:ascii="GHEA Grapalat" w:hAnsi="GHEA Grapalat" w:cs="GHEA Grapalat"/>
          <w:color w:val="000000"/>
          <w:lang w:val="hy-AM"/>
        </w:rPr>
        <w:t xml:space="preserve"> համեմատ կառավարության պարտքի սպասարկման ծախսերը նվազել են </w:t>
      </w:r>
      <w:r>
        <w:rPr>
          <w:rFonts w:ascii="GHEA Grapalat" w:hAnsi="GHEA Grapalat" w:cs="GHEA Grapalat"/>
          <w:color w:val="000000"/>
        </w:rPr>
        <w:t>1</w:t>
      </w:r>
      <w:r w:rsidR="00634901">
        <w:rPr>
          <w:rFonts w:ascii="GHEA Grapalat" w:hAnsi="GHEA Grapalat" w:cs="GHEA Grapalat"/>
          <w:color w:val="000000"/>
          <w:lang w:val="hy-AM"/>
        </w:rPr>
        <w:t>.1%-ով</w:t>
      </w:r>
      <w:r w:rsidRPr="00204636">
        <w:rPr>
          <w:rFonts w:ascii="GHEA Grapalat" w:hAnsi="GHEA Grapalat" w:cs="GHEA Grapalat"/>
          <w:color w:val="000000"/>
          <w:lang w:val="hy-AM"/>
        </w:rPr>
        <w:t xml:space="preserve"> կամ </w:t>
      </w:r>
      <w:r>
        <w:rPr>
          <w:rFonts w:ascii="GHEA Grapalat" w:hAnsi="GHEA Grapalat" w:cs="GHEA Grapalat"/>
          <w:color w:val="000000"/>
        </w:rPr>
        <w:t>444</w:t>
      </w:r>
      <w:r w:rsidRPr="00204636">
        <w:rPr>
          <w:rFonts w:ascii="GHEA Grapalat" w:hAnsi="GHEA Grapalat" w:cs="GHEA Grapalat"/>
          <w:color w:val="000000"/>
          <w:lang w:val="hy-AM"/>
        </w:rPr>
        <w:t xml:space="preserve"> մլ</w:t>
      </w:r>
      <w:r>
        <w:rPr>
          <w:rFonts w:ascii="GHEA Grapalat" w:hAnsi="GHEA Grapalat" w:cs="GHEA Grapalat"/>
          <w:color w:val="000000"/>
        </w:rPr>
        <w:t>ն</w:t>
      </w:r>
      <w:r w:rsidR="00395789">
        <w:rPr>
          <w:rFonts w:ascii="GHEA Grapalat" w:hAnsi="GHEA Grapalat" w:cs="GHEA Grapalat"/>
          <w:color w:val="000000"/>
          <w:lang w:val="hy-AM"/>
        </w:rPr>
        <w:t xml:space="preserve"> դրամով</w:t>
      </w:r>
      <w:r w:rsidR="00395789">
        <w:rPr>
          <w:rFonts w:ascii="GHEA Grapalat" w:hAnsi="GHEA Grapalat" w:cs="GHEA Grapalat"/>
          <w:color w:val="000000"/>
        </w:rPr>
        <w:t>:</w:t>
      </w:r>
      <w:r w:rsidR="005907BE">
        <w:rPr>
          <w:rFonts w:ascii="GHEA Grapalat" w:hAnsi="GHEA Grapalat" w:cs="GHEA Grapalat"/>
          <w:color w:val="000000"/>
          <w:lang w:val="hy-AM"/>
        </w:rPr>
        <w:t xml:space="preserve"> </w:t>
      </w:r>
      <w:r w:rsidR="00395789">
        <w:rPr>
          <w:rFonts w:ascii="GHEA Grapalat" w:hAnsi="GHEA Grapalat" w:cs="GHEA Grapalat"/>
          <w:color w:val="000000"/>
        </w:rPr>
        <w:t>Նվազումը նույնպես արձանագրվել է</w:t>
      </w:r>
      <w:r w:rsidR="005907BE">
        <w:rPr>
          <w:rFonts w:ascii="GHEA Grapalat" w:hAnsi="GHEA Grapalat" w:cs="GHEA Grapalat"/>
          <w:color w:val="000000"/>
          <w:lang w:val="hy-AM"/>
        </w:rPr>
        <w:t xml:space="preserve"> արտաքին տոկոսավճարներ</w:t>
      </w:r>
      <w:r w:rsidR="005907BE">
        <w:rPr>
          <w:rFonts w:ascii="GHEA Grapalat" w:hAnsi="GHEA Grapalat" w:cs="GHEA Grapalat"/>
          <w:color w:val="000000"/>
        </w:rPr>
        <w:t xml:space="preserve">ի </w:t>
      </w:r>
      <w:r w:rsidR="00395789">
        <w:rPr>
          <w:rFonts w:ascii="GHEA Grapalat" w:hAnsi="GHEA Grapalat" w:cs="GHEA Grapalat"/>
          <w:color w:val="000000"/>
        </w:rPr>
        <w:t>ծախսերում՝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="005907BE">
        <w:rPr>
          <w:rFonts w:ascii="GHEA Grapalat" w:hAnsi="GHEA Grapalat"/>
          <w:color w:val="000000"/>
          <w:lang w:val="hy-AM"/>
        </w:rPr>
        <w:t xml:space="preserve">հիմնականում </w:t>
      </w:r>
      <w:r w:rsidR="005907BE" w:rsidRPr="00BD3DDF">
        <w:rPr>
          <w:rFonts w:ascii="GHEA Grapalat" w:hAnsi="GHEA Grapalat"/>
          <w:color w:val="000000"/>
          <w:lang w:val="hy-AM"/>
        </w:rPr>
        <w:t xml:space="preserve">պայմանավորված </w:t>
      </w:r>
      <w:r w:rsidR="005907BE">
        <w:rPr>
          <w:rFonts w:ascii="GHEA Grapalat" w:hAnsi="GHEA Grapalat"/>
          <w:color w:val="000000"/>
          <w:lang w:val="hy-AM"/>
        </w:rPr>
        <w:t xml:space="preserve">վճարումների փոխարկման համար կիրառված </w:t>
      </w:r>
      <w:r w:rsidR="005907BE" w:rsidRPr="0020351F">
        <w:rPr>
          <w:rFonts w:ascii="GHEA Grapalat" w:hAnsi="GHEA Grapalat"/>
          <w:color w:val="000000"/>
          <w:lang w:val="hy-AM"/>
        </w:rPr>
        <w:t xml:space="preserve">ԱՄՆ դոլար/ՀՀ դրամ </w:t>
      </w:r>
      <w:r w:rsidR="005907BE">
        <w:rPr>
          <w:rFonts w:ascii="GHEA Grapalat" w:hAnsi="GHEA Grapalat"/>
          <w:color w:val="000000"/>
          <w:lang w:val="hy-AM"/>
        </w:rPr>
        <w:t>փոխարժեքների տարբերությամբ, ինչպես նաև լողացող տոկոսադրույքով վարկերի հիմքում ընկած տոկոսադրույքների նվազմամբ: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Կառավարության պարտքի սպասարկման ծախսերը (մլրդ դրամ)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531"/>
        <w:gridCol w:w="1723"/>
      </w:tblGrid>
      <w:tr w:rsidR="00227624" w:rsidRPr="00E95DB2" w:rsidTr="001F0F8C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2C2D5A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A16D55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735F51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Pr="0018220C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227624" w:rsidRPr="0094659E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7624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227624" w:rsidRPr="0094659E" w:rsidRDefault="00227624" w:rsidP="00227624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27624" w:rsidTr="001F0F8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Տոկոսավճարներ,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46.1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150AE8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150AE8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98.9</w:t>
            </w:r>
          </w:p>
        </w:tc>
      </w:tr>
      <w:tr w:rsidR="00227624" w:rsidTr="001F0F8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Ներքին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99.7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104.1</w:t>
            </w:r>
          </w:p>
        </w:tc>
      </w:tr>
      <w:tr w:rsidR="00227624" w:rsidTr="001F0F8C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Արտաքին տոկոսավճարներ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30.8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322901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23.</w:t>
            </w:r>
            <w:r w:rsidR="00322901">
              <w:rPr>
                <w:rFonts w:ascii="GHEA Grapalat" w:hAnsi="GHEA Grapalat" w:cs="Calibri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77.8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95.8</w:t>
            </w:r>
          </w:p>
        </w:tc>
      </w:tr>
    </w:tbl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5133B7">
        <w:rPr>
          <w:rFonts w:ascii="GHEA Grapalat" w:hAnsi="GHEA Grapalat" w:cs="GHEA Grapalat"/>
          <w:color w:val="000000"/>
        </w:rPr>
        <w:t>Պետական բյուջեից</w:t>
      </w:r>
      <w:r>
        <w:rPr>
          <w:rFonts w:ascii="GHEA Grapalat" w:hAnsi="GHEA Grapalat" w:cs="GHEA Grapalat"/>
          <w:color w:val="000000"/>
        </w:rPr>
        <w:t xml:space="preserve"> տրամադրված սուբսիդիաների աճը </w:t>
      </w:r>
      <w:r>
        <w:rPr>
          <w:rFonts w:ascii="GHEA Grapalat" w:hAnsi="GHEA Grapalat" w:cs="GHEA Grapalat"/>
          <w:color w:val="000000"/>
          <w:lang w:val="hy-AM"/>
        </w:rPr>
        <w:t>202</w:t>
      </w:r>
      <w:r>
        <w:rPr>
          <w:rFonts w:ascii="GHEA Grapalat" w:hAnsi="GHEA Grapalat" w:cs="GHEA Grapalat"/>
          <w:color w:val="000000"/>
        </w:rPr>
        <w:t>4</w:t>
      </w:r>
      <w:r>
        <w:rPr>
          <w:rFonts w:ascii="GHEA Grapalat" w:hAnsi="GHEA Grapalat" w:cs="GHEA Grapalat"/>
          <w:color w:val="000000"/>
          <w:lang w:val="hy-AM"/>
        </w:rPr>
        <w:t xml:space="preserve"> թվականի </w:t>
      </w:r>
      <w:r>
        <w:rPr>
          <w:rFonts w:ascii="GHEA Grapalat" w:hAnsi="GHEA Grapalat" w:cs="GHEA Grapalat"/>
          <w:color w:val="000000"/>
        </w:rPr>
        <w:t>առաջին եռամսյակի</w:t>
      </w:r>
      <w:r>
        <w:rPr>
          <w:rFonts w:ascii="GHEA Grapalat" w:hAnsi="GHEA Grapalat" w:cs="GHEA Grapalat"/>
          <w:color w:val="000000"/>
          <w:lang w:val="hy-AM"/>
        </w:rPr>
        <w:t xml:space="preserve"> համեմատ</w:t>
      </w:r>
      <w:r>
        <w:rPr>
          <w:rFonts w:ascii="GHEA Grapalat" w:hAnsi="GHEA Grapalat" w:cs="GHEA Grapalat"/>
          <w:color w:val="000000"/>
        </w:rPr>
        <w:t xml:space="preserve"> հիմնականում </w:t>
      </w:r>
      <w:r w:rsidRPr="00585A54">
        <w:rPr>
          <w:rFonts w:ascii="GHEA Grapalat" w:hAnsi="GHEA Grapalat" w:cs="GHEA Grapalat"/>
          <w:color w:val="000000"/>
        </w:rPr>
        <w:t>պայմանավորված է</w:t>
      </w:r>
      <w:r w:rsidR="008E6AFF">
        <w:rPr>
          <w:rFonts w:ascii="GHEA Grapalat" w:hAnsi="GHEA Grapalat" w:cs="GHEA Grapalat"/>
          <w:color w:val="000000"/>
        </w:rPr>
        <w:t xml:space="preserve"> հանրակրթության ծրագրի,</w:t>
      </w:r>
      <w:r w:rsidR="00585A54">
        <w:rPr>
          <w:rFonts w:ascii="GHEA Grapalat" w:hAnsi="GHEA Grapalat" w:cs="GHEA Grapalat"/>
          <w:color w:val="000000"/>
        </w:rPr>
        <w:t xml:space="preserve"> տ</w:t>
      </w:r>
      <w:r w:rsidR="00585A54" w:rsidRPr="00585A54">
        <w:rPr>
          <w:rFonts w:ascii="GHEA Grapalat" w:hAnsi="GHEA Grapalat" w:cs="GHEA Grapalat"/>
          <w:color w:val="000000"/>
        </w:rPr>
        <w:t xml:space="preserve">նտեսության արդիականացման </w:t>
      </w:r>
      <w:r w:rsidR="00585A54">
        <w:rPr>
          <w:rFonts w:ascii="GHEA Grapalat" w:hAnsi="GHEA Grapalat" w:cs="GHEA Grapalat"/>
          <w:color w:val="000000"/>
        </w:rPr>
        <w:t>միջոցառմանը պետական աջակցության,</w:t>
      </w:r>
      <w:r>
        <w:rPr>
          <w:rFonts w:ascii="GHEA Grapalat" w:hAnsi="GHEA Grapalat" w:cs="GHEA Grapalat"/>
          <w:color w:val="000000"/>
        </w:rPr>
        <w:t xml:space="preserve"> գ</w:t>
      </w:r>
      <w:r w:rsidRPr="005133B7">
        <w:rPr>
          <w:rFonts w:ascii="GHEA Grapalat" w:hAnsi="GHEA Grapalat" w:cs="GHEA Grapalat"/>
          <w:color w:val="000000"/>
        </w:rPr>
        <w:t>յուղատնտեսու</w:t>
      </w:r>
      <w:r w:rsidR="008E6AFF">
        <w:rPr>
          <w:rFonts w:ascii="GHEA Grapalat" w:hAnsi="GHEA Grapalat" w:cs="GHEA Grapalat"/>
          <w:color w:val="000000"/>
        </w:rPr>
        <w:t>-</w:t>
      </w:r>
      <w:r w:rsidRPr="005133B7">
        <w:rPr>
          <w:rFonts w:ascii="GHEA Grapalat" w:hAnsi="GHEA Grapalat" w:cs="GHEA Grapalat"/>
          <w:color w:val="000000"/>
        </w:rPr>
        <w:t xml:space="preserve">թյան արդիականացման </w:t>
      </w:r>
      <w:r>
        <w:rPr>
          <w:rFonts w:ascii="GHEA Grapalat" w:hAnsi="GHEA Grapalat" w:cs="GHEA Grapalat"/>
          <w:color w:val="000000"/>
        </w:rPr>
        <w:t xml:space="preserve">ծրագրի և </w:t>
      </w:r>
      <w:r w:rsidR="008E6AFF">
        <w:rPr>
          <w:rFonts w:ascii="GHEA Grapalat" w:hAnsi="GHEA Grapalat" w:cs="GHEA Grapalat"/>
          <w:color w:val="000000"/>
        </w:rPr>
        <w:t>բնակարանների ու</w:t>
      </w:r>
      <w:r w:rsidRPr="005133B7">
        <w:rPr>
          <w:rFonts w:ascii="GHEA Grapalat" w:hAnsi="GHEA Grapalat" w:cs="GHEA Grapalat"/>
          <w:color w:val="000000"/>
        </w:rPr>
        <w:t xml:space="preserve"> անհատական բնակելի տների էներգաարդյունավետ վերանորոգման աշխատանքների </w:t>
      </w:r>
      <w:r>
        <w:rPr>
          <w:rFonts w:ascii="GHEA Grapalat" w:hAnsi="GHEA Grapalat" w:cs="GHEA Grapalat"/>
          <w:color w:val="000000"/>
        </w:rPr>
        <w:t xml:space="preserve">իրականացման միջոցառմանը պետական աջակցության ծախսերի համապատասխանաբար </w:t>
      </w:r>
      <w:r w:rsidR="008E6AFF">
        <w:rPr>
          <w:rFonts w:ascii="GHEA Grapalat" w:hAnsi="GHEA Grapalat" w:cs="GHEA Grapalat"/>
          <w:color w:val="000000"/>
        </w:rPr>
        <w:t xml:space="preserve">10.3% (2.3 մլրդ դրամ), </w:t>
      </w:r>
      <w:r w:rsidR="00626696">
        <w:rPr>
          <w:rFonts w:ascii="GHEA Grapalat" w:hAnsi="GHEA Grapalat" w:cs="GHEA Grapalat"/>
          <w:color w:val="000000"/>
        </w:rPr>
        <w:t xml:space="preserve">57.6% (1.8 մլրդ դրամ), </w:t>
      </w:r>
      <w:r w:rsidR="00980C03">
        <w:rPr>
          <w:rFonts w:ascii="GHEA Grapalat" w:hAnsi="GHEA Grapalat" w:cs="GHEA Grapalat"/>
          <w:color w:val="000000"/>
        </w:rPr>
        <w:t>14.</w:t>
      </w:r>
      <w:r>
        <w:rPr>
          <w:rFonts w:ascii="GHEA Grapalat" w:hAnsi="GHEA Grapalat" w:cs="GHEA Grapalat"/>
          <w:color w:val="000000"/>
        </w:rPr>
        <w:t>9% (</w:t>
      </w:r>
      <w:r w:rsidR="00980C03">
        <w:rPr>
          <w:rFonts w:ascii="GHEA Grapalat" w:hAnsi="GHEA Grapalat" w:cs="GHEA Grapalat"/>
          <w:color w:val="000000"/>
        </w:rPr>
        <w:t xml:space="preserve">710 </w:t>
      </w:r>
      <w:r>
        <w:rPr>
          <w:rFonts w:ascii="GHEA Grapalat" w:hAnsi="GHEA Grapalat" w:cs="GHEA Grapalat"/>
          <w:color w:val="000000"/>
        </w:rPr>
        <w:t>մլ</w:t>
      </w:r>
      <w:r w:rsidR="00980C03">
        <w:rPr>
          <w:rFonts w:ascii="GHEA Grapalat" w:hAnsi="GHEA Grapalat" w:cs="GHEA Grapalat"/>
          <w:color w:val="000000"/>
        </w:rPr>
        <w:t>ն</w:t>
      </w:r>
      <w:r>
        <w:rPr>
          <w:rFonts w:ascii="GHEA Grapalat" w:hAnsi="GHEA Grapalat" w:cs="GHEA Grapalat"/>
          <w:color w:val="000000"/>
        </w:rPr>
        <w:t xml:space="preserve"> դրամ) և </w:t>
      </w:r>
      <w:r w:rsidR="00895A16">
        <w:rPr>
          <w:rFonts w:ascii="GHEA Grapalat" w:hAnsi="GHEA Grapalat" w:cs="GHEA Grapalat"/>
          <w:color w:val="000000"/>
        </w:rPr>
        <w:t>2.7</w:t>
      </w:r>
      <w:r>
        <w:rPr>
          <w:rFonts w:ascii="GHEA Grapalat" w:hAnsi="GHEA Grapalat" w:cs="GHEA Grapalat"/>
          <w:color w:val="000000"/>
        </w:rPr>
        <w:t xml:space="preserve"> անգամ (7</w:t>
      </w:r>
      <w:r w:rsidR="00895A16">
        <w:rPr>
          <w:rFonts w:ascii="GHEA Grapalat" w:hAnsi="GHEA Grapalat" w:cs="GHEA Grapalat"/>
          <w:color w:val="000000"/>
        </w:rPr>
        <w:t>50</w:t>
      </w:r>
      <w:r>
        <w:rPr>
          <w:rFonts w:ascii="GHEA Grapalat" w:hAnsi="GHEA Grapalat" w:cs="GHEA Grapalat"/>
          <w:color w:val="000000"/>
        </w:rPr>
        <w:t xml:space="preserve"> մլն դրամ) աճով:</w:t>
      </w:r>
    </w:p>
    <w:p w:rsidR="00C94615" w:rsidRPr="00A92F29" w:rsidRDefault="007F51E5" w:rsidP="003143CA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2025 թվականի ա</w:t>
      </w:r>
      <w:r w:rsidR="003143CA">
        <w:rPr>
          <w:rFonts w:ascii="GHEA Grapalat" w:hAnsi="GHEA Grapalat" w:cs="GHEA Grapalat"/>
          <w:color w:val="000000"/>
        </w:rPr>
        <w:t xml:space="preserve">ռաջին եռամսյակում </w:t>
      </w:r>
      <w:r w:rsidR="003143CA">
        <w:rPr>
          <w:rFonts w:ascii="GHEA Grapalat" w:hAnsi="GHEA Grapalat" w:cs="GHEA Grapalat"/>
          <w:color w:val="000000"/>
          <w:lang w:val="hy-AM"/>
        </w:rPr>
        <w:t>պետական բյուջեից տրամադրվ</w:t>
      </w:r>
      <w:r w:rsidR="003143CA">
        <w:rPr>
          <w:rFonts w:ascii="GHEA Grapalat" w:hAnsi="GHEA Grapalat" w:cs="GHEA Grapalat"/>
          <w:color w:val="000000"/>
        </w:rPr>
        <w:t xml:space="preserve">ել են 63.5 մլրդ դրամ </w:t>
      </w:r>
      <w:r w:rsidR="003143CA">
        <w:rPr>
          <w:rFonts w:ascii="GHEA Grapalat" w:hAnsi="GHEA Grapalat" w:cs="GHEA Grapalat"/>
          <w:color w:val="000000"/>
          <w:lang w:val="hy-AM"/>
        </w:rPr>
        <w:t>դրամաշնորհներ</w:t>
      </w:r>
      <w:r w:rsidR="003143CA">
        <w:rPr>
          <w:rFonts w:ascii="GHEA Grapalat" w:hAnsi="GHEA Grapalat" w:cs="GHEA Grapalat"/>
          <w:color w:val="000000"/>
        </w:rPr>
        <w:t>, որոնք կազմել են ծրագրային ցուցանիշի 86%-ը՝ հիմնականում պայմանավորված</w:t>
      </w:r>
      <w:r w:rsidR="00A35201">
        <w:rPr>
          <w:rFonts w:ascii="GHEA Grapalat" w:hAnsi="GHEA Grapalat" w:cs="GHEA Grapalat"/>
          <w:color w:val="000000"/>
        </w:rPr>
        <w:t xml:space="preserve"> </w:t>
      </w:r>
      <w:r w:rsidR="00A35201" w:rsidRPr="00A35201">
        <w:rPr>
          <w:rFonts w:ascii="GHEA Grapalat" w:hAnsi="GHEA Grapalat" w:cs="GHEA Grapalat"/>
          <w:color w:val="000000"/>
        </w:rPr>
        <w:t>ենթակառուցվածքների զարգացման նպատակով</w:t>
      </w:r>
      <w:r w:rsidR="00A35201">
        <w:rPr>
          <w:rFonts w:ascii="GHEA Grapalat" w:hAnsi="GHEA Grapalat" w:cs="GHEA Grapalat"/>
          <w:color w:val="000000"/>
        </w:rPr>
        <w:t xml:space="preserve"> </w:t>
      </w:r>
      <w:r w:rsidR="00A35201" w:rsidRPr="00A35201">
        <w:rPr>
          <w:rFonts w:ascii="GHEA Grapalat" w:hAnsi="GHEA Grapalat" w:cs="GHEA Grapalat"/>
          <w:color w:val="000000"/>
        </w:rPr>
        <w:t>ՀՀ մարզե</w:t>
      </w:r>
      <w:r w:rsidR="00A35201">
        <w:rPr>
          <w:rFonts w:ascii="GHEA Grapalat" w:hAnsi="GHEA Grapalat" w:cs="GHEA Grapalat"/>
          <w:color w:val="000000"/>
        </w:rPr>
        <w:t>րին սուբվենցիաների տրամադրման,</w:t>
      </w:r>
      <w:r w:rsidR="003143CA">
        <w:rPr>
          <w:rFonts w:ascii="GHEA Grapalat" w:hAnsi="GHEA Grapalat" w:cs="GHEA Grapalat"/>
          <w:color w:val="000000"/>
        </w:rPr>
        <w:t xml:space="preserve"> </w:t>
      </w:r>
      <w:r w:rsidR="00A35201" w:rsidRPr="001D0D27">
        <w:rPr>
          <w:rFonts w:ascii="GHEA Grapalat" w:hAnsi="GHEA Grapalat" w:cs="GHEA Grapalat"/>
          <w:color w:val="000000"/>
          <w:lang w:val="hy-AM"/>
        </w:rPr>
        <w:t xml:space="preserve">Գիտական և գիտատեխնիկական հետազոտությունների </w:t>
      </w:r>
      <w:r w:rsidR="00A35201" w:rsidRPr="001D0D27">
        <w:rPr>
          <w:rFonts w:ascii="GHEA Grapalat" w:hAnsi="GHEA Grapalat" w:cs="GHEA Grapalat"/>
          <w:color w:val="000000"/>
          <w:lang w:val="hy-AM"/>
        </w:rPr>
        <w:lastRenderedPageBreak/>
        <w:t>ծրագ</w:t>
      </w:r>
      <w:r w:rsidR="00A35201">
        <w:rPr>
          <w:rFonts w:ascii="GHEA Grapalat" w:hAnsi="GHEA Grapalat" w:cs="GHEA Grapalat"/>
          <w:color w:val="000000"/>
          <w:lang w:val="hy-AM"/>
        </w:rPr>
        <w:t>րի</w:t>
      </w:r>
      <w:r w:rsidR="00A35201">
        <w:rPr>
          <w:rFonts w:ascii="GHEA Grapalat" w:hAnsi="GHEA Grapalat" w:cs="GHEA Grapalat"/>
          <w:color w:val="000000"/>
        </w:rPr>
        <w:t xml:space="preserve">, </w:t>
      </w:r>
      <w:r w:rsidR="003143CA">
        <w:rPr>
          <w:rFonts w:ascii="GHEA Grapalat" w:hAnsi="GHEA Grapalat" w:cs="GHEA Grapalat"/>
          <w:color w:val="000000"/>
        </w:rPr>
        <w:t>ՀՀ պաշտպանության ժամանակ զինծառայողների կյանքին կամ առողջությանը պատճառված վնասների հատուցման</w:t>
      </w:r>
      <w:r w:rsidR="00A92F29">
        <w:rPr>
          <w:rFonts w:ascii="GHEA Grapalat" w:hAnsi="GHEA Grapalat" w:cs="GHEA Grapalat"/>
          <w:color w:val="000000"/>
        </w:rPr>
        <w:t xml:space="preserve"> ծախսերի</w:t>
      </w:r>
      <w:r w:rsidR="003143CA">
        <w:rPr>
          <w:rFonts w:ascii="GHEA Grapalat" w:hAnsi="GHEA Grapalat" w:cs="GHEA Grapalat"/>
          <w:color w:val="000000"/>
        </w:rPr>
        <w:t>,</w:t>
      </w:r>
      <w:r w:rsidR="00A92F29">
        <w:rPr>
          <w:rFonts w:ascii="GHEA Grapalat" w:hAnsi="GHEA Grapalat" w:cs="GHEA Grapalat"/>
          <w:color w:val="000000"/>
        </w:rPr>
        <w:t xml:space="preserve"> ինչպես նաև</w:t>
      </w:r>
      <w:r w:rsidR="003143CA">
        <w:rPr>
          <w:rFonts w:ascii="GHEA Grapalat" w:hAnsi="GHEA Grapalat" w:cs="GHEA Grapalat"/>
          <w:color w:val="000000"/>
        </w:rPr>
        <w:t xml:space="preserve"> </w:t>
      </w:r>
      <w:r w:rsidR="00A92F29">
        <w:rPr>
          <w:rFonts w:ascii="GHEA Grapalat" w:hAnsi="GHEA Grapalat" w:cs="GHEA Grapalat"/>
          <w:color w:val="000000"/>
        </w:rPr>
        <w:t>Քաղաքային զարգացման, Մեծ նվաճումների սպորտի և Բնակարանային ապահովման ծրագրերի կատարողականով: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 w:rsidRPr="00F769F4">
        <w:rPr>
          <w:rFonts w:ascii="GHEA Grapalat" w:hAnsi="GHEA Grapalat" w:cs="GHEA Grapalat"/>
          <w:color w:val="000000"/>
          <w:lang w:val="hy-AM"/>
        </w:rPr>
        <w:t>Նախորդ տարվա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="003F4852">
        <w:rPr>
          <w:rFonts w:ascii="GHEA Grapalat" w:hAnsi="GHEA Grapalat" w:cs="GHEA Grapalat"/>
          <w:color w:val="000000"/>
        </w:rPr>
        <w:t>առաջին եռամսյակի</w:t>
      </w:r>
      <w:r>
        <w:rPr>
          <w:rFonts w:ascii="GHEA Grapalat" w:hAnsi="GHEA Grapalat" w:cs="GHEA Grapalat"/>
          <w:color w:val="000000"/>
        </w:rPr>
        <w:t xml:space="preserve"> համեմատ</w:t>
      </w:r>
      <w:r>
        <w:rPr>
          <w:rFonts w:ascii="GHEA Grapalat" w:hAnsi="GHEA Grapalat" w:cs="GHEA Grapalat"/>
          <w:color w:val="000000"/>
          <w:lang w:val="hy-AM"/>
        </w:rPr>
        <w:t xml:space="preserve"> պետական բյուջեից տրամադրված դրամաշնորհների </w:t>
      </w:r>
      <w:r>
        <w:rPr>
          <w:rFonts w:ascii="GHEA Grapalat" w:hAnsi="GHEA Grapalat" w:cs="GHEA Grapalat"/>
          <w:color w:val="000000"/>
        </w:rPr>
        <w:t>աճը</w:t>
      </w:r>
      <w:r>
        <w:rPr>
          <w:rFonts w:ascii="GHEA Grapalat" w:hAnsi="GHEA Grapalat" w:cs="GHEA Grapalat"/>
          <w:color w:val="000000"/>
          <w:lang w:val="hy-AM"/>
        </w:rPr>
        <w:t xml:space="preserve"> հիմնականում </w:t>
      </w:r>
      <w:r>
        <w:rPr>
          <w:rFonts w:ascii="GHEA Grapalat" w:hAnsi="GHEA Grapalat" w:cs="GHEA Grapalat"/>
          <w:color w:val="000000"/>
        </w:rPr>
        <w:t xml:space="preserve">պայմանավորված է </w:t>
      </w:r>
      <w:r w:rsidRPr="00F769F4">
        <w:rPr>
          <w:rFonts w:ascii="GHEA Grapalat" w:hAnsi="GHEA Grapalat" w:cs="GHEA Grapalat"/>
          <w:color w:val="000000"/>
        </w:rPr>
        <w:t>տեղեկատվական տեխնոլոգիաների ոլորտում գործունեություն իրականացնող առևտրային կազմակերպություններին և անհատ ձեռնարկատերերին</w:t>
      </w:r>
      <w:r>
        <w:rPr>
          <w:rFonts w:ascii="GHEA Grapalat" w:hAnsi="GHEA Grapalat" w:cs="GHEA Grapalat"/>
          <w:color w:val="000000"/>
        </w:rPr>
        <w:t xml:space="preserve"> պ</w:t>
      </w:r>
      <w:r w:rsidRPr="00F769F4">
        <w:rPr>
          <w:rFonts w:ascii="GHEA Grapalat" w:hAnsi="GHEA Grapalat" w:cs="GHEA Grapalat"/>
          <w:color w:val="000000"/>
        </w:rPr>
        <w:t xml:space="preserve">ետական </w:t>
      </w:r>
      <w:r>
        <w:rPr>
          <w:rFonts w:ascii="GHEA Grapalat" w:hAnsi="GHEA Grapalat" w:cs="GHEA Grapalat"/>
          <w:color w:val="000000"/>
        </w:rPr>
        <w:t>աջակցությա</w:t>
      </w:r>
      <w:r w:rsidRPr="00F769F4">
        <w:rPr>
          <w:rFonts w:ascii="GHEA Grapalat" w:hAnsi="GHEA Grapalat" w:cs="GHEA Grapalat"/>
          <w:color w:val="000000"/>
        </w:rPr>
        <w:t>ն</w:t>
      </w:r>
      <w:r>
        <w:rPr>
          <w:rFonts w:ascii="GHEA Grapalat" w:hAnsi="GHEA Grapalat" w:cs="GHEA Grapalat"/>
          <w:color w:val="000000"/>
        </w:rPr>
        <w:t xml:space="preserve"> ավելի քան </w:t>
      </w:r>
      <w:r w:rsidR="00A9761F">
        <w:rPr>
          <w:rFonts w:ascii="GHEA Grapalat" w:hAnsi="GHEA Grapalat" w:cs="GHEA Grapalat"/>
          <w:color w:val="000000"/>
        </w:rPr>
        <w:t>2.6</w:t>
      </w:r>
      <w:r>
        <w:rPr>
          <w:rFonts w:ascii="GHEA Grapalat" w:hAnsi="GHEA Grapalat" w:cs="GHEA Grapalat"/>
          <w:color w:val="000000"/>
        </w:rPr>
        <w:t xml:space="preserve"> մլրդ դրամ</w:t>
      </w:r>
      <w:r>
        <w:rPr>
          <w:rFonts w:ascii="GHEA Grapalat" w:hAnsi="GHEA Grapalat" w:cs="GHEA Grapalat"/>
          <w:color w:val="000000"/>
          <w:lang w:val="hy-AM"/>
        </w:rPr>
        <w:t xml:space="preserve"> ծախսերով, որի համար </w:t>
      </w:r>
      <w:r>
        <w:rPr>
          <w:rFonts w:ascii="GHEA Grapalat" w:hAnsi="GHEA Grapalat" w:cs="GHEA Grapalat"/>
          <w:color w:val="000000"/>
        </w:rPr>
        <w:t xml:space="preserve">2024 </w:t>
      </w:r>
      <w:r>
        <w:rPr>
          <w:rFonts w:ascii="GHEA Grapalat" w:hAnsi="GHEA Grapalat" w:cs="GHEA Grapalat"/>
          <w:color w:val="000000"/>
          <w:lang w:val="hy-AM"/>
        </w:rPr>
        <w:t xml:space="preserve">թվականի </w:t>
      </w:r>
      <w:r w:rsidR="00A9761F">
        <w:rPr>
          <w:rFonts w:ascii="GHEA Grapalat" w:hAnsi="GHEA Grapalat" w:cs="GHEA Grapalat"/>
          <w:color w:val="000000"/>
        </w:rPr>
        <w:t>առաջին եռամսյակում</w:t>
      </w:r>
      <w:r>
        <w:rPr>
          <w:rFonts w:ascii="GHEA Grapalat" w:hAnsi="GHEA Grapalat" w:cs="GHEA Grapalat"/>
          <w:color w:val="000000"/>
          <w:lang w:val="hy-AM"/>
        </w:rPr>
        <w:t xml:space="preserve"> միջոցներ չէին հատկացվել,</w:t>
      </w:r>
      <w:r w:rsidRPr="00F769F4">
        <w:rPr>
          <w:rFonts w:ascii="GHEA Grapalat" w:hAnsi="GHEA Grapalat" w:cs="GHEA Grapalat"/>
          <w:color w:val="000000"/>
        </w:rPr>
        <w:t xml:space="preserve"> </w:t>
      </w:r>
      <w:r>
        <w:rPr>
          <w:rFonts w:ascii="GHEA Grapalat" w:hAnsi="GHEA Grapalat" w:cs="GHEA Grapalat"/>
          <w:color w:val="000000"/>
          <w:lang w:val="hy-AM"/>
        </w:rPr>
        <w:t>ինչպես նա</w:t>
      </w:r>
      <w:r>
        <w:rPr>
          <w:rFonts w:ascii="GHEA Grapalat" w:hAnsi="GHEA Grapalat" w:cs="GHEA Grapalat"/>
          <w:color w:val="000000"/>
        </w:rPr>
        <w:t xml:space="preserve">և </w:t>
      </w:r>
      <w:r w:rsidR="007F51E5" w:rsidRPr="007F51E5">
        <w:rPr>
          <w:rFonts w:ascii="GHEA Grapalat" w:hAnsi="GHEA Grapalat" w:cs="GHEA Grapalat"/>
          <w:color w:val="000000"/>
        </w:rPr>
        <w:t>պետական բյուջեից համայնքների բյուջեներին համահարթեցման սկզբունքով տրվող դոտացիաներ</w:t>
      </w:r>
      <w:r w:rsidR="007F51E5">
        <w:rPr>
          <w:rFonts w:ascii="GHEA Grapalat" w:hAnsi="GHEA Grapalat" w:cs="GHEA Grapalat"/>
          <w:color w:val="000000"/>
        </w:rPr>
        <w:t>ի</w:t>
      </w:r>
      <w:r w:rsidR="00130479">
        <w:rPr>
          <w:rFonts w:ascii="GHEA Grapalat" w:hAnsi="GHEA Grapalat" w:cs="GHEA Grapalat"/>
          <w:color w:val="000000"/>
        </w:rPr>
        <w:t>՝ 15.1% (3.2 մլրդ դրամ)</w:t>
      </w:r>
      <w:r w:rsidR="00A9761F">
        <w:rPr>
          <w:rFonts w:ascii="GHEA Grapalat" w:hAnsi="GHEA Grapalat" w:cs="GHEA Grapalat"/>
          <w:color w:val="000000"/>
        </w:rPr>
        <w:t>,</w:t>
      </w:r>
      <w:r w:rsidR="00A9761F" w:rsidRPr="00A9761F">
        <w:rPr>
          <w:rFonts w:ascii="GHEA Grapalat" w:hAnsi="GHEA Grapalat" w:cs="GHEA Grapalat"/>
          <w:color w:val="000000"/>
        </w:rPr>
        <w:t xml:space="preserve"> </w:t>
      </w:r>
      <w:r>
        <w:rPr>
          <w:rFonts w:ascii="GHEA Grapalat" w:hAnsi="GHEA Grapalat" w:cs="GHEA Grapalat"/>
          <w:color w:val="000000"/>
        </w:rPr>
        <w:t>ՀՀ պաշտպանության ժամանակ զինծառայողների կյանքին կամ առողջությա</w:t>
      </w:r>
      <w:r w:rsidR="00130479">
        <w:rPr>
          <w:rFonts w:ascii="GHEA Grapalat" w:hAnsi="GHEA Grapalat" w:cs="GHEA Grapalat"/>
          <w:color w:val="000000"/>
        </w:rPr>
        <w:t>նը պատճառված վնասների հատուցման՝</w:t>
      </w:r>
      <w:r>
        <w:rPr>
          <w:rFonts w:ascii="GHEA Grapalat" w:hAnsi="GHEA Grapalat" w:cs="GHEA Grapalat"/>
          <w:color w:val="000000"/>
        </w:rPr>
        <w:t xml:space="preserve"> </w:t>
      </w:r>
      <w:r w:rsidR="00130479">
        <w:rPr>
          <w:rFonts w:ascii="GHEA Grapalat" w:hAnsi="GHEA Grapalat" w:cs="GHEA Grapalat"/>
          <w:color w:val="000000"/>
        </w:rPr>
        <w:t>10.9%</w:t>
      </w:r>
      <w:r>
        <w:rPr>
          <w:rFonts w:ascii="GHEA Grapalat" w:hAnsi="GHEA Grapalat" w:cs="GHEA Grapalat"/>
          <w:color w:val="000000"/>
        </w:rPr>
        <w:t xml:space="preserve"> (</w:t>
      </w:r>
      <w:r w:rsidR="00130479">
        <w:rPr>
          <w:rFonts w:ascii="GHEA Grapalat" w:hAnsi="GHEA Grapalat" w:cs="GHEA Grapalat"/>
          <w:color w:val="000000"/>
        </w:rPr>
        <w:t>1.3 մլրդ</w:t>
      </w:r>
      <w:r>
        <w:rPr>
          <w:rFonts w:ascii="GHEA Grapalat" w:hAnsi="GHEA Grapalat" w:cs="GHEA Grapalat"/>
          <w:color w:val="000000"/>
        </w:rPr>
        <w:t xml:space="preserve"> դրամ)</w:t>
      </w:r>
      <w:r>
        <w:rPr>
          <w:rFonts w:ascii="GHEA Grapalat" w:hAnsi="GHEA Grapalat" w:cs="GHEA Grapalat"/>
          <w:color w:val="000000"/>
          <w:lang w:val="hy-AM"/>
        </w:rPr>
        <w:t xml:space="preserve"> ու </w:t>
      </w:r>
      <w:r w:rsidRPr="001D0D27">
        <w:rPr>
          <w:rFonts w:ascii="GHEA Grapalat" w:hAnsi="GHEA Grapalat" w:cs="GHEA Grapalat"/>
          <w:color w:val="000000"/>
          <w:lang w:val="hy-AM"/>
        </w:rPr>
        <w:t>Գիտական և գիտատեխնիկական հետազոտությունների ծրագ</w:t>
      </w:r>
      <w:r>
        <w:rPr>
          <w:rFonts w:ascii="GHEA Grapalat" w:hAnsi="GHEA Grapalat" w:cs="GHEA Grapalat"/>
          <w:color w:val="000000"/>
          <w:lang w:val="hy-AM"/>
        </w:rPr>
        <w:t>րի շրջանակներում կատարված</w:t>
      </w:r>
      <w:r w:rsidR="00130479">
        <w:rPr>
          <w:rFonts w:ascii="GHEA Grapalat" w:hAnsi="GHEA Grapalat" w:cs="GHEA Grapalat"/>
          <w:color w:val="000000"/>
        </w:rPr>
        <w:t xml:space="preserve"> ծախսերի 18.8</w:t>
      </w:r>
      <w:r>
        <w:rPr>
          <w:rFonts w:ascii="GHEA Grapalat" w:hAnsi="GHEA Grapalat" w:cs="GHEA Grapalat"/>
          <w:color w:val="000000"/>
        </w:rPr>
        <w:t>% (</w:t>
      </w:r>
      <w:r w:rsidR="00130479">
        <w:rPr>
          <w:rFonts w:ascii="GHEA Grapalat" w:hAnsi="GHEA Grapalat" w:cs="GHEA Grapalat"/>
          <w:color w:val="000000"/>
        </w:rPr>
        <w:t>663.7</w:t>
      </w:r>
      <w:r>
        <w:rPr>
          <w:rFonts w:ascii="GHEA Grapalat" w:hAnsi="GHEA Grapalat" w:cs="GHEA Grapalat"/>
          <w:color w:val="000000"/>
        </w:rPr>
        <w:t xml:space="preserve"> մլն դրամ) աճով:</w:t>
      </w:r>
    </w:p>
    <w:p w:rsidR="00366C8C" w:rsidRDefault="00366C8C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Միևնույն ժամանակ, զգալի անկում է արձանագրվել պետական հատվածի այլ մակարդակներին տրամադրվող կապիտալ դրամաշնորհների գծով՝ հիմնականում պայմանավորված</w:t>
      </w:r>
      <w:r w:rsidR="003757B7">
        <w:rPr>
          <w:rFonts w:ascii="GHEA Grapalat" w:hAnsi="GHEA Grapalat" w:cs="GHEA Grapalat"/>
          <w:color w:val="000000"/>
        </w:rPr>
        <w:t xml:space="preserve"> </w:t>
      </w:r>
      <w:r w:rsidR="003757B7" w:rsidRPr="00366C8C">
        <w:rPr>
          <w:rFonts w:ascii="GHEA Grapalat" w:hAnsi="GHEA Grapalat" w:cs="GHEA Grapalat"/>
          <w:color w:val="000000"/>
        </w:rPr>
        <w:t>ենթակառուցվածքների զարգացման նպատակով</w:t>
      </w:r>
      <w:r>
        <w:rPr>
          <w:rFonts w:ascii="GHEA Grapalat" w:hAnsi="GHEA Grapalat" w:cs="GHEA Grapalat"/>
          <w:color w:val="000000"/>
        </w:rPr>
        <w:t xml:space="preserve"> </w:t>
      </w:r>
      <w:r w:rsidRPr="00366C8C">
        <w:rPr>
          <w:rFonts w:ascii="GHEA Grapalat" w:hAnsi="GHEA Grapalat" w:cs="GHEA Grapalat"/>
          <w:color w:val="000000"/>
        </w:rPr>
        <w:t xml:space="preserve">մարզերին </w:t>
      </w:r>
      <w:r w:rsidR="003757B7">
        <w:rPr>
          <w:rFonts w:ascii="GHEA Grapalat" w:hAnsi="GHEA Grapalat" w:cs="GHEA Grapalat"/>
          <w:color w:val="000000"/>
        </w:rPr>
        <w:t xml:space="preserve">տրամադրված </w:t>
      </w:r>
      <w:r w:rsidRPr="00366C8C">
        <w:rPr>
          <w:rFonts w:ascii="GHEA Grapalat" w:hAnsi="GHEA Grapalat" w:cs="GHEA Grapalat"/>
          <w:color w:val="000000"/>
        </w:rPr>
        <w:t xml:space="preserve">սուբվենցիաների </w:t>
      </w:r>
      <w:r w:rsidR="003757B7">
        <w:rPr>
          <w:rFonts w:ascii="GHEA Grapalat" w:hAnsi="GHEA Grapalat" w:cs="GHEA Grapalat"/>
          <w:color w:val="000000"/>
        </w:rPr>
        <w:t>նվազմամբ:</w:t>
      </w:r>
      <w:r w:rsidRPr="00366C8C">
        <w:rPr>
          <w:rFonts w:ascii="GHEA Grapalat" w:hAnsi="GHEA Grapalat" w:cs="GHEA Grapalat"/>
          <w:color w:val="000000"/>
        </w:rPr>
        <w:t xml:space="preserve">  </w:t>
      </w:r>
    </w:p>
    <w:p w:rsidR="00227624" w:rsidRDefault="00227624" w:rsidP="00227624">
      <w:pPr>
        <w:ind w:firstLine="567"/>
        <w:jc w:val="both"/>
        <w:rPr>
          <w:rFonts w:ascii="GHEA Grapalat" w:hAnsi="GHEA Grapalat" w:cs="GHEA Grapalat"/>
          <w:color w:val="000000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դրամաշնորհները (մլրդ դրամ)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418"/>
        <w:gridCol w:w="1417"/>
        <w:gridCol w:w="1613"/>
      </w:tblGrid>
      <w:tr w:rsidR="00733656" w:rsidRPr="00E95DB2" w:rsidTr="00733656">
        <w:trPr>
          <w:trHeight w:val="1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3656" w:rsidRDefault="00733656" w:rsidP="0073365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656" w:rsidRPr="002C2D5A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656" w:rsidRPr="00A16D55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656" w:rsidRPr="00735F51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656" w:rsidRPr="0018220C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733656" w:rsidRPr="0094659E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3656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733656" w:rsidRPr="0094659E" w:rsidRDefault="00733656" w:rsidP="00733656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27624" w:rsidTr="0073365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Դրամաշնորհներ,</w:t>
            </w:r>
            <w:r>
              <w:rPr>
                <w:rFonts w:ascii="GHEA Grapalat" w:hAnsi="GHEA Grapalat"/>
                <w:sz w:val="20"/>
                <w:szCs w:val="20"/>
              </w:rPr>
              <w:t xml:space="preserve"> այդ թվում՝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780660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8066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780660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8066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780660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8066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Pr="00780660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8066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780660" w:rsidRDefault="00227624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 w:rsidRPr="00780660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114.0</w:t>
            </w:r>
          </w:p>
        </w:tc>
      </w:tr>
      <w:tr w:rsidR="00227624" w:rsidTr="0073365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Միջազգային կազմակերպու-թյուններին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87.6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FB1371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  <w:r w:rsidR="00FB1371">
              <w:rPr>
                <w:rFonts w:ascii="GHEA Grapalat" w:hAnsi="GHEA Grapalat" w:cs="Calibri"/>
                <w:color w:val="000000"/>
                <w:sz w:val="20"/>
                <w:szCs w:val="20"/>
              </w:rPr>
              <w:t>5.3</w:t>
            </w:r>
          </w:p>
        </w:tc>
      </w:tr>
      <w:tr w:rsidR="00227624" w:rsidTr="0073365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Պետական հատվածի այլ մակարդակներին (ընթացիկ), այդ թվում`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68.3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90.7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120.9</w:t>
            </w:r>
          </w:p>
        </w:tc>
      </w:tr>
      <w:tr w:rsidR="00227624" w:rsidTr="0073365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- 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Համայնքների բյուջեներին համահարթեցման սկզբուն</w:t>
            </w:r>
            <w:r>
              <w:rPr>
                <w:rFonts w:ascii="GHEA Grapalat" w:eastAsia="Times New Roman" w:hAnsi="GHEA Grapalat" w:cs="Calibri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քով տրվող դոտացիաներ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100.0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115.1</w:t>
            </w:r>
          </w:p>
        </w:tc>
      </w:tr>
      <w:tr w:rsidR="00227624" w:rsidRPr="002C155A" w:rsidTr="0073365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Պետական հատվածի այլ մակարդակներին (կապիտալ)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16.2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FB1371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B1371">
              <w:rPr>
                <w:rFonts w:ascii="GHEA Grapalat" w:hAnsi="GHEA Grapalat" w:cs="Calibri"/>
                <w:color w:val="000000"/>
                <w:sz w:val="20"/>
                <w:szCs w:val="20"/>
              </w:rPr>
              <w:t>19.8</w:t>
            </w:r>
          </w:p>
        </w:tc>
      </w:tr>
    </w:tbl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543B81" w:rsidRDefault="00543B81" w:rsidP="00543B81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Սոցիալական նպաստների և կենսաթոշակների գծով ծախսերի 8</w:t>
      </w:r>
      <w:r w:rsidR="00C7030C">
        <w:rPr>
          <w:rFonts w:ascii="GHEA Grapalat" w:hAnsi="GHEA Grapalat" w:cs="GHEA Grapalat"/>
          <w:color w:val="000000"/>
        </w:rPr>
        <w:t>4</w:t>
      </w:r>
      <w:r>
        <w:rPr>
          <w:rFonts w:ascii="GHEA Grapalat" w:hAnsi="GHEA Grapalat" w:cs="GHEA Grapalat"/>
          <w:color w:val="000000"/>
        </w:rPr>
        <w:t xml:space="preserve">% կատարողականը հիմնականում պայմանավորված է </w:t>
      </w:r>
      <w:r w:rsidRPr="00543B81">
        <w:rPr>
          <w:rFonts w:ascii="GHEA Grapalat" w:hAnsi="GHEA Grapalat" w:cs="GHEA Grapalat"/>
          <w:color w:val="000000"/>
        </w:rPr>
        <w:t>կուտակային կենսաթոշակային համակարգի մասնակիցների հաշիվներին կատարված հատկացումների</w:t>
      </w:r>
      <w:r w:rsidR="00C7030C">
        <w:rPr>
          <w:rFonts w:ascii="GHEA Grapalat" w:hAnsi="GHEA Grapalat" w:cs="GHEA Grapalat"/>
          <w:color w:val="000000"/>
        </w:rPr>
        <w:t>` 76.7%</w:t>
      </w:r>
      <w:r w:rsidR="00190991">
        <w:rPr>
          <w:rFonts w:ascii="GHEA Grapalat" w:hAnsi="GHEA Grapalat" w:cs="GHEA Grapalat"/>
          <w:color w:val="000000"/>
        </w:rPr>
        <w:t>, աշխատանքային կենսաթոշակների</w:t>
      </w:r>
      <w:r w:rsidR="005C69E4">
        <w:rPr>
          <w:rFonts w:ascii="GHEA Grapalat" w:hAnsi="GHEA Grapalat" w:cs="GHEA Grapalat"/>
          <w:color w:val="000000"/>
        </w:rPr>
        <w:t>՝ 9</w:t>
      </w:r>
      <w:r w:rsidR="00C7030C">
        <w:rPr>
          <w:rFonts w:ascii="GHEA Grapalat" w:hAnsi="GHEA Grapalat" w:cs="GHEA Grapalat"/>
          <w:color w:val="000000"/>
        </w:rPr>
        <w:t>2.1%</w:t>
      </w:r>
      <w:r w:rsidR="00190991">
        <w:rPr>
          <w:rFonts w:ascii="GHEA Grapalat" w:hAnsi="GHEA Grapalat" w:cs="GHEA Grapalat"/>
          <w:color w:val="000000"/>
        </w:rPr>
        <w:t>, ս</w:t>
      </w:r>
      <w:r w:rsidR="00190991" w:rsidRPr="00190991">
        <w:rPr>
          <w:rFonts w:ascii="GHEA Grapalat" w:hAnsi="GHEA Grapalat" w:cs="GHEA Grapalat"/>
          <w:color w:val="000000"/>
        </w:rPr>
        <w:t>ոցիալապես անապահով և հատուկ խմբերում ընդգրկվածներին բժշկական օգնության ծառայություններ</w:t>
      </w:r>
      <w:r w:rsidR="005C69E4">
        <w:rPr>
          <w:rFonts w:ascii="GHEA Grapalat" w:hAnsi="GHEA Grapalat" w:cs="GHEA Grapalat"/>
          <w:color w:val="000000"/>
        </w:rPr>
        <w:t xml:space="preserve">ի՝ 57.6%, </w:t>
      </w:r>
      <w:r w:rsidR="00190991" w:rsidRPr="00190991">
        <w:rPr>
          <w:rFonts w:ascii="GHEA Grapalat" w:hAnsi="GHEA Grapalat" w:cs="GHEA Grapalat"/>
          <w:color w:val="000000"/>
        </w:rPr>
        <w:t>Լեռնային Ղարաբաղից բռնի տեղահանվածների</w:t>
      </w:r>
      <w:r w:rsidR="00190991">
        <w:rPr>
          <w:rFonts w:ascii="GHEA Grapalat" w:hAnsi="GHEA Grapalat" w:cs="GHEA Grapalat"/>
          <w:color w:val="000000"/>
        </w:rPr>
        <w:t>ն օժանդակելու համար աջակցության</w:t>
      </w:r>
      <w:r w:rsidR="005C69E4">
        <w:rPr>
          <w:rFonts w:ascii="GHEA Grapalat" w:hAnsi="GHEA Grapalat" w:cs="GHEA Grapalat"/>
          <w:color w:val="000000"/>
        </w:rPr>
        <w:t>՝ 72.4% և ա</w:t>
      </w:r>
      <w:r w:rsidR="005C69E4" w:rsidRPr="005C69E4">
        <w:rPr>
          <w:rFonts w:ascii="GHEA Grapalat" w:hAnsi="GHEA Grapalat" w:cs="GHEA Grapalat"/>
          <w:color w:val="000000"/>
        </w:rPr>
        <w:t>ռողջության առաջնային պահպանման բժշկական օգնության ծառայություններ</w:t>
      </w:r>
      <w:r w:rsidR="005C69E4">
        <w:rPr>
          <w:rFonts w:ascii="GHEA Grapalat" w:hAnsi="GHEA Grapalat" w:cs="GHEA Grapalat"/>
          <w:color w:val="000000"/>
        </w:rPr>
        <w:t>ի</w:t>
      </w:r>
      <w:r w:rsidR="00190991">
        <w:rPr>
          <w:rFonts w:ascii="GHEA Grapalat" w:hAnsi="GHEA Grapalat" w:cs="GHEA Grapalat"/>
          <w:color w:val="000000"/>
        </w:rPr>
        <w:t xml:space="preserve"> ծախսերի</w:t>
      </w:r>
      <w:r w:rsidR="005C69E4">
        <w:rPr>
          <w:rFonts w:ascii="GHEA Grapalat" w:hAnsi="GHEA Grapalat" w:cs="GHEA Grapalat"/>
          <w:color w:val="000000"/>
        </w:rPr>
        <w:t xml:space="preserve"> 62%</w:t>
      </w:r>
      <w:r w:rsidR="00190991">
        <w:rPr>
          <w:rFonts w:ascii="GHEA Grapalat" w:hAnsi="GHEA Grapalat" w:cs="GHEA Grapalat"/>
          <w:color w:val="000000"/>
        </w:rPr>
        <w:t xml:space="preserve"> կատարողականով: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  <w:r>
        <w:rPr>
          <w:rFonts w:ascii="GHEA Grapalat" w:hAnsi="GHEA Grapalat" w:cs="GHEA Grapalat"/>
          <w:color w:val="000000"/>
        </w:rPr>
        <w:t>Նախորդ տարվա նույն ժամանակա</w:t>
      </w:r>
      <w:r>
        <w:rPr>
          <w:rFonts w:ascii="GHEA Grapalat" w:hAnsi="GHEA Grapalat" w:cs="GHEA Grapalat"/>
          <w:color w:val="000000"/>
          <w:lang w:val="hy-AM"/>
        </w:rPr>
        <w:t>հատված</w:t>
      </w:r>
      <w:r>
        <w:rPr>
          <w:rFonts w:ascii="GHEA Grapalat" w:hAnsi="GHEA Grapalat" w:cs="GHEA Grapalat"/>
          <w:color w:val="000000"/>
        </w:rPr>
        <w:t xml:space="preserve">ի համեմատ սոցիալական նպաստների և կենսաթոշակների գծով ծախսերի </w:t>
      </w:r>
      <w:r w:rsidR="00ED7228">
        <w:rPr>
          <w:rFonts w:ascii="GHEA Grapalat" w:hAnsi="GHEA Grapalat" w:cs="GHEA Grapalat"/>
          <w:color w:val="000000"/>
        </w:rPr>
        <w:t>6.9</w:t>
      </w:r>
      <w:r w:rsidRPr="00AF5B18">
        <w:rPr>
          <w:rFonts w:ascii="GHEA Grapalat" w:hAnsi="GHEA Grapalat" w:cs="GHEA Grapalat"/>
          <w:color w:val="000000"/>
        </w:rPr>
        <w:t>%</w:t>
      </w:r>
      <w:r>
        <w:rPr>
          <w:rFonts w:ascii="GHEA Grapalat" w:hAnsi="GHEA Grapalat" w:cs="GHEA Grapalat"/>
          <w:color w:val="000000"/>
        </w:rPr>
        <w:t xml:space="preserve"> (</w:t>
      </w:r>
      <w:r w:rsidR="00ED7228">
        <w:rPr>
          <w:rFonts w:ascii="GHEA Grapalat" w:hAnsi="GHEA Grapalat" w:cs="GHEA Grapalat"/>
          <w:color w:val="000000"/>
        </w:rPr>
        <w:t>16.1</w:t>
      </w:r>
      <w:r>
        <w:rPr>
          <w:rFonts w:ascii="GHEA Grapalat" w:hAnsi="GHEA Grapalat" w:cs="GHEA Grapalat"/>
          <w:color w:val="000000"/>
        </w:rPr>
        <w:t xml:space="preserve"> մլրդ դրամ) </w:t>
      </w:r>
      <w:r w:rsidR="00ED7228">
        <w:rPr>
          <w:rFonts w:ascii="GHEA Grapalat" w:hAnsi="GHEA Grapalat" w:cs="GHEA Grapalat"/>
          <w:color w:val="000000"/>
        </w:rPr>
        <w:t>աճը</w:t>
      </w:r>
      <w:r w:rsidR="00964EA5">
        <w:rPr>
          <w:rFonts w:ascii="GHEA Grapalat" w:hAnsi="GHEA Grapalat" w:cs="GHEA Grapalat"/>
          <w:color w:val="000000"/>
        </w:rPr>
        <w:t xml:space="preserve"> հիմնականում </w:t>
      </w:r>
      <w:r>
        <w:rPr>
          <w:rFonts w:ascii="GHEA Grapalat" w:hAnsi="GHEA Grapalat" w:cs="GHEA Grapalat"/>
          <w:color w:val="000000"/>
        </w:rPr>
        <w:t xml:space="preserve">պայմանավորված է </w:t>
      </w:r>
      <w:r w:rsidR="00AE7125">
        <w:rPr>
          <w:rFonts w:ascii="GHEA Grapalat" w:hAnsi="GHEA Grapalat" w:cs="GHEA Grapalat"/>
          <w:color w:val="000000"/>
        </w:rPr>
        <w:t>հ</w:t>
      </w:r>
      <w:r w:rsidR="00AE7125" w:rsidRPr="00AE7125">
        <w:rPr>
          <w:rFonts w:ascii="GHEA Grapalat" w:hAnsi="GHEA Grapalat" w:cs="GHEA Grapalat"/>
          <w:color w:val="000000"/>
        </w:rPr>
        <w:t>իպո</w:t>
      </w:r>
      <w:r w:rsidR="00AE7125">
        <w:rPr>
          <w:rFonts w:ascii="GHEA Grapalat" w:hAnsi="GHEA Grapalat" w:cs="GHEA Grapalat"/>
          <w:color w:val="000000"/>
        </w:rPr>
        <w:t>տեկ</w:t>
      </w:r>
      <w:r w:rsidR="00AE7125" w:rsidRPr="00AE7125">
        <w:rPr>
          <w:rFonts w:ascii="GHEA Grapalat" w:hAnsi="GHEA Grapalat" w:cs="GHEA Grapalat"/>
          <w:color w:val="000000"/>
        </w:rPr>
        <w:t>ային վարկի վճարված տոկոսների գումարների վերադարձ</w:t>
      </w:r>
      <w:r w:rsidR="00AE7125">
        <w:rPr>
          <w:rFonts w:ascii="GHEA Grapalat" w:hAnsi="GHEA Grapalat" w:cs="GHEA Grapalat"/>
          <w:color w:val="000000"/>
        </w:rPr>
        <w:t>ի</w:t>
      </w:r>
      <w:r w:rsidR="00A66842">
        <w:rPr>
          <w:rFonts w:ascii="GHEA Grapalat" w:hAnsi="GHEA Grapalat" w:cs="GHEA Grapalat"/>
          <w:color w:val="000000"/>
        </w:rPr>
        <w:t>՝ 30.2% (5 մլրդ դրամ)</w:t>
      </w:r>
      <w:r w:rsidR="00AE7125">
        <w:rPr>
          <w:rFonts w:ascii="GHEA Grapalat" w:hAnsi="GHEA Grapalat" w:cs="GHEA Grapalat"/>
          <w:color w:val="000000"/>
        </w:rPr>
        <w:t xml:space="preserve">, </w:t>
      </w:r>
      <w:r>
        <w:rPr>
          <w:rFonts w:ascii="GHEA Grapalat" w:hAnsi="GHEA Grapalat" w:cs="GHEA Grapalat"/>
          <w:color w:val="000000"/>
        </w:rPr>
        <w:t>կուտակային կենսաթոշակային համակարգի մասնակիցների կենսաթոշակա</w:t>
      </w:r>
      <w:r w:rsidR="005C2D35">
        <w:rPr>
          <w:rFonts w:ascii="GHEA Grapalat" w:hAnsi="GHEA Grapalat" w:cs="GHEA Grapalat"/>
          <w:color w:val="000000"/>
        </w:rPr>
        <w:t>յին հաշիվներին հատկացումների</w:t>
      </w:r>
      <w:r w:rsidR="00A66842">
        <w:rPr>
          <w:rFonts w:ascii="GHEA Grapalat" w:hAnsi="GHEA Grapalat" w:cs="GHEA Grapalat"/>
          <w:color w:val="000000"/>
        </w:rPr>
        <w:t>՝ 6.7% (3 մլրդ դրամ)</w:t>
      </w:r>
      <w:r w:rsidR="005C2D35">
        <w:rPr>
          <w:rFonts w:ascii="GHEA Grapalat" w:hAnsi="GHEA Grapalat" w:cs="GHEA Grapalat"/>
          <w:color w:val="000000"/>
        </w:rPr>
        <w:t xml:space="preserve">, </w:t>
      </w:r>
      <w:r w:rsidR="005C2D35" w:rsidRPr="005C2D35">
        <w:rPr>
          <w:rFonts w:ascii="GHEA Grapalat" w:hAnsi="GHEA Grapalat" w:cs="GHEA Grapalat"/>
          <w:color w:val="000000"/>
        </w:rPr>
        <w:t>ընտանիքում 3 և ավելի երեխա ունեցող ընտանիքներին</w:t>
      </w:r>
      <w:r w:rsidR="005C2D35">
        <w:rPr>
          <w:rFonts w:ascii="GHEA Grapalat" w:hAnsi="GHEA Grapalat" w:cs="GHEA Grapalat"/>
          <w:color w:val="000000"/>
        </w:rPr>
        <w:t xml:space="preserve"> դրամական աջակցության</w:t>
      </w:r>
      <w:r w:rsidR="00A66842">
        <w:rPr>
          <w:rFonts w:ascii="GHEA Grapalat" w:hAnsi="GHEA Grapalat" w:cs="GHEA Grapalat"/>
          <w:color w:val="000000"/>
        </w:rPr>
        <w:t>՝ 48.6% (1.9 մլրդ դրամ)</w:t>
      </w:r>
      <w:r w:rsidR="005C2D35">
        <w:rPr>
          <w:rFonts w:ascii="GHEA Grapalat" w:hAnsi="GHEA Grapalat" w:cs="GHEA Grapalat"/>
          <w:color w:val="000000"/>
        </w:rPr>
        <w:t xml:space="preserve"> և ա</w:t>
      </w:r>
      <w:r w:rsidR="005C2D35" w:rsidRPr="00AE7125">
        <w:rPr>
          <w:rFonts w:ascii="GHEA Grapalat" w:hAnsi="GHEA Grapalat" w:cs="GHEA Grapalat"/>
          <w:color w:val="000000"/>
        </w:rPr>
        <w:t>նկանխիկ եղանակով վճարումներից կենսաթոշակառուներին հետվճարի տրամադր</w:t>
      </w:r>
      <w:r w:rsidR="005C2D35">
        <w:rPr>
          <w:rFonts w:ascii="GHEA Grapalat" w:hAnsi="GHEA Grapalat" w:cs="GHEA Grapalat"/>
          <w:color w:val="000000"/>
        </w:rPr>
        <w:t>ման ծախսերի</w:t>
      </w:r>
      <w:r w:rsidR="003F0599">
        <w:rPr>
          <w:rFonts w:ascii="GHEA Grapalat" w:hAnsi="GHEA Grapalat" w:cs="GHEA Grapalat"/>
          <w:color w:val="000000"/>
        </w:rPr>
        <w:t xml:space="preserve"> 87.2% (1.7 մլրդ դրամ)</w:t>
      </w:r>
      <w:r w:rsidR="005C2D35">
        <w:rPr>
          <w:rFonts w:ascii="GHEA Grapalat" w:hAnsi="GHEA Grapalat" w:cs="GHEA Grapalat"/>
          <w:color w:val="000000"/>
        </w:rPr>
        <w:t xml:space="preserve"> աճով</w:t>
      </w:r>
      <w:r w:rsidR="003F0599">
        <w:rPr>
          <w:rFonts w:ascii="GHEA Grapalat" w:hAnsi="GHEA Grapalat" w:cs="GHEA Grapalat"/>
          <w:color w:val="000000"/>
        </w:rPr>
        <w:t>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բյուջեից տրամադրված նպաստները և կենսաթոշակները (մլրդ դրամ)</w:t>
      </w:r>
    </w:p>
    <w:tbl>
      <w:tblPr>
        <w:tblW w:w="10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701"/>
        <w:gridCol w:w="1598"/>
      </w:tblGrid>
      <w:tr w:rsidR="007E5AC5" w:rsidRPr="00E95DB2" w:rsidTr="007E5AC5">
        <w:trPr>
          <w:trHeight w:val="1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AC5" w:rsidRDefault="007E5AC5" w:rsidP="007E5AC5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AC5" w:rsidRPr="002C2D5A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AC5" w:rsidRPr="00A16D55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AC5" w:rsidRPr="00735F51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AC5" w:rsidRPr="0018220C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7E5AC5" w:rsidRPr="0094659E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AC5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7E5AC5" w:rsidRPr="0094659E" w:rsidRDefault="007E5AC5" w:rsidP="007E5AC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27624" w:rsidTr="007E5AC5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E95DB2" w:rsidRDefault="00227624" w:rsidP="00227624">
            <w:pPr>
              <w:rPr>
                <w:rFonts w:ascii="Courier New" w:hAnsi="Courier New" w:cs="Courier New"/>
                <w:sz w:val="20"/>
                <w:szCs w:val="20"/>
                <w:lang w:val="hy-AM"/>
              </w:rPr>
            </w:pPr>
            <w:r w:rsidRPr="00E95DB2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Սոցիալական նպաստներ և կենսաթոշակներ,</w:t>
            </w:r>
            <w:r w:rsidRPr="00E95DB2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այդ թվում`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Pr="006B4502" w:rsidRDefault="004B6165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234.2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Pr="006B4502" w:rsidRDefault="004B6165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297.9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Pr="006B4502" w:rsidRDefault="00935B1D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250.3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Pr="006B4502" w:rsidRDefault="00935B1D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84.0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Pr="006B4502" w:rsidRDefault="00935B1D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106.9</w:t>
            </w:r>
          </w:p>
        </w:tc>
      </w:tr>
      <w:tr w:rsidR="00227624" w:rsidTr="007E5AC5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Նպաստներ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4B6165" w:rsidP="00227624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105.3</w:t>
            </w:r>
            <w:r w:rsidR="00227624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227624" w:rsidP="004B616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14</w:t>
            </w:r>
            <w:r w:rsidR="004B6165">
              <w:rPr>
                <w:rFonts w:ascii="GHEA Grapalat" w:hAnsi="GHEA Grapalat" w:cs="Calibri"/>
                <w:bCs/>
                <w:sz w:val="20"/>
                <w:szCs w:val="20"/>
              </w:rPr>
              <w:t>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227624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119.5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227624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82.3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227624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113.5</w:t>
            </w:r>
          </w:p>
        </w:tc>
      </w:tr>
      <w:tr w:rsidR="00227624" w:rsidTr="007E5AC5">
        <w:trPr>
          <w:trHeight w:val="2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Կենսաթոշակներ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4B6165" w:rsidP="00227624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128.9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227624" w:rsidP="00935B1D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152.</w:t>
            </w:r>
            <w:r w:rsidR="00935B1D">
              <w:rPr>
                <w:rFonts w:ascii="GHEA Grapalat" w:hAnsi="GHEA Grapalat" w:cs="Calibri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935B1D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130.9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227624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85.7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7624" w:rsidRDefault="00935B1D" w:rsidP="00227624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101.5</w:t>
            </w:r>
          </w:p>
        </w:tc>
      </w:tr>
    </w:tbl>
    <w:p w:rsidR="00227624" w:rsidRDefault="00227624" w:rsidP="00227624">
      <w:pPr>
        <w:spacing w:line="360" w:lineRule="auto"/>
        <w:ind w:firstLine="567"/>
        <w:jc w:val="both"/>
      </w:pPr>
    </w:p>
    <w:p w:rsidR="00227624" w:rsidRDefault="005C69E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>
        <w:rPr>
          <w:rFonts w:ascii="GHEA Grapalat" w:hAnsi="GHEA Grapalat" w:cs="GHEA Grapalat"/>
          <w:color w:val="000000"/>
        </w:rPr>
        <w:t>2025 թվականի առաջին եռամսյակում պետական բյուջեի կ</w:t>
      </w:r>
      <w:r w:rsidR="008053A0">
        <w:rPr>
          <w:rFonts w:ascii="GHEA Grapalat" w:hAnsi="GHEA Grapalat" w:cs="GHEA Grapalat"/>
          <w:color w:val="000000"/>
        </w:rPr>
        <w:t xml:space="preserve">ապիտալ ծախսերի ցածր կատարողականը հիմնականում պայմանավորված է ՀՀ պաշտպանության ապահովման ծրագրի շրջանակներում կատարված ծախսերով, որոնք կազմել են 50.9 մլրդ դրամ կամ </w:t>
      </w:r>
      <w:r w:rsidR="008053A0">
        <w:rPr>
          <w:rFonts w:ascii="GHEA Grapalat" w:hAnsi="GHEA Grapalat" w:cs="GHEA Grapalat"/>
          <w:color w:val="000000"/>
        </w:rPr>
        <w:lastRenderedPageBreak/>
        <w:t xml:space="preserve">ծրագրված ցուցանիշի 29.9%-ը: </w:t>
      </w:r>
      <w:r w:rsidR="00227624" w:rsidRPr="002B4DDC">
        <w:rPr>
          <w:rFonts w:ascii="GHEA Grapalat" w:hAnsi="GHEA Grapalat" w:cs="GHEA Grapalat"/>
          <w:color w:val="000000"/>
          <w:lang w:val="hy-AM"/>
        </w:rPr>
        <w:t>Նախորդ տարվա</w:t>
      </w:r>
      <w:r w:rsidR="00227624">
        <w:rPr>
          <w:rFonts w:ascii="GHEA Grapalat" w:hAnsi="GHEA Grapalat" w:cs="GHEA Grapalat"/>
          <w:color w:val="000000"/>
          <w:lang w:val="hy-AM"/>
        </w:rPr>
        <w:t xml:space="preserve"> նույն ժամանակահատվածի համեմատ </w:t>
      </w:r>
      <w:r w:rsidR="00227624">
        <w:rPr>
          <w:rFonts w:ascii="GHEA Grapalat" w:hAnsi="GHEA Grapalat" w:cs="GHEA Grapalat"/>
          <w:color w:val="000000"/>
        </w:rPr>
        <w:t>կապիտալ ծախսեր</w:t>
      </w:r>
      <w:r w:rsidR="00227624">
        <w:rPr>
          <w:rFonts w:ascii="GHEA Grapalat" w:hAnsi="GHEA Grapalat" w:cs="GHEA Grapalat"/>
          <w:color w:val="000000"/>
          <w:lang w:val="hy-AM"/>
        </w:rPr>
        <w:t xml:space="preserve">ն </w:t>
      </w:r>
      <w:r w:rsidR="008053A0">
        <w:rPr>
          <w:rFonts w:ascii="GHEA Grapalat" w:hAnsi="GHEA Grapalat" w:cs="GHEA Grapalat"/>
          <w:color w:val="000000"/>
        </w:rPr>
        <w:t>աճել են 5.9%-ով (4.2 մլրդ դրամով)</w:t>
      </w:r>
      <w:r w:rsidR="00DC7789">
        <w:rPr>
          <w:rFonts w:ascii="GHEA Grapalat" w:hAnsi="GHEA Grapalat" w:cs="GHEA Grapalat"/>
          <w:color w:val="000000"/>
        </w:rPr>
        <w:t xml:space="preserve">՝ պայմանավորված ներքին ռեսուրսների հաշվին </w:t>
      </w:r>
      <w:r w:rsidR="00421C15">
        <w:rPr>
          <w:rFonts w:ascii="GHEA Grapalat" w:hAnsi="GHEA Grapalat" w:cs="GHEA Grapalat"/>
          <w:color w:val="000000"/>
        </w:rPr>
        <w:t>կատարված ծախսերի (առանց ՊՆ ծախսերի) 4 անգամ (9.6 մլրդ դրամ) աճով</w:t>
      </w:r>
      <w:r w:rsidR="008053A0">
        <w:rPr>
          <w:rFonts w:ascii="GHEA Grapalat" w:hAnsi="GHEA Grapalat" w:cs="GHEA Grapalat"/>
          <w:color w:val="000000"/>
        </w:rPr>
        <w:t>: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1B78BD">
        <w:rPr>
          <w:rFonts w:ascii="GHEA Grapalat" w:hAnsi="GHEA Grapalat" w:cs="GHEA Grapalat"/>
          <w:color w:val="000000"/>
          <w:lang w:val="hy-AM"/>
        </w:rPr>
        <w:t>Ո</w:t>
      </w:r>
      <w:r>
        <w:rPr>
          <w:rFonts w:ascii="GHEA Grapalat" w:hAnsi="GHEA Grapalat" w:cs="GHEA Grapalat"/>
          <w:color w:val="000000"/>
          <w:lang w:val="hy-AM"/>
        </w:rPr>
        <w:t xml:space="preserve">չ ֆինանսական ակտիվների օտարումից </w:t>
      </w:r>
      <w:r w:rsidRPr="001B78BD">
        <w:rPr>
          <w:rFonts w:ascii="GHEA Grapalat" w:hAnsi="GHEA Grapalat" w:cs="GHEA Grapalat"/>
          <w:color w:val="000000"/>
          <w:lang w:val="hy-AM"/>
        </w:rPr>
        <w:t xml:space="preserve">մուտքերը կազմել են </w:t>
      </w:r>
      <w:r w:rsidR="008053A0">
        <w:rPr>
          <w:rFonts w:ascii="GHEA Grapalat" w:hAnsi="GHEA Grapalat" w:cs="GHEA Grapalat"/>
          <w:color w:val="000000"/>
        </w:rPr>
        <w:t>464.9</w:t>
      </w:r>
      <w:r w:rsidRPr="001B78BD">
        <w:rPr>
          <w:rFonts w:ascii="GHEA Grapalat" w:hAnsi="GHEA Grapalat" w:cs="GHEA Grapalat"/>
          <w:color w:val="000000"/>
          <w:lang w:val="hy-AM"/>
        </w:rPr>
        <w:t xml:space="preserve"> մլն դրամ</w:t>
      </w:r>
      <w:r w:rsidR="008053A0">
        <w:rPr>
          <w:rFonts w:ascii="GHEA Grapalat" w:hAnsi="GHEA Grapalat" w:cs="GHEA Grapalat"/>
          <w:color w:val="000000"/>
        </w:rPr>
        <w:t>՝ նախատեսված 3 մլրդ դրամի և</w:t>
      </w:r>
      <w:r w:rsidRPr="001B78BD">
        <w:rPr>
          <w:rFonts w:ascii="GHEA Grapalat" w:hAnsi="GHEA Grapalat" w:cs="GHEA Grapalat"/>
          <w:color w:val="000000"/>
          <w:lang w:val="hy-AM"/>
        </w:rPr>
        <w:t xml:space="preserve"> ն</w:t>
      </w:r>
      <w:r>
        <w:rPr>
          <w:rFonts w:ascii="GHEA Grapalat" w:hAnsi="GHEA Grapalat" w:cs="GHEA Grapalat"/>
          <w:color w:val="000000"/>
          <w:lang w:val="hy-AM"/>
        </w:rPr>
        <w:t>ախորդ տարվա</w:t>
      </w:r>
      <w:r w:rsidR="00455EFC">
        <w:rPr>
          <w:rFonts w:ascii="GHEA Grapalat" w:hAnsi="GHEA Grapalat" w:cs="GHEA Grapalat"/>
          <w:color w:val="000000"/>
        </w:rPr>
        <w:t xml:space="preserve"> առաջին եռամսյակի</w:t>
      </w:r>
      <w:r>
        <w:rPr>
          <w:rFonts w:ascii="GHEA Grapalat" w:hAnsi="GHEA Grapalat" w:cs="GHEA Grapalat"/>
          <w:color w:val="000000"/>
          <w:lang w:val="hy-AM"/>
        </w:rPr>
        <w:t xml:space="preserve"> </w:t>
      </w:r>
      <w:r w:rsidRPr="001B78BD">
        <w:rPr>
          <w:rFonts w:ascii="GHEA Grapalat" w:hAnsi="GHEA Grapalat" w:cs="GHEA Grapalat"/>
          <w:color w:val="000000"/>
          <w:lang w:val="hy-AM"/>
        </w:rPr>
        <w:t>6.1 մլրդ դրամի դիմաց</w:t>
      </w:r>
      <w:r>
        <w:rPr>
          <w:rFonts w:ascii="GHEA Grapalat" w:hAnsi="GHEA Grapalat" w:cs="GHEA Grapalat"/>
          <w:color w:val="000000"/>
          <w:lang w:val="hy-AM"/>
        </w:rPr>
        <w:t xml:space="preserve">: </w:t>
      </w:r>
    </w:p>
    <w:p w:rsidR="00227624" w:rsidRDefault="00227624" w:rsidP="00227624">
      <w:pPr>
        <w:spacing w:line="360" w:lineRule="auto"/>
        <w:ind w:firstLine="567"/>
        <w:jc w:val="both"/>
        <w:rPr>
          <w:rFonts w:ascii="GHEA Grapalat" w:hAnsi="GHEA Grapalat" w:cs="GHEA Grapalat"/>
          <w:color w:val="000000"/>
          <w:lang w:val="hy-AM"/>
        </w:rPr>
      </w:pPr>
    </w:p>
    <w:p w:rsidR="00227624" w:rsidRPr="00A31F4A" w:rsidRDefault="00227624" w:rsidP="00227624">
      <w:pPr>
        <w:pStyle w:val="Caption"/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</w:pPr>
      <w:r w:rsidRPr="00A31F4A">
        <w:rPr>
          <w:rFonts w:ascii="GHEA Grapalat" w:hAnsi="GHEA Grapalat"/>
          <w:b/>
          <w:bCs/>
          <w:iCs w:val="0"/>
          <w:color w:val="auto"/>
          <w:sz w:val="20"/>
          <w:szCs w:val="20"/>
          <w:lang w:val="hy-AM"/>
        </w:rPr>
        <w:t>ՀՀ պետական բյուջեի ոչ ֆինանսական ակտիվների հետ գործառնությունները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391"/>
        <w:gridCol w:w="1303"/>
        <w:gridCol w:w="1275"/>
        <w:gridCol w:w="1418"/>
        <w:gridCol w:w="1417"/>
      </w:tblGrid>
      <w:tr w:rsidR="006D5989" w:rsidRPr="00E95DB2" w:rsidTr="00994509">
        <w:trPr>
          <w:trHeight w:val="1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989" w:rsidRDefault="006D5989" w:rsidP="006D5989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989" w:rsidRPr="002C2D5A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989" w:rsidRPr="00A16D55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յակի ճշտված պլան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989" w:rsidRPr="00735F51" w:rsidRDefault="006D5989" w:rsidP="0099450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</w:t>
            </w:r>
            <w:r w:rsidR="00994509">
              <w:rPr>
                <w:rFonts w:ascii="GHEA Grapalat" w:hAnsi="GHEA Grapalat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989" w:rsidRPr="0018220C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6D5989" w:rsidRPr="0094659E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989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6D5989" w:rsidRPr="0094659E" w:rsidRDefault="006D5989" w:rsidP="006D5989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227624" w:rsidTr="00994509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7624" w:rsidRPr="00E95DB2" w:rsidRDefault="00227624" w:rsidP="00227624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E95DB2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Ոչ ֆինանսական ակտիվների հետ գործառնություններ, </w:t>
            </w:r>
            <w:r w:rsidRPr="00E95DB2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թվում՝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6E7D2F" w:rsidRDefault="006D5989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64.9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6E7D2F" w:rsidRDefault="00994509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225.9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Pr="006E7D2F" w:rsidRDefault="00994509" w:rsidP="00227624">
            <w:pPr>
              <w:jc w:val="right"/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74.7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994509">
            <w:pPr>
              <w:jc w:val="right"/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115.1</w:t>
            </w:r>
          </w:p>
        </w:tc>
      </w:tr>
      <w:tr w:rsidR="00227624" w:rsidTr="00994509">
        <w:trPr>
          <w:trHeight w:val="60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գծով ծախսեր, այդ թվում՝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6D598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71.0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228.9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75.2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105.9</w:t>
            </w:r>
          </w:p>
        </w:tc>
      </w:tr>
      <w:tr w:rsidR="00227624" w:rsidTr="00994509">
        <w:trPr>
          <w:trHeight w:val="3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շենքեր և շինություններ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6D598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66</w:t>
            </w:r>
            <w:r w:rsidR="00227624">
              <w:rPr>
                <w:rFonts w:ascii="GHEA Grapalat" w:hAnsi="GHEA Grapalat" w:cs="Calibri"/>
                <w:sz w:val="20"/>
                <w:szCs w:val="20"/>
              </w:rPr>
              <w:t>.2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69.5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105.0</w:t>
            </w:r>
          </w:p>
        </w:tc>
      </w:tr>
      <w:tr w:rsidR="00227624" w:rsidTr="00994509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մեքենաների և սարքավորումների ձեռք բերում, պահպանում և հիմնանորոգում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6D598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99450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10.</w:t>
            </w:r>
            <w:r w:rsidR="00994509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123.2</w:t>
            </w:r>
          </w:p>
        </w:tc>
      </w:tr>
      <w:tr w:rsidR="00227624" w:rsidTr="00994509">
        <w:trPr>
          <w:trHeight w:val="3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pStyle w:val="ListParagraph"/>
              <w:numPr>
                <w:ilvl w:val="0"/>
                <w:numId w:val="2"/>
              </w:numPr>
              <w:spacing w:after="0"/>
              <w:ind w:left="426" w:hanging="156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այլ հիմնական միջոցներ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6D598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95.8</w:t>
            </w:r>
          </w:p>
        </w:tc>
      </w:tr>
      <w:tr w:rsidR="00227624" w:rsidTr="00994509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 xml:space="preserve"> Ոչ ֆինանսական ակտիվների օտարումից մուտքեր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(6.1)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(3.0)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227624" w:rsidP="00994509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(0.</w:t>
            </w:r>
            <w:r w:rsidR="00994509">
              <w:rPr>
                <w:rFonts w:ascii="GHEA Grapalat" w:hAnsi="GHEA Grapalat" w:cs="Calibri"/>
                <w:sz w:val="20"/>
                <w:szCs w:val="20"/>
              </w:rPr>
              <w:t>5</w:t>
            </w:r>
            <w:r>
              <w:rPr>
                <w:rFonts w:ascii="GHEA Grapalat" w:hAnsi="GHEA Grapalat" w:cs="Calibr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624" w:rsidRDefault="00227624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="00994509">
              <w:rPr>
                <w:rFonts w:ascii="GHEA Grapalat" w:hAnsi="GHEA Grapalat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7624" w:rsidRDefault="00994509" w:rsidP="00227624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7.6</w:t>
            </w:r>
          </w:p>
        </w:tc>
      </w:tr>
    </w:tbl>
    <w:p w:rsidR="00227624" w:rsidRDefault="00227624" w:rsidP="00331C76">
      <w:pPr>
        <w:spacing w:line="360" w:lineRule="auto"/>
        <w:ind w:right="9" w:firstLine="567"/>
        <w:jc w:val="both"/>
        <w:rPr>
          <w:rFonts w:ascii="GHEA Grapalat" w:hAnsi="GHEA Grapalat"/>
          <w:lang w:val="hy-AM"/>
        </w:rPr>
      </w:pPr>
    </w:p>
    <w:p w:rsidR="001A4F40" w:rsidRPr="002C2D5A" w:rsidRDefault="001A4F40" w:rsidP="001A4F40">
      <w:pPr>
        <w:spacing w:line="480" w:lineRule="auto"/>
        <w:ind w:firstLine="567"/>
        <w:jc w:val="both"/>
        <w:rPr>
          <w:rFonts w:ascii="GHEA Grapalat" w:hAnsi="GHEA Grapalat" w:cs="GHEA Grapalat"/>
          <w:i/>
          <w:u w:val="single"/>
          <w:lang w:val="hy-AM"/>
        </w:rPr>
      </w:pPr>
      <w:r w:rsidRPr="00A12075">
        <w:rPr>
          <w:rFonts w:ascii="GHEA Grapalat" w:hAnsi="GHEA Grapalat" w:cs="GHEA Grapalat"/>
          <w:i/>
          <w:u w:val="single"/>
          <w:lang w:val="hy-AM"/>
        </w:rPr>
        <w:t>ՀՀ պետական բյուջեի պակասուրդը (հավելուրդը)</w:t>
      </w:r>
    </w:p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color w:val="000000"/>
          <w:lang w:val="hy-AM"/>
        </w:rPr>
        <w:t>202</w:t>
      </w:r>
      <w:r w:rsidRPr="00EF352B">
        <w:rPr>
          <w:rFonts w:ascii="GHEA Grapalat" w:hAnsi="GHEA Grapalat" w:cs="GHEA Grapalat"/>
          <w:color w:val="000000"/>
          <w:lang w:val="hy-AM"/>
        </w:rPr>
        <w:t>5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 թվականի </w:t>
      </w:r>
      <w:r>
        <w:rPr>
          <w:rFonts w:ascii="GHEA Grapalat" w:hAnsi="GHEA Grapalat" w:cs="GHEA Grapalat"/>
          <w:color w:val="000000"/>
          <w:lang w:val="hy-AM"/>
        </w:rPr>
        <w:t>առաջին եռամսյակում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 ՀՀ պետական բյուջեն կատարվել է </w:t>
      </w:r>
      <w:r w:rsidRPr="00790BD9">
        <w:rPr>
          <w:rFonts w:ascii="GHEA Grapalat" w:hAnsi="GHEA Grapalat" w:cs="GHEA Grapalat"/>
          <w:color w:val="000000"/>
          <w:lang w:val="hy-AM"/>
        </w:rPr>
        <w:t>21.2</w:t>
      </w:r>
      <w:r>
        <w:rPr>
          <w:rFonts w:ascii="Calibri" w:hAnsi="Calibri" w:cs="Calibri"/>
          <w:color w:val="000000"/>
          <w:lang w:val="hy-AM"/>
        </w:rPr>
        <w:t> </w:t>
      </w:r>
      <w:r w:rsidRPr="002C2D5A">
        <w:rPr>
          <w:rFonts w:ascii="GHEA Grapalat" w:hAnsi="GHEA Grapalat" w:cs="GHEA Grapalat"/>
          <w:color w:val="000000"/>
          <w:lang w:val="hy-AM"/>
        </w:rPr>
        <w:t xml:space="preserve">մլրդ դրամ </w:t>
      </w:r>
      <w:r>
        <w:rPr>
          <w:rFonts w:ascii="GHEA Grapalat" w:hAnsi="GHEA Grapalat" w:cs="GHEA Grapalat"/>
          <w:color w:val="000000"/>
          <w:lang w:val="hy-AM"/>
        </w:rPr>
        <w:t>հավել</w:t>
      </w:r>
      <w:r w:rsidRPr="002C2D5A">
        <w:rPr>
          <w:rFonts w:ascii="GHEA Grapalat" w:hAnsi="GHEA Grapalat" w:cs="GHEA Grapalat"/>
          <w:color w:val="000000"/>
          <w:lang w:val="hy-AM"/>
        </w:rPr>
        <w:t>ուրդով՝</w:t>
      </w:r>
      <w:r w:rsidRPr="002C2D5A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առաջին եռամսյակի համար</w:t>
      </w:r>
      <w:r w:rsidRPr="002C2D5A">
        <w:rPr>
          <w:rFonts w:ascii="GHEA Grapalat" w:hAnsi="GHEA Grapalat" w:cs="GHEA Grapalat"/>
          <w:lang w:val="hy-AM"/>
        </w:rPr>
        <w:t xml:space="preserve"> ծրագրված և նախորդ տարվա նույն ժամանակահատվածի </w:t>
      </w:r>
      <w:r>
        <w:rPr>
          <w:rFonts w:ascii="GHEA Grapalat" w:hAnsi="GHEA Grapalat" w:cs="GHEA Grapalat"/>
          <w:lang w:val="hy-AM"/>
        </w:rPr>
        <w:t xml:space="preserve">համապատասխանաբար </w:t>
      </w:r>
      <w:r w:rsidRPr="00734B78">
        <w:rPr>
          <w:rFonts w:ascii="GHEA Grapalat" w:hAnsi="GHEA Grapalat" w:cs="GHEA Grapalat"/>
          <w:lang w:val="hy-AM"/>
        </w:rPr>
        <w:t>233.3 մլրդ դրամ</w:t>
      </w:r>
      <w:r>
        <w:rPr>
          <w:rFonts w:ascii="GHEA Grapalat" w:hAnsi="GHEA Grapalat" w:cs="GHEA Grapalat"/>
          <w:lang w:val="hy-AM"/>
        </w:rPr>
        <w:t xml:space="preserve"> և</w:t>
      </w:r>
      <w:r w:rsidRPr="00734B78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868.6 մլն</w:t>
      </w:r>
      <w:r w:rsidRPr="002C2D5A">
        <w:rPr>
          <w:rFonts w:ascii="GHEA Grapalat" w:hAnsi="GHEA Grapalat" w:cs="GHEA Grapalat"/>
          <w:lang w:val="hy-AM"/>
        </w:rPr>
        <w:t xml:space="preserve"> դրամ</w:t>
      </w:r>
      <w:r w:rsidRPr="0060174D">
        <w:rPr>
          <w:rFonts w:ascii="GHEA Grapalat" w:hAnsi="GHEA Grapalat" w:cs="GHEA Grapalat"/>
          <w:lang w:val="hy-AM"/>
        </w:rPr>
        <w:t xml:space="preserve"> </w:t>
      </w:r>
      <w:r w:rsidRPr="00790BD9">
        <w:rPr>
          <w:rFonts w:ascii="GHEA Grapalat" w:hAnsi="GHEA Grapalat" w:cs="GHEA Grapalat"/>
          <w:lang w:val="hy-AM"/>
        </w:rPr>
        <w:t>պակասուրդի</w:t>
      </w:r>
      <w:r w:rsidRPr="002C2D5A">
        <w:rPr>
          <w:rFonts w:ascii="GHEA Grapalat" w:hAnsi="GHEA Grapalat" w:cs="GHEA Grapalat"/>
          <w:lang w:val="hy-AM"/>
        </w:rPr>
        <w:t xml:space="preserve"> դիմաց: </w:t>
      </w:r>
      <w:r w:rsidR="00A11BCD">
        <w:rPr>
          <w:rFonts w:ascii="GHEA Grapalat" w:hAnsi="GHEA Grapalat" w:cs="GHEA Grapalat"/>
          <w:lang w:val="hy-AM"/>
        </w:rPr>
        <w:t>Բյուջեի հավելուրդը</w:t>
      </w:r>
      <w:r w:rsidRPr="00EF352B">
        <w:rPr>
          <w:rFonts w:ascii="GHEA Grapalat" w:hAnsi="GHEA Grapalat" w:cs="GHEA Grapalat"/>
          <w:lang w:val="hy-AM"/>
        </w:rPr>
        <w:t xml:space="preserve"> պայմանավորված</w:t>
      </w:r>
      <w:r w:rsidR="00A11BCD">
        <w:rPr>
          <w:rFonts w:ascii="GHEA Grapalat" w:hAnsi="GHEA Grapalat" w:cs="GHEA Grapalat"/>
        </w:rPr>
        <w:t xml:space="preserve"> է </w:t>
      </w:r>
      <w:r>
        <w:rPr>
          <w:rFonts w:ascii="GHEA Grapalat" w:hAnsi="GHEA Grapalat" w:cs="GHEA Grapalat"/>
          <w:lang w:val="hy-AM"/>
        </w:rPr>
        <w:t xml:space="preserve">եկամուտների </w:t>
      </w:r>
      <w:r w:rsidR="009A2C2A">
        <w:rPr>
          <w:rFonts w:ascii="GHEA Grapalat" w:hAnsi="GHEA Grapalat" w:cs="GHEA Grapalat"/>
        </w:rPr>
        <w:t xml:space="preserve">գերակատարմամբ և ծախսերի ցածր </w:t>
      </w:r>
      <w:r w:rsidR="00191C98">
        <w:rPr>
          <w:rFonts w:ascii="GHEA Grapalat" w:hAnsi="GHEA Grapalat" w:cs="GHEA Grapalat"/>
          <w:lang w:val="hy-AM"/>
        </w:rPr>
        <w:t>կատարողականով, որը</w:t>
      </w:r>
      <w:r w:rsidR="00191C98">
        <w:rPr>
          <w:rFonts w:ascii="GHEA Grapalat" w:hAnsi="GHEA Grapalat" w:cs="GHEA Grapalat"/>
        </w:rPr>
        <w:t xml:space="preserve"> հանգեցրել է</w:t>
      </w:r>
      <w:r w:rsidRPr="00EF352B">
        <w:rPr>
          <w:rFonts w:ascii="GHEA Grapalat" w:hAnsi="GHEA Grapalat" w:cs="GHEA Grapalat"/>
          <w:lang w:val="hy-AM"/>
        </w:rPr>
        <w:t xml:space="preserve"> ֆինանսավորման ներքին աղբյուրներում նախատեսված բյուջեի ազատ միջոցներ</w:t>
      </w:r>
      <w:r w:rsidR="00191C98">
        <w:rPr>
          <w:rFonts w:ascii="GHEA Grapalat" w:hAnsi="GHEA Grapalat" w:cs="GHEA Grapalat"/>
        </w:rPr>
        <w:t>ի աճին</w:t>
      </w:r>
      <w:bookmarkStart w:id="1" w:name="_GoBack"/>
      <w:bookmarkEnd w:id="1"/>
      <w:r w:rsidRPr="00332FE7">
        <w:rPr>
          <w:rFonts w:ascii="GHEA Grapalat" w:hAnsi="GHEA Grapalat" w:cs="GHEA Grapalat"/>
        </w:rPr>
        <w:t xml:space="preserve">: Բացի այդ, ցածր </w:t>
      </w:r>
      <w:r w:rsidRPr="00332FE7">
        <w:rPr>
          <w:rFonts w:ascii="GHEA Grapalat" w:hAnsi="GHEA Grapalat" w:cs="GHEA Grapalat"/>
        </w:rPr>
        <w:lastRenderedPageBreak/>
        <w:t>ցուցանիշ է արձանագրվել արտաքին աղբյուրներից</w:t>
      </w:r>
      <w:r w:rsidRPr="00EF352B">
        <w:rPr>
          <w:rFonts w:ascii="GHEA Grapalat" w:hAnsi="GHEA Grapalat" w:cs="GHEA Grapalat"/>
          <w:lang w:val="hy-AM"/>
        </w:rPr>
        <w:t xml:space="preserve"> ստացվող վարկերի գծով, որոնք կազմել են </w:t>
      </w:r>
      <w:r>
        <w:rPr>
          <w:rFonts w:ascii="GHEA Grapalat" w:hAnsi="GHEA Grapalat" w:cs="GHEA Grapalat"/>
          <w:lang w:val="hy-AM"/>
        </w:rPr>
        <w:t>4.8</w:t>
      </w:r>
      <w:r w:rsidRPr="00EF352B">
        <w:rPr>
          <w:rFonts w:ascii="GHEA Grapalat" w:hAnsi="GHEA Grapalat" w:cs="GHEA Grapalat"/>
          <w:lang w:val="hy-AM"/>
        </w:rPr>
        <w:t xml:space="preserve"> մլրդ դրամ կամ եռամսյակային ծրագրի </w:t>
      </w:r>
      <w:r>
        <w:rPr>
          <w:rFonts w:ascii="GHEA Grapalat" w:hAnsi="GHEA Grapalat" w:cs="GHEA Grapalat"/>
          <w:lang w:val="hy-AM"/>
        </w:rPr>
        <w:t>5.3</w:t>
      </w:r>
      <w:r w:rsidR="00165877">
        <w:rPr>
          <w:rFonts w:ascii="GHEA Grapalat" w:hAnsi="GHEA Grapalat" w:cs="GHEA Grapalat"/>
          <w:lang w:val="hy-AM"/>
        </w:rPr>
        <w:t>%</w:t>
      </w:r>
      <w:r w:rsidR="00165877">
        <w:rPr>
          <w:rFonts w:ascii="GHEA Grapalat" w:hAnsi="GHEA Grapalat" w:cs="GHEA Grapalat"/>
          <w:lang w:val="hy-AM"/>
        </w:rPr>
        <w:noBreakHyphen/>
      </w:r>
      <w:r w:rsidRPr="00EF352B">
        <w:rPr>
          <w:rFonts w:ascii="GHEA Grapalat" w:hAnsi="GHEA Grapalat" w:cs="GHEA Grapalat"/>
          <w:lang w:val="hy-AM"/>
        </w:rPr>
        <w:t>ը:</w:t>
      </w:r>
    </w:p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 xml:space="preserve">Հաշվետու ժամանակահատվածում ֆինանսավորման ներքին աղբյուրներից փոխառու միջոցների հաշվին պետական բյուջեի պակասուրդի ֆինանսավորումն ապահովվել է գանձապետական պարտատոմսերի տեղաբաշխումից զուտ մուտքերի հաշվին, որոնք կազմել են </w:t>
      </w:r>
      <w:r>
        <w:rPr>
          <w:rFonts w:ascii="GHEA Grapalat" w:hAnsi="GHEA Grapalat" w:cs="GHEA Grapalat"/>
          <w:lang w:val="hy-AM"/>
        </w:rPr>
        <w:t>92.2 մլրդ դրամ և 85.5</w:t>
      </w:r>
      <w:r w:rsidRPr="002D31FE"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  <w:lang w:val="hy-AM"/>
        </w:rPr>
        <w:t>-ով ապահովել եռամսյակային ծրագիրը:</w:t>
      </w:r>
    </w:p>
    <w:p w:rsidR="001A4F40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>202</w:t>
      </w:r>
      <w:r>
        <w:rPr>
          <w:rFonts w:ascii="GHEA Grapalat" w:hAnsi="GHEA Grapalat" w:cs="GHEA Grapalat"/>
          <w:lang w:val="hy-AM"/>
        </w:rPr>
        <w:t>5</w:t>
      </w:r>
      <w:r w:rsidRPr="002C2D5A">
        <w:rPr>
          <w:rFonts w:ascii="GHEA Grapalat" w:hAnsi="GHEA Grapalat" w:cs="GHEA Grapalat"/>
          <w:lang w:val="hy-AM"/>
        </w:rPr>
        <w:t xml:space="preserve"> թվականի </w:t>
      </w:r>
      <w:r>
        <w:rPr>
          <w:rFonts w:ascii="GHEA Grapalat" w:hAnsi="GHEA Grapalat" w:cs="GHEA Grapalat"/>
          <w:lang w:val="hy-AM"/>
        </w:rPr>
        <w:t>առաջին եռամսյակի</w:t>
      </w:r>
      <w:r w:rsidRPr="002C2D5A">
        <w:rPr>
          <w:rFonts w:ascii="GHEA Grapalat" w:hAnsi="GHEA Grapalat" w:cs="GHEA Grapalat"/>
          <w:lang w:val="hy-AM"/>
        </w:rPr>
        <w:t xml:space="preserve"> ընթացքում ներքին աղբյուրներից ֆինանսական զուտ ակտիվների հաշվին բյուջեի պակասուրդի ֆինանսավորումը կազմել է </w:t>
      </w:r>
      <w:r w:rsidRPr="002C2D5A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247.8</w:t>
      </w:r>
      <w:r w:rsidRPr="002C2D5A">
        <w:rPr>
          <w:rFonts w:ascii="GHEA Grapalat" w:hAnsi="GHEA Grapalat" w:cs="GHEA Grapalat"/>
          <w:lang w:val="hy-AM"/>
        </w:rPr>
        <w:t xml:space="preserve"> մլրդ դրամ` </w:t>
      </w:r>
      <w:r w:rsidRPr="003206AE">
        <w:rPr>
          <w:rFonts w:ascii="GHEA Grapalat" w:hAnsi="GHEA Grapalat" w:cs="GHEA Grapalat"/>
          <w:lang w:val="hy-AM"/>
        </w:rPr>
        <w:t xml:space="preserve">առաջին եռամսյակում ծրագրված </w:t>
      </w:r>
      <w:r>
        <w:rPr>
          <w:rFonts w:ascii="GHEA Grapalat" w:hAnsi="GHEA Grapalat" w:cs="GHEA Grapalat"/>
          <w:lang w:val="hy-AM"/>
        </w:rPr>
        <w:t>15.8</w:t>
      </w:r>
      <w:r w:rsidRPr="003206AE">
        <w:rPr>
          <w:rFonts w:ascii="GHEA Grapalat" w:hAnsi="GHEA Grapalat" w:cs="GHEA Grapalat"/>
          <w:lang w:val="hy-AM"/>
        </w:rPr>
        <w:t xml:space="preserve"> մլրդ դրամի դիմաց, որը հիմնականում պայմանավորված է ֆինանսավորման ներքին աղբյուրներում բյուջեի ազատ միջոցների՝ առաջին եռամսյակում նախատեսված </w:t>
      </w:r>
      <w:r>
        <w:rPr>
          <w:rFonts w:ascii="GHEA Grapalat" w:hAnsi="GHEA Grapalat" w:cs="GHEA Grapalat"/>
          <w:lang w:val="hy-AM"/>
        </w:rPr>
        <w:t>14.8</w:t>
      </w:r>
      <w:r w:rsidRPr="003206AE">
        <w:rPr>
          <w:rFonts w:ascii="Calibri" w:hAnsi="Calibri" w:cs="Calibri"/>
          <w:lang w:val="hy-AM"/>
        </w:rPr>
        <w:t> </w:t>
      </w:r>
      <w:r w:rsidRPr="003206AE">
        <w:rPr>
          <w:rFonts w:ascii="GHEA Grapalat" w:hAnsi="GHEA Grapalat" w:cs="GHEA Grapalat"/>
          <w:lang w:val="hy-AM"/>
        </w:rPr>
        <w:t>մլրդ դրամ</w:t>
      </w:r>
      <w:r>
        <w:rPr>
          <w:rFonts w:ascii="GHEA Grapalat" w:hAnsi="GHEA Grapalat" w:cs="GHEA Grapalat"/>
          <w:lang w:val="hy-AM"/>
        </w:rPr>
        <w:t xml:space="preserve"> օգտագործման</w:t>
      </w:r>
      <w:r w:rsidRPr="003206AE">
        <w:rPr>
          <w:rFonts w:ascii="GHEA Grapalat" w:hAnsi="GHEA Grapalat" w:cs="GHEA Grapalat"/>
          <w:lang w:val="hy-AM"/>
        </w:rPr>
        <w:t xml:space="preserve"> փոխարեն </w:t>
      </w:r>
      <w:r>
        <w:rPr>
          <w:rFonts w:ascii="GHEA Grapalat" w:hAnsi="GHEA Grapalat" w:cs="GHEA Grapalat"/>
          <w:lang w:val="hy-AM"/>
        </w:rPr>
        <w:t>251.2</w:t>
      </w:r>
      <w:r w:rsidRPr="003206AE">
        <w:rPr>
          <w:rFonts w:ascii="GHEA Grapalat" w:hAnsi="GHEA Grapalat" w:cs="GHEA Grapalat"/>
          <w:lang w:val="hy-AM"/>
        </w:rPr>
        <w:t xml:space="preserve"> մլրդ դրամ աճով</w:t>
      </w:r>
      <w:r w:rsidR="00332FE7">
        <w:rPr>
          <w:rFonts w:ascii="GHEA Grapalat" w:hAnsi="GHEA Grapalat" w:cs="GHEA Grapalat"/>
        </w:rPr>
        <w:t xml:space="preserve">, որից 164 մլրդ դրամը՝ արտարժութային պարտատոմսերի թողարկումից </w:t>
      </w:r>
      <w:r w:rsidR="00332FE7" w:rsidRPr="00332FE7">
        <w:rPr>
          <w:rFonts w:ascii="GHEA Grapalat" w:hAnsi="GHEA Grapalat" w:cs="GHEA Grapalat"/>
        </w:rPr>
        <w:t>զուտ մուտքի</w:t>
      </w:r>
      <w:r w:rsidR="00332FE7">
        <w:rPr>
          <w:rFonts w:ascii="GHEA Grapalat" w:hAnsi="GHEA Grapalat" w:cs="GHEA Grapalat"/>
        </w:rPr>
        <w:t xml:space="preserve"> հաշվին</w:t>
      </w:r>
      <w:r w:rsidRPr="003206AE">
        <w:rPr>
          <w:rFonts w:ascii="GHEA Grapalat" w:hAnsi="GHEA Grapalat" w:cs="GHEA Grapalat"/>
          <w:lang w:val="hy-AM"/>
        </w:rPr>
        <w:t>:</w:t>
      </w:r>
      <w:r w:rsidRPr="002C2D5A">
        <w:rPr>
          <w:rFonts w:ascii="GHEA Grapalat" w:hAnsi="GHEA Grapalat" w:cs="GHEA Grapalat"/>
          <w:lang w:val="hy-AM"/>
        </w:rPr>
        <w:t xml:space="preserve"> </w:t>
      </w:r>
      <w:r w:rsidRPr="00A16D55">
        <w:rPr>
          <w:rFonts w:ascii="GHEA Grapalat" w:hAnsi="GHEA Grapalat" w:cs="GHEA Grapalat"/>
          <w:lang w:val="hy-AM"/>
        </w:rPr>
        <w:t>Եռամսյակային ծրագրով նախատեսվել է</w:t>
      </w:r>
      <w:r w:rsidR="00246978">
        <w:rPr>
          <w:rFonts w:ascii="GHEA Grapalat" w:hAnsi="GHEA Grapalat" w:cs="GHEA Grapalat"/>
        </w:rPr>
        <w:t>ր</w:t>
      </w:r>
      <w:r w:rsidRPr="00A16D55">
        <w:rPr>
          <w:rFonts w:ascii="GHEA Grapalat" w:hAnsi="GHEA Grapalat" w:cs="GHEA Grapalat"/>
          <w:lang w:val="hy-AM"/>
        </w:rPr>
        <w:t xml:space="preserve"> արտաքին աջակցությամբ իրականացվող ծրագրերի շրջանակներում </w:t>
      </w:r>
      <w:r>
        <w:rPr>
          <w:rFonts w:ascii="GHEA Grapalat" w:hAnsi="GHEA Grapalat" w:cs="GHEA Grapalat"/>
          <w:lang w:val="hy-AM"/>
        </w:rPr>
        <w:t>2</w:t>
      </w:r>
      <w:r w:rsidRPr="00A16D55">
        <w:rPr>
          <w:rFonts w:ascii="GHEA Grapalat" w:hAnsi="GHEA Grapalat" w:cs="GHEA Grapalat"/>
          <w:lang w:val="hy-AM"/>
        </w:rPr>
        <w:t xml:space="preserve"> մլրդ դրամ վարկերի տրամադրում ՀՀ ռեզիդենտներին, որի դիմաց տրամադրվել է </w:t>
      </w:r>
      <w:r>
        <w:rPr>
          <w:rFonts w:ascii="GHEA Grapalat" w:hAnsi="GHEA Grapalat" w:cs="GHEA Grapalat"/>
          <w:lang w:val="hy-AM"/>
        </w:rPr>
        <w:t>207.9</w:t>
      </w:r>
      <w:r w:rsidRPr="00A16D55">
        <w:rPr>
          <w:rFonts w:ascii="GHEA Grapalat" w:hAnsi="GHEA Grapalat" w:cs="GHEA Grapalat"/>
          <w:lang w:val="hy-AM"/>
        </w:rPr>
        <w:t xml:space="preserve"> մլն դրամ</w:t>
      </w:r>
      <w:r>
        <w:rPr>
          <w:rFonts w:ascii="GHEA Grapalat" w:hAnsi="GHEA Grapalat" w:cs="GHEA Grapalat"/>
          <w:lang w:val="hy-AM"/>
        </w:rPr>
        <w:t xml:space="preserve">, որից </w:t>
      </w:r>
      <w:r w:rsidRPr="00053306">
        <w:rPr>
          <w:rFonts w:ascii="GHEA Grapalat" w:hAnsi="GHEA Grapalat" w:cs="GHEA Grapalat"/>
          <w:lang w:val="hy-AM"/>
        </w:rPr>
        <w:t>112.6</w:t>
      </w:r>
      <w:r>
        <w:rPr>
          <w:rFonts w:ascii="GHEA Grapalat" w:hAnsi="GHEA Grapalat" w:cs="GHEA Grapalat"/>
          <w:lang w:val="hy-AM"/>
        </w:rPr>
        <w:t xml:space="preserve"> մլն դրամ</w:t>
      </w:r>
      <w:r w:rsidR="00246978">
        <w:rPr>
          <w:rFonts w:ascii="GHEA Grapalat" w:hAnsi="GHEA Grapalat" w:cs="GHEA Grapalat"/>
        </w:rPr>
        <w:t>ը</w:t>
      </w:r>
      <w:r w:rsidRPr="00A16D55">
        <w:rPr>
          <w:rFonts w:ascii="GHEA Grapalat" w:hAnsi="GHEA Grapalat" w:cs="GHEA Grapalat"/>
          <w:lang w:val="hy-AM"/>
        </w:rPr>
        <w:t>՝ Էլեկտրաէներգետիկ համակարգի զարգացման</w:t>
      </w:r>
      <w:r>
        <w:rPr>
          <w:rFonts w:ascii="GHEA Grapalat" w:hAnsi="GHEA Grapalat" w:cs="GHEA Grapalat"/>
          <w:lang w:val="hy-AM"/>
        </w:rPr>
        <w:t>,</w:t>
      </w:r>
      <w:r w:rsidRPr="00584616">
        <w:rPr>
          <w:rFonts w:ascii="GHEA Grapalat" w:hAnsi="GHEA Grapalat" w:cs="GHEA Grapalat"/>
          <w:lang w:val="hy-AM"/>
        </w:rPr>
        <w:t xml:space="preserve"> </w:t>
      </w:r>
      <w:r w:rsidRPr="00053306">
        <w:rPr>
          <w:rFonts w:ascii="GHEA Grapalat" w:hAnsi="GHEA Grapalat" w:cs="GHEA Grapalat"/>
          <w:lang w:val="hy-AM"/>
        </w:rPr>
        <w:t>95.2</w:t>
      </w:r>
      <w:r>
        <w:rPr>
          <w:rFonts w:ascii="GHEA Grapalat" w:hAnsi="GHEA Grapalat" w:cs="GHEA Grapalat"/>
          <w:lang w:val="hy-AM"/>
        </w:rPr>
        <w:t xml:space="preserve"> մլն դրամ</w:t>
      </w:r>
      <w:r w:rsidR="00246978"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hy-AM"/>
        </w:rPr>
        <w:t xml:space="preserve">՝ </w:t>
      </w:r>
      <w:r w:rsidRPr="00735F51">
        <w:rPr>
          <w:rFonts w:ascii="GHEA Grapalat" w:hAnsi="GHEA Grapalat" w:cs="GHEA Grapalat"/>
          <w:lang w:val="hy-AM"/>
        </w:rPr>
        <w:t>Քաղաքային զարգաց</w:t>
      </w:r>
      <w:r>
        <w:rPr>
          <w:rFonts w:ascii="GHEA Grapalat" w:hAnsi="GHEA Grapalat" w:cs="GHEA Grapalat"/>
          <w:lang w:val="hy-AM"/>
        </w:rPr>
        <w:t>ման</w:t>
      </w:r>
      <w:r w:rsidRPr="00735F51">
        <w:rPr>
          <w:rFonts w:ascii="GHEA Grapalat" w:hAnsi="GHEA Grapalat" w:cs="GHEA Grapalat"/>
          <w:lang w:val="hy-AM"/>
        </w:rPr>
        <w:t xml:space="preserve"> ծրագրի շրջանակներում</w:t>
      </w:r>
      <w:r w:rsidRPr="00A16D55">
        <w:rPr>
          <w:rFonts w:ascii="GHEA Grapalat" w:hAnsi="GHEA Grapalat" w:cs="GHEA Grapalat"/>
          <w:lang w:val="hy-AM"/>
        </w:rPr>
        <w:t xml:space="preserve">: Նախկինում պետական բյուջեից ռեզիդենտներին տրամադրված վարկերից վերադարձվել է </w:t>
      </w:r>
      <w:r w:rsidRPr="00053306">
        <w:rPr>
          <w:rFonts w:ascii="GHEA Grapalat" w:hAnsi="GHEA Grapalat" w:cs="GHEA Grapalat"/>
          <w:lang w:val="hy-AM"/>
        </w:rPr>
        <w:t>7.2</w:t>
      </w:r>
      <w:r w:rsidRPr="00A16D55">
        <w:rPr>
          <w:rFonts w:ascii="GHEA Grapalat" w:hAnsi="GHEA Grapalat" w:cs="GHEA Grapalat"/>
          <w:lang w:val="hy-AM"/>
        </w:rPr>
        <w:t xml:space="preserve"> մլրդ դրամ՝ </w:t>
      </w:r>
      <w:r w:rsidR="00833449">
        <w:rPr>
          <w:rFonts w:ascii="GHEA Grapalat" w:hAnsi="GHEA Grapalat" w:cs="GHEA Grapalat"/>
        </w:rPr>
        <w:t xml:space="preserve">առաջին եռամսյակում </w:t>
      </w:r>
      <w:r w:rsidRPr="00A16D55">
        <w:rPr>
          <w:rFonts w:ascii="GHEA Grapalat" w:hAnsi="GHEA Grapalat" w:cs="GHEA Grapalat"/>
          <w:lang w:val="hy-AM"/>
        </w:rPr>
        <w:t>ծրագրված 6.</w:t>
      </w:r>
      <w:r>
        <w:rPr>
          <w:rFonts w:ascii="GHEA Grapalat" w:hAnsi="GHEA Grapalat" w:cs="GHEA Grapalat"/>
          <w:lang w:val="hy-AM"/>
        </w:rPr>
        <w:t>8</w:t>
      </w:r>
      <w:r w:rsidRPr="00A16D55">
        <w:rPr>
          <w:rFonts w:ascii="Calibri" w:hAnsi="Calibri" w:cs="Calibri"/>
          <w:lang w:val="hy-AM"/>
        </w:rPr>
        <w:t> </w:t>
      </w:r>
      <w:r w:rsidRPr="00A16D55">
        <w:rPr>
          <w:rFonts w:ascii="GHEA Grapalat" w:hAnsi="GHEA Grapalat" w:cs="GHEA Grapalat"/>
          <w:lang w:val="hy-AM"/>
        </w:rPr>
        <w:t>մլրդ դրամի դիմաց</w:t>
      </w:r>
      <w:r w:rsidR="005632DF">
        <w:rPr>
          <w:rFonts w:ascii="GHEA Grapalat" w:hAnsi="GHEA Grapalat" w:cs="GHEA Grapalat"/>
        </w:rPr>
        <w:t>, որը հիմնականում պայմանավորված է մեկ կազմակերպության կողմից վարկի ժամկետից շուտ մարմամբ, ինչպես նաև փոխարժեքի և տոկոսադրույքի փոփոխությամբ</w:t>
      </w:r>
      <w:r w:rsidRPr="00A16D55">
        <w:rPr>
          <w:rFonts w:ascii="GHEA Grapalat" w:hAnsi="GHEA Grapalat" w:cs="GHEA Grapalat"/>
          <w:lang w:val="hy-AM"/>
        </w:rPr>
        <w:t>:</w:t>
      </w:r>
      <w:r w:rsidRPr="002C2D5A">
        <w:rPr>
          <w:rFonts w:ascii="GHEA Grapalat" w:hAnsi="GHEA Grapalat" w:cs="GHEA Grapalat"/>
          <w:lang w:val="hy-AM"/>
        </w:rPr>
        <w:t xml:space="preserve"> </w:t>
      </w:r>
    </w:p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1A4F40" w:rsidRPr="002C2D5A" w:rsidRDefault="001A4F40" w:rsidP="001A4F40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t>ՀՀ պետական բյուջեի պակասուրդի ֆինանսավորման աղբյուրները (մլրդ դրամ)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1418"/>
        <w:gridCol w:w="1417"/>
      </w:tblGrid>
      <w:tr w:rsidR="001A4F40" w:rsidRPr="002C2D5A" w:rsidTr="009678C8">
        <w:trPr>
          <w:trHeight w:val="1738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417" w:type="dxa"/>
          </w:tcPr>
          <w:p w:rsidR="001A4F40" w:rsidRPr="002C2D5A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1A4F40" w:rsidRPr="00A16D55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A16D55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417" w:type="dxa"/>
            <w:shd w:val="clear" w:color="000000" w:fill="FFFFFF"/>
            <w:hideMark/>
          </w:tcPr>
          <w:p w:rsidR="001A4F40" w:rsidRPr="00735F51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735F51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1418" w:type="dxa"/>
            <w:shd w:val="clear" w:color="000000" w:fill="FFFFFF"/>
            <w:hideMark/>
          </w:tcPr>
          <w:p w:rsidR="001A4F40" w:rsidRPr="0018220C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Կատարո-ղականն առաջին եռամսյակի ճշտված պլանի նկատմամբ </w:t>
            </w:r>
          </w:p>
          <w:p w:rsidR="001A4F40" w:rsidRPr="0094659E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shd w:val="clear" w:color="000000" w:fill="FFFFFF"/>
          </w:tcPr>
          <w:p w:rsidR="001A4F40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եռամսյակը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</w:t>
            </w:r>
            <w:r w:rsidRPr="0094659E"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 xml:space="preserve"> նկատմամբ</w:t>
            </w:r>
          </w:p>
          <w:p w:rsidR="001A4F40" w:rsidRPr="0094659E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Դեֆիցիտ 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(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հավելուրդ</w:t>
            </w: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)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,</w:t>
            </w: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0.9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233.3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21.2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9.1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2441.2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Ներքին աղբյուրներ,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30.3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123.6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155.6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125.9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512.8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1A4F4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Փոխառու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զուտ 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միջոցներ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118.8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107.9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92.2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85.5</w:t>
            </w:r>
          </w:p>
        </w:tc>
        <w:tc>
          <w:tcPr>
            <w:tcW w:w="1417" w:type="dxa"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77.6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1A4F4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lastRenderedPageBreak/>
              <w:t>Ֆինանսական զուտ ակտիվներ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88.5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15.8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247.8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(1572.6)</w:t>
            </w:r>
          </w:p>
        </w:tc>
        <w:tc>
          <w:tcPr>
            <w:tcW w:w="1417" w:type="dxa"/>
            <w:vAlign w:val="bottom"/>
          </w:tcPr>
          <w:p w:rsidR="001A4F40" w:rsidRPr="00235438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280.1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color w:val="000000"/>
                <w:sz w:val="20"/>
                <w:szCs w:val="20"/>
              </w:rPr>
              <w:t>Արտաքին աղբյուրներ, այդ թվում`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29.5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109.6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134.4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122.6</w:t>
            </w:r>
          </w:p>
        </w:tc>
        <w:tc>
          <w:tcPr>
            <w:tcW w:w="1417" w:type="dxa"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(456.0)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1A4F4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Փոխառու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</w:rPr>
              <w:t xml:space="preserve"> զուտ</w:t>
            </w: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 միջոցներ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29.0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111.0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130.4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117.4</w:t>
            </w:r>
          </w:p>
        </w:tc>
        <w:tc>
          <w:tcPr>
            <w:tcW w:w="1417" w:type="dxa"/>
            <w:vAlign w:val="bottom"/>
          </w:tcPr>
          <w:p w:rsidR="001A4F40" w:rsidRPr="004F1DD4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(449.6)</w:t>
            </w:r>
          </w:p>
        </w:tc>
      </w:tr>
      <w:tr w:rsidR="001A4F40" w:rsidRPr="002C2D5A" w:rsidTr="009678C8">
        <w:trPr>
          <w:trHeight w:val="377"/>
        </w:trPr>
        <w:tc>
          <w:tcPr>
            <w:tcW w:w="3114" w:type="dxa"/>
            <w:shd w:val="clear" w:color="auto" w:fill="auto"/>
            <w:vAlign w:val="bottom"/>
          </w:tcPr>
          <w:p w:rsidR="001A4F40" w:rsidRPr="002C2D5A" w:rsidRDefault="001A4F40" w:rsidP="001A4F40">
            <w:pPr>
              <w:numPr>
                <w:ilvl w:val="0"/>
                <w:numId w:val="2"/>
              </w:numPr>
              <w:ind w:left="426" w:hanging="156"/>
              <w:contextualSpacing/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>Ֆինանսական զուտ ակտիվներ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4F40" w:rsidRPr="00A16D5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ru-RU"/>
              </w:rPr>
              <w:t>0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.5</w:t>
            </w:r>
            <w:r w:rsidRPr="00A16D55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1.4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4.0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289.3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1A4F40" w:rsidRPr="00BD3DD5" w:rsidRDefault="001A4F40" w:rsidP="00A12075">
            <w:pPr>
              <w:jc w:val="right"/>
              <w:rPr>
                <w:rFonts w:ascii="GHEA Grapalat" w:hAnsi="GHEA Grapalat" w:cs="Calibri"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Cs/>
                <w:sz w:val="20"/>
                <w:szCs w:val="20"/>
              </w:rPr>
              <w:t>(</w:t>
            </w:r>
            <w: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853.0</w:t>
            </w:r>
            <w:r>
              <w:rPr>
                <w:rFonts w:ascii="GHEA Grapalat" w:hAnsi="GHEA Grapalat" w:cs="Calibri"/>
                <w:bCs/>
                <w:sz w:val="20"/>
                <w:szCs w:val="20"/>
              </w:rPr>
              <w:t>)</w:t>
            </w:r>
          </w:p>
        </w:tc>
      </w:tr>
    </w:tbl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1A4F40" w:rsidRPr="00287F9D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260006">
        <w:rPr>
          <w:rFonts w:ascii="GHEA Grapalat" w:hAnsi="GHEA Grapalat" w:cs="GHEA Grapalat"/>
        </w:rPr>
        <w:t>2025 թվականի առաջին եռամսյակում արտաքին աղբյուրներից փոխառու զուտ միջոցներ</w:t>
      </w:r>
      <w:r w:rsidR="00260006" w:rsidRPr="00260006">
        <w:rPr>
          <w:rFonts w:ascii="GHEA Grapalat" w:hAnsi="GHEA Grapalat" w:cs="GHEA Grapalat"/>
        </w:rPr>
        <w:t>ի հաշվին ֆինանսավորումը</w:t>
      </w:r>
      <w:r w:rsidR="00605399" w:rsidRPr="00260006">
        <w:rPr>
          <w:rFonts w:ascii="GHEA Grapalat" w:hAnsi="GHEA Grapalat" w:cs="GHEA Grapalat"/>
        </w:rPr>
        <w:t xml:space="preserve"> կազմել </w:t>
      </w:r>
      <w:r w:rsidR="00260006" w:rsidRPr="00260006">
        <w:rPr>
          <w:rFonts w:ascii="GHEA Grapalat" w:hAnsi="GHEA Grapalat" w:cs="GHEA Grapalat"/>
        </w:rPr>
        <w:t xml:space="preserve">է 130.4 </w:t>
      </w:r>
      <w:r w:rsidR="00260006">
        <w:rPr>
          <w:rFonts w:ascii="GHEA Grapalat" w:hAnsi="GHEA Grapalat" w:cs="GHEA Grapalat"/>
        </w:rPr>
        <w:t xml:space="preserve">մլրդ դրամ՝ </w:t>
      </w:r>
      <w:r w:rsidRPr="00260006">
        <w:rPr>
          <w:rFonts w:ascii="GHEA Grapalat" w:hAnsi="GHEA Grapalat" w:cs="GHEA Grapalat"/>
        </w:rPr>
        <w:t>հիմնականում</w:t>
      </w:r>
      <w:r>
        <w:rPr>
          <w:rFonts w:ascii="GHEA Grapalat" w:hAnsi="GHEA Grapalat" w:cs="GHEA Grapalat"/>
          <w:lang w:val="hy-AM"/>
        </w:rPr>
        <w:t xml:space="preserve"> ա</w:t>
      </w:r>
      <w:r w:rsidRPr="004F1DD4">
        <w:rPr>
          <w:rFonts w:ascii="GHEA Grapalat" w:hAnsi="GHEA Grapalat" w:cs="GHEA Grapalat"/>
        </w:rPr>
        <w:t>րտա</w:t>
      </w:r>
      <w:r>
        <w:rPr>
          <w:rFonts w:ascii="GHEA Grapalat" w:hAnsi="GHEA Grapalat" w:cs="GHEA Grapalat"/>
        </w:rPr>
        <w:t>րժութայի</w:t>
      </w:r>
      <w:r w:rsidR="0019100D">
        <w:rPr>
          <w:rFonts w:ascii="GHEA Grapalat" w:hAnsi="GHEA Grapalat" w:cs="GHEA Grapalat"/>
        </w:rPr>
        <w:t>ն պարտատոմսերի թողարկման հաշվին:</w:t>
      </w:r>
      <w:r>
        <w:rPr>
          <w:rFonts w:ascii="GHEA Grapalat" w:hAnsi="GHEA Grapalat" w:cs="GHEA Grapalat"/>
        </w:rPr>
        <w:t xml:space="preserve"> </w:t>
      </w:r>
      <w:r w:rsidR="0019100D">
        <w:rPr>
          <w:rFonts w:ascii="GHEA Grapalat" w:hAnsi="GHEA Grapalat" w:cs="GHEA Grapalat"/>
        </w:rPr>
        <w:t xml:space="preserve">Հաշվետու ժամանակահատվածում թողարկվել է </w:t>
      </w:r>
      <w:r>
        <w:rPr>
          <w:rFonts w:ascii="GHEA Grapalat" w:hAnsi="GHEA Grapalat" w:cs="GHEA Grapalat"/>
          <w:lang w:val="hy-AM"/>
        </w:rPr>
        <w:t>287.4 մլրդ դրամ</w:t>
      </w:r>
      <w:r w:rsidR="0019100D">
        <w:rPr>
          <w:rFonts w:ascii="GHEA Grapalat" w:hAnsi="GHEA Grapalat" w:cs="GHEA Grapalat"/>
        </w:rPr>
        <w:t>ի արտարժութային պարտատոմս՝</w:t>
      </w:r>
      <w:r>
        <w:rPr>
          <w:rFonts w:ascii="GHEA Grapalat" w:hAnsi="GHEA Grapalat" w:cs="GHEA Grapalat"/>
          <w:lang w:val="hy-AM"/>
        </w:rPr>
        <w:t xml:space="preserve"> նախատեսված 193.6 մլրդ դրամի դիմաց, որից 123.4 մլրդ դրամն ուղղվել է </w:t>
      </w:r>
      <w:r w:rsidR="0019100D">
        <w:rPr>
          <w:rFonts w:ascii="GHEA Grapalat" w:hAnsi="GHEA Grapalat" w:cs="GHEA Grapalat"/>
        </w:rPr>
        <w:t xml:space="preserve">նախկինում թողարկված </w:t>
      </w:r>
      <w:r w:rsidRPr="004F1DD4">
        <w:rPr>
          <w:rFonts w:ascii="GHEA Grapalat" w:hAnsi="GHEA Grapalat" w:cs="GHEA Grapalat"/>
          <w:lang w:val="hy-AM"/>
        </w:rPr>
        <w:t>ա</w:t>
      </w:r>
      <w:r w:rsidRPr="004F1DD4">
        <w:rPr>
          <w:rFonts w:ascii="GHEA Grapalat" w:hAnsi="GHEA Grapalat" w:cs="GHEA Grapalat"/>
        </w:rPr>
        <w:t>րտարժութային պարտատոմսերի</w:t>
      </w:r>
      <w:r>
        <w:rPr>
          <w:rFonts w:ascii="GHEA Grapalat" w:hAnsi="GHEA Grapalat" w:cs="GHEA Grapalat"/>
          <w:lang w:val="hy-AM"/>
        </w:rPr>
        <w:t xml:space="preserve"> մարմանը՝ 93.3</w:t>
      </w:r>
      <w:r w:rsidRPr="004F1DD4">
        <w:rPr>
          <w:rFonts w:ascii="GHEA Grapalat" w:hAnsi="GHEA Grapalat" w:cs="GHEA Grapalat"/>
        </w:rPr>
        <w:t>%</w:t>
      </w:r>
      <w:r>
        <w:rPr>
          <w:rFonts w:ascii="GHEA Grapalat" w:hAnsi="GHEA Grapalat" w:cs="GHEA Grapalat"/>
          <w:lang w:val="hy-AM"/>
        </w:rPr>
        <w:t>-ով ապահովելով ծրագրային ցուցանիշը:</w:t>
      </w:r>
      <w:r w:rsidR="00595D24">
        <w:rPr>
          <w:rFonts w:ascii="GHEA Grapalat" w:hAnsi="GHEA Grapalat" w:cs="GHEA Grapalat"/>
        </w:rPr>
        <w:t xml:space="preserve"> Շեղումը պայմանավորված է </w:t>
      </w:r>
      <w:r w:rsidR="00595D24" w:rsidRPr="00595D24">
        <w:rPr>
          <w:rFonts w:ascii="GHEA Grapalat" w:hAnsi="GHEA Grapalat" w:cs="GHEA Grapalat"/>
        </w:rPr>
        <w:t>ԱՄՆ դոլարի նկատմամբ ՀՀ դրամի կանխատեսումային և փաստացի ձևավ</w:t>
      </w:r>
      <w:r w:rsidR="00595D24">
        <w:rPr>
          <w:rFonts w:ascii="GHEA Grapalat" w:hAnsi="GHEA Grapalat" w:cs="GHEA Grapalat"/>
        </w:rPr>
        <w:t>որված փոխարժեքների տարբերությամբ:</w:t>
      </w:r>
      <w:r w:rsidR="00287F9D">
        <w:rPr>
          <w:rFonts w:ascii="GHEA Grapalat" w:hAnsi="GHEA Grapalat" w:cs="GHEA Grapalat"/>
        </w:rPr>
        <w:t xml:space="preserve"> </w:t>
      </w:r>
      <w:r w:rsidR="00287F9D" w:rsidRPr="00D36F47">
        <w:rPr>
          <w:rFonts w:ascii="GHEA Grapalat" w:hAnsi="GHEA Grapalat" w:cs="Arial"/>
          <w:color w:val="000000"/>
          <w:lang w:val="hy-AM"/>
        </w:rPr>
        <w:t xml:space="preserve">Հավելյալ արտարժութային պարտատոմսերի թողարկումը </w:t>
      </w:r>
      <w:r w:rsidR="00287F9D" w:rsidRPr="006577BB">
        <w:rPr>
          <w:rFonts w:ascii="GHEA Grapalat" w:hAnsi="GHEA Grapalat" w:cs="Arial"/>
          <w:color w:val="000000"/>
          <w:lang w:val="hy-AM"/>
        </w:rPr>
        <w:t xml:space="preserve">նպատակ է ունեցել բարձրացնել պետական բյուջեի պակասուրդի ֆինանսավորման հնարավոր ռիսկերի կառավարելիության աստիճանը, </w:t>
      </w:r>
      <w:r w:rsidR="00287F9D" w:rsidRPr="002D35D9">
        <w:rPr>
          <w:rFonts w:ascii="GHEA Grapalat" w:hAnsi="GHEA Grapalat" w:cs="Arial"/>
          <w:color w:val="000000"/>
          <w:lang w:val="hy-AM"/>
        </w:rPr>
        <w:t>ինչպես նաև նպաստել վճարային հաշվեկշռի արտաքին հատվածի կայունությանը</w:t>
      </w:r>
      <w:r w:rsidR="00287F9D" w:rsidRPr="00D36F47">
        <w:rPr>
          <w:rFonts w:ascii="GHEA Grapalat" w:hAnsi="GHEA Grapalat" w:cs="Arial"/>
          <w:color w:val="000000"/>
          <w:lang w:val="hy-AM"/>
        </w:rPr>
        <w:t>:</w:t>
      </w:r>
    </w:p>
    <w:p w:rsidR="001A4F40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t>Ա</w:t>
      </w:r>
      <w:r w:rsidRPr="00BD3DD5">
        <w:rPr>
          <w:rFonts w:ascii="GHEA Grapalat" w:hAnsi="GHEA Grapalat" w:cs="GHEA Grapalat"/>
          <w:lang w:val="hy-AM"/>
        </w:rPr>
        <w:t xml:space="preserve">րտաքին </w:t>
      </w:r>
      <w:r w:rsidRPr="00637E88">
        <w:rPr>
          <w:rFonts w:ascii="GHEA Grapalat" w:hAnsi="GHEA Grapalat" w:cs="GHEA Grapalat"/>
          <w:lang w:val="hy-AM"/>
        </w:rPr>
        <w:t>վարկատուների</w:t>
      </w:r>
      <w:r w:rsidRPr="00BD3DD5">
        <w:rPr>
          <w:rFonts w:ascii="GHEA Grapalat" w:hAnsi="GHEA Grapalat" w:cs="GHEA Grapalat"/>
          <w:lang w:val="hy-AM"/>
        </w:rPr>
        <w:t xml:space="preserve"> աջակցությամբ իրականացվող նպատակային վարկային ծրագրերի շրջանակներում ստացվ</w:t>
      </w:r>
      <w:r w:rsidRPr="00637E88">
        <w:rPr>
          <w:rFonts w:ascii="GHEA Grapalat" w:hAnsi="GHEA Grapalat" w:cs="GHEA Grapalat"/>
          <w:lang w:val="hy-AM"/>
        </w:rPr>
        <w:t>ած միջոցների հաշվին</w:t>
      </w:r>
      <w:r>
        <w:rPr>
          <w:rFonts w:ascii="GHEA Grapalat" w:hAnsi="GHEA Grapalat" w:cs="GHEA Grapalat"/>
          <w:lang w:val="hy-AM"/>
        </w:rPr>
        <w:t xml:space="preserve"> ֆինանսավորումը կազմել է</w:t>
      </w:r>
      <w:r w:rsidRPr="00BD3DD5"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4.8</w:t>
      </w:r>
      <w:r w:rsidRPr="00637E88">
        <w:rPr>
          <w:rFonts w:ascii="Calibri" w:hAnsi="Calibri" w:cs="Calibri"/>
          <w:lang w:val="hy-AM"/>
        </w:rPr>
        <w:t> </w:t>
      </w:r>
      <w:r w:rsidRPr="00BD3DD5">
        <w:rPr>
          <w:rFonts w:ascii="GHEA Grapalat" w:hAnsi="GHEA Grapalat" w:cs="GHEA Grapalat"/>
          <w:lang w:val="hy-AM"/>
        </w:rPr>
        <w:t xml:space="preserve">մլրդ դրամ </w:t>
      </w:r>
      <w:r w:rsidRPr="00637E88">
        <w:rPr>
          <w:rFonts w:ascii="GHEA Grapalat" w:hAnsi="GHEA Grapalat" w:cs="GHEA Grapalat"/>
          <w:lang w:val="hy-AM"/>
        </w:rPr>
        <w:t>կամ</w:t>
      </w:r>
      <w:r w:rsidRPr="00BD3DD5">
        <w:rPr>
          <w:rFonts w:ascii="GHEA Grapalat" w:hAnsi="GHEA Grapalat" w:cs="GHEA Grapalat"/>
          <w:lang w:val="hy-AM"/>
        </w:rPr>
        <w:t xml:space="preserve"> ծրագրված ցուցանիշի </w:t>
      </w:r>
      <w:r>
        <w:rPr>
          <w:rFonts w:ascii="GHEA Grapalat" w:hAnsi="GHEA Grapalat" w:cs="GHEA Grapalat"/>
          <w:lang w:val="hy-AM"/>
        </w:rPr>
        <w:t>5.3</w:t>
      </w:r>
      <w:r w:rsidRPr="00BD3DD5">
        <w:rPr>
          <w:rFonts w:ascii="GHEA Grapalat" w:hAnsi="GHEA Grapalat" w:cs="GHEA Grapalat"/>
          <w:lang w:val="hy-AM"/>
        </w:rPr>
        <w:t>%-ը</w:t>
      </w:r>
      <w:r w:rsidR="00D82C64">
        <w:rPr>
          <w:rFonts w:ascii="GHEA Grapalat" w:hAnsi="GHEA Grapalat" w:cs="GHEA Grapalat"/>
        </w:rPr>
        <w:t>՝ պայմանավորված ծրագրերի կատարման աստիճանով</w:t>
      </w:r>
      <w:r w:rsidRPr="00BD3DD5">
        <w:rPr>
          <w:rFonts w:ascii="GHEA Grapalat" w:hAnsi="GHEA Grapalat" w:cs="GHEA Grapalat"/>
          <w:lang w:val="hy-AM"/>
        </w:rPr>
        <w:t>:</w:t>
      </w:r>
    </w:p>
    <w:p w:rsidR="001A4F40" w:rsidRPr="00637E88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</w:p>
    <w:p w:rsidR="001A4F40" w:rsidRPr="002C2D5A" w:rsidRDefault="001A4F40" w:rsidP="001A4F40">
      <w:pPr>
        <w:keepNext/>
        <w:numPr>
          <w:ilvl w:val="0"/>
          <w:numId w:val="3"/>
        </w:numPr>
        <w:tabs>
          <w:tab w:val="left" w:pos="1134"/>
          <w:tab w:val="left" w:pos="1843"/>
        </w:tabs>
        <w:spacing w:after="120"/>
        <w:ind w:left="1276" w:hanging="1276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2C2D5A">
        <w:rPr>
          <w:rFonts w:ascii="GHEA Grapalat" w:hAnsi="GHEA Grapalat"/>
          <w:b/>
          <w:bCs/>
          <w:i/>
          <w:sz w:val="20"/>
          <w:szCs w:val="20"/>
          <w:lang w:val="hy-AM"/>
        </w:rPr>
        <w:t>Արտաքին աղբյուրներից նպատակային վարկերի ստացում (մլրդ դրամ)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559"/>
        <w:gridCol w:w="2126"/>
      </w:tblGrid>
      <w:tr w:rsidR="001A4F40" w:rsidRPr="00EF352B" w:rsidTr="00A12075">
        <w:trPr>
          <w:trHeight w:val="1054"/>
        </w:trPr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1A4F40" w:rsidRPr="00B46E39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B46E3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B46E39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թ. առաջին եռամսյակի ճշտված պլան</w:t>
            </w:r>
          </w:p>
        </w:tc>
        <w:tc>
          <w:tcPr>
            <w:tcW w:w="1559" w:type="dxa"/>
            <w:shd w:val="clear" w:color="000000" w:fill="FFFFFF"/>
            <w:hideMark/>
          </w:tcPr>
          <w:p w:rsidR="001A4F40" w:rsidRPr="00844DE7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202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թ. </w:t>
            </w: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առաջին եռամսյակի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844DE7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br/>
              <w:t>փաստ</w:t>
            </w:r>
          </w:p>
        </w:tc>
        <w:tc>
          <w:tcPr>
            <w:tcW w:w="2126" w:type="dxa"/>
            <w:shd w:val="clear" w:color="000000" w:fill="FFFFFF"/>
            <w:hideMark/>
          </w:tcPr>
          <w:p w:rsidR="001A4F40" w:rsidRPr="0018220C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18220C"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Կատարողականն առաջին եռամսյակի ճշտված պլանի նկատմամբ</w:t>
            </w:r>
          </w:p>
          <w:p w:rsidR="001A4F40" w:rsidRPr="0094659E" w:rsidRDefault="001A4F40" w:rsidP="00A12075">
            <w:pPr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(%)</w:t>
            </w:r>
          </w:p>
        </w:tc>
      </w:tr>
      <w:tr w:rsidR="001A4F40" w:rsidRPr="002C2D5A" w:rsidTr="00A12075">
        <w:trPr>
          <w:trHeight w:val="377"/>
        </w:trPr>
        <w:tc>
          <w:tcPr>
            <w:tcW w:w="4820" w:type="dxa"/>
            <w:shd w:val="clear" w:color="auto" w:fill="auto"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Նպատակային վարկերի ստացում</w:t>
            </w:r>
            <w:r w:rsidRPr="002C2D5A">
              <w:rPr>
                <w:rFonts w:ascii="GHEA Grapalat" w:hAnsi="GHEA Grapalat" w:cs="Calibri"/>
                <w:bCs/>
                <w:sz w:val="20"/>
                <w:szCs w:val="20"/>
                <w:lang w:val="hy-AM"/>
              </w:rPr>
              <w:t>,</w:t>
            </w:r>
          </w:p>
          <w:p w:rsidR="001A4F40" w:rsidRPr="002C2D5A" w:rsidRDefault="001A4F40" w:rsidP="00A12075">
            <w:pP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  <w:lang w:val="hy-AM"/>
              </w:rPr>
              <w:t>այդ թվում`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</w:rPr>
              <w:t>91.4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4.8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20"/>
                <w:szCs w:val="20"/>
                <w:lang w:val="hy-AM"/>
              </w:rPr>
              <w:t>5.3</w:t>
            </w:r>
          </w:p>
        </w:tc>
      </w:tr>
      <w:tr w:rsidR="001A4F40" w:rsidRPr="002C2D5A" w:rsidTr="00A12075">
        <w:trPr>
          <w:trHeight w:val="335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Միջազգային կազմակերպություններից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90.5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4.3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4.7</w:t>
            </w:r>
          </w:p>
        </w:tc>
      </w:tr>
      <w:tr w:rsidR="001A4F40" w:rsidRPr="002C2D5A" w:rsidTr="00A12075">
        <w:trPr>
          <w:trHeight w:val="321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Համաշխարհային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8159B5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0</w:t>
            </w:r>
          </w:p>
        </w:tc>
      </w:tr>
      <w:tr w:rsidR="001A4F40" w:rsidRPr="002C2D5A" w:rsidTr="00A12075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Վերակառուցման և զարգացման եվրոպական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>0.</w:t>
            </w:r>
            <w:r w:rsidR="0027236A"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5.9</w:t>
            </w:r>
          </w:p>
        </w:tc>
      </w:tr>
      <w:tr w:rsidR="001A4F40" w:rsidRPr="002C2D5A" w:rsidTr="00A12075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Եվրոպական ներդրումային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A4F40" w:rsidRPr="002C2D5A" w:rsidTr="00A12075">
        <w:trPr>
          <w:trHeight w:val="269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lastRenderedPageBreak/>
              <w:t xml:space="preserve"> 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4.2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82.1</w:t>
            </w:r>
          </w:p>
        </w:tc>
      </w:tr>
      <w:tr w:rsidR="001A4F40" w:rsidRPr="002C2D5A" w:rsidTr="00A12075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Եվրասիական զարգացման բանկ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A4F40" w:rsidRPr="002C2D5A" w:rsidTr="00A12075">
        <w:trPr>
          <w:trHeight w:val="288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Այլ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76.6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0.0</w:t>
            </w:r>
          </w:p>
        </w:tc>
      </w:tr>
      <w:tr w:rsidR="001A4F40" w:rsidRPr="002C2D5A" w:rsidTr="00A12075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b/>
                <w:sz w:val="20"/>
                <w:szCs w:val="20"/>
              </w:rPr>
              <w:t xml:space="preserve"> Օտարերկրյա պետություններից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0.8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F70742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sz w:val="20"/>
                <w:szCs w:val="20"/>
                <w:lang w:val="ru-RU"/>
              </w:rPr>
              <w:t>67.</w:t>
            </w:r>
            <w:r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>3</w:t>
            </w:r>
          </w:p>
        </w:tc>
      </w:tr>
      <w:tr w:rsidR="001A4F40" w:rsidRPr="002C2D5A" w:rsidTr="00A12075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Գերմանիա (Վերականգնման վարկերի բանկ)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831EC9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F70742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38.8</w:t>
            </w:r>
          </w:p>
        </w:tc>
      </w:tr>
      <w:tr w:rsidR="001A4F40" w:rsidRPr="002C2D5A" w:rsidTr="00A12075">
        <w:trPr>
          <w:trHeight w:val="327"/>
        </w:trPr>
        <w:tc>
          <w:tcPr>
            <w:tcW w:w="4820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rPr>
                <w:rFonts w:ascii="GHEA Grapalat" w:hAnsi="GHEA Grapalat" w:cs="Calibri"/>
                <w:sz w:val="20"/>
                <w:szCs w:val="20"/>
              </w:rPr>
            </w:pPr>
            <w:r w:rsidRPr="002C2D5A">
              <w:rPr>
                <w:rFonts w:ascii="GHEA Grapalat" w:hAnsi="GHEA Grapalat" w:cs="Calibri"/>
                <w:sz w:val="20"/>
                <w:szCs w:val="20"/>
              </w:rPr>
              <w:t xml:space="preserve"> Ֆրանսիա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1A4F40" w:rsidRPr="002C2D5A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A4F40" w:rsidRPr="00F70742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0.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A4F40" w:rsidRPr="00637E88" w:rsidRDefault="001A4F40" w:rsidP="00A12075">
            <w:pPr>
              <w:jc w:val="righ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91.9</w:t>
            </w:r>
          </w:p>
        </w:tc>
      </w:tr>
    </w:tbl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</w:rPr>
      </w:pPr>
    </w:p>
    <w:p w:rsidR="001A4F40" w:rsidRPr="00CE4481" w:rsidRDefault="0027236A" w:rsidP="001A4F40">
      <w:pPr>
        <w:spacing w:line="360" w:lineRule="auto"/>
        <w:ind w:firstLine="567"/>
        <w:jc w:val="both"/>
        <w:rPr>
          <w:rFonts w:ascii="GHEA Grapalat" w:hAnsi="GHEA Grapalat" w:cs="GHEA Grapalat"/>
        </w:rPr>
      </w:pPr>
      <w:r w:rsidRPr="00BD3DD5">
        <w:rPr>
          <w:rFonts w:ascii="GHEA Grapalat" w:hAnsi="GHEA Grapalat" w:cs="GHEA Grapalat"/>
          <w:lang w:val="hy-AM"/>
        </w:rPr>
        <w:t>202</w:t>
      </w:r>
      <w:r>
        <w:rPr>
          <w:rFonts w:ascii="GHEA Grapalat" w:hAnsi="GHEA Grapalat" w:cs="GHEA Grapalat"/>
        </w:rPr>
        <w:t>5</w:t>
      </w:r>
      <w:r w:rsidRPr="00BD3DD5">
        <w:rPr>
          <w:rFonts w:ascii="GHEA Grapalat" w:hAnsi="GHEA Grapalat" w:cs="GHEA Grapalat"/>
          <w:lang w:val="hy-AM"/>
        </w:rPr>
        <w:t xml:space="preserve"> թվականի </w:t>
      </w:r>
      <w:r>
        <w:rPr>
          <w:rFonts w:ascii="GHEA Grapalat" w:hAnsi="GHEA Grapalat" w:cs="GHEA Grapalat"/>
          <w:lang w:val="hy-AM"/>
        </w:rPr>
        <w:t>առաջին եռամսյակ</w:t>
      </w:r>
      <w:r w:rsidRPr="00BD3DD5">
        <w:rPr>
          <w:rFonts w:ascii="GHEA Grapalat" w:hAnsi="GHEA Grapalat" w:cs="GHEA Grapalat"/>
        </w:rPr>
        <w:t xml:space="preserve">ում </w:t>
      </w:r>
      <w:r w:rsidR="001A4F40">
        <w:rPr>
          <w:rFonts w:ascii="GHEA Grapalat" w:hAnsi="GHEA Grapalat" w:cs="GHEA Grapalat"/>
          <w:lang w:val="hy-AM"/>
        </w:rPr>
        <w:t>38.5</w:t>
      </w:r>
      <w:r w:rsidR="001A4F40" w:rsidRPr="002C2D5A">
        <w:rPr>
          <w:rFonts w:ascii="GHEA Grapalat" w:hAnsi="GHEA Grapalat" w:cs="GHEA Grapalat"/>
          <w:lang w:val="hy-AM"/>
        </w:rPr>
        <w:t xml:space="preserve"> մլրդ դրամ ուղղվել է արտաքին վարկերի մարմանը՝ կազմելով </w:t>
      </w:r>
      <w:r w:rsidR="001A4F40" w:rsidRPr="0018220C">
        <w:rPr>
          <w:rFonts w:ascii="GHEA Grapalat" w:hAnsi="GHEA Grapalat" w:cs="GHEA Grapalat"/>
          <w:lang w:val="hy-AM"/>
        </w:rPr>
        <w:t xml:space="preserve">եռամսյակային </w:t>
      </w:r>
      <w:r w:rsidR="001A4F40" w:rsidRPr="002C2D5A">
        <w:rPr>
          <w:rFonts w:ascii="GHEA Grapalat" w:hAnsi="GHEA Grapalat" w:cs="GHEA Grapalat"/>
          <w:lang w:val="hy-AM"/>
        </w:rPr>
        <w:t xml:space="preserve">ծրագրի </w:t>
      </w:r>
      <w:r w:rsidR="001A4F40">
        <w:rPr>
          <w:rFonts w:ascii="GHEA Grapalat" w:hAnsi="GHEA Grapalat" w:cs="GHEA Grapalat"/>
          <w:lang w:val="hy-AM"/>
        </w:rPr>
        <w:t>92.5</w:t>
      </w:r>
      <w:r w:rsidR="001A4F40" w:rsidRPr="002C2D5A">
        <w:rPr>
          <w:rFonts w:ascii="GHEA Grapalat" w:hAnsi="GHEA Grapalat" w:cs="GHEA Grapalat"/>
          <w:lang w:val="hy-AM"/>
        </w:rPr>
        <w:t xml:space="preserve">%-ը: Նշված </w:t>
      </w:r>
      <w:r w:rsidR="001A4F40" w:rsidRPr="00BB54AB">
        <w:rPr>
          <w:rFonts w:ascii="GHEA Grapalat" w:hAnsi="GHEA Grapalat" w:cs="GHEA Grapalat"/>
          <w:lang w:val="hy-AM"/>
        </w:rPr>
        <w:t>գումարից 26.6 մլրդ դրամն ուղղվել է միջազգային կազմակերպությունների, 11.5 մլրդ դրամը` օտարերկրյա պետությունների և 305.4 մլն դրամը` օտարերկրյա առևտրային բանկերի նկատմամբ պարտավորությունների մարմանը:</w:t>
      </w:r>
    </w:p>
    <w:p w:rsidR="001A4F40" w:rsidRPr="002C2D5A" w:rsidRDefault="001A4F40" w:rsidP="001A4F40">
      <w:pPr>
        <w:spacing w:line="360" w:lineRule="auto"/>
        <w:ind w:firstLine="567"/>
        <w:jc w:val="both"/>
        <w:rPr>
          <w:rFonts w:ascii="GHEA Grapalat" w:hAnsi="GHEA Grapalat" w:cs="GHEA Grapalat"/>
          <w:lang w:val="hy-AM"/>
        </w:rPr>
      </w:pPr>
      <w:r w:rsidRPr="002C2D5A">
        <w:rPr>
          <w:rFonts w:ascii="GHEA Grapalat" w:hAnsi="GHEA Grapalat" w:cs="GHEA Grapalat"/>
          <w:lang w:val="hy-AM"/>
        </w:rPr>
        <w:t xml:space="preserve">Արտաքին ֆինանսական զուտ ակտիվների հաշվին պետական բյուջեի պակասուրդի ֆինանսավորումը հաշվետու ժամանակահատվածում կազմել է </w:t>
      </w:r>
      <w:r>
        <w:rPr>
          <w:rFonts w:ascii="GHEA Grapalat" w:hAnsi="GHEA Grapalat" w:cs="GHEA Grapalat"/>
          <w:lang w:val="hy-AM"/>
        </w:rPr>
        <w:t>4</w:t>
      </w:r>
      <w:r w:rsidRPr="002C2D5A">
        <w:rPr>
          <w:rFonts w:ascii="GHEA Grapalat" w:hAnsi="GHEA Grapalat" w:cs="GHEA Grapalat"/>
          <w:lang w:val="hy-AM"/>
        </w:rPr>
        <w:t xml:space="preserve"> մլրդ դրամ՝ նախատեսված </w:t>
      </w:r>
      <w:r w:rsidRPr="002C2D5A">
        <w:rPr>
          <w:rFonts w:ascii="GHEA Grapalat" w:hAnsi="GHEA Grapalat" w:cs="GHEA Grapalat"/>
          <w:lang w:val="hy-AM"/>
        </w:rPr>
        <w:noBreakHyphen/>
      </w:r>
      <w:r>
        <w:rPr>
          <w:rFonts w:ascii="GHEA Grapalat" w:hAnsi="GHEA Grapalat" w:cs="GHEA Grapalat"/>
          <w:lang w:val="hy-AM"/>
        </w:rPr>
        <w:t>1.4</w:t>
      </w:r>
      <w:r w:rsidR="00174E4C">
        <w:rPr>
          <w:rFonts w:ascii="GHEA Grapalat" w:hAnsi="GHEA Grapalat" w:cs="GHEA Grapalat"/>
        </w:rPr>
        <w:t xml:space="preserve"> </w:t>
      </w:r>
      <w:r w:rsidRPr="002C2D5A">
        <w:rPr>
          <w:rFonts w:ascii="GHEA Grapalat" w:hAnsi="GHEA Grapalat" w:cs="GHEA Grapalat"/>
          <w:lang w:val="hy-AM"/>
        </w:rPr>
        <w:t>մլրդ դրամի դիմաց:</w:t>
      </w:r>
      <w:r w:rsidR="00C567CF">
        <w:rPr>
          <w:rFonts w:ascii="GHEA Grapalat" w:hAnsi="GHEA Grapalat" w:cs="GHEA Grapalat"/>
        </w:rPr>
        <w:t xml:space="preserve"> Ծրագրված, ինչպես նաև</w:t>
      </w:r>
      <w:r w:rsidRPr="002C2D5A">
        <w:rPr>
          <w:rFonts w:ascii="GHEA Grapalat" w:hAnsi="GHEA Grapalat" w:cs="GHEA Grapalat"/>
          <w:lang w:val="hy-AM"/>
        </w:rPr>
        <w:t xml:space="preserve"> </w:t>
      </w:r>
      <w:r w:rsidR="00C567CF">
        <w:rPr>
          <w:rFonts w:ascii="GHEA Grapalat" w:hAnsi="GHEA Grapalat" w:cs="GHEA Grapalat"/>
        </w:rPr>
        <w:t>ն</w:t>
      </w:r>
      <w:r w:rsidRPr="008159B5">
        <w:rPr>
          <w:rFonts w:ascii="GHEA Grapalat" w:hAnsi="GHEA Grapalat" w:cs="GHEA Grapalat"/>
          <w:lang w:val="hy-AM"/>
        </w:rPr>
        <w:t>ախորդ տարվա նույն ժամանակահատվածի</w:t>
      </w:r>
      <w:r w:rsidR="00C567CF">
        <w:rPr>
          <w:rFonts w:ascii="GHEA Grapalat" w:hAnsi="GHEA Grapalat" w:cs="GHEA Grapalat"/>
        </w:rPr>
        <w:t xml:space="preserve"> ցուցանիշների համեմատ</w:t>
      </w:r>
      <w:r w:rsidRPr="008159B5">
        <w:rPr>
          <w:rFonts w:ascii="GHEA Grapalat" w:hAnsi="GHEA Grapalat" w:cs="GHEA Grapalat"/>
          <w:lang w:val="hy-AM"/>
        </w:rPr>
        <w:t xml:space="preserve"> արտաքին ֆինանսական զուտ ակտիվների հաշվին պակասուրդի ֆինանսավորման</w:t>
      </w:r>
      <w:r w:rsidR="00C567CF">
        <w:rPr>
          <w:rFonts w:ascii="GHEA Grapalat" w:hAnsi="GHEA Grapalat" w:cs="GHEA Grapalat"/>
        </w:rPr>
        <w:t xml:space="preserve"> փաստացի</w:t>
      </w:r>
      <w:r w:rsidRPr="008159B5">
        <w:rPr>
          <w:rFonts w:ascii="GHEA Grapalat" w:hAnsi="GHEA Grapalat" w:cs="GHEA Grapalat"/>
          <w:lang w:val="hy-AM"/>
        </w:rPr>
        <w:t xml:space="preserve"> ցուցանիշի տարբերություն</w:t>
      </w:r>
      <w:r w:rsidR="00C567CF">
        <w:rPr>
          <w:rFonts w:ascii="GHEA Grapalat" w:hAnsi="GHEA Grapalat" w:cs="GHEA Grapalat"/>
        </w:rPr>
        <w:t>ներ</w:t>
      </w:r>
      <w:r w:rsidR="00C567CF">
        <w:rPr>
          <w:rFonts w:ascii="GHEA Grapalat" w:hAnsi="GHEA Grapalat" w:cs="GHEA Grapalat"/>
          <w:lang w:val="hy-AM"/>
        </w:rPr>
        <w:t>ը պայմանավորված են</w:t>
      </w:r>
      <w:r w:rsidRPr="008159B5">
        <w:rPr>
          <w:rFonts w:ascii="GHEA Grapalat" w:hAnsi="GHEA Grapalat" w:cs="GHEA Grapalat"/>
          <w:lang w:val="hy-AM"/>
        </w:rPr>
        <w:t xml:space="preserve"> արտաքին աղբյուրներից ստացված վարկային և դրամաշնորհային միջոցների մնացորդից օգտագործ</w:t>
      </w:r>
      <w:r w:rsidR="00C567CF">
        <w:rPr>
          <w:rFonts w:ascii="GHEA Grapalat" w:hAnsi="GHEA Grapalat" w:cs="GHEA Grapalat"/>
        </w:rPr>
        <w:t>մամբ</w:t>
      </w:r>
      <w:r w:rsidRPr="008159B5">
        <w:rPr>
          <w:rFonts w:ascii="GHEA Grapalat" w:hAnsi="GHEA Grapalat" w:cs="GHEA Grapalat"/>
          <w:lang w:val="hy-AM"/>
        </w:rPr>
        <w:t xml:space="preserve">, </w:t>
      </w:r>
      <w:r>
        <w:rPr>
          <w:rFonts w:ascii="GHEA Grapalat" w:hAnsi="GHEA Grapalat" w:cs="GHEA Grapalat"/>
          <w:lang w:val="hy-AM"/>
        </w:rPr>
        <w:t xml:space="preserve">որը կազմել է </w:t>
      </w:r>
      <w:r w:rsidRPr="008159B5">
        <w:rPr>
          <w:rFonts w:ascii="GHEA Grapalat" w:hAnsi="GHEA Grapalat" w:cs="GHEA Grapalat"/>
          <w:lang w:val="hy-AM"/>
        </w:rPr>
        <w:t>3.8</w:t>
      </w:r>
      <w:r w:rsidRPr="008159B5">
        <w:rPr>
          <w:rFonts w:ascii="Calibri" w:hAnsi="Calibri" w:cs="Calibri"/>
          <w:lang w:val="hy-AM"/>
        </w:rPr>
        <w:t> </w:t>
      </w:r>
      <w:r w:rsidRPr="008159B5">
        <w:rPr>
          <w:rFonts w:ascii="GHEA Grapalat" w:hAnsi="GHEA Grapalat" w:cs="GHEA Grapalat"/>
          <w:lang w:val="hy-AM"/>
        </w:rPr>
        <w:t>մլրդ դրամ</w:t>
      </w:r>
      <w:r w:rsidR="00C567CF">
        <w:rPr>
          <w:rFonts w:ascii="GHEA Grapalat" w:hAnsi="GHEA Grapalat" w:cs="GHEA Grapalat"/>
          <w:lang w:val="hy-AM"/>
        </w:rPr>
        <w:t>՝ նախորդ տարվա 656.9</w:t>
      </w:r>
      <w:r w:rsidR="00C567CF">
        <w:rPr>
          <w:rFonts w:ascii="Calibri" w:hAnsi="Calibri" w:cs="Calibri"/>
        </w:rPr>
        <w:t> </w:t>
      </w:r>
      <w:r>
        <w:rPr>
          <w:rFonts w:ascii="GHEA Grapalat" w:hAnsi="GHEA Grapalat" w:cs="GHEA Grapalat"/>
          <w:lang w:val="hy-AM"/>
        </w:rPr>
        <w:t>մլն դրամ համալրման դիմաց</w:t>
      </w:r>
      <w:r w:rsidRPr="008159B5">
        <w:rPr>
          <w:rFonts w:ascii="GHEA Grapalat" w:hAnsi="GHEA Grapalat" w:cs="GHEA Grapalat"/>
          <w:lang w:val="hy-AM"/>
        </w:rPr>
        <w:t xml:space="preserve">: </w:t>
      </w:r>
      <w:r>
        <w:rPr>
          <w:rFonts w:ascii="GHEA Grapalat" w:hAnsi="GHEA Grapalat" w:cs="GHEA Grapalat"/>
          <w:lang w:val="hy-AM"/>
        </w:rPr>
        <w:t>195.6</w:t>
      </w:r>
      <w:r w:rsidRPr="00F70742">
        <w:rPr>
          <w:rFonts w:ascii="GHEA Grapalat" w:hAnsi="GHEA Grapalat" w:cs="GHEA Grapalat"/>
          <w:lang w:val="hy-AM"/>
        </w:rPr>
        <w:t xml:space="preserve"> մլն դրամ է կազմել Վրաստանի կողմից ՀՀ նկատմամբ պարտավորությունների մարումից մուտքը</w:t>
      </w:r>
      <w:r>
        <w:rPr>
          <w:rFonts w:ascii="GHEA Grapalat" w:hAnsi="GHEA Grapalat" w:cs="GHEA Grapalat"/>
          <w:lang w:val="hy-AM"/>
        </w:rPr>
        <w:t>՝ 101.1</w:t>
      </w:r>
      <w:r w:rsidRPr="008159B5">
        <w:rPr>
          <w:rFonts w:ascii="GHEA Grapalat" w:hAnsi="GHEA Grapalat" w:cs="GHEA Grapalat"/>
          <w:lang w:val="hy-AM"/>
        </w:rPr>
        <w:t>%</w:t>
      </w:r>
      <w:r>
        <w:rPr>
          <w:rFonts w:ascii="GHEA Grapalat" w:hAnsi="GHEA Grapalat" w:cs="GHEA Grapalat"/>
          <w:lang w:val="hy-AM"/>
        </w:rPr>
        <w:t>-ով ապահովելով ծրագրային ցուցանիշը</w:t>
      </w:r>
      <w:r w:rsidRPr="00F70742">
        <w:rPr>
          <w:rFonts w:ascii="GHEA Grapalat" w:hAnsi="GHEA Grapalat" w:cs="GHEA Grapalat"/>
          <w:lang w:val="hy-AM"/>
        </w:rPr>
        <w:t>:</w:t>
      </w:r>
    </w:p>
    <w:sectPr w:rsidR="001A4F40" w:rsidRPr="002C2D5A" w:rsidSect="00417E4B">
      <w:footerReference w:type="even" r:id="rId8"/>
      <w:footerReference w:type="default" r:id="rId9"/>
      <w:pgSz w:w="11907" w:h="16839" w:code="9"/>
      <w:pgMar w:top="1134" w:right="567" w:bottom="567" w:left="1134" w:header="720" w:footer="62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D3F5C" w16cex:dateUtc="2021-04-23T08:43:00Z"/>
  <w16cex:commentExtensible w16cex:durableId="242D5254" w16cex:dateUtc="2021-04-23T10:04:00Z"/>
  <w16cex:commentExtensible w16cex:durableId="242D52CC" w16cex:dateUtc="2021-04-23T10:06:00Z"/>
  <w16cex:commentExtensible w16cex:durableId="242D5364" w16cex:dateUtc="2021-04-23T10:08:00Z"/>
  <w16cex:commentExtensible w16cex:durableId="242D53AF" w16cex:dateUtc="2021-04-23T10:09:00Z"/>
  <w16cex:commentExtensible w16cex:durableId="242D53ED" w16cex:dateUtc="2021-04-23T1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42" w:rsidRDefault="00BE7042" w:rsidP="00F178F6">
      <w:r>
        <w:separator/>
      </w:r>
    </w:p>
  </w:endnote>
  <w:endnote w:type="continuationSeparator" w:id="0">
    <w:p w:rsidR="00BE7042" w:rsidRDefault="00BE7042" w:rsidP="00F1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C" w:rsidRDefault="008C601C" w:rsidP="00225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01C" w:rsidRDefault="008C601C" w:rsidP="00225E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C" w:rsidRPr="000E33E1" w:rsidRDefault="008C601C" w:rsidP="00225E96">
    <w:pPr>
      <w:pStyle w:val="Footer"/>
      <w:framePr w:wrap="around" w:vAnchor="text" w:hAnchor="margin" w:xAlign="right" w:y="1"/>
      <w:rPr>
        <w:rStyle w:val="PageNumber"/>
        <w:rFonts w:ascii="GHEA Grapalat" w:hAnsi="GHEA Grapalat"/>
      </w:rPr>
    </w:pPr>
    <w:r w:rsidRPr="000E33E1">
      <w:rPr>
        <w:rStyle w:val="PageNumber"/>
        <w:rFonts w:ascii="GHEA Grapalat" w:hAnsi="GHEA Grapalat"/>
      </w:rPr>
      <w:fldChar w:fldCharType="begin"/>
    </w:r>
    <w:r w:rsidRPr="000E33E1">
      <w:rPr>
        <w:rStyle w:val="PageNumber"/>
        <w:rFonts w:ascii="GHEA Grapalat" w:hAnsi="GHEA Grapalat"/>
      </w:rPr>
      <w:instrText xml:space="preserve">PAGE  </w:instrText>
    </w:r>
    <w:r w:rsidRPr="000E33E1">
      <w:rPr>
        <w:rStyle w:val="PageNumber"/>
        <w:rFonts w:ascii="GHEA Grapalat" w:hAnsi="GHEA Grapalat"/>
      </w:rPr>
      <w:fldChar w:fldCharType="separate"/>
    </w:r>
    <w:r w:rsidR="00191C98">
      <w:rPr>
        <w:rStyle w:val="PageNumber"/>
        <w:rFonts w:ascii="GHEA Grapalat" w:hAnsi="GHEA Grapalat"/>
        <w:noProof/>
      </w:rPr>
      <w:t>19</w:t>
    </w:r>
    <w:r w:rsidRPr="000E33E1">
      <w:rPr>
        <w:rStyle w:val="PageNumber"/>
        <w:rFonts w:ascii="GHEA Grapalat" w:hAnsi="GHEA Grapalat"/>
      </w:rPr>
      <w:fldChar w:fldCharType="end"/>
    </w:r>
  </w:p>
  <w:p w:rsidR="008C601C" w:rsidRDefault="008C601C" w:rsidP="00225E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42" w:rsidRDefault="00BE7042" w:rsidP="00F178F6">
      <w:r>
        <w:separator/>
      </w:r>
    </w:p>
  </w:footnote>
  <w:footnote w:type="continuationSeparator" w:id="0">
    <w:p w:rsidR="00BE7042" w:rsidRDefault="00BE7042" w:rsidP="00F178F6">
      <w:r>
        <w:continuationSeparator/>
      </w:r>
    </w:p>
  </w:footnote>
  <w:footnote w:id="1">
    <w:p w:rsidR="008C601C" w:rsidRPr="0022046E" w:rsidRDefault="008C601C" w:rsidP="0022046E">
      <w:pPr>
        <w:pStyle w:val="FootnoteText"/>
        <w:jc w:val="both"/>
        <w:rPr>
          <w:rFonts w:ascii="GHEA Grapalat" w:hAnsi="GHEA Grapalat"/>
        </w:rPr>
      </w:pPr>
      <w:r w:rsidRPr="0022046E">
        <w:rPr>
          <w:rStyle w:val="FootnoteReference"/>
          <w:rFonts w:ascii="GHEA Grapalat" w:hAnsi="GHEA Grapalat"/>
        </w:rPr>
        <w:footnoteRef/>
      </w:r>
      <w:r w:rsidRPr="0022046E">
        <w:rPr>
          <w:rFonts w:ascii="GHEA Grapalat" w:hAnsi="GHEA Grapalat"/>
        </w:rPr>
        <w:t xml:space="preserve"> Հաշվետվության մեջ ներկայացված ցուցանիշների հանրագումարների և դրանց բաղադրիչների միջև շեղումները պայմանավորված են կլորացումներով: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49C3"/>
    <w:multiLevelType w:val="hybridMultilevel"/>
    <w:tmpl w:val="49C8FF18"/>
    <w:lvl w:ilvl="0" w:tplc="5FDCFCF8">
      <w:start w:val="105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E138E8"/>
    <w:multiLevelType w:val="hybridMultilevel"/>
    <w:tmpl w:val="A2D6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87F1A"/>
    <w:multiLevelType w:val="hybridMultilevel"/>
    <w:tmpl w:val="21A653D8"/>
    <w:lvl w:ilvl="0" w:tplc="B78E53AA">
      <w:start w:val="1"/>
      <w:numFmt w:val="decimal"/>
      <w:lvlText w:val="Աղյուսակ %1."/>
      <w:lvlJc w:val="left"/>
      <w:pPr>
        <w:ind w:left="2771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960EC"/>
    <w:multiLevelType w:val="hybridMultilevel"/>
    <w:tmpl w:val="0A34C014"/>
    <w:lvl w:ilvl="0" w:tplc="B78E53AA">
      <w:start w:val="1"/>
      <w:numFmt w:val="decimal"/>
      <w:lvlText w:val="Աղյուսակ %1."/>
      <w:lvlJc w:val="left"/>
      <w:pPr>
        <w:ind w:left="1287" w:hanging="360"/>
      </w:pPr>
      <w:rPr>
        <w:rFonts w:ascii="GHEA Grapalat" w:hAnsi="GHEA Grapalat" w:hint="default"/>
        <w:b/>
        <w:i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F6"/>
    <w:rsid w:val="0000084F"/>
    <w:rsid w:val="00000A3E"/>
    <w:rsid w:val="00001D5B"/>
    <w:rsid w:val="0000235A"/>
    <w:rsid w:val="00002AF5"/>
    <w:rsid w:val="00002DB1"/>
    <w:rsid w:val="000032D5"/>
    <w:rsid w:val="00003B1E"/>
    <w:rsid w:val="00004260"/>
    <w:rsid w:val="0000539F"/>
    <w:rsid w:val="0000763C"/>
    <w:rsid w:val="000079CC"/>
    <w:rsid w:val="00011199"/>
    <w:rsid w:val="00011283"/>
    <w:rsid w:val="0001150F"/>
    <w:rsid w:val="0001161C"/>
    <w:rsid w:val="000125D6"/>
    <w:rsid w:val="00012A87"/>
    <w:rsid w:val="00012CFA"/>
    <w:rsid w:val="00012E50"/>
    <w:rsid w:val="00012FA6"/>
    <w:rsid w:val="00012FF9"/>
    <w:rsid w:val="0001308B"/>
    <w:rsid w:val="000137CD"/>
    <w:rsid w:val="000157B5"/>
    <w:rsid w:val="00015F84"/>
    <w:rsid w:val="00017782"/>
    <w:rsid w:val="0002023B"/>
    <w:rsid w:val="0002063C"/>
    <w:rsid w:val="00020EB2"/>
    <w:rsid w:val="0002148D"/>
    <w:rsid w:val="000216B5"/>
    <w:rsid w:val="000231BE"/>
    <w:rsid w:val="00023481"/>
    <w:rsid w:val="00023731"/>
    <w:rsid w:val="00024019"/>
    <w:rsid w:val="00024217"/>
    <w:rsid w:val="0002447C"/>
    <w:rsid w:val="00024F0E"/>
    <w:rsid w:val="00026007"/>
    <w:rsid w:val="000270C2"/>
    <w:rsid w:val="0003000E"/>
    <w:rsid w:val="00030109"/>
    <w:rsid w:val="00030BF3"/>
    <w:rsid w:val="00031AAD"/>
    <w:rsid w:val="000323DC"/>
    <w:rsid w:val="00033220"/>
    <w:rsid w:val="00033552"/>
    <w:rsid w:val="00033D71"/>
    <w:rsid w:val="0003401B"/>
    <w:rsid w:val="00034555"/>
    <w:rsid w:val="00035260"/>
    <w:rsid w:val="000359D2"/>
    <w:rsid w:val="00036BA9"/>
    <w:rsid w:val="00037BB6"/>
    <w:rsid w:val="00041605"/>
    <w:rsid w:val="000419FE"/>
    <w:rsid w:val="000427C5"/>
    <w:rsid w:val="00044AFC"/>
    <w:rsid w:val="00044F29"/>
    <w:rsid w:val="00045336"/>
    <w:rsid w:val="00046299"/>
    <w:rsid w:val="000471EE"/>
    <w:rsid w:val="0005016A"/>
    <w:rsid w:val="0005090B"/>
    <w:rsid w:val="0005201E"/>
    <w:rsid w:val="00053BBE"/>
    <w:rsid w:val="00054C35"/>
    <w:rsid w:val="0005539C"/>
    <w:rsid w:val="0005600A"/>
    <w:rsid w:val="0005668F"/>
    <w:rsid w:val="000566E6"/>
    <w:rsid w:val="00056F48"/>
    <w:rsid w:val="00056F4D"/>
    <w:rsid w:val="0005729E"/>
    <w:rsid w:val="000605F3"/>
    <w:rsid w:val="00060DAA"/>
    <w:rsid w:val="00060F73"/>
    <w:rsid w:val="000612D8"/>
    <w:rsid w:val="000617F8"/>
    <w:rsid w:val="000618C6"/>
    <w:rsid w:val="00061D0D"/>
    <w:rsid w:val="00061DD5"/>
    <w:rsid w:val="00063471"/>
    <w:rsid w:val="00063760"/>
    <w:rsid w:val="00063B4C"/>
    <w:rsid w:val="00065CD4"/>
    <w:rsid w:val="00065D15"/>
    <w:rsid w:val="00066CEA"/>
    <w:rsid w:val="0006751E"/>
    <w:rsid w:val="00067BAF"/>
    <w:rsid w:val="000711DA"/>
    <w:rsid w:val="00072C7D"/>
    <w:rsid w:val="00073150"/>
    <w:rsid w:val="00074703"/>
    <w:rsid w:val="00074E1E"/>
    <w:rsid w:val="000753BE"/>
    <w:rsid w:val="000758B4"/>
    <w:rsid w:val="00075C2C"/>
    <w:rsid w:val="00075C5A"/>
    <w:rsid w:val="000761A8"/>
    <w:rsid w:val="00076335"/>
    <w:rsid w:val="0008204B"/>
    <w:rsid w:val="00082406"/>
    <w:rsid w:val="000824BE"/>
    <w:rsid w:val="00082F8C"/>
    <w:rsid w:val="00083D39"/>
    <w:rsid w:val="000848ED"/>
    <w:rsid w:val="00085BF0"/>
    <w:rsid w:val="00086CE6"/>
    <w:rsid w:val="00087314"/>
    <w:rsid w:val="00087499"/>
    <w:rsid w:val="0008770F"/>
    <w:rsid w:val="00087D57"/>
    <w:rsid w:val="00087FE3"/>
    <w:rsid w:val="00091A95"/>
    <w:rsid w:val="000920EE"/>
    <w:rsid w:val="0009269F"/>
    <w:rsid w:val="00092E4B"/>
    <w:rsid w:val="00095EA7"/>
    <w:rsid w:val="0009603E"/>
    <w:rsid w:val="000960D3"/>
    <w:rsid w:val="00096151"/>
    <w:rsid w:val="00097AA9"/>
    <w:rsid w:val="00097AFE"/>
    <w:rsid w:val="000A0520"/>
    <w:rsid w:val="000A0587"/>
    <w:rsid w:val="000A0F5B"/>
    <w:rsid w:val="000A1A23"/>
    <w:rsid w:val="000A1A80"/>
    <w:rsid w:val="000A24A1"/>
    <w:rsid w:val="000A3DB8"/>
    <w:rsid w:val="000A4349"/>
    <w:rsid w:val="000A4EBC"/>
    <w:rsid w:val="000A5936"/>
    <w:rsid w:val="000A6032"/>
    <w:rsid w:val="000A6088"/>
    <w:rsid w:val="000A6A74"/>
    <w:rsid w:val="000A7238"/>
    <w:rsid w:val="000A7A5D"/>
    <w:rsid w:val="000B0230"/>
    <w:rsid w:val="000B0F7D"/>
    <w:rsid w:val="000B1226"/>
    <w:rsid w:val="000B1475"/>
    <w:rsid w:val="000B19DD"/>
    <w:rsid w:val="000B1B77"/>
    <w:rsid w:val="000B1CBE"/>
    <w:rsid w:val="000B1E20"/>
    <w:rsid w:val="000B30FF"/>
    <w:rsid w:val="000B3C76"/>
    <w:rsid w:val="000B3ECA"/>
    <w:rsid w:val="000B507C"/>
    <w:rsid w:val="000B550C"/>
    <w:rsid w:val="000B5A94"/>
    <w:rsid w:val="000B5CAC"/>
    <w:rsid w:val="000B60E1"/>
    <w:rsid w:val="000B60F4"/>
    <w:rsid w:val="000B6195"/>
    <w:rsid w:val="000B6202"/>
    <w:rsid w:val="000B691C"/>
    <w:rsid w:val="000B7A05"/>
    <w:rsid w:val="000C04F1"/>
    <w:rsid w:val="000C06DF"/>
    <w:rsid w:val="000C0B4D"/>
    <w:rsid w:val="000C14C6"/>
    <w:rsid w:val="000C15F9"/>
    <w:rsid w:val="000C3D9F"/>
    <w:rsid w:val="000C4203"/>
    <w:rsid w:val="000C44DB"/>
    <w:rsid w:val="000C635A"/>
    <w:rsid w:val="000C6D57"/>
    <w:rsid w:val="000C6EE2"/>
    <w:rsid w:val="000C72FA"/>
    <w:rsid w:val="000C75E2"/>
    <w:rsid w:val="000C77FF"/>
    <w:rsid w:val="000D0CDE"/>
    <w:rsid w:val="000D2594"/>
    <w:rsid w:val="000D284E"/>
    <w:rsid w:val="000D2854"/>
    <w:rsid w:val="000D31B8"/>
    <w:rsid w:val="000D38A9"/>
    <w:rsid w:val="000D59A7"/>
    <w:rsid w:val="000D5B34"/>
    <w:rsid w:val="000D5C0F"/>
    <w:rsid w:val="000D7974"/>
    <w:rsid w:val="000E00D5"/>
    <w:rsid w:val="000E0102"/>
    <w:rsid w:val="000E019A"/>
    <w:rsid w:val="000E0218"/>
    <w:rsid w:val="000E1CAD"/>
    <w:rsid w:val="000E1CED"/>
    <w:rsid w:val="000E33E1"/>
    <w:rsid w:val="000E3C5D"/>
    <w:rsid w:val="000E3D19"/>
    <w:rsid w:val="000E4661"/>
    <w:rsid w:val="000E484A"/>
    <w:rsid w:val="000E575C"/>
    <w:rsid w:val="000E6544"/>
    <w:rsid w:val="000E6A2D"/>
    <w:rsid w:val="000E719F"/>
    <w:rsid w:val="000E736F"/>
    <w:rsid w:val="000F09FD"/>
    <w:rsid w:val="000F131C"/>
    <w:rsid w:val="000F14B8"/>
    <w:rsid w:val="000F2E07"/>
    <w:rsid w:val="000F2E93"/>
    <w:rsid w:val="000F38D4"/>
    <w:rsid w:val="000F4D7D"/>
    <w:rsid w:val="000F5CCC"/>
    <w:rsid w:val="000F6696"/>
    <w:rsid w:val="000F6EC0"/>
    <w:rsid w:val="000F74A8"/>
    <w:rsid w:val="000F7A93"/>
    <w:rsid w:val="0010042E"/>
    <w:rsid w:val="001006A7"/>
    <w:rsid w:val="00101727"/>
    <w:rsid w:val="0010243A"/>
    <w:rsid w:val="0010299E"/>
    <w:rsid w:val="00102B96"/>
    <w:rsid w:val="00103304"/>
    <w:rsid w:val="00103A81"/>
    <w:rsid w:val="00104C87"/>
    <w:rsid w:val="00104D6C"/>
    <w:rsid w:val="00104EC5"/>
    <w:rsid w:val="00104FAD"/>
    <w:rsid w:val="00106052"/>
    <w:rsid w:val="00106375"/>
    <w:rsid w:val="00106640"/>
    <w:rsid w:val="00107D53"/>
    <w:rsid w:val="001101CA"/>
    <w:rsid w:val="001113A6"/>
    <w:rsid w:val="00112617"/>
    <w:rsid w:val="00112ADA"/>
    <w:rsid w:val="00112B01"/>
    <w:rsid w:val="00112CB5"/>
    <w:rsid w:val="00112CED"/>
    <w:rsid w:val="00112E53"/>
    <w:rsid w:val="0011314B"/>
    <w:rsid w:val="00113424"/>
    <w:rsid w:val="00113C2E"/>
    <w:rsid w:val="00113EF2"/>
    <w:rsid w:val="0011457B"/>
    <w:rsid w:val="001146DA"/>
    <w:rsid w:val="00114F1E"/>
    <w:rsid w:val="001162EF"/>
    <w:rsid w:val="0011719B"/>
    <w:rsid w:val="0011752B"/>
    <w:rsid w:val="00117948"/>
    <w:rsid w:val="00120663"/>
    <w:rsid w:val="00120B25"/>
    <w:rsid w:val="00120CA2"/>
    <w:rsid w:val="00121061"/>
    <w:rsid w:val="001213FA"/>
    <w:rsid w:val="00121BCC"/>
    <w:rsid w:val="00121BF5"/>
    <w:rsid w:val="0012209A"/>
    <w:rsid w:val="00123FEE"/>
    <w:rsid w:val="0012415E"/>
    <w:rsid w:val="0012428E"/>
    <w:rsid w:val="001242B4"/>
    <w:rsid w:val="0012553C"/>
    <w:rsid w:val="001255CE"/>
    <w:rsid w:val="00125898"/>
    <w:rsid w:val="00126404"/>
    <w:rsid w:val="001273F5"/>
    <w:rsid w:val="00127A27"/>
    <w:rsid w:val="00127C0D"/>
    <w:rsid w:val="00130437"/>
    <w:rsid w:val="00130479"/>
    <w:rsid w:val="001306B6"/>
    <w:rsid w:val="00130B6B"/>
    <w:rsid w:val="00130CD2"/>
    <w:rsid w:val="0013108F"/>
    <w:rsid w:val="00131530"/>
    <w:rsid w:val="00131EF2"/>
    <w:rsid w:val="001320ED"/>
    <w:rsid w:val="001324B3"/>
    <w:rsid w:val="001324C5"/>
    <w:rsid w:val="00132929"/>
    <w:rsid w:val="00132A4B"/>
    <w:rsid w:val="00133DE4"/>
    <w:rsid w:val="001347D3"/>
    <w:rsid w:val="00134E14"/>
    <w:rsid w:val="00135285"/>
    <w:rsid w:val="00135A81"/>
    <w:rsid w:val="00135FF9"/>
    <w:rsid w:val="00136F19"/>
    <w:rsid w:val="00140777"/>
    <w:rsid w:val="00141170"/>
    <w:rsid w:val="0014360A"/>
    <w:rsid w:val="00144292"/>
    <w:rsid w:val="00144F86"/>
    <w:rsid w:val="0014518B"/>
    <w:rsid w:val="00146820"/>
    <w:rsid w:val="001475D0"/>
    <w:rsid w:val="001477EC"/>
    <w:rsid w:val="001478F0"/>
    <w:rsid w:val="0015031B"/>
    <w:rsid w:val="00151BF2"/>
    <w:rsid w:val="00152182"/>
    <w:rsid w:val="0015281F"/>
    <w:rsid w:val="001530B4"/>
    <w:rsid w:val="00153172"/>
    <w:rsid w:val="00153432"/>
    <w:rsid w:val="00153672"/>
    <w:rsid w:val="00153A9F"/>
    <w:rsid w:val="00153B75"/>
    <w:rsid w:val="00153E6A"/>
    <w:rsid w:val="00154F03"/>
    <w:rsid w:val="00155194"/>
    <w:rsid w:val="00155452"/>
    <w:rsid w:val="00155B0D"/>
    <w:rsid w:val="00155C17"/>
    <w:rsid w:val="00155D00"/>
    <w:rsid w:val="00155F68"/>
    <w:rsid w:val="00155FC0"/>
    <w:rsid w:val="00156351"/>
    <w:rsid w:val="00160301"/>
    <w:rsid w:val="00160442"/>
    <w:rsid w:val="0016068A"/>
    <w:rsid w:val="001610B2"/>
    <w:rsid w:val="0016273C"/>
    <w:rsid w:val="00162A25"/>
    <w:rsid w:val="00162A4B"/>
    <w:rsid w:val="0016451B"/>
    <w:rsid w:val="00164BE2"/>
    <w:rsid w:val="0016544B"/>
    <w:rsid w:val="001655AD"/>
    <w:rsid w:val="001657FA"/>
    <w:rsid w:val="00165877"/>
    <w:rsid w:val="00165AA2"/>
    <w:rsid w:val="00165F15"/>
    <w:rsid w:val="00166354"/>
    <w:rsid w:val="00166C16"/>
    <w:rsid w:val="0016709E"/>
    <w:rsid w:val="001672E9"/>
    <w:rsid w:val="00171990"/>
    <w:rsid w:val="00171A0F"/>
    <w:rsid w:val="00172502"/>
    <w:rsid w:val="0017347B"/>
    <w:rsid w:val="00173744"/>
    <w:rsid w:val="00173E19"/>
    <w:rsid w:val="00174209"/>
    <w:rsid w:val="00174E4C"/>
    <w:rsid w:val="00175376"/>
    <w:rsid w:val="00175F52"/>
    <w:rsid w:val="001762FE"/>
    <w:rsid w:val="001768E4"/>
    <w:rsid w:val="00176A4A"/>
    <w:rsid w:val="001776B7"/>
    <w:rsid w:val="00180713"/>
    <w:rsid w:val="00180778"/>
    <w:rsid w:val="00182016"/>
    <w:rsid w:val="00182040"/>
    <w:rsid w:val="00182220"/>
    <w:rsid w:val="001824E0"/>
    <w:rsid w:val="0018281A"/>
    <w:rsid w:val="001844F8"/>
    <w:rsid w:val="00184872"/>
    <w:rsid w:val="001848AF"/>
    <w:rsid w:val="00184BA5"/>
    <w:rsid w:val="0018579D"/>
    <w:rsid w:val="00185ECA"/>
    <w:rsid w:val="00186572"/>
    <w:rsid w:val="00186A30"/>
    <w:rsid w:val="00186CD4"/>
    <w:rsid w:val="001907BD"/>
    <w:rsid w:val="00190991"/>
    <w:rsid w:val="00190EA4"/>
    <w:rsid w:val="0019100D"/>
    <w:rsid w:val="0019160C"/>
    <w:rsid w:val="00191955"/>
    <w:rsid w:val="001919DE"/>
    <w:rsid w:val="00191C98"/>
    <w:rsid w:val="001924AF"/>
    <w:rsid w:val="001929F3"/>
    <w:rsid w:val="0019343C"/>
    <w:rsid w:val="00193A65"/>
    <w:rsid w:val="00193D73"/>
    <w:rsid w:val="00195EE6"/>
    <w:rsid w:val="001963B9"/>
    <w:rsid w:val="00196D02"/>
    <w:rsid w:val="00196D66"/>
    <w:rsid w:val="00197786"/>
    <w:rsid w:val="00197959"/>
    <w:rsid w:val="001A111B"/>
    <w:rsid w:val="001A1335"/>
    <w:rsid w:val="001A3646"/>
    <w:rsid w:val="001A3E7C"/>
    <w:rsid w:val="001A4448"/>
    <w:rsid w:val="001A4F40"/>
    <w:rsid w:val="001A5BA4"/>
    <w:rsid w:val="001A5E4F"/>
    <w:rsid w:val="001A5E5B"/>
    <w:rsid w:val="001A6C37"/>
    <w:rsid w:val="001A6DA1"/>
    <w:rsid w:val="001A6FF0"/>
    <w:rsid w:val="001A7B45"/>
    <w:rsid w:val="001A7ED4"/>
    <w:rsid w:val="001B0197"/>
    <w:rsid w:val="001B052D"/>
    <w:rsid w:val="001B07FB"/>
    <w:rsid w:val="001B0A3E"/>
    <w:rsid w:val="001B0C24"/>
    <w:rsid w:val="001B2207"/>
    <w:rsid w:val="001B22DC"/>
    <w:rsid w:val="001B3817"/>
    <w:rsid w:val="001B3D79"/>
    <w:rsid w:val="001B417F"/>
    <w:rsid w:val="001B5283"/>
    <w:rsid w:val="001B5355"/>
    <w:rsid w:val="001B59FB"/>
    <w:rsid w:val="001B5EFF"/>
    <w:rsid w:val="001B67B9"/>
    <w:rsid w:val="001B70DF"/>
    <w:rsid w:val="001B761C"/>
    <w:rsid w:val="001B78BD"/>
    <w:rsid w:val="001C310B"/>
    <w:rsid w:val="001C31F7"/>
    <w:rsid w:val="001C3BCC"/>
    <w:rsid w:val="001C3D9B"/>
    <w:rsid w:val="001C7A91"/>
    <w:rsid w:val="001D0161"/>
    <w:rsid w:val="001D0746"/>
    <w:rsid w:val="001D0D27"/>
    <w:rsid w:val="001D0E2A"/>
    <w:rsid w:val="001D1118"/>
    <w:rsid w:val="001D182E"/>
    <w:rsid w:val="001D2CA5"/>
    <w:rsid w:val="001D399D"/>
    <w:rsid w:val="001D411F"/>
    <w:rsid w:val="001D4BE6"/>
    <w:rsid w:val="001D4E7B"/>
    <w:rsid w:val="001D51E2"/>
    <w:rsid w:val="001D7A02"/>
    <w:rsid w:val="001D7B9A"/>
    <w:rsid w:val="001E1CC6"/>
    <w:rsid w:val="001E2664"/>
    <w:rsid w:val="001E3115"/>
    <w:rsid w:val="001E317C"/>
    <w:rsid w:val="001E341A"/>
    <w:rsid w:val="001E3AC6"/>
    <w:rsid w:val="001E476E"/>
    <w:rsid w:val="001E5D02"/>
    <w:rsid w:val="001E6B1F"/>
    <w:rsid w:val="001E7648"/>
    <w:rsid w:val="001E7B6C"/>
    <w:rsid w:val="001E7ED8"/>
    <w:rsid w:val="001F0F8C"/>
    <w:rsid w:val="001F1D8A"/>
    <w:rsid w:val="001F1E14"/>
    <w:rsid w:val="001F1E69"/>
    <w:rsid w:val="001F27FF"/>
    <w:rsid w:val="001F3386"/>
    <w:rsid w:val="001F3E4F"/>
    <w:rsid w:val="001F496E"/>
    <w:rsid w:val="001F4B5E"/>
    <w:rsid w:val="001F4C57"/>
    <w:rsid w:val="001F4CCB"/>
    <w:rsid w:val="001F4F14"/>
    <w:rsid w:val="001F5291"/>
    <w:rsid w:val="001F5C3D"/>
    <w:rsid w:val="001F5E72"/>
    <w:rsid w:val="001F6246"/>
    <w:rsid w:val="001F6726"/>
    <w:rsid w:val="001F73B8"/>
    <w:rsid w:val="001F7624"/>
    <w:rsid w:val="001F7CCF"/>
    <w:rsid w:val="00200026"/>
    <w:rsid w:val="0020231A"/>
    <w:rsid w:val="002034FE"/>
    <w:rsid w:val="00203C20"/>
    <w:rsid w:val="00203CC9"/>
    <w:rsid w:val="00203D68"/>
    <w:rsid w:val="00203F1E"/>
    <w:rsid w:val="002040BE"/>
    <w:rsid w:val="00204DA1"/>
    <w:rsid w:val="0020579E"/>
    <w:rsid w:val="00205BA7"/>
    <w:rsid w:val="00205F35"/>
    <w:rsid w:val="00205FEB"/>
    <w:rsid w:val="002060A8"/>
    <w:rsid w:val="00206A9F"/>
    <w:rsid w:val="002074A5"/>
    <w:rsid w:val="00210505"/>
    <w:rsid w:val="002115A2"/>
    <w:rsid w:val="00211BDE"/>
    <w:rsid w:val="00212AA9"/>
    <w:rsid w:val="00212D70"/>
    <w:rsid w:val="00213A41"/>
    <w:rsid w:val="00214A0B"/>
    <w:rsid w:val="00215DAF"/>
    <w:rsid w:val="00217B9B"/>
    <w:rsid w:val="00217C66"/>
    <w:rsid w:val="0022046E"/>
    <w:rsid w:val="0022073F"/>
    <w:rsid w:val="0022111D"/>
    <w:rsid w:val="00221C67"/>
    <w:rsid w:val="00223E36"/>
    <w:rsid w:val="00224244"/>
    <w:rsid w:val="00224E77"/>
    <w:rsid w:val="002255E6"/>
    <w:rsid w:val="0022596E"/>
    <w:rsid w:val="00225C1C"/>
    <w:rsid w:val="00225E96"/>
    <w:rsid w:val="002264CA"/>
    <w:rsid w:val="00227624"/>
    <w:rsid w:val="00230942"/>
    <w:rsid w:val="00230A3F"/>
    <w:rsid w:val="002314CC"/>
    <w:rsid w:val="002329D9"/>
    <w:rsid w:val="00232C4E"/>
    <w:rsid w:val="002330D1"/>
    <w:rsid w:val="002330DE"/>
    <w:rsid w:val="002332F7"/>
    <w:rsid w:val="00233C93"/>
    <w:rsid w:val="002353CD"/>
    <w:rsid w:val="00236952"/>
    <w:rsid w:val="00236BEF"/>
    <w:rsid w:val="00236FC8"/>
    <w:rsid w:val="0023799B"/>
    <w:rsid w:val="00237EB4"/>
    <w:rsid w:val="00237EC0"/>
    <w:rsid w:val="00240053"/>
    <w:rsid w:val="002412FA"/>
    <w:rsid w:val="00241761"/>
    <w:rsid w:val="00242F14"/>
    <w:rsid w:val="00244286"/>
    <w:rsid w:val="00244958"/>
    <w:rsid w:val="002456B7"/>
    <w:rsid w:val="002458BF"/>
    <w:rsid w:val="00245A43"/>
    <w:rsid w:val="00246262"/>
    <w:rsid w:val="00246978"/>
    <w:rsid w:val="002472A9"/>
    <w:rsid w:val="002473B7"/>
    <w:rsid w:val="00247ADB"/>
    <w:rsid w:val="00247B05"/>
    <w:rsid w:val="00251012"/>
    <w:rsid w:val="00251CE5"/>
    <w:rsid w:val="002532A5"/>
    <w:rsid w:val="002539B2"/>
    <w:rsid w:val="0025402B"/>
    <w:rsid w:val="00255ABD"/>
    <w:rsid w:val="00260006"/>
    <w:rsid w:val="002602D9"/>
    <w:rsid w:val="00260746"/>
    <w:rsid w:val="00264252"/>
    <w:rsid w:val="00264C92"/>
    <w:rsid w:val="00265286"/>
    <w:rsid w:val="0026589D"/>
    <w:rsid w:val="00265CFF"/>
    <w:rsid w:val="0026636F"/>
    <w:rsid w:val="00266BB7"/>
    <w:rsid w:val="00266BF7"/>
    <w:rsid w:val="00266C40"/>
    <w:rsid w:val="00266C9D"/>
    <w:rsid w:val="00267077"/>
    <w:rsid w:val="00267B38"/>
    <w:rsid w:val="00267BBA"/>
    <w:rsid w:val="00267C22"/>
    <w:rsid w:val="00270407"/>
    <w:rsid w:val="00271042"/>
    <w:rsid w:val="0027236A"/>
    <w:rsid w:val="00272A34"/>
    <w:rsid w:val="00272C34"/>
    <w:rsid w:val="00272F9A"/>
    <w:rsid w:val="002741E6"/>
    <w:rsid w:val="00274426"/>
    <w:rsid w:val="00274B5E"/>
    <w:rsid w:val="002756FB"/>
    <w:rsid w:val="0027598B"/>
    <w:rsid w:val="0027649D"/>
    <w:rsid w:val="00276FDF"/>
    <w:rsid w:val="00281308"/>
    <w:rsid w:val="00281A32"/>
    <w:rsid w:val="0028244B"/>
    <w:rsid w:val="00284374"/>
    <w:rsid w:val="00284392"/>
    <w:rsid w:val="00284419"/>
    <w:rsid w:val="00284494"/>
    <w:rsid w:val="002849B2"/>
    <w:rsid w:val="00285C8B"/>
    <w:rsid w:val="00287F9D"/>
    <w:rsid w:val="0029091A"/>
    <w:rsid w:val="00290E82"/>
    <w:rsid w:val="00290EA1"/>
    <w:rsid w:val="00290FDC"/>
    <w:rsid w:val="0029162A"/>
    <w:rsid w:val="00292A69"/>
    <w:rsid w:val="00292B86"/>
    <w:rsid w:val="00292E49"/>
    <w:rsid w:val="00292FD7"/>
    <w:rsid w:val="00293594"/>
    <w:rsid w:val="002946BF"/>
    <w:rsid w:val="00295072"/>
    <w:rsid w:val="0029683B"/>
    <w:rsid w:val="00296E15"/>
    <w:rsid w:val="00296EFE"/>
    <w:rsid w:val="00297F5E"/>
    <w:rsid w:val="002A02E1"/>
    <w:rsid w:val="002A0340"/>
    <w:rsid w:val="002A07D3"/>
    <w:rsid w:val="002A17E4"/>
    <w:rsid w:val="002A24A9"/>
    <w:rsid w:val="002A30BC"/>
    <w:rsid w:val="002A377B"/>
    <w:rsid w:val="002A4689"/>
    <w:rsid w:val="002A4994"/>
    <w:rsid w:val="002A4B8D"/>
    <w:rsid w:val="002A4C75"/>
    <w:rsid w:val="002A4CFE"/>
    <w:rsid w:val="002A53E8"/>
    <w:rsid w:val="002A566D"/>
    <w:rsid w:val="002A5889"/>
    <w:rsid w:val="002A6062"/>
    <w:rsid w:val="002A61C7"/>
    <w:rsid w:val="002A675F"/>
    <w:rsid w:val="002A69F2"/>
    <w:rsid w:val="002A6DC7"/>
    <w:rsid w:val="002A6FB8"/>
    <w:rsid w:val="002A7157"/>
    <w:rsid w:val="002A7988"/>
    <w:rsid w:val="002A7D88"/>
    <w:rsid w:val="002B03D6"/>
    <w:rsid w:val="002B0F42"/>
    <w:rsid w:val="002B1FB5"/>
    <w:rsid w:val="002B21E3"/>
    <w:rsid w:val="002B29DA"/>
    <w:rsid w:val="002B307D"/>
    <w:rsid w:val="002B3AA7"/>
    <w:rsid w:val="002B41E5"/>
    <w:rsid w:val="002B5F5C"/>
    <w:rsid w:val="002B65E7"/>
    <w:rsid w:val="002B7CFA"/>
    <w:rsid w:val="002B7DF9"/>
    <w:rsid w:val="002C0952"/>
    <w:rsid w:val="002C0C67"/>
    <w:rsid w:val="002C13EF"/>
    <w:rsid w:val="002C1722"/>
    <w:rsid w:val="002C17A1"/>
    <w:rsid w:val="002C1ADB"/>
    <w:rsid w:val="002C1B78"/>
    <w:rsid w:val="002C388C"/>
    <w:rsid w:val="002C5809"/>
    <w:rsid w:val="002C5995"/>
    <w:rsid w:val="002C65F7"/>
    <w:rsid w:val="002C7EDB"/>
    <w:rsid w:val="002D01E4"/>
    <w:rsid w:val="002D079C"/>
    <w:rsid w:val="002D085B"/>
    <w:rsid w:val="002D0E8F"/>
    <w:rsid w:val="002D1FAB"/>
    <w:rsid w:val="002D222A"/>
    <w:rsid w:val="002D33C7"/>
    <w:rsid w:val="002D3C51"/>
    <w:rsid w:val="002D486A"/>
    <w:rsid w:val="002D4AB9"/>
    <w:rsid w:val="002D6E59"/>
    <w:rsid w:val="002D73AD"/>
    <w:rsid w:val="002D77A4"/>
    <w:rsid w:val="002E004A"/>
    <w:rsid w:val="002E0168"/>
    <w:rsid w:val="002E211A"/>
    <w:rsid w:val="002E275B"/>
    <w:rsid w:val="002E2A30"/>
    <w:rsid w:val="002E2B7F"/>
    <w:rsid w:val="002E2C2F"/>
    <w:rsid w:val="002E32B8"/>
    <w:rsid w:val="002E3E66"/>
    <w:rsid w:val="002E447E"/>
    <w:rsid w:val="002E4E3E"/>
    <w:rsid w:val="002E57D6"/>
    <w:rsid w:val="002E59F6"/>
    <w:rsid w:val="002E5A8B"/>
    <w:rsid w:val="002E5FC8"/>
    <w:rsid w:val="002E745B"/>
    <w:rsid w:val="002E7B88"/>
    <w:rsid w:val="002E7D7C"/>
    <w:rsid w:val="002F0345"/>
    <w:rsid w:val="002F0FA0"/>
    <w:rsid w:val="002F1827"/>
    <w:rsid w:val="002F3411"/>
    <w:rsid w:val="002F3650"/>
    <w:rsid w:val="002F39E4"/>
    <w:rsid w:val="002F3D65"/>
    <w:rsid w:val="002F3F4E"/>
    <w:rsid w:val="002F3FBD"/>
    <w:rsid w:val="002F4231"/>
    <w:rsid w:val="002F484C"/>
    <w:rsid w:val="002F4B62"/>
    <w:rsid w:val="002F5596"/>
    <w:rsid w:val="002F570A"/>
    <w:rsid w:val="002F5C73"/>
    <w:rsid w:val="00300235"/>
    <w:rsid w:val="003005F3"/>
    <w:rsid w:val="00300EFF"/>
    <w:rsid w:val="003016A2"/>
    <w:rsid w:val="00301D42"/>
    <w:rsid w:val="00302220"/>
    <w:rsid w:val="00302F21"/>
    <w:rsid w:val="00303C54"/>
    <w:rsid w:val="00303D36"/>
    <w:rsid w:val="00303E89"/>
    <w:rsid w:val="0030417B"/>
    <w:rsid w:val="00304BBD"/>
    <w:rsid w:val="0030520B"/>
    <w:rsid w:val="003056A3"/>
    <w:rsid w:val="00305828"/>
    <w:rsid w:val="00305A9C"/>
    <w:rsid w:val="003066F7"/>
    <w:rsid w:val="00306F4A"/>
    <w:rsid w:val="00310392"/>
    <w:rsid w:val="00310809"/>
    <w:rsid w:val="003109D4"/>
    <w:rsid w:val="00311B70"/>
    <w:rsid w:val="00311BD8"/>
    <w:rsid w:val="003121A9"/>
    <w:rsid w:val="003126D7"/>
    <w:rsid w:val="00313431"/>
    <w:rsid w:val="003143CA"/>
    <w:rsid w:val="00314699"/>
    <w:rsid w:val="00314C75"/>
    <w:rsid w:val="00315402"/>
    <w:rsid w:val="00315963"/>
    <w:rsid w:val="00315CA5"/>
    <w:rsid w:val="00317345"/>
    <w:rsid w:val="0032099F"/>
    <w:rsid w:val="00320D68"/>
    <w:rsid w:val="00321A41"/>
    <w:rsid w:val="00322135"/>
    <w:rsid w:val="0032213A"/>
    <w:rsid w:val="00322901"/>
    <w:rsid w:val="0032319F"/>
    <w:rsid w:val="003234C3"/>
    <w:rsid w:val="00323E3A"/>
    <w:rsid w:val="0032427C"/>
    <w:rsid w:val="00324303"/>
    <w:rsid w:val="00326BAB"/>
    <w:rsid w:val="00326D48"/>
    <w:rsid w:val="003270AC"/>
    <w:rsid w:val="0033044D"/>
    <w:rsid w:val="00330AAB"/>
    <w:rsid w:val="0033156F"/>
    <w:rsid w:val="0033177F"/>
    <w:rsid w:val="00331BD5"/>
    <w:rsid w:val="00331C76"/>
    <w:rsid w:val="0033294D"/>
    <w:rsid w:val="00332B28"/>
    <w:rsid w:val="00332FE7"/>
    <w:rsid w:val="003330A9"/>
    <w:rsid w:val="0033506E"/>
    <w:rsid w:val="003360ED"/>
    <w:rsid w:val="00336AA9"/>
    <w:rsid w:val="00336FA4"/>
    <w:rsid w:val="003375FE"/>
    <w:rsid w:val="003377E2"/>
    <w:rsid w:val="003379BF"/>
    <w:rsid w:val="00340D0D"/>
    <w:rsid w:val="00341DB4"/>
    <w:rsid w:val="00342220"/>
    <w:rsid w:val="00343D7E"/>
    <w:rsid w:val="00344645"/>
    <w:rsid w:val="00345438"/>
    <w:rsid w:val="0034588D"/>
    <w:rsid w:val="003458D3"/>
    <w:rsid w:val="00345E87"/>
    <w:rsid w:val="003462C9"/>
    <w:rsid w:val="00346456"/>
    <w:rsid w:val="0034664A"/>
    <w:rsid w:val="003513AC"/>
    <w:rsid w:val="003514C6"/>
    <w:rsid w:val="00352038"/>
    <w:rsid w:val="003526CF"/>
    <w:rsid w:val="00354A03"/>
    <w:rsid w:val="00356B3D"/>
    <w:rsid w:val="00356BC4"/>
    <w:rsid w:val="00360EEC"/>
    <w:rsid w:val="00361EE3"/>
    <w:rsid w:val="003624BA"/>
    <w:rsid w:val="00362C7A"/>
    <w:rsid w:val="0036321E"/>
    <w:rsid w:val="00363BD5"/>
    <w:rsid w:val="0036401C"/>
    <w:rsid w:val="00364E3D"/>
    <w:rsid w:val="003657EF"/>
    <w:rsid w:val="00365E82"/>
    <w:rsid w:val="0036654A"/>
    <w:rsid w:val="00366991"/>
    <w:rsid w:val="00366C8C"/>
    <w:rsid w:val="00367B53"/>
    <w:rsid w:val="003720B6"/>
    <w:rsid w:val="00372E7F"/>
    <w:rsid w:val="003738C8"/>
    <w:rsid w:val="00373A92"/>
    <w:rsid w:val="00374D4A"/>
    <w:rsid w:val="0037518E"/>
    <w:rsid w:val="003757B7"/>
    <w:rsid w:val="003759D1"/>
    <w:rsid w:val="00375EE8"/>
    <w:rsid w:val="00376371"/>
    <w:rsid w:val="003768D2"/>
    <w:rsid w:val="00377194"/>
    <w:rsid w:val="00380726"/>
    <w:rsid w:val="00380F3B"/>
    <w:rsid w:val="0038161B"/>
    <w:rsid w:val="003819BB"/>
    <w:rsid w:val="00382059"/>
    <w:rsid w:val="0038241F"/>
    <w:rsid w:val="0038254F"/>
    <w:rsid w:val="00382A91"/>
    <w:rsid w:val="00382F33"/>
    <w:rsid w:val="0038346A"/>
    <w:rsid w:val="0038444A"/>
    <w:rsid w:val="003849C4"/>
    <w:rsid w:val="00384DB1"/>
    <w:rsid w:val="003856DC"/>
    <w:rsid w:val="00386008"/>
    <w:rsid w:val="003860A6"/>
    <w:rsid w:val="003862E9"/>
    <w:rsid w:val="0038658E"/>
    <w:rsid w:val="00386AE5"/>
    <w:rsid w:val="00386BA0"/>
    <w:rsid w:val="00387B7C"/>
    <w:rsid w:val="00387CE1"/>
    <w:rsid w:val="00387D02"/>
    <w:rsid w:val="00390227"/>
    <w:rsid w:val="00392300"/>
    <w:rsid w:val="00392B98"/>
    <w:rsid w:val="00393119"/>
    <w:rsid w:val="00394013"/>
    <w:rsid w:val="00394E77"/>
    <w:rsid w:val="0039538B"/>
    <w:rsid w:val="00395789"/>
    <w:rsid w:val="003958A2"/>
    <w:rsid w:val="00395B85"/>
    <w:rsid w:val="00396793"/>
    <w:rsid w:val="00396851"/>
    <w:rsid w:val="003970B8"/>
    <w:rsid w:val="003971C2"/>
    <w:rsid w:val="003977B8"/>
    <w:rsid w:val="0039783C"/>
    <w:rsid w:val="003A02E6"/>
    <w:rsid w:val="003A0CA4"/>
    <w:rsid w:val="003A1110"/>
    <w:rsid w:val="003A1EF1"/>
    <w:rsid w:val="003A23F6"/>
    <w:rsid w:val="003A39C6"/>
    <w:rsid w:val="003A3B13"/>
    <w:rsid w:val="003A3BB2"/>
    <w:rsid w:val="003A551F"/>
    <w:rsid w:val="003A5D11"/>
    <w:rsid w:val="003A7A9A"/>
    <w:rsid w:val="003B0130"/>
    <w:rsid w:val="003B0399"/>
    <w:rsid w:val="003B11AC"/>
    <w:rsid w:val="003B145F"/>
    <w:rsid w:val="003B1AE7"/>
    <w:rsid w:val="003B1D44"/>
    <w:rsid w:val="003B1F56"/>
    <w:rsid w:val="003B2C01"/>
    <w:rsid w:val="003B2D9D"/>
    <w:rsid w:val="003B38D1"/>
    <w:rsid w:val="003B3CF5"/>
    <w:rsid w:val="003B433C"/>
    <w:rsid w:val="003B45C2"/>
    <w:rsid w:val="003B53B8"/>
    <w:rsid w:val="003B5DFA"/>
    <w:rsid w:val="003B6D6D"/>
    <w:rsid w:val="003B70A2"/>
    <w:rsid w:val="003B785C"/>
    <w:rsid w:val="003C0363"/>
    <w:rsid w:val="003C04EF"/>
    <w:rsid w:val="003C0CF3"/>
    <w:rsid w:val="003C0FA7"/>
    <w:rsid w:val="003C1293"/>
    <w:rsid w:val="003C1675"/>
    <w:rsid w:val="003C16DC"/>
    <w:rsid w:val="003C1EEC"/>
    <w:rsid w:val="003C24E4"/>
    <w:rsid w:val="003C29D0"/>
    <w:rsid w:val="003C4339"/>
    <w:rsid w:val="003C4348"/>
    <w:rsid w:val="003C4873"/>
    <w:rsid w:val="003C61D1"/>
    <w:rsid w:val="003C6C84"/>
    <w:rsid w:val="003C77D0"/>
    <w:rsid w:val="003D0D50"/>
    <w:rsid w:val="003D1C40"/>
    <w:rsid w:val="003D3023"/>
    <w:rsid w:val="003D390A"/>
    <w:rsid w:val="003D3AE9"/>
    <w:rsid w:val="003D3FED"/>
    <w:rsid w:val="003D4BE0"/>
    <w:rsid w:val="003D5B7B"/>
    <w:rsid w:val="003D5DF8"/>
    <w:rsid w:val="003D6321"/>
    <w:rsid w:val="003E04B9"/>
    <w:rsid w:val="003E0B42"/>
    <w:rsid w:val="003E138C"/>
    <w:rsid w:val="003E17F4"/>
    <w:rsid w:val="003E1BF8"/>
    <w:rsid w:val="003E1C6F"/>
    <w:rsid w:val="003E2AF9"/>
    <w:rsid w:val="003E3733"/>
    <w:rsid w:val="003E3ABA"/>
    <w:rsid w:val="003E3AC8"/>
    <w:rsid w:val="003E491A"/>
    <w:rsid w:val="003E4A96"/>
    <w:rsid w:val="003E58BD"/>
    <w:rsid w:val="003E61C7"/>
    <w:rsid w:val="003E661F"/>
    <w:rsid w:val="003E67D4"/>
    <w:rsid w:val="003E6A4C"/>
    <w:rsid w:val="003E6F82"/>
    <w:rsid w:val="003E7883"/>
    <w:rsid w:val="003F012D"/>
    <w:rsid w:val="003F0599"/>
    <w:rsid w:val="003F17C6"/>
    <w:rsid w:val="003F2B74"/>
    <w:rsid w:val="003F40FF"/>
    <w:rsid w:val="003F43E1"/>
    <w:rsid w:val="003F4852"/>
    <w:rsid w:val="003F4B8E"/>
    <w:rsid w:val="003F5E32"/>
    <w:rsid w:val="003F6165"/>
    <w:rsid w:val="003F6B3E"/>
    <w:rsid w:val="003F7592"/>
    <w:rsid w:val="003F7941"/>
    <w:rsid w:val="004001F5"/>
    <w:rsid w:val="00400370"/>
    <w:rsid w:val="004003AA"/>
    <w:rsid w:val="00400E21"/>
    <w:rsid w:val="00400E8E"/>
    <w:rsid w:val="00401DA4"/>
    <w:rsid w:val="0040256D"/>
    <w:rsid w:val="00403307"/>
    <w:rsid w:val="00403B62"/>
    <w:rsid w:val="0040501D"/>
    <w:rsid w:val="00405C60"/>
    <w:rsid w:val="00405CF0"/>
    <w:rsid w:val="00406635"/>
    <w:rsid w:val="00406C88"/>
    <w:rsid w:val="00407F96"/>
    <w:rsid w:val="004100E0"/>
    <w:rsid w:val="004105D5"/>
    <w:rsid w:val="004107E6"/>
    <w:rsid w:val="00410A56"/>
    <w:rsid w:val="00410B93"/>
    <w:rsid w:val="00411374"/>
    <w:rsid w:val="0041171B"/>
    <w:rsid w:val="00411851"/>
    <w:rsid w:val="00412E6B"/>
    <w:rsid w:val="0041347E"/>
    <w:rsid w:val="004139E3"/>
    <w:rsid w:val="00414145"/>
    <w:rsid w:val="004141AF"/>
    <w:rsid w:val="00415565"/>
    <w:rsid w:val="0041697E"/>
    <w:rsid w:val="00416BB6"/>
    <w:rsid w:val="00417DAB"/>
    <w:rsid w:val="00417E4B"/>
    <w:rsid w:val="00420568"/>
    <w:rsid w:val="00420FDA"/>
    <w:rsid w:val="00421146"/>
    <w:rsid w:val="0042116B"/>
    <w:rsid w:val="00421341"/>
    <w:rsid w:val="00421AB4"/>
    <w:rsid w:val="00421C15"/>
    <w:rsid w:val="004226A0"/>
    <w:rsid w:val="004229C2"/>
    <w:rsid w:val="00423348"/>
    <w:rsid w:val="0042343B"/>
    <w:rsid w:val="00424548"/>
    <w:rsid w:val="004246FF"/>
    <w:rsid w:val="0042477F"/>
    <w:rsid w:val="00425566"/>
    <w:rsid w:val="00426F45"/>
    <w:rsid w:val="004303A8"/>
    <w:rsid w:val="0043092F"/>
    <w:rsid w:val="004310E4"/>
    <w:rsid w:val="004316AB"/>
    <w:rsid w:val="004317DF"/>
    <w:rsid w:val="00431B29"/>
    <w:rsid w:val="0043229A"/>
    <w:rsid w:val="00432393"/>
    <w:rsid w:val="00432A6F"/>
    <w:rsid w:val="00432B4E"/>
    <w:rsid w:val="00432F7B"/>
    <w:rsid w:val="00435181"/>
    <w:rsid w:val="004365E4"/>
    <w:rsid w:val="00437C15"/>
    <w:rsid w:val="00437C79"/>
    <w:rsid w:val="00440C38"/>
    <w:rsid w:val="00441ECE"/>
    <w:rsid w:val="004425D8"/>
    <w:rsid w:val="00443C5A"/>
    <w:rsid w:val="00444621"/>
    <w:rsid w:val="004450D0"/>
    <w:rsid w:val="00445823"/>
    <w:rsid w:val="00446311"/>
    <w:rsid w:val="00446446"/>
    <w:rsid w:val="00446A6E"/>
    <w:rsid w:val="00446CDE"/>
    <w:rsid w:val="00446EED"/>
    <w:rsid w:val="004507E3"/>
    <w:rsid w:val="004508C5"/>
    <w:rsid w:val="00450FD0"/>
    <w:rsid w:val="00451145"/>
    <w:rsid w:val="004518B9"/>
    <w:rsid w:val="00451E8E"/>
    <w:rsid w:val="0045346B"/>
    <w:rsid w:val="0045418D"/>
    <w:rsid w:val="00454AD5"/>
    <w:rsid w:val="004550A8"/>
    <w:rsid w:val="0045549B"/>
    <w:rsid w:val="004557F0"/>
    <w:rsid w:val="00455EFC"/>
    <w:rsid w:val="004568F8"/>
    <w:rsid w:val="00456D95"/>
    <w:rsid w:val="004575E4"/>
    <w:rsid w:val="004576B0"/>
    <w:rsid w:val="00460216"/>
    <w:rsid w:val="0046045F"/>
    <w:rsid w:val="00460CA8"/>
    <w:rsid w:val="0046216C"/>
    <w:rsid w:val="004631EA"/>
    <w:rsid w:val="00463FF9"/>
    <w:rsid w:val="004649FF"/>
    <w:rsid w:val="00464D80"/>
    <w:rsid w:val="00465088"/>
    <w:rsid w:val="00465990"/>
    <w:rsid w:val="00465D65"/>
    <w:rsid w:val="00465E9A"/>
    <w:rsid w:val="00466198"/>
    <w:rsid w:val="00466983"/>
    <w:rsid w:val="004701B2"/>
    <w:rsid w:val="00470F2B"/>
    <w:rsid w:val="004724ED"/>
    <w:rsid w:val="004727EE"/>
    <w:rsid w:val="00472AEC"/>
    <w:rsid w:val="00475365"/>
    <w:rsid w:val="00475A0A"/>
    <w:rsid w:val="00475D01"/>
    <w:rsid w:val="00475E8E"/>
    <w:rsid w:val="00476713"/>
    <w:rsid w:val="00476A8A"/>
    <w:rsid w:val="00476DA8"/>
    <w:rsid w:val="00477A3D"/>
    <w:rsid w:val="00480C14"/>
    <w:rsid w:val="0048187F"/>
    <w:rsid w:val="004824B8"/>
    <w:rsid w:val="00482599"/>
    <w:rsid w:val="00482EEC"/>
    <w:rsid w:val="00483BAD"/>
    <w:rsid w:val="00483E9E"/>
    <w:rsid w:val="0048529B"/>
    <w:rsid w:val="00485BF2"/>
    <w:rsid w:val="00486510"/>
    <w:rsid w:val="00486739"/>
    <w:rsid w:val="0048740C"/>
    <w:rsid w:val="0048785D"/>
    <w:rsid w:val="00487F55"/>
    <w:rsid w:val="0049019F"/>
    <w:rsid w:val="0049067F"/>
    <w:rsid w:val="00491335"/>
    <w:rsid w:val="00491806"/>
    <w:rsid w:val="00493A51"/>
    <w:rsid w:val="00493B86"/>
    <w:rsid w:val="004956E1"/>
    <w:rsid w:val="00495E29"/>
    <w:rsid w:val="00496050"/>
    <w:rsid w:val="00496DB7"/>
    <w:rsid w:val="00497F2C"/>
    <w:rsid w:val="004A03B5"/>
    <w:rsid w:val="004A04B5"/>
    <w:rsid w:val="004A0AD0"/>
    <w:rsid w:val="004A1608"/>
    <w:rsid w:val="004A1AF1"/>
    <w:rsid w:val="004A211E"/>
    <w:rsid w:val="004A2E07"/>
    <w:rsid w:val="004A30E5"/>
    <w:rsid w:val="004A32A5"/>
    <w:rsid w:val="004A39B2"/>
    <w:rsid w:val="004A4ADA"/>
    <w:rsid w:val="004A50BF"/>
    <w:rsid w:val="004A54F3"/>
    <w:rsid w:val="004A613C"/>
    <w:rsid w:val="004A62B2"/>
    <w:rsid w:val="004A6641"/>
    <w:rsid w:val="004A6E00"/>
    <w:rsid w:val="004A758C"/>
    <w:rsid w:val="004A7685"/>
    <w:rsid w:val="004A79E1"/>
    <w:rsid w:val="004A7E8C"/>
    <w:rsid w:val="004B003A"/>
    <w:rsid w:val="004B055E"/>
    <w:rsid w:val="004B0AE3"/>
    <w:rsid w:val="004B12C3"/>
    <w:rsid w:val="004B1BF4"/>
    <w:rsid w:val="004B1DE2"/>
    <w:rsid w:val="004B2076"/>
    <w:rsid w:val="004B2A31"/>
    <w:rsid w:val="004B2E55"/>
    <w:rsid w:val="004B3300"/>
    <w:rsid w:val="004B3B03"/>
    <w:rsid w:val="004B40A9"/>
    <w:rsid w:val="004B41FA"/>
    <w:rsid w:val="004B430E"/>
    <w:rsid w:val="004B454F"/>
    <w:rsid w:val="004B5D29"/>
    <w:rsid w:val="004B6165"/>
    <w:rsid w:val="004B67B7"/>
    <w:rsid w:val="004B6FAB"/>
    <w:rsid w:val="004B708E"/>
    <w:rsid w:val="004B7189"/>
    <w:rsid w:val="004B73B2"/>
    <w:rsid w:val="004B7C85"/>
    <w:rsid w:val="004C001E"/>
    <w:rsid w:val="004C17AD"/>
    <w:rsid w:val="004C2020"/>
    <w:rsid w:val="004C2A7A"/>
    <w:rsid w:val="004C2B4D"/>
    <w:rsid w:val="004C365C"/>
    <w:rsid w:val="004C3DDD"/>
    <w:rsid w:val="004C55EA"/>
    <w:rsid w:val="004C5D9B"/>
    <w:rsid w:val="004C5E0A"/>
    <w:rsid w:val="004C6CC8"/>
    <w:rsid w:val="004C7934"/>
    <w:rsid w:val="004C7EE3"/>
    <w:rsid w:val="004D0ADE"/>
    <w:rsid w:val="004D1464"/>
    <w:rsid w:val="004D1E19"/>
    <w:rsid w:val="004D2A71"/>
    <w:rsid w:val="004D2F71"/>
    <w:rsid w:val="004D37B5"/>
    <w:rsid w:val="004D3FB2"/>
    <w:rsid w:val="004D51BA"/>
    <w:rsid w:val="004D53B6"/>
    <w:rsid w:val="004D55B2"/>
    <w:rsid w:val="004D653F"/>
    <w:rsid w:val="004D65D4"/>
    <w:rsid w:val="004D65D6"/>
    <w:rsid w:val="004D7EAE"/>
    <w:rsid w:val="004D7F00"/>
    <w:rsid w:val="004D7F8D"/>
    <w:rsid w:val="004E0029"/>
    <w:rsid w:val="004E043D"/>
    <w:rsid w:val="004E1A18"/>
    <w:rsid w:val="004E1E19"/>
    <w:rsid w:val="004E2F55"/>
    <w:rsid w:val="004E316B"/>
    <w:rsid w:val="004E3172"/>
    <w:rsid w:val="004E34BD"/>
    <w:rsid w:val="004E39BE"/>
    <w:rsid w:val="004E515B"/>
    <w:rsid w:val="004E598D"/>
    <w:rsid w:val="004E5DF9"/>
    <w:rsid w:val="004E7E24"/>
    <w:rsid w:val="004F057D"/>
    <w:rsid w:val="004F0E68"/>
    <w:rsid w:val="004F0F3D"/>
    <w:rsid w:val="004F1AC0"/>
    <w:rsid w:val="004F1BE6"/>
    <w:rsid w:val="004F2F83"/>
    <w:rsid w:val="004F34F4"/>
    <w:rsid w:val="004F3ADE"/>
    <w:rsid w:val="004F4465"/>
    <w:rsid w:val="004F5BB9"/>
    <w:rsid w:val="004F6092"/>
    <w:rsid w:val="004F65B0"/>
    <w:rsid w:val="004F6B8E"/>
    <w:rsid w:val="004F6FE2"/>
    <w:rsid w:val="004F7907"/>
    <w:rsid w:val="00500C91"/>
    <w:rsid w:val="00500F75"/>
    <w:rsid w:val="0050103A"/>
    <w:rsid w:val="00501917"/>
    <w:rsid w:val="005021CA"/>
    <w:rsid w:val="00502ACC"/>
    <w:rsid w:val="00502B09"/>
    <w:rsid w:val="00503BCE"/>
    <w:rsid w:val="005044B5"/>
    <w:rsid w:val="00504570"/>
    <w:rsid w:val="005103AC"/>
    <w:rsid w:val="0051054E"/>
    <w:rsid w:val="0051163D"/>
    <w:rsid w:val="00511A00"/>
    <w:rsid w:val="00511AB2"/>
    <w:rsid w:val="0051388B"/>
    <w:rsid w:val="00513F9E"/>
    <w:rsid w:val="005141C4"/>
    <w:rsid w:val="00514A1E"/>
    <w:rsid w:val="00515246"/>
    <w:rsid w:val="00516455"/>
    <w:rsid w:val="00516456"/>
    <w:rsid w:val="00516C5F"/>
    <w:rsid w:val="00517263"/>
    <w:rsid w:val="00517D8E"/>
    <w:rsid w:val="00520C70"/>
    <w:rsid w:val="00520F7D"/>
    <w:rsid w:val="0052111B"/>
    <w:rsid w:val="0052149F"/>
    <w:rsid w:val="00521E5A"/>
    <w:rsid w:val="00521EA5"/>
    <w:rsid w:val="00521FB0"/>
    <w:rsid w:val="005222D7"/>
    <w:rsid w:val="00523636"/>
    <w:rsid w:val="005247DD"/>
    <w:rsid w:val="00524CFF"/>
    <w:rsid w:val="005257B4"/>
    <w:rsid w:val="0052599B"/>
    <w:rsid w:val="00526095"/>
    <w:rsid w:val="005264D9"/>
    <w:rsid w:val="00526505"/>
    <w:rsid w:val="005267AF"/>
    <w:rsid w:val="00526CFC"/>
    <w:rsid w:val="005273E1"/>
    <w:rsid w:val="0052753D"/>
    <w:rsid w:val="005277D9"/>
    <w:rsid w:val="00527D3B"/>
    <w:rsid w:val="005302C8"/>
    <w:rsid w:val="0053035A"/>
    <w:rsid w:val="00530FD5"/>
    <w:rsid w:val="005315EB"/>
    <w:rsid w:val="0053213A"/>
    <w:rsid w:val="00532607"/>
    <w:rsid w:val="005326F9"/>
    <w:rsid w:val="005329E1"/>
    <w:rsid w:val="00533925"/>
    <w:rsid w:val="00533E23"/>
    <w:rsid w:val="00534005"/>
    <w:rsid w:val="00535031"/>
    <w:rsid w:val="00535BC7"/>
    <w:rsid w:val="00536023"/>
    <w:rsid w:val="00536604"/>
    <w:rsid w:val="00536653"/>
    <w:rsid w:val="005367D5"/>
    <w:rsid w:val="00536F1A"/>
    <w:rsid w:val="00537ED6"/>
    <w:rsid w:val="00540215"/>
    <w:rsid w:val="00540F5A"/>
    <w:rsid w:val="005415F8"/>
    <w:rsid w:val="00542725"/>
    <w:rsid w:val="00542C6A"/>
    <w:rsid w:val="00543B81"/>
    <w:rsid w:val="00543E32"/>
    <w:rsid w:val="005449BB"/>
    <w:rsid w:val="0054569A"/>
    <w:rsid w:val="00545919"/>
    <w:rsid w:val="00545B7D"/>
    <w:rsid w:val="00545CFA"/>
    <w:rsid w:val="0054783C"/>
    <w:rsid w:val="00547F4B"/>
    <w:rsid w:val="00547FE1"/>
    <w:rsid w:val="00550CD3"/>
    <w:rsid w:val="00550F23"/>
    <w:rsid w:val="0055179D"/>
    <w:rsid w:val="005520DD"/>
    <w:rsid w:val="00552BB7"/>
    <w:rsid w:val="00552F55"/>
    <w:rsid w:val="00554260"/>
    <w:rsid w:val="00554D50"/>
    <w:rsid w:val="00555397"/>
    <w:rsid w:val="005559B3"/>
    <w:rsid w:val="00556AE2"/>
    <w:rsid w:val="00556D21"/>
    <w:rsid w:val="00560CAD"/>
    <w:rsid w:val="00561A18"/>
    <w:rsid w:val="00561AD8"/>
    <w:rsid w:val="00561C4B"/>
    <w:rsid w:val="00561CC7"/>
    <w:rsid w:val="0056237B"/>
    <w:rsid w:val="00562CBF"/>
    <w:rsid w:val="00562CEA"/>
    <w:rsid w:val="00562E5C"/>
    <w:rsid w:val="005632DF"/>
    <w:rsid w:val="0056350B"/>
    <w:rsid w:val="00563639"/>
    <w:rsid w:val="00564CAD"/>
    <w:rsid w:val="00565F67"/>
    <w:rsid w:val="00566773"/>
    <w:rsid w:val="00567084"/>
    <w:rsid w:val="00567088"/>
    <w:rsid w:val="00567D5D"/>
    <w:rsid w:val="00567DA5"/>
    <w:rsid w:val="00567F6A"/>
    <w:rsid w:val="00570506"/>
    <w:rsid w:val="00571160"/>
    <w:rsid w:val="005724F6"/>
    <w:rsid w:val="00572E7E"/>
    <w:rsid w:val="00573233"/>
    <w:rsid w:val="00573EF5"/>
    <w:rsid w:val="0057441A"/>
    <w:rsid w:val="00574580"/>
    <w:rsid w:val="00574B05"/>
    <w:rsid w:val="0057604B"/>
    <w:rsid w:val="0057715D"/>
    <w:rsid w:val="00580D98"/>
    <w:rsid w:val="00581834"/>
    <w:rsid w:val="00582658"/>
    <w:rsid w:val="00583625"/>
    <w:rsid w:val="00583CE8"/>
    <w:rsid w:val="00583DF6"/>
    <w:rsid w:val="00584616"/>
    <w:rsid w:val="005848C3"/>
    <w:rsid w:val="00585A54"/>
    <w:rsid w:val="005864F2"/>
    <w:rsid w:val="0058686A"/>
    <w:rsid w:val="0059009F"/>
    <w:rsid w:val="005903BF"/>
    <w:rsid w:val="005907BE"/>
    <w:rsid w:val="00591348"/>
    <w:rsid w:val="00591AEA"/>
    <w:rsid w:val="00592643"/>
    <w:rsid w:val="0059265E"/>
    <w:rsid w:val="00593328"/>
    <w:rsid w:val="00593868"/>
    <w:rsid w:val="00593DD4"/>
    <w:rsid w:val="005943C8"/>
    <w:rsid w:val="0059492C"/>
    <w:rsid w:val="00595103"/>
    <w:rsid w:val="00595856"/>
    <w:rsid w:val="00595D24"/>
    <w:rsid w:val="0059655E"/>
    <w:rsid w:val="00597111"/>
    <w:rsid w:val="005977B7"/>
    <w:rsid w:val="005A1A4F"/>
    <w:rsid w:val="005A3AF2"/>
    <w:rsid w:val="005A3CA0"/>
    <w:rsid w:val="005A5102"/>
    <w:rsid w:val="005A510F"/>
    <w:rsid w:val="005A70AA"/>
    <w:rsid w:val="005A7924"/>
    <w:rsid w:val="005A7DF9"/>
    <w:rsid w:val="005B064D"/>
    <w:rsid w:val="005B1BEE"/>
    <w:rsid w:val="005B384D"/>
    <w:rsid w:val="005B38AB"/>
    <w:rsid w:val="005B504F"/>
    <w:rsid w:val="005B50FD"/>
    <w:rsid w:val="005B5728"/>
    <w:rsid w:val="005B5830"/>
    <w:rsid w:val="005B74A9"/>
    <w:rsid w:val="005C0014"/>
    <w:rsid w:val="005C010F"/>
    <w:rsid w:val="005C0473"/>
    <w:rsid w:val="005C0768"/>
    <w:rsid w:val="005C0948"/>
    <w:rsid w:val="005C0CA8"/>
    <w:rsid w:val="005C0CD8"/>
    <w:rsid w:val="005C0DFC"/>
    <w:rsid w:val="005C0F02"/>
    <w:rsid w:val="005C24CC"/>
    <w:rsid w:val="005C2D35"/>
    <w:rsid w:val="005C2F31"/>
    <w:rsid w:val="005C45A6"/>
    <w:rsid w:val="005C4620"/>
    <w:rsid w:val="005C4896"/>
    <w:rsid w:val="005C54C3"/>
    <w:rsid w:val="005C5607"/>
    <w:rsid w:val="005C69E4"/>
    <w:rsid w:val="005C6B03"/>
    <w:rsid w:val="005C7D5F"/>
    <w:rsid w:val="005C7E69"/>
    <w:rsid w:val="005C7ED8"/>
    <w:rsid w:val="005D0A34"/>
    <w:rsid w:val="005D0AA0"/>
    <w:rsid w:val="005D0CDD"/>
    <w:rsid w:val="005D210D"/>
    <w:rsid w:val="005D2627"/>
    <w:rsid w:val="005D2724"/>
    <w:rsid w:val="005D3056"/>
    <w:rsid w:val="005D3701"/>
    <w:rsid w:val="005D3B9B"/>
    <w:rsid w:val="005D46E1"/>
    <w:rsid w:val="005D4E18"/>
    <w:rsid w:val="005D4E7A"/>
    <w:rsid w:val="005D5A34"/>
    <w:rsid w:val="005D6422"/>
    <w:rsid w:val="005E0FA0"/>
    <w:rsid w:val="005E1756"/>
    <w:rsid w:val="005E247C"/>
    <w:rsid w:val="005E25FA"/>
    <w:rsid w:val="005E2798"/>
    <w:rsid w:val="005E27D5"/>
    <w:rsid w:val="005E434B"/>
    <w:rsid w:val="005E4F7D"/>
    <w:rsid w:val="005E5AFE"/>
    <w:rsid w:val="005E5BA1"/>
    <w:rsid w:val="005E5D2D"/>
    <w:rsid w:val="005E6145"/>
    <w:rsid w:val="005E6750"/>
    <w:rsid w:val="005E6AD1"/>
    <w:rsid w:val="005E6CBA"/>
    <w:rsid w:val="005E6DFD"/>
    <w:rsid w:val="005E7738"/>
    <w:rsid w:val="005F0DCB"/>
    <w:rsid w:val="005F16FE"/>
    <w:rsid w:val="005F3F44"/>
    <w:rsid w:val="005F490F"/>
    <w:rsid w:val="005F4E09"/>
    <w:rsid w:val="005F4FDF"/>
    <w:rsid w:val="005F5181"/>
    <w:rsid w:val="005F57B7"/>
    <w:rsid w:val="005F7022"/>
    <w:rsid w:val="005F7B00"/>
    <w:rsid w:val="005F7E70"/>
    <w:rsid w:val="005F7EC9"/>
    <w:rsid w:val="00600F0A"/>
    <w:rsid w:val="00601EBA"/>
    <w:rsid w:val="006035F5"/>
    <w:rsid w:val="00603A1B"/>
    <w:rsid w:val="00604059"/>
    <w:rsid w:val="00604124"/>
    <w:rsid w:val="006045B4"/>
    <w:rsid w:val="00605399"/>
    <w:rsid w:val="00605EE2"/>
    <w:rsid w:val="0060608A"/>
    <w:rsid w:val="0060667A"/>
    <w:rsid w:val="00606900"/>
    <w:rsid w:val="00606BCF"/>
    <w:rsid w:val="00606E8C"/>
    <w:rsid w:val="006111B8"/>
    <w:rsid w:val="006117EE"/>
    <w:rsid w:val="00611A8E"/>
    <w:rsid w:val="00611BB0"/>
    <w:rsid w:val="00611BCB"/>
    <w:rsid w:val="006121A1"/>
    <w:rsid w:val="00612C33"/>
    <w:rsid w:val="006137A1"/>
    <w:rsid w:val="00613C79"/>
    <w:rsid w:val="00614039"/>
    <w:rsid w:val="00614114"/>
    <w:rsid w:val="0061417A"/>
    <w:rsid w:val="00614444"/>
    <w:rsid w:val="0061527B"/>
    <w:rsid w:val="0061590C"/>
    <w:rsid w:val="00616798"/>
    <w:rsid w:val="0061692E"/>
    <w:rsid w:val="00616C44"/>
    <w:rsid w:val="00617D58"/>
    <w:rsid w:val="006215B2"/>
    <w:rsid w:val="00622331"/>
    <w:rsid w:val="006223E4"/>
    <w:rsid w:val="0062275B"/>
    <w:rsid w:val="00623DB2"/>
    <w:rsid w:val="00625FFB"/>
    <w:rsid w:val="00626069"/>
    <w:rsid w:val="00626696"/>
    <w:rsid w:val="0062694A"/>
    <w:rsid w:val="00626DDF"/>
    <w:rsid w:val="00627337"/>
    <w:rsid w:val="0062769E"/>
    <w:rsid w:val="00630711"/>
    <w:rsid w:val="00631E7D"/>
    <w:rsid w:val="00631FAB"/>
    <w:rsid w:val="006321BA"/>
    <w:rsid w:val="00633ABE"/>
    <w:rsid w:val="0063428C"/>
    <w:rsid w:val="006342E8"/>
    <w:rsid w:val="00634901"/>
    <w:rsid w:val="00634F9C"/>
    <w:rsid w:val="00635B22"/>
    <w:rsid w:val="00636B69"/>
    <w:rsid w:val="006403E0"/>
    <w:rsid w:val="00640BB1"/>
    <w:rsid w:val="00641472"/>
    <w:rsid w:val="00641900"/>
    <w:rsid w:val="00642741"/>
    <w:rsid w:val="00643943"/>
    <w:rsid w:val="00643E9C"/>
    <w:rsid w:val="00644770"/>
    <w:rsid w:val="006469E0"/>
    <w:rsid w:val="006470CA"/>
    <w:rsid w:val="00650A4A"/>
    <w:rsid w:val="00650B8A"/>
    <w:rsid w:val="00650BA6"/>
    <w:rsid w:val="00650BE0"/>
    <w:rsid w:val="00650CFF"/>
    <w:rsid w:val="00651122"/>
    <w:rsid w:val="00651CD9"/>
    <w:rsid w:val="00652054"/>
    <w:rsid w:val="00652328"/>
    <w:rsid w:val="006535BD"/>
    <w:rsid w:val="00653837"/>
    <w:rsid w:val="006548F9"/>
    <w:rsid w:val="006554E5"/>
    <w:rsid w:val="0065556D"/>
    <w:rsid w:val="006558E1"/>
    <w:rsid w:val="00656807"/>
    <w:rsid w:val="00656E43"/>
    <w:rsid w:val="00656F65"/>
    <w:rsid w:val="00657E19"/>
    <w:rsid w:val="00657FE6"/>
    <w:rsid w:val="0066134E"/>
    <w:rsid w:val="0066166C"/>
    <w:rsid w:val="00661C43"/>
    <w:rsid w:val="00661EC4"/>
    <w:rsid w:val="00662316"/>
    <w:rsid w:val="006633B7"/>
    <w:rsid w:val="00665730"/>
    <w:rsid w:val="00666054"/>
    <w:rsid w:val="00666345"/>
    <w:rsid w:val="00666517"/>
    <w:rsid w:val="0066745A"/>
    <w:rsid w:val="00670A91"/>
    <w:rsid w:val="00671363"/>
    <w:rsid w:val="006723CC"/>
    <w:rsid w:val="00672CD8"/>
    <w:rsid w:val="00675021"/>
    <w:rsid w:val="0067722B"/>
    <w:rsid w:val="00681856"/>
    <w:rsid w:val="00681A92"/>
    <w:rsid w:val="00682587"/>
    <w:rsid w:val="00682E29"/>
    <w:rsid w:val="00683124"/>
    <w:rsid w:val="00683A59"/>
    <w:rsid w:val="006848A3"/>
    <w:rsid w:val="00684CD8"/>
    <w:rsid w:val="00685322"/>
    <w:rsid w:val="006855F9"/>
    <w:rsid w:val="0068585E"/>
    <w:rsid w:val="006860F8"/>
    <w:rsid w:val="0068613D"/>
    <w:rsid w:val="006863F1"/>
    <w:rsid w:val="0068676A"/>
    <w:rsid w:val="006868BF"/>
    <w:rsid w:val="00686BE7"/>
    <w:rsid w:val="00686FF5"/>
    <w:rsid w:val="00687E7C"/>
    <w:rsid w:val="00687FEC"/>
    <w:rsid w:val="00690C11"/>
    <w:rsid w:val="00690C1E"/>
    <w:rsid w:val="00690E87"/>
    <w:rsid w:val="006912A3"/>
    <w:rsid w:val="00691324"/>
    <w:rsid w:val="00691B23"/>
    <w:rsid w:val="00691FA3"/>
    <w:rsid w:val="00693E2D"/>
    <w:rsid w:val="00694ACA"/>
    <w:rsid w:val="00694ED5"/>
    <w:rsid w:val="006950A6"/>
    <w:rsid w:val="006953EF"/>
    <w:rsid w:val="006970E2"/>
    <w:rsid w:val="00697CA3"/>
    <w:rsid w:val="00697DB1"/>
    <w:rsid w:val="006A0378"/>
    <w:rsid w:val="006A07DA"/>
    <w:rsid w:val="006A132D"/>
    <w:rsid w:val="006A16B2"/>
    <w:rsid w:val="006A201D"/>
    <w:rsid w:val="006A25EE"/>
    <w:rsid w:val="006A2A4C"/>
    <w:rsid w:val="006A2AC3"/>
    <w:rsid w:val="006A35C5"/>
    <w:rsid w:val="006A3DE3"/>
    <w:rsid w:val="006A42D0"/>
    <w:rsid w:val="006A503E"/>
    <w:rsid w:val="006A699B"/>
    <w:rsid w:val="006A6A11"/>
    <w:rsid w:val="006A7253"/>
    <w:rsid w:val="006B2653"/>
    <w:rsid w:val="006B318C"/>
    <w:rsid w:val="006B32D8"/>
    <w:rsid w:val="006B3665"/>
    <w:rsid w:val="006B3F3C"/>
    <w:rsid w:val="006B4AB7"/>
    <w:rsid w:val="006B5625"/>
    <w:rsid w:val="006B616B"/>
    <w:rsid w:val="006B6E62"/>
    <w:rsid w:val="006B789A"/>
    <w:rsid w:val="006B7DD7"/>
    <w:rsid w:val="006C0320"/>
    <w:rsid w:val="006C0641"/>
    <w:rsid w:val="006C0E26"/>
    <w:rsid w:val="006C1750"/>
    <w:rsid w:val="006C1A1C"/>
    <w:rsid w:val="006C2838"/>
    <w:rsid w:val="006C28F9"/>
    <w:rsid w:val="006C2A03"/>
    <w:rsid w:val="006C3A3F"/>
    <w:rsid w:val="006C3ABF"/>
    <w:rsid w:val="006C3DDB"/>
    <w:rsid w:val="006C49A7"/>
    <w:rsid w:val="006C4AE0"/>
    <w:rsid w:val="006C5597"/>
    <w:rsid w:val="006C57ED"/>
    <w:rsid w:val="006C5F66"/>
    <w:rsid w:val="006C5FE3"/>
    <w:rsid w:val="006C6DED"/>
    <w:rsid w:val="006C7DC3"/>
    <w:rsid w:val="006C7FB2"/>
    <w:rsid w:val="006D0BEF"/>
    <w:rsid w:val="006D0F33"/>
    <w:rsid w:val="006D1B2A"/>
    <w:rsid w:val="006D2972"/>
    <w:rsid w:val="006D2B5F"/>
    <w:rsid w:val="006D2CA5"/>
    <w:rsid w:val="006D2EE7"/>
    <w:rsid w:val="006D31B3"/>
    <w:rsid w:val="006D3C6F"/>
    <w:rsid w:val="006D3F73"/>
    <w:rsid w:val="006D4266"/>
    <w:rsid w:val="006D47F3"/>
    <w:rsid w:val="006D5989"/>
    <w:rsid w:val="006D5D6E"/>
    <w:rsid w:val="006E02FD"/>
    <w:rsid w:val="006E1597"/>
    <w:rsid w:val="006E1A7B"/>
    <w:rsid w:val="006E1AA0"/>
    <w:rsid w:val="006E2134"/>
    <w:rsid w:val="006E315C"/>
    <w:rsid w:val="006E3223"/>
    <w:rsid w:val="006E35E2"/>
    <w:rsid w:val="006E3ADC"/>
    <w:rsid w:val="006E4DB0"/>
    <w:rsid w:val="006E5355"/>
    <w:rsid w:val="006E5623"/>
    <w:rsid w:val="006E5633"/>
    <w:rsid w:val="006E5912"/>
    <w:rsid w:val="006E5B09"/>
    <w:rsid w:val="006E6D94"/>
    <w:rsid w:val="006E7F10"/>
    <w:rsid w:val="006F01E1"/>
    <w:rsid w:val="006F0334"/>
    <w:rsid w:val="006F0414"/>
    <w:rsid w:val="006F0567"/>
    <w:rsid w:val="006F0770"/>
    <w:rsid w:val="006F1792"/>
    <w:rsid w:val="006F24B0"/>
    <w:rsid w:val="006F2848"/>
    <w:rsid w:val="006F32FB"/>
    <w:rsid w:val="006F3398"/>
    <w:rsid w:val="006F3C8E"/>
    <w:rsid w:val="006F415D"/>
    <w:rsid w:val="006F49D3"/>
    <w:rsid w:val="006F4E28"/>
    <w:rsid w:val="006F55EE"/>
    <w:rsid w:val="006F5D4B"/>
    <w:rsid w:val="006F5FB8"/>
    <w:rsid w:val="006F6703"/>
    <w:rsid w:val="006F6E77"/>
    <w:rsid w:val="006F7A31"/>
    <w:rsid w:val="006F7B0A"/>
    <w:rsid w:val="0070039D"/>
    <w:rsid w:val="00700640"/>
    <w:rsid w:val="00700949"/>
    <w:rsid w:val="00701844"/>
    <w:rsid w:val="00702048"/>
    <w:rsid w:val="00703680"/>
    <w:rsid w:val="0070566B"/>
    <w:rsid w:val="00705CEA"/>
    <w:rsid w:val="0070657D"/>
    <w:rsid w:val="0070764F"/>
    <w:rsid w:val="00710344"/>
    <w:rsid w:val="00710AD1"/>
    <w:rsid w:val="00710B40"/>
    <w:rsid w:val="00710FF4"/>
    <w:rsid w:val="0071107F"/>
    <w:rsid w:val="00711849"/>
    <w:rsid w:val="007123D9"/>
    <w:rsid w:val="00712F70"/>
    <w:rsid w:val="0071303D"/>
    <w:rsid w:val="00713B2E"/>
    <w:rsid w:val="00713DFE"/>
    <w:rsid w:val="0071411D"/>
    <w:rsid w:val="00714E39"/>
    <w:rsid w:val="007167A2"/>
    <w:rsid w:val="00716C39"/>
    <w:rsid w:val="00716D2D"/>
    <w:rsid w:val="00716FE8"/>
    <w:rsid w:val="00717EE6"/>
    <w:rsid w:val="0072090C"/>
    <w:rsid w:val="0072139B"/>
    <w:rsid w:val="00721949"/>
    <w:rsid w:val="00723C29"/>
    <w:rsid w:val="00724322"/>
    <w:rsid w:val="0072607D"/>
    <w:rsid w:val="0072679F"/>
    <w:rsid w:val="00726BC9"/>
    <w:rsid w:val="00726E9B"/>
    <w:rsid w:val="0072787E"/>
    <w:rsid w:val="00727BFD"/>
    <w:rsid w:val="00727C17"/>
    <w:rsid w:val="00730186"/>
    <w:rsid w:val="00730203"/>
    <w:rsid w:val="00730B48"/>
    <w:rsid w:val="00733656"/>
    <w:rsid w:val="007340E2"/>
    <w:rsid w:val="0073421A"/>
    <w:rsid w:val="00734505"/>
    <w:rsid w:val="0073557D"/>
    <w:rsid w:val="007357FF"/>
    <w:rsid w:val="00735B2E"/>
    <w:rsid w:val="00736147"/>
    <w:rsid w:val="00736A9D"/>
    <w:rsid w:val="00737D97"/>
    <w:rsid w:val="00740627"/>
    <w:rsid w:val="00741286"/>
    <w:rsid w:val="00742736"/>
    <w:rsid w:val="007434FB"/>
    <w:rsid w:val="007441B1"/>
    <w:rsid w:val="00744951"/>
    <w:rsid w:val="00744FEA"/>
    <w:rsid w:val="00745A76"/>
    <w:rsid w:val="00745A84"/>
    <w:rsid w:val="00746B92"/>
    <w:rsid w:val="007472BD"/>
    <w:rsid w:val="00747466"/>
    <w:rsid w:val="007479ED"/>
    <w:rsid w:val="007513E1"/>
    <w:rsid w:val="0075169D"/>
    <w:rsid w:val="00751802"/>
    <w:rsid w:val="00751C00"/>
    <w:rsid w:val="00752D13"/>
    <w:rsid w:val="007531E2"/>
    <w:rsid w:val="007534E4"/>
    <w:rsid w:val="00753E11"/>
    <w:rsid w:val="00754270"/>
    <w:rsid w:val="007545A3"/>
    <w:rsid w:val="00754D76"/>
    <w:rsid w:val="00754F92"/>
    <w:rsid w:val="00755BF9"/>
    <w:rsid w:val="00756147"/>
    <w:rsid w:val="00756C1A"/>
    <w:rsid w:val="00757724"/>
    <w:rsid w:val="007602D3"/>
    <w:rsid w:val="00761CB7"/>
    <w:rsid w:val="007621FE"/>
    <w:rsid w:val="00762FAE"/>
    <w:rsid w:val="00764166"/>
    <w:rsid w:val="00764C30"/>
    <w:rsid w:val="00764C70"/>
    <w:rsid w:val="00764F76"/>
    <w:rsid w:val="00765D49"/>
    <w:rsid w:val="007665A3"/>
    <w:rsid w:val="007667A3"/>
    <w:rsid w:val="00770426"/>
    <w:rsid w:val="00770C3E"/>
    <w:rsid w:val="00770EA8"/>
    <w:rsid w:val="00772625"/>
    <w:rsid w:val="00773AE6"/>
    <w:rsid w:val="00774DD5"/>
    <w:rsid w:val="007750F8"/>
    <w:rsid w:val="007760A9"/>
    <w:rsid w:val="00776259"/>
    <w:rsid w:val="00776DBD"/>
    <w:rsid w:val="00777FD8"/>
    <w:rsid w:val="0078047B"/>
    <w:rsid w:val="0078049C"/>
    <w:rsid w:val="00781180"/>
    <w:rsid w:val="00781FE2"/>
    <w:rsid w:val="007828B0"/>
    <w:rsid w:val="00782BDD"/>
    <w:rsid w:val="00785736"/>
    <w:rsid w:val="00785B89"/>
    <w:rsid w:val="0078622B"/>
    <w:rsid w:val="00786C37"/>
    <w:rsid w:val="0078751D"/>
    <w:rsid w:val="007876B0"/>
    <w:rsid w:val="00787952"/>
    <w:rsid w:val="007911D5"/>
    <w:rsid w:val="0079261D"/>
    <w:rsid w:val="00793287"/>
    <w:rsid w:val="00793CD9"/>
    <w:rsid w:val="00793F78"/>
    <w:rsid w:val="00794332"/>
    <w:rsid w:val="00794BAE"/>
    <w:rsid w:val="00795C97"/>
    <w:rsid w:val="00795EF9"/>
    <w:rsid w:val="007968A2"/>
    <w:rsid w:val="007975A6"/>
    <w:rsid w:val="0079768A"/>
    <w:rsid w:val="00797E21"/>
    <w:rsid w:val="00797EE6"/>
    <w:rsid w:val="007A06DD"/>
    <w:rsid w:val="007A0FAB"/>
    <w:rsid w:val="007A184A"/>
    <w:rsid w:val="007A2122"/>
    <w:rsid w:val="007A234B"/>
    <w:rsid w:val="007A245D"/>
    <w:rsid w:val="007A2D46"/>
    <w:rsid w:val="007A4B49"/>
    <w:rsid w:val="007A4DE3"/>
    <w:rsid w:val="007A4F71"/>
    <w:rsid w:val="007A51F9"/>
    <w:rsid w:val="007A5AB7"/>
    <w:rsid w:val="007A6A39"/>
    <w:rsid w:val="007A73AB"/>
    <w:rsid w:val="007A78A4"/>
    <w:rsid w:val="007A7AEF"/>
    <w:rsid w:val="007A7DE1"/>
    <w:rsid w:val="007A7E27"/>
    <w:rsid w:val="007B0448"/>
    <w:rsid w:val="007B0E14"/>
    <w:rsid w:val="007B1049"/>
    <w:rsid w:val="007B1A07"/>
    <w:rsid w:val="007B3E8B"/>
    <w:rsid w:val="007B4366"/>
    <w:rsid w:val="007B4DBC"/>
    <w:rsid w:val="007B5146"/>
    <w:rsid w:val="007B5326"/>
    <w:rsid w:val="007B60B9"/>
    <w:rsid w:val="007B68F0"/>
    <w:rsid w:val="007B6B83"/>
    <w:rsid w:val="007C0532"/>
    <w:rsid w:val="007C0F57"/>
    <w:rsid w:val="007C1BB2"/>
    <w:rsid w:val="007C2D1A"/>
    <w:rsid w:val="007C3786"/>
    <w:rsid w:val="007C391B"/>
    <w:rsid w:val="007C3BEA"/>
    <w:rsid w:val="007C49B9"/>
    <w:rsid w:val="007C4A0E"/>
    <w:rsid w:val="007C4BB5"/>
    <w:rsid w:val="007C4DFC"/>
    <w:rsid w:val="007C4FB9"/>
    <w:rsid w:val="007C5A7B"/>
    <w:rsid w:val="007C5D4C"/>
    <w:rsid w:val="007C6E98"/>
    <w:rsid w:val="007D1237"/>
    <w:rsid w:val="007D1A87"/>
    <w:rsid w:val="007D22EE"/>
    <w:rsid w:val="007D29E9"/>
    <w:rsid w:val="007D2F8F"/>
    <w:rsid w:val="007D2FC8"/>
    <w:rsid w:val="007D379E"/>
    <w:rsid w:val="007D399E"/>
    <w:rsid w:val="007D45C3"/>
    <w:rsid w:val="007D506A"/>
    <w:rsid w:val="007D6B78"/>
    <w:rsid w:val="007D78B2"/>
    <w:rsid w:val="007E0EF0"/>
    <w:rsid w:val="007E23E9"/>
    <w:rsid w:val="007E26DC"/>
    <w:rsid w:val="007E2FC4"/>
    <w:rsid w:val="007E36AB"/>
    <w:rsid w:val="007E466F"/>
    <w:rsid w:val="007E5055"/>
    <w:rsid w:val="007E5AC5"/>
    <w:rsid w:val="007E5B19"/>
    <w:rsid w:val="007E6C77"/>
    <w:rsid w:val="007F08D7"/>
    <w:rsid w:val="007F0C1C"/>
    <w:rsid w:val="007F1AA1"/>
    <w:rsid w:val="007F22AB"/>
    <w:rsid w:val="007F2578"/>
    <w:rsid w:val="007F2864"/>
    <w:rsid w:val="007F310B"/>
    <w:rsid w:val="007F51E5"/>
    <w:rsid w:val="007F59A7"/>
    <w:rsid w:val="007F671B"/>
    <w:rsid w:val="00802CB7"/>
    <w:rsid w:val="00802D8C"/>
    <w:rsid w:val="00803895"/>
    <w:rsid w:val="00803AB5"/>
    <w:rsid w:val="0080492D"/>
    <w:rsid w:val="00804AA4"/>
    <w:rsid w:val="00805098"/>
    <w:rsid w:val="008053A0"/>
    <w:rsid w:val="00805499"/>
    <w:rsid w:val="00805850"/>
    <w:rsid w:val="00806096"/>
    <w:rsid w:val="00806DEC"/>
    <w:rsid w:val="00806F4F"/>
    <w:rsid w:val="00807727"/>
    <w:rsid w:val="00807C5F"/>
    <w:rsid w:val="008107F3"/>
    <w:rsid w:val="00810D7F"/>
    <w:rsid w:val="00811EDA"/>
    <w:rsid w:val="008124FF"/>
    <w:rsid w:val="0081276A"/>
    <w:rsid w:val="0081291C"/>
    <w:rsid w:val="008132FD"/>
    <w:rsid w:val="0081345E"/>
    <w:rsid w:val="0081424C"/>
    <w:rsid w:val="00814BDE"/>
    <w:rsid w:val="008152CE"/>
    <w:rsid w:val="00815C03"/>
    <w:rsid w:val="00815CA2"/>
    <w:rsid w:val="00816207"/>
    <w:rsid w:val="00816B58"/>
    <w:rsid w:val="00816C8B"/>
    <w:rsid w:val="00816F8E"/>
    <w:rsid w:val="008171E0"/>
    <w:rsid w:val="00817CBC"/>
    <w:rsid w:val="00820244"/>
    <w:rsid w:val="00820463"/>
    <w:rsid w:val="00820991"/>
    <w:rsid w:val="00820A03"/>
    <w:rsid w:val="00820DBB"/>
    <w:rsid w:val="00821199"/>
    <w:rsid w:val="00821AB2"/>
    <w:rsid w:val="00823524"/>
    <w:rsid w:val="00823859"/>
    <w:rsid w:val="00823961"/>
    <w:rsid w:val="00825863"/>
    <w:rsid w:val="00825D58"/>
    <w:rsid w:val="0082618D"/>
    <w:rsid w:val="00826860"/>
    <w:rsid w:val="008269CE"/>
    <w:rsid w:val="00826A13"/>
    <w:rsid w:val="00826B53"/>
    <w:rsid w:val="00826EA2"/>
    <w:rsid w:val="0082702E"/>
    <w:rsid w:val="00827803"/>
    <w:rsid w:val="00830286"/>
    <w:rsid w:val="008309AD"/>
    <w:rsid w:val="00830AE5"/>
    <w:rsid w:val="00830CBC"/>
    <w:rsid w:val="0083110A"/>
    <w:rsid w:val="008312A7"/>
    <w:rsid w:val="0083133B"/>
    <w:rsid w:val="00832A13"/>
    <w:rsid w:val="008331D7"/>
    <w:rsid w:val="00833449"/>
    <w:rsid w:val="00833738"/>
    <w:rsid w:val="0083397B"/>
    <w:rsid w:val="00833E21"/>
    <w:rsid w:val="00833F8E"/>
    <w:rsid w:val="00834031"/>
    <w:rsid w:val="0083433F"/>
    <w:rsid w:val="008361DC"/>
    <w:rsid w:val="0083660A"/>
    <w:rsid w:val="008371F8"/>
    <w:rsid w:val="00840A2D"/>
    <w:rsid w:val="00841401"/>
    <w:rsid w:val="0084164B"/>
    <w:rsid w:val="0084166C"/>
    <w:rsid w:val="0084222D"/>
    <w:rsid w:val="0084288F"/>
    <w:rsid w:val="00842E42"/>
    <w:rsid w:val="0084339A"/>
    <w:rsid w:val="0084377E"/>
    <w:rsid w:val="00843B7E"/>
    <w:rsid w:val="00843BEC"/>
    <w:rsid w:val="00844876"/>
    <w:rsid w:val="008460EF"/>
    <w:rsid w:val="0084680E"/>
    <w:rsid w:val="00846AB1"/>
    <w:rsid w:val="00850D25"/>
    <w:rsid w:val="00851451"/>
    <w:rsid w:val="0085171B"/>
    <w:rsid w:val="00851D9A"/>
    <w:rsid w:val="00853288"/>
    <w:rsid w:val="00853976"/>
    <w:rsid w:val="00854C9D"/>
    <w:rsid w:val="00854DBA"/>
    <w:rsid w:val="00854E38"/>
    <w:rsid w:val="00854EBE"/>
    <w:rsid w:val="00855027"/>
    <w:rsid w:val="008551F1"/>
    <w:rsid w:val="008552C0"/>
    <w:rsid w:val="00856C2D"/>
    <w:rsid w:val="00857535"/>
    <w:rsid w:val="0085762E"/>
    <w:rsid w:val="00857EA1"/>
    <w:rsid w:val="00860A4C"/>
    <w:rsid w:val="00860F37"/>
    <w:rsid w:val="008614D9"/>
    <w:rsid w:val="00863764"/>
    <w:rsid w:val="00863D4E"/>
    <w:rsid w:val="008659AB"/>
    <w:rsid w:val="00866919"/>
    <w:rsid w:val="00866FBD"/>
    <w:rsid w:val="00867327"/>
    <w:rsid w:val="0087015F"/>
    <w:rsid w:val="00870A0C"/>
    <w:rsid w:val="00870AC9"/>
    <w:rsid w:val="00871127"/>
    <w:rsid w:val="00871F7B"/>
    <w:rsid w:val="00872DE4"/>
    <w:rsid w:val="00872F0E"/>
    <w:rsid w:val="0087326D"/>
    <w:rsid w:val="0087412F"/>
    <w:rsid w:val="00874DC8"/>
    <w:rsid w:val="008754DA"/>
    <w:rsid w:val="00876A47"/>
    <w:rsid w:val="008771FC"/>
    <w:rsid w:val="00877B46"/>
    <w:rsid w:val="0088087E"/>
    <w:rsid w:val="00880AEF"/>
    <w:rsid w:val="00880CB1"/>
    <w:rsid w:val="008825F9"/>
    <w:rsid w:val="00882BF7"/>
    <w:rsid w:val="00883B06"/>
    <w:rsid w:val="00883E8B"/>
    <w:rsid w:val="00885361"/>
    <w:rsid w:val="008855D6"/>
    <w:rsid w:val="0088597C"/>
    <w:rsid w:val="00886405"/>
    <w:rsid w:val="00886CDC"/>
    <w:rsid w:val="00886D1A"/>
    <w:rsid w:val="00886F74"/>
    <w:rsid w:val="008870E6"/>
    <w:rsid w:val="008903DB"/>
    <w:rsid w:val="008904DC"/>
    <w:rsid w:val="00890791"/>
    <w:rsid w:val="00890A97"/>
    <w:rsid w:val="00892224"/>
    <w:rsid w:val="008923AF"/>
    <w:rsid w:val="00892534"/>
    <w:rsid w:val="0089371C"/>
    <w:rsid w:val="00895A16"/>
    <w:rsid w:val="00895D92"/>
    <w:rsid w:val="0089644B"/>
    <w:rsid w:val="00896CC4"/>
    <w:rsid w:val="008973A5"/>
    <w:rsid w:val="00897F8D"/>
    <w:rsid w:val="008A008B"/>
    <w:rsid w:val="008A030D"/>
    <w:rsid w:val="008A0C33"/>
    <w:rsid w:val="008A180C"/>
    <w:rsid w:val="008A1ED1"/>
    <w:rsid w:val="008A21FC"/>
    <w:rsid w:val="008A294B"/>
    <w:rsid w:val="008A682F"/>
    <w:rsid w:val="008A7142"/>
    <w:rsid w:val="008A79AB"/>
    <w:rsid w:val="008B1A0B"/>
    <w:rsid w:val="008B2581"/>
    <w:rsid w:val="008B2698"/>
    <w:rsid w:val="008B4448"/>
    <w:rsid w:val="008B4E8E"/>
    <w:rsid w:val="008B5E00"/>
    <w:rsid w:val="008B69F1"/>
    <w:rsid w:val="008B7B62"/>
    <w:rsid w:val="008B7C99"/>
    <w:rsid w:val="008B7D3C"/>
    <w:rsid w:val="008B7DEE"/>
    <w:rsid w:val="008B7F1E"/>
    <w:rsid w:val="008C03A4"/>
    <w:rsid w:val="008C0A6F"/>
    <w:rsid w:val="008C0BEE"/>
    <w:rsid w:val="008C0EE9"/>
    <w:rsid w:val="008C158C"/>
    <w:rsid w:val="008C1DB3"/>
    <w:rsid w:val="008C2DA2"/>
    <w:rsid w:val="008C363B"/>
    <w:rsid w:val="008C449A"/>
    <w:rsid w:val="008C59D2"/>
    <w:rsid w:val="008C601C"/>
    <w:rsid w:val="008C61E2"/>
    <w:rsid w:val="008C6CD4"/>
    <w:rsid w:val="008C6FE6"/>
    <w:rsid w:val="008C74A9"/>
    <w:rsid w:val="008C74EE"/>
    <w:rsid w:val="008C7BA4"/>
    <w:rsid w:val="008D043B"/>
    <w:rsid w:val="008D0634"/>
    <w:rsid w:val="008D06D0"/>
    <w:rsid w:val="008D36AA"/>
    <w:rsid w:val="008D38A4"/>
    <w:rsid w:val="008D3C6D"/>
    <w:rsid w:val="008D400D"/>
    <w:rsid w:val="008D4709"/>
    <w:rsid w:val="008D6580"/>
    <w:rsid w:val="008D6E05"/>
    <w:rsid w:val="008D7762"/>
    <w:rsid w:val="008E0300"/>
    <w:rsid w:val="008E1845"/>
    <w:rsid w:val="008E229B"/>
    <w:rsid w:val="008E2385"/>
    <w:rsid w:val="008E297B"/>
    <w:rsid w:val="008E2E76"/>
    <w:rsid w:val="008E34E2"/>
    <w:rsid w:val="008E4B2A"/>
    <w:rsid w:val="008E50F5"/>
    <w:rsid w:val="008E55C9"/>
    <w:rsid w:val="008E5A2E"/>
    <w:rsid w:val="008E691A"/>
    <w:rsid w:val="008E6AFF"/>
    <w:rsid w:val="008F0BFC"/>
    <w:rsid w:val="008F0D11"/>
    <w:rsid w:val="008F0E66"/>
    <w:rsid w:val="008F0F37"/>
    <w:rsid w:val="008F1110"/>
    <w:rsid w:val="008F123B"/>
    <w:rsid w:val="008F16A9"/>
    <w:rsid w:val="008F2E89"/>
    <w:rsid w:val="008F3E1B"/>
    <w:rsid w:val="008F3E38"/>
    <w:rsid w:val="008F43D4"/>
    <w:rsid w:val="008F4555"/>
    <w:rsid w:val="008F558A"/>
    <w:rsid w:val="008F62F4"/>
    <w:rsid w:val="008F695E"/>
    <w:rsid w:val="008F6CCC"/>
    <w:rsid w:val="008F6FB9"/>
    <w:rsid w:val="008F723A"/>
    <w:rsid w:val="008F79A2"/>
    <w:rsid w:val="008F7B58"/>
    <w:rsid w:val="0090023D"/>
    <w:rsid w:val="009008E3"/>
    <w:rsid w:val="00901258"/>
    <w:rsid w:val="009012B1"/>
    <w:rsid w:val="009012DC"/>
    <w:rsid w:val="00901957"/>
    <w:rsid w:val="00904386"/>
    <w:rsid w:val="0090451F"/>
    <w:rsid w:val="009049A7"/>
    <w:rsid w:val="00905E46"/>
    <w:rsid w:val="009062C0"/>
    <w:rsid w:val="0091063B"/>
    <w:rsid w:val="0091110A"/>
    <w:rsid w:val="0091195F"/>
    <w:rsid w:val="00911D47"/>
    <w:rsid w:val="00912988"/>
    <w:rsid w:val="0091303D"/>
    <w:rsid w:val="009140BC"/>
    <w:rsid w:val="0091410C"/>
    <w:rsid w:val="00914121"/>
    <w:rsid w:val="0091538F"/>
    <w:rsid w:val="00915A7F"/>
    <w:rsid w:val="00915F1C"/>
    <w:rsid w:val="00916858"/>
    <w:rsid w:val="00917B46"/>
    <w:rsid w:val="00920F24"/>
    <w:rsid w:val="00921D8B"/>
    <w:rsid w:val="009225F0"/>
    <w:rsid w:val="00922A9A"/>
    <w:rsid w:val="00923B9D"/>
    <w:rsid w:val="0092489C"/>
    <w:rsid w:val="00924CFB"/>
    <w:rsid w:val="0092516B"/>
    <w:rsid w:val="00925427"/>
    <w:rsid w:val="009258F0"/>
    <w:rsid w:val="00925D37"/>
    <w:rsid w:val="00925E61"/>
    <w:rsid w:val="00926474"/>
    <w:rsid w:val="00926682"/>
    <w:rsid w:val="009269D8"/>
    <w:rsid w:val="009271A8"/>
    <w:rsid w:val="009308BE"/>
    <w:rsid w:val="00930D2B"/>
    <w:rsid w:val="00931456"/>
    <w:rsid w:val="0093187C"/>
    <w:rsid w:val="009319F6"/>
    <w:rsid w:val="00931F3E"/>
    <w:rsid w:val="009327A7"/>
    <w:rsid w:val="00932FFE"/>
    <w:rsid w:val="0093361D"/>
    <w:rsid w:val="00933A80"/>
    <w:rsid w:val="009340A6"/>
    <w:rsid w:val="00934263"/>
    <w:rsid w:val="009342EC"/>
    <w:rsid w:val="009345BD"/>
    <w:rsid w:val="00934771"/>
    <w:rsid w:val="00935436"/>
    <w:rsid w:val="00935B1D"/>
    <w:rsid w:val="0093639A"/>
    <w:rsid w:val="009366CD"/>
    <w:rsid w:val="00940563"/>
    <w:rsid w:val="0094091A"/>
    <w:rsid w:val="00942DC0"/>
    <w:rsid w:val="00943223"/>
    <w:rsid w:val="009435B3"/>
    <w:rsid w:val="00943677"/>
    <w:rsid w:val="00943F2B"/>
    <w:rsid w:val="0094450D"/>
    <w:rsid w:val="00944B7C"/>
    <w:rsid w:val="009458B1"/>
    <w:rsid w:val="009468F5"/>
    <w:rsid w:val="0094750C"/>
    <w:rsid w:val="0095001E"/>
    <w:rsid w:val="00950C88"/>
    <w:rsid w:val="009519D4"/>
    <w:rsid w:val="00951C59"/>
    <w:rsid w:val="00951C7B"/>
    <w:rsid w:val="00952170"/>
    <w:rsid w:val="00952271"/>
    <w:rsid w:val="0095229B"/>
    <w:rsid w:val="00952CDD"/>
    <w:rsid w:val="00953C0F"/>
    <w:rsid w:val="0095525D"/>
    <w:rsid w:val="00955C91"/>
    <w:rsid w:val="00955F76"/>
    <w:rsid w:val="009561C3"/>
    <w:rsid w:val="009574A9"/>
    <w:rsid w:val="00960021"/>
    <w:rsid w:val="009602E2"/>
    <w:rsid w:val="0096245A"/>
    <w:rsid w:val="009627F0"/>
    <w:rsid w:val="009638D0"/>
    <w:rsid w:val="00963F68"/>
    <w:rsid w:val="00964D6E"/>
    <w:rsid w:val="00964EA5"/>
    <w:rsid w:val="0096505C"/>
    <w:rsid w:val="009650F0"/>
    <w:rsid w:val="00965C7F"/>
    <w:rsid w:val="00965FE5"/>
    <w:rsid w:val="00967729"/>
    <w:rsid w:val="009678C8"/>
    <w:rsid w:val="00970998"/>
    <w:rsid w:val="00970EE2"/>
    <w:rsid w:val="009712F3"/>
    <w:rsid w:val="009715E2"/>
    <w:rsid w:val="00972051"/>
    <w:rsid w:val="00974B57"/>
    <w:rsid w:val="00975122"/>
    <w:rsid w:val="0097527A"/>
    <w:rsid w:val="0097527B"/>
    <w:rsid w:val="00975AD2"/>
    <w:rsid w:val="00975F21"/>
    <w:rsid w:val="00976713"/>
    <w:rsid w:val="0097740B"/>
    <w:rsid w:val="00977E0A"/>
    <w:rsid w:val="0098018B"/>
    <w:rsid w:val="00980933"/>
    <w:rsid w:val="00980C03"/>
    <w:rsid w:val="0098124B"/>
    <w:rsid w:val="0098213C"/>
    <w:rsid w:val="00982628"/>
    <w:rsid w:val="0098299A"/>
    <w:rsid w:val="00982ECB"/>
    <w:rsid w:val="0098458F"/>
    <w:rsid w:val="00984FAF"/>
    <w:rsid w:val="00985AFC"/>
    <w:rsid w:val="00985B2F"/>
    <w:rsid w:val="0098620A"/>
    <w:rsid w:val="0098661F"/>
    <w:rsid w:val="00986C77"/>
    <w:rsid w:val="00990B8D"/>
    <w:rsid w:val="009914B6"/>
    <w:rsid w:val="009918B7"/>
    <w:rsid w:val="00991B5D"/>
    <w:rsid w:val="00991B75"/>
    <w:rsid w:val="00991F4A"/>
    <w:rsid w:val="00994509"/>
    <w:rsid w:val="00994862"/>
    <w:rsid w:val="00996355"/>
    <w:rsid w:val="009963F5"/>
    <w:rsid w:val="009968EF"/>
    <w:rsid w:val="009A028E"/>
    <w:rsid w:val="009A0B7C"/>
    <w:rsid w:val="009A28B5"/>
    <w:rsid w:val="009A2C2A"/>
    <w:rsid w:val="009A2CAF"/>
    <w:rsid w:val="009A3C2A"/>
    <w:rsid w:val="009A48B4"/>
    <w:rsid w:val="009A5581"/>
    <w:rsid w:val="009A5F6D"/>
    <w:rsid w:val="009A5F76"/>
    <w:rsid w:val="009A6608"/>
    <w:rsid w:val="009A66B3"/>
    <w:rsid w:val="009A6A6F"/>
    <w:rsid w:val="009A6F76"/>
    <w:rsid w:val="009A7170"/>
    <w:rsid w:val="009A7E0A"/>
    <w:rsid w:val="009B0892"/>
    <w:rsid w:val="009B0F7D"/>
    <w:rsid w:val="009B2DB9"/>
    <w:rsid w:val="009B3756"/>
    <w:rsid w:val="009B3BAA"/>
    <w:rsid w:val="009B4078"/>
    <w:rsid w:val="009B471A"/>
    <w:rsid w:val="009B4781"/>
    <w:rsid w:val="009B4E8A"/>
    <w:rsid w:val="009B5A20"/>
    <w:rsid w:val="009B5B59"/>
    <w:rsid w:val="009B5D54"/>
    <w:rsid w:val="009B70AB"/>
    <w:rsid w:val="009B7438"/>
    <w:rsid w:val="009B7913"/>
    <w:rsid w:val="009C02FB"/>
    <w:rsid w:val="009C0B1D"/>
    <w:rsid w:val="009C24C6"/>
    <w:rsid w:val="009C28AA"/>
    <w:rsid w:val="009C3933"/>
    <w:rsid w:val="009C3AEE"/>
    <w:rsid w:val="009C503B"/>
    <w:rsid w:val="009C5122"/>
    <w:rsid w:val="009C55A2"/>
    <w:rsid w:val="009C614F"/>
    <w:rsid w:val="009D0F7C"/>
    <w:rsid w:val="009D1E23"/>
    <w:rsid w:val="009D3385"/>
    <w:rsid w:val="009D3E42"/>
    <w:rsid w:val="009D438D"/>
    <w:rsid w:val="009D5614"/>
    <w:rsid w:val="009D5768"/>
    <w:rsid w:val="009D6A33"/>
    <w:rsid w:val="009D728A"/>
    <w:rsid w:val="009D758C"/>
    <w:rsid w:val="009E00AB"/>
    <w:rsid w:val="009E0336"/>
    <w:rsid w:val="009E049B"/>
    <w:rsid w:val="009E0E37"/>
    <w:rsid w:val="009E1E91"/>
    <w:rsid w:val="009E250F"/>
    <w:rsid w:val="009E2626"/>
    <w:rsid w:val="009E2CBF"/>
    <w:rsid w:val="009E3B1D"/>
    <w:rsid w:val="009E3BFA"/>
    <w:rsid w:val="009E4336"/>
    <w:rsid w:val="009E4455"/>
    <w:rsid w:val="009E5499"/>
    <w:rsid w:val="009E6D6B"/>
    <w:rsid w:val="009E6E79"/>
    <w:rsid w:val="009F0187"/>
    <w:rsid w:val="009F03D6"/>
    <w:rsid w:val="009F06DC"/>
    <w:rsid w:val="009F107F"/>
    <w:rsid w:val="009F2167"/>
    <w:rsid w:val="009F2E1B"/>
    <w:rsid w:val="009F32D7"/>
    <w:rsid w:val="009F46AD"/>
    <w:rsid w:val="009F49DC"/>
    <w:rsid w:val="009F51C2"/>
    <w:rsid w:val="009F5B7A"/>
    <w:rsid w:val="009F71C5"/>
    <w:rsid w:val="00A01204"/>
    <w:rsid w:val="00A01653"/>
    <w:rsid w:val="00A019DF"/>
    <w:rsid w:val="00A01B0C"/>
    <w:rsid w:val="00A02FA2"/>
    <w:rsid w:val="00A032CE"/>
    <w:rsid w:val="00A039F6"/>
    <w:rsid w:val="00A04FE1"/>
    <w:rsid w:val="00A05EFA"/>
    <w:rsid w:val="00A065E8"/>
    <w:rsid w:val="00A066A2"/>
    <w:rsid w:val="00A10483"/>
    <w:rsid w:val="00A11BCD"/>
    <w:rsid w:val="00A11DDF"/>
    <w:rsid w:val="00A12075"/>
    <w:rsid w:val="00A13258"/>
    <w:rsid w:val="00A13622"/>
    <w:rsid w:val="00A1403E"/>
    <w:rsid w:val="00A147C3"/>
    <w:rsid w:val="00A1765B"/>
    <w:rsid w:val="00A17F8E"/>
    <w:rsid w:val="00A207E8"/>
    <w:rsid w:val="00A21BCE"/>
    <w:rsid w:val="00A21DFA"/>
    <w:rsid w:val="00A21F1F"/>
    <w:rsid w:val="00A225BE"/>
    <w:rsid w:val="00A22C86"/>
    <w:rsid w:val="00A23AC2"/>
    <w:rsid w:val="00A23D63"/>
    <w:rsid w:val="00A242B3"/>
    <w:rsid w:val="00A2473C"/>
    <w:rsid w:val="00A24B0D"/>
    <w:rsid w:val="00A256F8"/>
    <w:rsid w:val="00A26A6D"/>
    <w:rsid w:val="00A30006"/>
    <w:rsid w:val="00A30B52"/>
    <w:rsid w:val="00A30C88"/>
    <w:rsid w:val="00A30E70"/>
    <w:rsid w:val="00A30F12"/>
    <w:rsid w:val="00A31277"/>
    <w:rsid w:val="00A315FB"/>
    <w:rsid w:val="00A31F4A"/>
    <w:rsid w:val="00A322C1"/>
    <w:rsid w:val="00A329A1"/>
    <w:rsid w:val="00A3354E"/>
    <w:rsid w:val="00A33DEB"/>
    <w:rsid w:val="00A34054"/>
    <w:rsid w:val="00A3488C"/>
    <w:rsid w:val="00A34FCA"/>
    <w:rsid w:val="00A35201"/>
    <w:rsid w:val="00A3716A"/>
    <w:rsid w:val="00A372E7"/>
    <w:rsid w:val="00A37F2A"/>
    <w:rsid w:val="00A40203"/>
    <w:rsid w:val="00A4071F"/>
    <w:rsid w:val="00A41280"/>
    <w:rsid w:val="00A41A8F"/>
    <w:rsid w:val="00A41F8C"/>
    <w:rsid w:val="00A42612"/>
    <w:rsid w:val="00A42855"/>
    <w:rsid w:val="00A42A3E"/>
    <w:rsid w:val="00A42F7F"/>
    <w:rsid w:val="00A4303C"/>
    <w:rsid w:val="00A441DE"/>
    <w:rsid w:val="00A4446F"/>
    <w:rsid w:val="00A44BD6"/>
    <w:rsid w:val="00A44E19"/>
    <w:rsid w:val="00A45699"/>
    <w:rsid w:val="00A46495"/>
    <w:rsid w:val="00A46B6D"/>
    <w:rsid w:val="00A50EAC"/>
    <w:rsid w:val="00A5186B"/>
    <w:rsid w:val="00A51E35"/>
    <w:rsid w:val="00A5248E"/>
    <w:rsid w:val="00A525C1"/>
    <w:rsid w:val="00A52753"/>
    <w:rsid w:val="00A53256"/>
    <w:rsid w:val="00A53579"/>
    <w:rsid w:val="00A53EAD"/>
    <w:rsid w:val="00A5439F"/>
    <w:rsid w:val="00A5443E"/>
    <w:rsid w:val="00A5487F"/>
    <w:rsid w:val="00A54B00"/>
    <w:rsid w:val="00A559CE"/>
    <w:rsid w:val="00A55F0B"/>
    <w:rsid w:val="00A5673D"/>
    <w:rsid w:val="00A57830"/>
    <w:rsid w:val="00A57E91"/>
    <w:rsid w:val="00A607CD"/>
    <w:rsid w:val="00A60CE2"/>
    <w:rsid w:val="00A618A5"/>
    <w:rsid w:val="00A62925"/>
    <w:rsid w:val="00A6354A"/>
    <w:rsid w:val="00A64D14"/>
    <w:rsid w:val="00A64DFE"/>
    <w:rsid w:val="00A64F69"/>
    <w:rsid w:val="00A65DB9"/>
    <w:rsid w:val="00A6656D"/>
    <w:rsid w:val="00A66842"/>
    <w:rsid w:val="00A6701D"/>
    <w:rsid w:val="00A67726"/>
    <w:rsid w:val="00A67E12"/>
    <w:rsid w:val="00A700D0"/>
    <w:rsid w:val="00A70589"/>
    <w:rsid w:val="00A70B6D"/>
    <w:rsid w:val="00A70DF9"/>
    <w:rsid w:val="00A7136A"/>
    <w:rsid w:val="00A716B3"/>
    <w:rsid w:val="00A7182A"/>
    <w:rsid w:val="00A72221"/>
    <w:rsid w:val="00A72E4B"/>
    <w:rsid w:val="00A7312B"/>
    <w:rsid w:val="00A73DA8"/>
    <w:rsid w:val="00A75650"/>
    <w:rsid w:val="00A759ED"/>
    <w:rsid w:val="00A763B4"/>
    <w:rsid w:val="00A76C1F"/>
    <w:rsid w:val="00A8054D"/>
    <w:rsid w:val="00A8079A"/>
    <w:rsid w:val="00A80F72"/>
    <w:rsid w:val="00A8276F"/>
    <w:rsid w:val="00A84B26"/>
    <w:rsid w:val="00A84BCB"/>
    <w:rsid w:val="00A85A63"/>
    <w:rsid w:val="00A85AC7"/>
    <w:rsid w:val="00A85C77"/>
    <w:rsid w:val="00A85F7B"/>
    <w:rsid w:val="00A86A45"/>
    <w:rsid w:val="00A86DD9"/>
    <w:rsid w:val="00A870A2"/>
    <w:rsid w:val="00A87EAD"/>
    <w:rsid w:val="00A91BFE"/>
    <w:rsid w:val="00A91C06"/>
    <w:rsid w:val="00A91DEA"/>
    <w:rsid w:val="00A91FF6"/>
    <w:rsid w:val="00A91FFE"/>
    <w:rsid w:val="00A92F29"/>
    <w:rsid w:val="00A931D2"/>
    <w:rsid w:val="00A93406"/>
    <w:rsid w:val="00A938E6"/>
    <w:rsid w:val="00A95247"/>
    <w:rsid w:val="00A95974"/>
    <w:rsid w:val="00A95FE3"/>
    <w:rsid w:val="00A9642A"/>
    <w:rsid w:val="00A971AB"/>
    <w:rsid w:val="00A9761F"/>
    <w:rsid w:val="00A97D6E"/>
    <w:rsid w:val="00AA01F8"/>
    <w:rsid w:val="00AA09D4"/>
    <w:rsid w:val="00AA0EAE"/>
    <w:rsid w:val="00AA1C99"/>
    <w:rsid w:val="00AA1DE7"/>
    <w:rsid w:val="00AA30C6"/>
    <w:rsid w:val="00AA357B"/>
    <w:rsid w:val="00AA4E6B"/>
    <w:rsid w:val="00AA6315"/>
    <w:rsid w:val="00AA6690"/>
    <w:rsid w:val="00AA6A9E"/>
    <w:rsid w:val="00AA7A36"/>
    <w:rsid w:val="00AA7B9D"/>
    <w:rsid w:val="00AA7FE8"/>
    <w:rsid w:val="00AB118E"/>
    <w:rsid w:val="00AB123D"/>
    <w:rsid w:val="00AB1B19"/>
    <w:rsid w:val="00AB1C7F"/>
    <w:rsid w:val="00AB214E"/>
    <w:rsid w:val="00AB226C"/>
    <w:rsid w:val="00AB289C"/>
    <w:rsid w:val="00AB2E9F"/>
    <w:rsid w:val="00AB30F5"/>
    <w:rsid w:val="00AB3EED"/>
    <w:rsid w:val="00AB4107"/>
    <w:rsid w:val="00AB45C9"/>
    <w:rsid w:val="00AB4A96"/>
    <w:rsid w:val="00AB4CDB"/>
    <w:rsid w:val="00AB5687"/>
    <w:rsid w:val="00AB5A01"/>
    <w:rsid w:val="00AB6BE9"/>
    <w:rsid w:val="00AB6C69"/>
    <w:rsid w:val="00AB6DDC"/>
    <w:rsid w:val="00AB75EE"/>
    <w:rsid w:val="00AC0EB9"/>
    <w:rsid w:val="00AC0EE6"/>
    <w:rsid w:val="00AC116D"/>
    <w:rsid w:val="00AC18F6"/>
    <w:rsid w:val="00AC1962"/>
    <w:rsid w:val="00AC1E72"/>
    <w:rsid w:val="00AC2648"/>
    <w:rsid w:val="00AC2C13"/>
    <w:rsid w:val="00AC30BD"/>
    <w:rsid w:val="00AC3461"/>
    <w:rsid w:val="00AC389D"/>
    <w:rsid w:val="00AC4EB3"/>
    <w:rsid w:val="00AC6BE0"/>
    <w:rsid w:val="00AC6E6C"/>
    <w:rsid w:val="00AD032A"/>
    <w:rsid w:val="00AD1530"/>
    <w:rsid w:val="00AD19BE"/>
    <w:rsid w:val="00AD272D"/>
    <w:rsid w:val="00AD3515"/>
    <w:rsid w:val="00AD3E57"/>
    <w:rsid w:val="00AD3FAB"/>
    <w:rsid w:val="00AD54B0"/>
    <w:rsid w:val="00AD5683"/>
    <w:rsid w:val="00AD5CC1"/>
    <w:rsid w:val="00AD778F"/>
    <w:rsid w:val="00AE04BB"/>
    <w:rsid w:val="00AE056B"/>
    <w:rsid w:val="00AE0615"/>
    <w:rsid w:val="00AE0827"/>
    <w:rsid w:val="00AE0DC8"/>
    <w:rsid w:val="00AE24E1"/>
    <w:rsid w:val="00AE26AD"/>
    <w:rsid w:val="00AE27B7"/>
    <w:rsid w:val="00AE28F3"/>
    <w:rsid w:val="00AE31ED"/>
    <w:rsid w:val="00AE37C0"/>
    <w:rsid w:val="00AE4258"/>
    <w:rsid w:val="00AE4833"/>
    <w:rsid w:val="00AE4C35"/>
    <w:rsid w:val="00AE7125"/>
    <w:rsid w:val="00AE7BB3"/>
    <w:rsid w:val="00AF07FC"/>
    <w:rsid w:val="00AF1BA3"/>
    <w:rsid w:val="00AF24A8"/>
    <w:rsid w:val="00AF2792"/>
    <w:rsid w:val="00AF2828"/>
    <w:rsid w:val="00AF3252"/>
    <w:rsid w:val="00AF37C4"/>
    <w:rsid w:val="00AF3983"/>
    <w:rsid w:val="00AF476B"/>
    <w:rsid w:val="00AF56E1"/>
    <w:rsid w:val="00AF5B18"/>
    <w:rsid w:val="00AF667C"/>
    <w:rsid w:val="00AF70E0"/>
    <w:rsid w:val="00AF766B"/>
    <w:rsid w:val="00AF7DAB"/>
    <w:rsid w:val="00B010F8"/>
    <w:rsid w:val="00B01720"/>
    <w:rsid w:val="00B02352"/>
    <w:rsid w:val="00B039B3"/>
    <w:rsid w:val="00B04E6E"/>
    <w:rsid w:val="00B05192"/>
    <w:rsid w:val="00B051E1"/>
    <w:rsid w:val="00B05433"/>
    <w:rsid w:val="00B05972"/>
    <w:rsid w:val="00B07AEA"/>
    <w:rsid w:val="00B10186"/>
    <w:rsid w:val="00B10479"/>
    <w:rsid w:val="00B115AA"/>
    <w:rsid w:val="00B115E5"/>
    <w:rsid w:val="00B11BF7"/>
    <w:rsid w:val="00B11E47"/>
    <w:rsid w:val="00B123CF"/>
    <w:rsid w:val="00B12464"/>
    <w:rsid w:val="00B12DEA"/>
    <w:rsid w:val="00B130E2"/>
    <w:rsid w:val="00B141E6"/>
    <w:rsid w:val="00B155C2"/>
    <w:rsid w:val="00B162A1"/>
    <w:rsid w:val="00B16462"/>
    <w:rsid w:val="00B17BEC"/>
    <w:rsid w:val="00B21508"/>
    <w:rsid w:val="00B21680"/>
    <w:rsid w:val="00B21C3C"/>
    <w:rsid w:val="00B223ED"/>
    <w:rsid w:val="00B22BC7"/>
    <w:rsid w:val="00B22E40"/>
    <w:rsid w:val="00B22FF7"/>
    <w:rsid w:val="00B233F9"/>
    <w:rsid w:val="00B23CFC"/>
    <w:rsid w:val="00B23D30"/>
    <w:rsid w:val="00B2445F"/>
    <w:rsid w:val="00B24D0D"/>
    <w:rsid w:val="00B251B0"/>
    <w:rsid w:val="00B259B6"/>
    <w:rsid w:val="00B25F29"/>
    <w:rsid w:val="00B26C67"/>
    <w:rsid w:val="00B26D57"/>
    <w:rsid w:val="00B27845"/>
    <w:rsid w:val="00B30D01"/>
    <w:rsid w:val="00B31059"/>
    <w:rsid w:val="00B312C2"/>
    <w:rsid w:val="00B313BE"/>
    <w:rsid w:val="00B31558"/>
    <w:rsid w:val="00B31628"/>
    <w:rsid w:val="00B31777"/>
    <w:rsid w:val="00B31F0F"/>
    <w:rsid w:val="00B320B6"/>
    <w:rsid w:val="00B33DDF"/>
    <w:rsid w:val="00B34557"/>
    <w:rsid w:val="00B34C59"/>
    <w:rsid w:val="00B3548F"/>
    <w:rsid w:val="00B354EB"/>
    <w:rsid w:val="00B355B1"/>
    <w:rsid w:val="00B35940"/>
    <w:rsid w:val="00B3677D"/>
    <w:rsid w:val="00B43277"/>
    <w:rsid w:val="00B43A77"/>
    <w:rsid w:val="00B43B04"/>
    <w:rsid w:val="00B441FC"/>
    <w:rsid w:val="00B45349"/>
    <w:rsid w:val="00B45ACD"/>
    <w:rsid w:val="00B46B26"/>
    <w:rsid w:val="00B46DEB"/>
    <w:rsid w:val="00B47BCE"/>
    <w:rsid w:val="00B47BD3"/>
    <w:rsid w:val="00B47C12"/>
    <w:rsid w:val="00B47D0E"/>
    <w:rsid w:val="00B47EE9"/>
    <w:rsid w:val="00B5010A"/>
    <w:rsid w:val="00B508D1"/>
    <w:rsid w:val="00B50AA7"/>
    <w:rsid w:val="00B511FA"/>
    <w:rsid w:val="00B51A90"/>
    <w:rsid w:val="00B52F6C"/>
    <w:rsid w:val="00B5386B"/>
    <w:rsid w:val="00B538E6"/>
    <w:rsid w:val="00B541FF"/>
    <w:rsid w:val="00B5426C"/>
    <w:rsid w:val="00B54C0B"/>
    <w:rsid w:val="00B557AE"/>
    <w:rsid w:val="00B5581A"/>
    <w:rsid w:val="00B5639D"/>
    <w:rsid w:val="00B56F39"/>
    <w:rsid w:val="00B575E3"/>
    <w:rsid w:val="00B57A65"/>
    <w:rsid w:val="00B57B19"/>
    <w:rsid w:val="00B57C02"/>
    <w:rsid w:val="00B57D5C"/>
    <w:rsid w:val="00B6019A"/>
    <w:rsid w:val="00B6156F"/>
    <w:rsid w:val="00B6190A"/>
    <w:rsid w:val="00B621DA"/>
    <w:rsid w:val="00B622AA"/>
    <w:rsid w:val="00B6277A"/>
    <w:rsid w:val="00B62B22"/>
    <w:rsid w:val="00B64A60"/>
    <w:rsid w:val="00B650AA"/>
    <w:rsid w:val="00B65BC3"/>
    <w:rsid w:val="00B661EA"/>
    <w:rsid w:val="00B66295"/>
    <w:rsid w:val="00B66554"/>
    <w:rsid w:val="00B6684A"/>
    <w:rsid w:val="00B708AE"/>
    <w:rsid w:val="00B70D29"/>
    <w:rsid w:val="00B70E67"/>
    <w:rsid w:val="00B70FF0"/>
    <w:rsid w:val="00B71024"/>
    <w:rsid w:val="00B71792"/>
    <w:rsid w:val="00B71A09"/>
    <w:rsid w:val="00B71F6D"/>
    <w:rsid w:val="00B722D3"/>
    <w:rsid w:val="00B726B6"/>
    <w:rsid w:val="00B7273E"/>
    <w:rsid w:val="00B727E5"/>
    <w:rsid w:val="00B728AD"/>
    <w:rsid w:val="00B7389F"/>
    <w:rsid w:val="00B7438C"/>
    <w:rsid w:val="00B74A00"/>
    <w:rsid w:val="00B751E8"/>
    <w:rsid w:val="00B75382"/>
    <w:rsid w:val="00B75C7D"/>
    <w:rsid w:val="00B75D10"/>
    <w:rsid w:val="00B77367"/>
    <w:rsid w:val="00B805FF"/>
    <w:rsid w:val="00B8157E"/>
    <w:rsid w:val="00B81712"/>
    <w:rsid w:val="00B81B1F"/>
    <w:rsid w:val="00B81EC4"/>
    <w:rsid w:val="00B8246D"/>
    <w:rsid w:val="00B835F9"/>
    <w:rsid w:val="00B83CAC"/>
    <w:rsid w:val="00B84481"/>
    <w:rsid w:val="00B84C0B"/>
    <w:rsid w:val="00B84E95"/>
    <w:rsid w:val="00B86939"/>
    <w:rsid w:val="00B86DA0"/>
    <w:rsid w:val="00B873F2"/>
    <w:rsid w:val="00B87C5D"/>
    <w:rsid w:val="00B91F76"/>
    <w:rsid w:val="00B91F7D"/>
    <w:rsid w:val="00B93082"/>
    <w:rsid w:val="00B93322"/>
    <w:rsid w:val="00B935C9"/>
    <w:rsid w:val="00B93AFC"/>
    <w:rsid w:val="00B93C39"/>
    <w:rsid w:val="00B94320"/>
    <w:rsid w:val="00B943EE"/>
    <w:rsid w:val="00B95467"/>
    <w:rsid w:val="00B965D0"/>
    <w:rsid w:val="00B96764"/>
    <w:rsid w:val="00B96F63"/>
    <w:rsid w:val="00B97A81"/>
    <w:rsid w:val="00BA0392"/>
    <w:rsid w:val="00BA0751"/>
    <w:rsid w:val="00BA097E"/>
    <w:rsid w:val="00BA0D78"/>
    <w:rsid w:val="00BA16C2"/>
    <w:rsid w:val="00BA1C06"/>
    <w:rsid w:val="00BA221F"/>
    <w:rsid w:val="00BA2D04"/>
    <w:rsid w:val="00BA31D5"/>
    <w:rsid w:val="00BA481B"/>
    <w:rsid w:val="00BA5374"/>
    <w:rsid w:val="00BA5780"/>
    <w:rsid w:val="00BA63B5"/>
    <w:rsid w:val="00BA63B8"/>
    <w:rsid w:val="00BB1FFA"/>
    <w:rsid w:val="00BB2C5E"/>
    <w:rsid w:val="00BB32D7"/>
    <w:rsid w:val="00BB38E6"/>
    <w:rsid w:val="00BB3A57"/>
    <w:rsid w:val="00BB3BBA"/>
    <w:rsid w:val="00BB44D3"/>
    <w:rsid w:val="00BB47D5"/>
    <w:rsid w:val="00BB50B3"/>
    <w:rsid w:val="00BB5D2D"/>
    <w:rsid w:val="00BB625E"/>
    <w:rsid w:val="00BC10CD"/>
    <w:rsid w:val="00BC119E"/>
    <w:rsid w:val="00BC3773"/>
    <w:rsid w:val="00BC3C9C"/>
    <w:rsid w:val="00BC4C27"/>
    <w:rsid w:val="00BC5327"/>
    <w:rsid w:val="00BC535C"/>
    <w:rsid w:val="00BC5665"/>
    <w:rsid w:val="00BC64B2"/>
    <w:rsid w:val="00BC686E"/>
    <w:rsid w:val="00BC69AC"/>
    <w:rsid w:val="00BC6D2E"/>
    <w:rsid w:val="00BD0625"/>
    <w:rsid w:val="00BD0C3B"/>
    <w:rsid w:val="00BD0EFD"/>
    <w:rsid w:val="00BD1262"/>
    <w:rsid w:val="00BD35E2"/>
    <w:rsid w:val="00BD3801"/>
    <w:rsid w:val="00BD4CD6"/>
    <w:rsid w:val="00BD53C2"/>
    <w:rsid w:val="00BD5F46"/>
    <w:rsid w:val="00BD67BF"/>
    <w:rsid w:val="00BD6ECF"/>
    <w:rsid w:val="00BD7066"/>
    <w:rsid w:val="00BD72C5"/>
    <w:rsid w:val="00BE02A9"/>
    <w:rsid w:val="00BE03A2"/>
    <w:rsid w:val="00BE143C"/>
    <w:rsid w:val="00BE2A69"/>
    <w:rsid w:val="00BE2DA6"/>
    <w:rsid w:val="00BE2DE0"/>
    <w:rsid w:val="00BE3657"/>
    <w:rsid w:val="00BE4E5E"/>
    <w:rsid w:val="00BE53C7"/>
    <w:rsid w:val="00BE5B57"/>
    <w:rsid w:val="00BE6441"/>
    <w:rsid w:val="00BE6A31"/>
    <w:rsid w:val="00BE7042"/>
    <w:rsid w:val="00BE73E4"/>
    <w:rsid w:val="00BF131F"/>
    <w:rsid w:val="00BF1756"/>
    <w:rsid w:val="00BF1B03"/>
    <w:rsid w:val="00BF21A5"/>
    <w:rsid w:val="00BF3F14"/>
    <w:rsid w:val="00BF40B0"/>
    <w:rsid w:val="00BF43A1"/>
    <w:rsid w:val="00BF449B"/>
    <w:rsid w:val="00BF44B8"/>
    <w:rsid w:val="00BF48F3"/>
    <w:rsid w:val="00BF50C4"/>
    <w:rsid w:val="00BF57C0"/>
    <w:rsid w:val="00BF5917"/>
    <w:rsid w:val="00BF653C"/>
    <w:rsid w:val="00BF66C7"/>
    <w:rsid w:val="00BF7025"/>
    <w:rsid w:val="00BF73CF"/>
    <w:rsid w:val="00BF7C5C"/>
    <w:rsid w:val="00C01414"/>
    <w:rsid w:val="00C01627"/>
    <w:rsid w:val="00C01D4B"/>
    <w:rsid w:val="00C01EBB"/>
    <w:rsid w:val="00C04240"/>
    <w:rsid w:val="00C049FF"/>
    <w:rsid w:val="00C05CE3"/>
    <w:rsid w:val="00C06695"/>
    <w:rsid w:val="00C074BB"/>
    <w:rsid w:val="00C07DFD"/>
    <w:rsid w:val="00C10C3D"/>
    <w:rsid w:val="00C1150D"/>
    <w:rsid w:val="00C12050"/>
    <w:rsid w:val="00C121AD"/>
    <w:rsid w:val="00C123D7"/>
    <w:rsid w:val="00C12E9E"/>
    <w:rsid w:val="00C1332B"/>
    <w:rsid w:val="00C15403"/>
    <w:rsid w:val="00C15B2E"/>
    <w:rsid w:val="00C15DAF"/>
    <w:rsid w:val="00C15F80"/>
    <w:rsid w:val="00C16132"/>
    <w:rsid w:val="00C1631E"/>
    <w:rsid w:val="00C1662A"/>
    <w:rsid w:val="00C17955"/>
    <w:rsid w:val="00C1797E"/>
    <w:rsid w:val="00C204BE"/>
    <w:rsid w:val="00C2053D"/>
    <w:rsid w:val="00C20B08"/>
    <w:rsid w:val="00C21C26"/>
    <w:rsid w:val="00C21F82"/>
    <w:rsid w:val="00C22098"/>
    <w:rsid w:val="00C22767"/>
    <w:rsid w:val="00C23739"/>
    <w:rsid w:val="00C23F14"/>
    <w:rsid w:val="00C24161"/>
    <w:rsid w:val="00C2464C"/>
    <w:rsid w:val="00C256DB"/>
    <w:rsid w:val="00C25B40"/>
    <w:rsid w:val="00C25B96"/>
    <w:rsid w:val="00C27519"/>
    <w:rsid w:val="00C27907"/>
    <w:rsid w:val="00C27BAF"/>
    <w:rsid w:val="00C31566"/>
    <w:rsid w:val="00C31574"/>
    <w:rsid w:val="00C315F2"/>
    <w:rsid w:val="00C319B1"/>
    <w:rsid w:val="00C31C21"/>
    <w:rsid w:val="00C3262A"/>
    <w:rsid w:val="00C32C2B"/>
    <w:rsid w:val="00C336B8"/>
    <w:rsid w:val="00C337A6"/>
    <w:rsid w:val="00C33E02"/>
    <w:rsid w:val="00C34432"/>
    <w:rsid w:val="00C34F70"/>
    <w:rsid w:val="00C35594"/>
    <w:rsid w:val="00C3628B"/>
    <w:rsid w:val="00C362C1"/>
    <w:rsid w:val="00C3658E"/>
    <w:rsid w:val="00C36BC8"/>
    <w:rsid w:val="00C36ECB"/>
    <w:rsid w:val="00C40492"/>
    <w:rsid w:val="00C40541"/>
    <w:rsid w:val="00C40656"/>
    <w:rsid w:val="00C4086A"/>
    <w:rsid w:val="00C40A6D"/>
    <w:rsid w:val="00C40C11"/>
    <w:rsid w:val="00C42005"/>
    <w:rsid w:val="00C426E2"/>
    <w:rsid w:val="00C42725"/>
    <w:rsid w:val="00C42933"/>
    <w:rsid w:val="00C43880"/>
    <w:rsid w:val="00C439E4"/>
    <w:rsid w:val="00C43C60"/>
    <w:rsid w:val="00C449CC"/>
    <w:rsid w:val="00C44D9B"/>
    <w:rsid w:val="00C44F77"/>
    <w:rsid w:val="00C45406"/>
    <w:rsid w:val="00C45525"/>
    <w:rsid w:val="00C45F18"/>
    <w:rsid w:val="00C4790A"/>
    <w:rsid w:val="00C5093D"/>
    <w:rsid w:val="00C523E4"/>
    <w:rsid w:val="00C52815"/>
    <w:rsid w:val="00C52CA0"/>
    <w:rsid w:val="00C532EF"/>
    <w:rsid w:val="00C54B90"/>
    <w:rsid w:val="00C5500D"/>
    <w:rsid w:val="00C554FB"/>
    <w:rsid w:val="00C55D45"/>
    <w:rsid w:val="00C5605D"/>
    <w:rsid w:val="00C566C6"/>
    <w:rsid w:val="00C56750"/>
    <w:rsid w:val="00C567C2"/>
    <w:rsid w:val="00C567CF"/>
    <w:rsid w:val="00C571FE"/>
    <w:rsid w:val="00C57AD4"/>
    <w:rsid w:val="00C60203"/>
    <w:rsid w:val="00C6044A"/>
    <w:rsid w:val="00C60554"/>
    <w:rsid w:val="00C623A5"/>
    <w:rsid w:val="00C627B1"/>
    <w:rsid w:val="00C62F2E"/>
    <w:rsid w:val="00C63DF3"/>
    <w:rsid w:val="00C657BA"/>
    <w:rsid w:val="00C6589F"/>
    <w:rsid w:val="00C65E4B"/>
    <w:rsid w:val="00C66957"/>
    <w:rsid w:val="00C6749C"/>
    <w:rsid w:val="00C67CE2"/>
    <w:rsid w:val="00C67D0F"/>
    <w:rsid w:val="00C7030C"/>
    <w:rsid w:val="00C71090"/>
    <w:rsid w:val="00C7157B"/>
    <w:rsid w:val="00C718E1"/>
    <w:rsid w:val="00C7218F"/>
    <w:rsid w:val="00C72673"/>
    <w:rsid w:val="00C73B7F"/>
    <w:rsid w:val="00C74DAE"/>
    <w:rsid w:val="00C75234"/>
    <w:rsid w:val="00C756D3"/>
    <w:rsid w:val="00C761FB"/>
    <w:rsid w:val="00C76396"/>
    <w:rsid w:val="00C7641C"/>
    <w:rsid w:val="00C76D8B"/>
    <w:rsid w:val="00C77203"/>
    <w:rsid w:val="00C778CB"/>
    <w:rsid w:val="00C77977"/>
    <w:rsid w:val="00C80865"/>
    <w:rsid w:val="00C82E14"/>
    <w:rsid w:val="00C82F83"/>
    <w:rsid w:val="00C8474A"/>
    <w:rsid w:val="00C86356"/>
    <w:rsid w:val="00C86A45"/>
    <w:rsid w:val="00C903D4"/>
    <w:rsid w:val="00C90B46"/>
    <w:rsid w:val="00C915B7"/>
    <w:rsid w:val="00C915E7"/>
    <w:rsid w:val="00C92779"/>
    <w:rsid w:val="00C92EBE"/>
    <w:rsid w:val="00C93051"/>
    <w:rsid w:val="00C93455"/>
    <w:rsid w:val="00C9374E"/>
    <w:rsid w:val="00C941AB"/>
    <w:rsid w:val="00C943C7"/>
    <w:rsid w:val="00C94615"/>
    <w:rsid w:val="00C959DE"/>
    <w:rsid w:val="00C96BFC"/>
    <w:rsid w:val="00C96D9C"/>
    <w:rsid w:val="00C972A1"/>
    <w:rsid w:val="00C974F9"/>
    <w:rsid w:val="00C975D7"/>
    <w:rsid w:val="00C97C5B"/>
    <w:rsid w:val="00C97D48"/>
    <w:rsid w:val="00CA0375"/>
    <w:rsid w:val="00CA0378"/>
    <w:rsid w:val="00CA0A4D"/>
    <w:rsid w:val="00CA109E"/>
    <w:rsid w:val="00CA13ED"/>
    <w:rsid w:val="00CA20D3"/>
    <w:rsid w:val="00CA33A4"/>
    <w:rsid w:val="00CA3D2F"/>
    <w:rsid w:val="00CA3F27"/>
    <w:rsid w:val="00CA49E7"/>
    <w:rsid w:val="00CA59F3"/>
    <w:rsid w:val="00CA5FBA"/>
    <w:rsid w:val="00CA6049"/>
    <w:rsid w:val="00CA63C4"/>
    <w:rsid w:val="00CA6A7C"/>
    <w:rsid w:val="00CA74F3"/>
    <w:rsid w:val="00CB1A70"/>
    <w:rsid w:val="00CB2E60"/>
    <w:rsid w:val="00CB339A"/>
    <w:rsid w:val="00CB4740"/>
    <w:rsid w:val="00CB484E"/>
    <w:rsid w:val="00CB74A3"/>
    <w:rsid w:val="00CC01B8"/>
    <w:rsid w:val="00CC0486"/>
    <w:rsid w:val="00CC1B83"/>
    <w:rsid w:val="00CC37BC"/>
    <w:rsid w:val="00CC4C90"/>
    <w:rsid w:val="00CC577F"/>
    <w:rsid w:val="00CC60ED"/>
    <w:rsid w:val="00CC6C99"/>
    <w:rsid w:val="00CD0000"/>
    <w:rsid w:val="00CD01EC"/>
    <w:rsid w:val="00CD04DF"/>
    <w:rsid w:val="00CD0662"/>
    <w:rsid w:val="00CD0828"/>
    <w:rsid w:val="00CD09A0"/>
    <w:rsid w:val="00CD2667"/>
    <w:rsid w:val="00CD4485"/>
    <w:rsid w:val="00CD672B"/>
    <w:rsid w:val="00CD6F11"/>
    <w:rsid w:val="00CD736E"/>
    <w:rsid w:val="00CD78EF"/>
    <w:rsid w:val="00CD7A44"/>
    <w:rsid w:val="00CD7C5F"/>
    <w:rsid w:val="00CE0BF7"/>
    <w:rsid w:val="00CE0E6D"/>
    <w:rsid w:val="00CE1B5D"/>
    <w:rsid w:val="00CE2C65"/>
    <w:rsid w:val="00CE2FA0"/>
    <w:rsid w:val="00CE3562"/>
    <w:rsid w:val="00CE3ABA"/>
    <w:rsid w:val="00CE4267"/>
    <w:rsid w:val="00CE42C2"/>
    <w:rsid w:val="00CE4481"/>
    <w:rsid w:val="00CE4D88"/>
    <w:rsid w:val="00CF03EC"/>
    <w:rsid w:val="00CF096B"/>
    <w:rsid w:val="00CF2354"/>
    <w:rsid w:val="00CF33B3"/>
    <w:rsid w:val="00CF364C"/>
    <w:rsid w:val="00CF49E7"/>
    <w:rsid w:val="00CF547E"/>
    <w:rsid w:val="00CF67C4"/>
    <w:rsid w:val="00CF6829"/>
    <w:rsid w:val="00CF6DAA"/>
    <w:rsid w:val="00CF6E73"/>
    <w:rsid w:val="00CF6EB0"/>
    <w:rsid w:val="00CF7252"/>
    <w:rsid w:val="00CF725A"/>
    <w:rsid w:val="00D02967"/>
    <w:rsid w:val="00D02BEF"/>
    <w:rsid w:val="00D03CA3"/>
    <w:rsid w:val="00D03E84"/>
    <w:rsid w:val="00D040A3"/>
    <w:rsid w:val="00D0419D"/>
    <w:rsid w:val="00D04D0E"/>
    <w:rsid w:val="00D05892"/>
    <w:rsid w:val="00D05CAD"/>
    <w:rsid w:val="00D06380"/>
    <w:rsid w:val="00D068C4"/>
    <w:rsid w:val="00D069BE"/>
    <w:rsid w:val="00D0795C"/>
    <w:rsid w:val="00D07D1E"/>
    <w:rsid w:val="00D10D1A"/>
    <w:rsid w:val="00D11573"/>
    <w:rsid w:val="00D11972"/>
    <w:rsid w:val="00D11BF0"/>
    <w:rsid w:val="00D1208C"/>
    <w:rsid w:val="00D12752"/>
    <w:rsid w:val="00D12AFE"/>
    <w:rsid w:val="00D13364"/>
    <w:rsid w:val="00D14183"/>
    <w:rsid w:val="00D146A8"/>
    <w:rsid w:val="00D15B35"/>
    <w:rsid w:val="00D15FF3"/>
    <w:rsid w:val="00D1605E"/>
    <w:rsid w:val="00D1666C"/>
    <w:rsid w:val="00D16A43"/>
    <w:rsid w:val="00D17D6B"/>
    <w:rsid w:val="00D202B5"/>
    <w:rsid w:val="00D20601"/>
    <w:rsid w:val="00D217E7"/>
    <w:rsid w:val="00D21EF6"/>
    <w:rsid w:val="00D21F14"/>
    <w:rsid w:val="00D22482"/>
    <w:rsid w:val="00D2248B"/>
    <w:rsid w:val="00D22879"/>
    <w:rsid w:val="00D22E66"/>
    <w:rsid w:val="00D2302F"/>
    <w:rsid w:val="00D23882"/>
    <w:rsid w:val="00D24B50"/>
    <w:rsid w:val="00D252C9"/>
    <w:rsid w:val="00D258B8"/>
    <w:rsid w:val="00D2596C"/>
    <w:rsid w:val="00D26BBE"/>
    <w:rsid w:val="00D27804"/>
    <w:rsid w:val="00D27901"/>
    <w:rsid w:val="00D3026D"/>
    <w:rsid w:val="00D303E1"/>
    <w:rsid w:val="00D30793"/>
    <w:rsid w:val="00D3107B"/>
    <w:rsid w:val="00D31B5C"/>
    <w:rsid w:val="00D3230B"/>
    <w:rsid w:val="00D3359C"/>
    <w:rsid w:val="00D335A1"/>
    <w:rsid w:val="00D33940"/>
    <w:rsid w:val="00D33A79"/>
    <w:rsid w:val="00D34EFC"/>
    <w:rsid w:val="00D3520D"/>
    <w:rsid w:val="00D359D0"/>
    <w:rsid w:val="00D360C2"/>
    <w:rsid w:val="00D36230"/>
    <w:rsid w:val="00D368A0"/>
    <w:rsid w:val="00D369F5"/>
    <w:rsid w:val="00D37117"/>
    <w:rsid w:val="00D37ED7"/>
    <w:rsid w:val="00D4036D"/>
    <w:rsid w:val="00D409A8"/>
    <w:rsid w:val="00D413DF"/>
    <w:rsid w:val="00D41874"/>
    <w:rsid w:val="00D41E24"/>
    <w:rsid w:val="00D42393"/>
    <w:rsid w:val="00D427FD"/>
    <w:rsid w:val="00D444FA"/>
    <w:rsid w:val="00D4459B"/>
    <w:rsid w:val="00D45576"/>
    <w:rsid w:val="00D463E3"/>
    <w:rsid w:val="00D474F5"/>
    <w:rsid w:val="00D47624"/>
    <w:rsid w:val="00D478F1"/>
    <w:rsid w:val="00D5129A"/>
    <w:rsid w:val="00D516A5"/>
    <w:rsid w:val="00D51B30"/>
    <w:rsid w:val="00D52121"/>
    <w:rsid w:val="00D527C5"/>
    <w:rsid w:val="00D52EDC"/>
    <w:rsid w:val="00D52FB0"/>
    <w:rsid w:val="00D530C2"/>
    <w:rsid w:val="00D534C7"/>
    <w:rsid w:val="00D534FC"/>
    <w:rsid w:val="00D53796"/>
    <w:rsid w:val="00D53E14"/>
    <w:rsid w:val="00D5443A"/>
    <w:rsid w:val="00D55415"/>
    <w:rsid w:val="00D55B6F"/>
    <w:rsid w:val="00D55B8C"/>
    <w:rsid w:val="00D56B81"/>
    <w:rsid w:val="00D56F79"/>
    <w:rsid w:val="00D570A0"/>
    <w:rsid w:val="00D57A86"/>
    <w:rsid w:val="00D57FDB"/>
    <w:rsid w:val="00D61BEC"/>
    <w:rsid w:val="00D61F06"/>
    <w:rsid w:val="00D626DD"/>
    <w:rsid w:val="00D62B72"/>
    <w:rsid w:val="00D632A8"/>
    <w:rsid w:val="00D6393D"/>
    <w:rsid w:val="00D642F1"/>
    <w:rsid w:val="00D64595"/>
    <w:rsid w:val="00D646B2"/>
    <w:rsid w:val="00D64A33"/>
    <w:rsid w:val="00D653AB"/>
    <w:rsid w:val="00D65F23"/>
    <w:rsid w:val="00D65FCF"/>
    <w:rsid w:val="00D6776D"/>
    <w:rsid w:val="00D67B68"/>
    <w:rsid w:val="00D70095"/>
    <w:rsid w:val="00D70A1A"/>
    <w:rsid w:val="00D70EFF"/>
    <w:rsid w:val="00D71C8D"/>
    <w:rsid w:val="00D72999"/>
    <w:rsid w:val="00D739EE"/>
    <w:rsid w:val="00D742DD"/>
    <w:rsid w:val="00D745AD"/>
    <w:rsid w:val="00D7516A"/>
    <w:rsid w:val="00D756A6"/>
    <w:rsid w:val="00D75917"/>
    <w:rsid w:val="00D75BF7"/>
    <w:rsid w:val="00D75C4C"/>
    <w:rsid w:val="00D76AE1"/>
    <w:rsid w:val="00D772DC"/>
    <w:rsid w:val="00D7741B"/>
    <w:rsid w:val="00D803AE"/>
    <w:rsid w:val="00D8080B"/>
    <w:rsid w:val="00D80B9D"/>
    <w:rsid w:val="00D8179D"/>
    <w:rsid w:val="00D8227E"/>
    <w:rsid w:val="00D825A9"/>
    <w:rsid w:val="00D82C64"/>
    <w:rsid w:val="00D82FD5"/>
    <w:rsid w:val="00D8301B"/>
    <w:rsid w:val="00D838C9"/>
    <w:rsid w:val="00D84004"/>
    <w:rsid w:val="00D84150"/>
    <w:rsid w:val="00D8479C"/>
    <w:rsid w:val="00D85193"/>
    <w:rsid w:val="00D85983"/>
    <w:rsid w:val="00D85C35"/>
    <w:rsid w:val="00D867AF"/>
    <w:rsid w:val="00D86CA4"/>
    <w:rsid w:val="00D87078"/>
    <w:rsid w:val="00D90363"/>
    <w:rsid w:val="00D908F5"/>
    <w:rsid w:val="00D91052"/>
    <w:rsid w:val="00D917CA"/>
    <w:rsid w:val="00D92B38"/>
    <w:rsid w:val="00D92B9D"/>
    <w:rsid w:val="00D93BBB"/>
    <w:rsid w:val="00D95A50"/>
    <w:rsid w:val="00D9631A"/>
    <w:rsid w:val="00D966D7"/>
    <w:rsid w:val="00D96DDD"/>
    <w:rsid w:val="00D976E6"/>
    <w:rsid w:val="00D978F8"/>
    <w:rsid w:val="00D97A6E"/>
    <w:rsid w:val="00D97AD6"/>
    <w:rsid w:val="00D97C93"/>
    <w:rsid w:val="00DA0407"/>
    <w:rsid w:val="00DA0DB0"/>
    <w:rsid w:val="00DA1A70"/>
    <w:rsid w:val="00DA2189"/>
    <w:rsid w:val="00DA46FE"/>
    <w:rsid w:val="00DA4BB0"/>
    <w:rsid w:val="00DA5E69"/>
    <w:rsid w:val="00DA70AA"/>
    <w:rsid w:val="00DA7585"/>
    <w:rsid w:val="00DA7A3D"/>
    <w:rsid w:val="00DA7B97"/>
    <w:rsid w:val="00DA7C15"/>
    <w:rsid w:val="00DB08C4"/>
    <w:rsid w:val="00DB1505"/>
    <w:rsid w:val="00DB1775"/>
    <w:rsid w:val="00DB1FFC"/>
    <w:rsid w:val="00DB2488"/>
    <w:rsid w:val="00DB2584"/>
    <w:rsid w:val="00DB2950"/>
    <w:rsid w:val="00DB2EB6"/>
    <w:rsid w:val="00DB367F"/>
    <w:rsid w:val="00DB3F58"/>
    <w:rsid w:val="00DB4063"/>
    <w:rsid w:val="00DB46D7"/>
    <w:rsid w:val="00DB507D"/>
    <w:rsid w:val="00DB55DD"/>
    <w:rsid w:val="00DB6669"/>
    <w:rsid w:val="00DB687A"/>
    <w:rsid w:val="00DB6984"/>
    <w:rsid w:val="00DB7134"/>
    <w:rsid w:val="00DB7259"/>
    <w:rsid w:val="00DB7AAA"/>
    <w:rsid w:val="00DB7DA6"/>
    <w:rsid w:val="00DC03D6"/>
    <w:rsid w:val="00DC051B"/>
    <w:rsid w:val="00DC1736"/>
    <w:rsid w:val="00DC202D"/>
    <w:rsid w:val="00DC24A4"/>
    <w:rsid w:val="00DC2C14"/>
    <w:rsid w:val="00DC2E5C"/>
    <w:rsid w:val="00DC3321"/>
    <w:rsid w:val="00DC42E7"/>
    <w:rsid w:val="00DC4328"/>
    <w:rsid w:val="00DC4A5A"/>
    <w:rsid w:val="00DC4A5D"/>
    <w:rsid w:val="00DC4C20"/>
    <w:rsid w:val="00DC5756"/>
    <w:rsid w:val="00DC61BC"/>
    <w:rsid w:val="00DC626F"/>
    <w:rsid w:val="00DC6431"/>
    <w:rsid w:val="00DC6548"/>
    <w:rsid w:val="00DC6754"/>
    <w:rsid w:val="00DC68D5"/>
    <w:rsid w:val="00DC690C"/>
    <w:rsid w:val="00DC7789"/>
    <w:rsid w:val="00DC79BB"/>
    <w:rsid w:val="00DC7BE6"/>
    <w:rsid w:val="00DD0F07"/>
    <w:rsid w:val="00DD107B"/>
    <w:rsid w:val="00DD14E4"/>
    <w:rsid w:val="00DD18B4"/>
    <w:rsid w:val="00DD1C4A"/>
    <w:rsid w:val="00DD1D5F"/>
    <w:rsid w:val="00DD2305"/>
    <w:rsid w:val="00DD3D2B"/>
    <w:rsid w:val="00DD40D7"/>
    <w:rsid w:val="00DD41E0"/>
    <w:rsid w:val="00DD42D1"/>
    <w:rsid w:val="00DD460C"/>
    <w:rsid w:val="00DD48EC"/>
    <w:rsid w:val="00DD5C3F"/>
    <w:rsid w:val="00DD5D1E"/>
    <w:rsid w:val="00DD5DDA"/>
    <w:rsid w:val="00DD6CFC"/>
    <w:rsid w:val="00DD76FC"/>
    <w:rsid w:val="00DE0D0A"/>
    <w:rsid w:val="00DE13FA"/>
    <w:rsid w:val="00DE19F8"/>
    <w:rsid w:val="00DE1C4B"/>
    <w:rsid w:val="00DE1CF5"/>
    <w:rsid w:val="00DE2E55"/>
    <w:rsid w:val="00DE2F28"/>
    <w:rsid w:val="00DE3E22"/>
    <w:rsid w:val="00DE40D2"/>
    <w:rsid w:val="00DE4455"/>
    <w:rsid w:val="00DE62D3"/>
    <w:rsid w:val="00DF0745"/>
    <w:rsid w:val="00DF1A12"/>
    <w:rsid w:val="00DF2391"/>
    <w:rsid w:val="00DF2BD9"/>
    <w:rsid w:val="00DF381F"/>
    <w:rsid w:val="00DF4A0E"/>
    <w:rsid w:val="00DF51A1"/>
    <w:rsid w:val="00DF57D1"/>
    <w:rsid w:val="00DF663E"/>
    <w:rsid w:val="00DF6DF1"/>
    <w:rsid w:val="00DF6FAF"/>
    <w:rsid w:val="00E006FF"/>
    <w:rsid w:val="00E0092A"/>
    <w:rsid w:val="00E00CA2"/>
    <w:rsid w:val="00E010C5"/>
    <w:rsid w:val="00E01348"/>
    <w:rsid w:val="00E01C4A"/>
    <w:rsid w:val="00E027A8"/>
    <w:rsid w:val="00E03149"/>
    <w:rsid w:val="00E03BE3"/>
    <w:rsid w:val="00E03EC7"/>
    <w:rsid w:val="00E0405A"/>
    <w:rsid w:val="00E04261"/>
    <w:rsid w:val="00E04721"/>
    <w:rsid w:val="00E04EFA"/>
    <w:rsid w:val="00E0645E"/>
    <w:rsid w:val="00E066B1"/>
    <w:rsid w:val="00E110EB"/>
    <w:rsid w:val="00E118E8"/>
    <w:rsid w:val="00E124ED"/>
    <w:rsid w:val="00E13306"/>
    <w:rsid w:val="00E142EF"/>
    <w:rsid w:val="00E147A5"/>
    <w:rsid w:val="00E149C1"/>
    <w:rsid w:val="00E14CF9"/>
    <w:rsid w:val="00E14DAD"/>
    <w:rsid w:val="00E15EAD"/>
    <w:rsid w:val="00E16436"/>
    <w:rsid w:val="00E178D1"/>
    <w:rsid w:val="00E17B64"/>
    <w:rsid w:val="00E20195"/>
    <w:rsid w:val="00E207F4"/>
    <w:rsid w:val="00E213B0"/>
    <w:rsid w:val="00E213DF"/>
    <w:rsid w:val="00E21E1E"/>
    <w:rsid w:val="00E23717"/>
    <w:rsid w:val="00E24614"/>
    <w:rsid w:val="00E25035"/>
    <w:rsid w:val="00E25E07"/>
    <w:rsid w:val="00E26816"/>
    <w:rsid w:val="00E2782D"/>
    <w:rsid w:val="00E30211"/>
    <w:rsid w:val="00E30CB1"/>
    <w:rsid w:val="00E311A7"/>
    <w:rsid w:val="00E311AA"/>
    <w:rsid w:val="00E31C06"/>
    <w:rsid w:val="00E3226E"/>
    <w:rsid w:val="00E33CC1"/>
    <w:rsid w:val="00E3412B"/>
    <w:rsid w:val="00E34539"/>
    <w:rsid w:val="00E3462F"/>
    <w:rsid w:val="00E36AD9"/>
    <w:rsid w:val="00E36BCA"/>
    <w:rsid w:val="00E36FBC"/>
    <w:rsid w:val="00E400BF"/>
    <w:rsid w:val="00E41428"/>
    <w:rsid w:val="00E44F39"/>
    <w:rsid w:val="00E45136"/>
    <w:rsid w:val="00E45199"/>
    <w:rsid w:val="00E45688"/>
    <w:rsid w:val="00E4585E"/>
    <w:rsid w:val="00E4617A"/>
    <w:rsid w:val="00E46412"/>
    <w:rsid w:val="00E468A5"/>
    <w:rsid w:val="00E471AE"/>
    <w:rsid w:val="00E47420"/>
    <w:rsid w:val="00E52ED5"/>
    <w:rsid w:val="00E531D3"/>
    <w:rsid w:val="00E53777"/>
    <w:rsid w:val="00E5380A"/>
    <w:rsid w:val="00E538A0"/>
    <w:rsid w:val="00E54193"/>
    <w:rsid w:val="00E548F1"/>
    <w:rsid w:val="00E55CB9"/>
    <w:rsid w:val="00E56068"/>
    <w:rsid w:val="00E56772"/>
    <w:rsid w:val="00E5698A"/>
    <w:rsid w:val="00E572AD"/>
    <w:rsid w:val="00E61D06"/>
    <w:rsid w:val="00E627FF"/>
    <w:rsid w:val="00E6482D"/>
    <w:rsid w:val="00E653DC"/>
    <w:rsid w:val="00E65553"/>
    <w:rsid w:val="00E66592"/>
    <w:rsid w:val="00E666ED"/>
    <w:rsid w:val="00E670AB"/>
    <w:rsid w:val="00E67140"/>
    <w:rsid w:val="00E67144"/>
    <w:rsid w:val="00E67D1C"/>
    <w:rsid w:val="00E67DB5"/>
    <w:rsid w:val="00E70132"/>
    <w:rsid w:val="00E702BC"/>
    <w:rsid w:val="00E70920"/>
    <w:rsid w:val="00E712B6"/>
    <w:rsid w:val="00E7190C"/>
    <w:rsid w:val="00E7198B"/>
    <w:rsid w:val="00E739BE"/>
    <w:rsid w:val="00E741D1"/>
    <w:rsid w:val="00E74ED7"/>
    <w:rsid w:val="00E76640"/>
    <w:rsid w:val="00E76E81"/>
    <w:rsid w:val="00E76F14"/>
    <w:rsid w:val="00E7707F"/>
    <w:rsid w:val="00E77489"/>
    <w:rsid w:val="00E77AD1"/>
    <w:rsid w:val="00E80D35"/>
    <w:rsid w:val="00E81CCD"/>
    <w:rsid w:val="00E81D08"/>
    <w:rsid w:val="00E81F81"/>
    <w:rsid w:val="00E82E0A"/>
    <w:rsid w:val="00E84525"/>
    <w:rsid w:val="00E84AE8"/>
    <w:rsid w:val="00E84C70"/>
    <w:rsid w:val="00E85903"/>
    <w:rsid w:val="00E87460"/>
    <w:rsid w:val="00E8769B"/>
    <w:rsid w:val="00E90383"/>
    <w:rsid w:val="00E91A95"/>
    <w:rsid w:val="00E92751"/>
    <w:rsid w:val="00E92783"/>
    <w:rsid w:val="00E93D3C"/>
    <w:rsid w:val="00E93FD5"/>
    <w:rsid w:val="00E94A74"/>
    <w:rsid w:val="00E94B9C"/>
    <w:rsid w:val="00E959D0"/>
    <w:rsid w:val="00E95DB2"/>
    <w:rsid w:val="00E9646D"/>
    <w:rsid w:val="00E96B8E"/>
    <w:rsid w:val="00E976BF"/>
    <w:rsid w:val="00E97BEA"/>
    <w:rsid w:val="00EA0025"/>
    <w:rsid w:val="00EA12A8"/>
    <w:rsid w:val="00EA28E0"/>
    <w:rsid w:val="00EA2D31"/>
    <w:rsid w:val="00EA4188"/>
    <w:rsid w:val="00EA436F"/>
    <w:rsid w:val="00EA4A35"/>
    <w:rsid w:val="00EA4CCB"/>
    <w:rsid w:val="00EA52BA"/>
    <w:rsid w:val="00EA53BC"/>
    <w:rsid w:val="00EA5DA2"/>
    <w:rsid w:val="00EA6CBF"/>
    <w:rsid w:val="00EA740B"/>
    <w:rsid w:val="00EB013A"/>
    <w:rsid w:val="00EB36AB"/>
    <w:rsid w:val="00EB3D0A"/>
    <w:rsid w:val="00EB4554"/>
    <w:rsid w:val="00EB5D80"/>
    <w:rsid w:val="00EB6C1A"/>
    <w:rsid w:val="00EB745C"/>
    <w:rsid w:val="00EC0DA6"/>
    <w:rsid w:val="00EC2292"/>
    <w:rsid w:val="00EC33FF"/>
    <w:rsid w:val="00EC3F14"/>
    <w:rsid w:val="00EC4227"/>
    <w:rsid w:val="00EC6425"/>
    <w:rsid w:val="00EC7968"/>
    <w:rsid w:val="00ED1487"/>
    <w:rsid w:val="00ED3185"/>
    <w:rsid w:val="00ED397C"/>
    <w:rsid w:val="00ED41BB"/>
    <w:rsid w:val="00ED4840"/>
    <w:rsid w:val="00ED48EC"/>
    <w:rsid w:val="00ED4A66"/>
    <w:rsid w:val="00ED4C0A"/>
    <w:rsid w:val="00ED5115"/>
    <w:rsid w:val="00ED6517"/>
    <w:rsid w:val="00ED684B"/>
    <w:rsid w:val="00ED7228"/>
    <w:rsid w:val="00ED77E0"/>
    <w:rsid w:val="00ED7BE8"/>
    <w:rsid w:val="00ED7E58"/>
    <w:rsid w:val="00ED7FEE"/>
    <w:rsid w:val="00EE0788"/>
    <w:rsid w:val="00EE1152"/>
    <w:rsid w:val="00EE1749"/>
    <w:rsid w:val="00EE18CA"/>
    <w:rsid w:val="00EE1E9E"/>
    <w:rsid w:val="00EE1F7B"/>
    <w:rsid w:val="00EE1F9B"/>
    <w:rsid w:val="00EE20B2"/>
    <w:rsid w:val="00EE4120"/>
    <w:rsid w:val="00EE4ABD"/>
    <w:rsid w:val="00EE57EB"/>
    <w:rsid w:val="00EE597C"/>
    <w:rsid w:val="00EE7B13"/>
    <w:rsid w:val="00EE7B1F"/>
    <w:rsid w:val="00EF1932"/>
    <w:rsid w:val="00EF2292"/>
    <w:rsid w:val="00EF3056"/>
    <w:rsid w:val="00EF3C48"/>
    <w:rsid w:val="00EF469C"/>
    <w:rsid w:val="00EF479A"/>
    <w:rsid w:val="00EF4B36"/>
    <w:rsid w:val="00EF55F3"/>
    <w:rsid w:val="00EF5DEC"/>
    <w:rsid w:val="00EF6EA6"/>
    <w:rsid w:val="00EF6F29"/>
    <w:rsid w:val="00EF784F"/>
    <w:rsid w:val="00F00B7B"/>
    <w:rsid w:val="00F012A0"/>
    <w:rsid w:val="00F01840"/>
    <w:rsid w:val="00F01C28"/>
    <w:rsid w:val="00F02CAC"/>
    <w:rsid w:val="00F02E21"/>
    <w:rsid w:val="00F036B9"/>
    <w:rsid w:val="00F03DFF"/>
    <w:rsid w:val="00F0464B"/>
    <w:rsid w:val="00F0521D"/>
    <w:rsid w:val="00F0555C"/>
    <w:rsid w:val="00F0573F"/>
    <w:rsid w:val="00F05BB5"/>
    <w:rsid w:val="00F05D97"/>
    <w:rsid w:val="00F06BD5"/>
    <w:rsid w:val="00F07766"/>
    <w:rsid w:val="00F07CD1"/>
    <w:rsid w:val="00F10F79"/>
    <w:rsid w:val="00F11102"/>
    <w:rsid w:val="00F1183D"/>
    <w:rsid w:val="00F11ED1"/>
    <w:rsid w:val="00F12621"/>
    <w:rsid w:val="00F12E78"/>
    <w:rsid w:val="00F14CF2"/>
    <w:rsid w:val="00F1534E"/>
    <w:rsid w:val="00F1613E"/>
    <w:rsid w:val="00F1622C"/>
    <w:rsid w:val="00F163D0"/>
    <w:rsid w:val="00F178F6"/>
    <w:rsid w:val="00F2143F"/>
    <w:rsid w:val="00F21BB9"/>
    <w:rsid w:val="00F21CB4"/>
    <w:rsid w:val="00F21FAA"/>
    <w:rsid w:val="00F225B2"/>
    <w:rsid w:val="00F22DF8"/>
    <w:rsid w:val="00F24CD8"/>
    <w:rsid w:val="00F254D2"/>
    <w:rsid w:val="00F26538"/>
    <w:rsid w:val="00F26793"/>
    <w:rsid w:val="00F31F00"/>
    <w:rsid w:val="00F32AE4"/>
    <w:rsid w:val="00F32D77"/>
    <w:rsid w:val="00F3353E"/>
    <w:rsid w:val="00F33555"/>
    <w:rsid w:val="00F33B5F"/>
    <w:rsid w:val="00F34B5B"/>
    <w:rsid w:val="00F3521A"/>
    <w:rsid w:val="00F37D86"/>
    <w:rsid w:val="00F37DC4"/>
    <w:rsid w:val="00F40385"/>
    <w:rsid w:val="00F40F70"/>
    <w:rsid w:val="00F411C9"/>
    <w:rsid w:val="00F413DC"/>
    <w:rsid w:val="00F42031"/>
    <w:rsid w:val="00F422A5"/>
    <w:rsid w:val="00F42DD2"/>
    <w:rsid w:val="00F4327A"/>
    <w:rsid w:val="00F43C10"/>
    <w:rsid w:val="00F447AA"/>
    <w:rsid w:val="00F46711"/>
    <w:rsid w:val="00F475E0"/>
    <w:rsid w:val="00F476DF"/>
    <w:rsid w:val="00F47938"/>
    <w:rsid w:val="00F50E17"/>
    <w:rsid w:val="00F52886"/>
    <w:rsid w:val="00F52AA4"/>
    <w:rsid w:val="00F52EAC"/>
    <w:rsid w:val="00F52F30"/>
    <w:rsid w:val="00F53724"/>
    <w:rsid w:val="00F54162"/>
    <w:rsid w:val="00F548EF"/>
    <w:rsid w:val="00F54AB3"/>
    <w:rsid w:val="00F54B5D"/>
    <w:rsid w:val="00F54DF6"/>
    <w:rsid w:val="00F57918"/>
    <w:rsid w:val="00F57E68"/>
    <w:rsid w:val="00F615BE"/>
    <w:rsid w:val="00F61F38"/>
    <w:rsid w:val="00F623FE"/>
    <w:rsid w:val="00F62FB5"/>
    <w:rsid w:val="00F63272"/>
    <w:rsid w:val="00F6398D"/>
    <w:rsid w:val="00F63C8B"/>
    <w:rsid w:val="00F642E7"/>
    <w:rsid w:val="00F64AF9"/>
    <w:rsid w:val="00F6509E"/>
    <w:rsid w:val="00F650A3"/>
    <w:rsid w:val="00F65FD3"/>
    <w:rsid w:val="00F66BF8"/>
    <w:rsid w:val="00F66F1E"/>
    <w:rsid w:val="00F670B6"/>
    <w:rsid w:val="00F71026"/>
    <w:rsid w:val="00F71C34"/>
    <w:rsid w:val="00F72A3A"/>
    <w:rsid w:val="00F72AFB"/>
    <w:rsid w:val="00F72B6D"/>
    <w:rsid w:val="00F72E49"/>
    <w:rsid w:val="00F738A4"/>
    <w:rsid w:val="00F73EBA"/>
    <w:rsid w:val="00F740FB"/>
    <w:rsid w:val="00F74589"/>
    <w:rsid w:val="00F74D44"/>
    <w:rsid w:val="00F757E1"/>
    <w:rsid w:val="00F77BF0"/>
    <w:rsid w:val="00F824D6"/>
    <w:rsid w:val="00F8255C"/>
    <w:rsid w:val="00F82C0B"/>
    <w:rsid w:val="00F835F3"/>
    <w:rsid w:val="00F84F7D"/>
    <w:rsid w:val="00F855FE"/>
    <w:rsid w:val="00F85FD6"/>
    <w:rsid w:val="00F861B4"/>
    <w:rsid w:val="00F903AD"/>
    <w:rsid w:val="00F90ABA"/>
    <w:rsid w:val="00F90C80"/>
    <w:rsid w:val="00F90D03"/>
    <w:rsid w:val="00F91C38"/>
    <w:rsid w:val="00F91DC4"/>
    <w:rsid w:val="00F92660"/>
    <w:rsid w:val="00F92F9D"/>
    <w:rsid w:val="00F943A8"/>
    <w:rsid w:val="00F945A6"/>
    <w:rsid w:val="00F951B5"/>
    <w:rsid w:val="00F96794"/>
    <w:rsid w:val="00F967B7"/>
    <w:rsid w:val="00F96A62"/>
    <w:rsid w:val="00F979D3"/>
    <w:rsid w:val="00F97DF3"/>
    <w:rsid w:val="00FA14F4"/>
    <w:rsid w:val="00FA1775"/>
    <w:rsid w:val="00FA18FF"/>
    <w:rsid w:val="00FA1CFD"/>
    <w:rsid w:val="00FA27F6"/>
    <w:rsid w:val="00FA28D1"/>
    <w:rsid w:val="00FA2948"/>
    <w:rsid w:val="00FA3681"/>
    <w:rsid w:val="00FA3EF2"/>
    <w:rsid w:val="00FA5DFF"/>
    <w:rsid w:val="00FA66BF"/>
    <w:rsid w:val="00FA6AFD"/>
    <w:rsid w:val="00FA6B0D"/>
    <w:rsid w:val="00FA7852"/>
    <w:rsid w:val="00FA7DBF"/>
    <w:rsid w:val="00FB09E3"/>
    <w:rsid w:val="00FB0A23"/>
    <w:rsid w:val="00FB1371"/>
    <w:rsid w:val="00FB1B92"/>
    <w:rsid w:val="00FB24A0"/>
    <w:rsid w:val="00FB2738"/>
    <w:rsid w:val="00FB279C"/>
    <w:rsid w:val="00FB288E"/>
    <w:rsid w:val="00FB2F2B"/>
    <w:rsid w:val="00FB3350"/>
    <w:rsid w:val="00FB3A9A"/>
    <w:rsid w:val="00FB402B"/>
    <w:rsid w:val="00FB45E6"/>
    <w:rsid w:val="00FB49B0"/>
    <w:rsid w:val="00FB5E7D"/>
    <w:rsid w:val="00FB6621"/>
    <w:rsid w:val="00FB6E9D"/>
    <w:rsid w:val="00FC0721"/>
    <w:rsid w:val="00FC0DBB"/>
    <w:rsid w:val="00FC1126"/>
    <w:rsid w:val="00FC182F"/>
    <w:rsid w:val="00FC219A"/>
    <w:rsid w:val="00FC2211"/>
    <w:rsid w:val="00FC2389"/>
    <w:rsid w:val="00FC2A36"/>
    <w:rsid w:val="00FC2AD2"/>
    <w:rsid w:val="00FC2FD8"/>
    <w:rsid w:val="00FC3BD9"/>
    <w:rsid w:val="00FC520E"/>
    <w:rsid w:val="00FC5401"/>
    <w:rsid w:val="00FC5896"/>
    <w:rsid w:val="00FC5E1C"/>
    <w:rsid w:val="00FC7140"/>
    <w:rsid w:val="00FC7B8B"/>
    <w:rsid w:val="00FD0E1E"/>
    <w:rsid w:val="00FD1B5A"/>
    <w:rsid w:val="00FD2191"/>
    <w:rsid w:val="00FD2411"/>
    <w:rsid w:val="00FD2570"/>
    <w:rsid w:val="00FD3380"/>
    <w:rsid w:val="00FD4A6B"/>
    <w:rsid w:val="00FD4F7F"/>
    <w:rsid w:val="00FD61B0"/>
    <w:rsid w:val="00FD6220"/>
    <w:rsid w:val="00FD6B3F"/>
    <w:rsid w:val="00FD7826"/>
    <w:rsid w:val="00FD78FB"/>
    <w:rsid w:val="00FD7EAB"/>
    <w:rsid w:val="00FE0006"/>
    <w:rsid w:val="00FE0AEF"/>
    <w:rsid w:val="00FE0E56"/>
    <w:rsid w:val="00FE1238"/>
    <w:rsid w:val="00FE18B7"/>
    <w:rsid w:val="00FE1E82"/>
    <w:rsid w:val="00FE3837"/>
    <w:rsid w:val="00FE43E2"/>
    <w:rsid w:val="00FE4BF1"/>
    <w:rsid w:val="00FE4C89"/>
    <w:rsid w:val="00FE5D1A"/>
    <w:rsid w:val="00FE5D28"/>
    <w:rsid w:val="00FE5E39"/>
    <w:rsid w:val="00FE5F3E"/>
    <w:rsid w:val="00FE5FE9"/>
    <w:rsid w:val="00FE6176"/>
    <w:rsid w:val="00FF0332"/>
    <w:rsid w:val="00FF0647"/>
    <w:rsid w:val="00FF0CF8"/>
    <w:rsid w:val="00FF0EA9"/>
    <w:rsid w:val="00FF19CE"/>
    <w:rsid w:val="00FF1B85"/>
    <w:rsid w:val="00FF1DDC"/>
    <w:rsid w:val="00FF1E7C"/>
    <w:rsid w:val="00FF27A2"/>
    <w:rsid w:val="00FF291D"/>
    <w:rsid w:val="00FF312D"/>
    <w:rsid w:val="00FF3330"/>
    <w:rsid w:val="00FF5214"/>
    <w:rsid w:val="00FF5290"/>
    <w:rsid w:val="00FF534B"/>
    <w:rsid w:val="00FF5F49"/>
    <w:rsid w:val="00FF6C4E"/>
    <w:rsid w:val="00FF6EC3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0F34"/>
  <w15:docId w15:val="{C21DA3D8-BCB8-4670-834C-A35091B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E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178F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178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F178F6"/>
    <w:rPr>
      <w:vertAlign w:val="superscript"/>
    </w:rPr>
  </w:style>
  <w:style w:type="paragraph" w:styleId="Footer">
    <w:name w:val="footer"/>
    <w:basedOn w:val="Normal"/>
    <w:link w:val="FooterChar"/>
    <w:rsid w:val="00F178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78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178F6"/>
  </w:style>
  <w:style w:type="paragraph" w:styleId="BalloonText">
    <w:name w:val="Balloon Text"/>
    <w:basedOn w:val="Normal"/>
    <w:link w:val="BalloonTextChar"/>
    <w:uiPriority w:val="99"/>
    <w:semiHidden/>
    <w:unhideWhenUsed/>
    <w:rsid w:val="00E70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092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33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3E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8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20"/>
    <w:rPr>
      <w:rFonts w:ascii="GHEA Grapalat" w:hAnsi="GHEA Grapalat"/>
      <w:color w:val="0070C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5A20"/>
    <w:rPr>
      <w:rFonts w:ascii="GHEA Grapalat" w:eastAsia="Times New Roman" w:hAnsi="GHEA Grapalat"/>
      <w:color w:val="0070C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A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A45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link w:val="Heading1"/>
    <w:uiPriority w:val="9"/>
    <w:rsid w:val="003C1E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Akapit z listą BS,List Paragraph2,Bullets,List Paragraph nowy,List Paragraph (numbered (a)),Liste 1,List Paragraph 1,List_Paragraph,Multilevel para_II,References,IBL List Paragraph,Numbered List Paragraph,Bullet1,List Paragraph4,OBC Bulle"/>
    <w:basedOn w:val="Normal"/>
    <w:link w:val="ListParagraphChar"/>
    <w:uiPriority w:val="34"/>
    <w:qFormat/>
    <w:rsid w:val="00456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154F03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istParagraphChar">
    <w:name w:val="List Paragraph Char"/>
    <w:aliases w:val="Akapit z listą BS Char,List Paragraph2 Char,Bullets Char,List Paragraph nowy Char,List Paragraph (numbered (a)) Char,Liste 1 Char,List Paragraph 1 Char,List_Paragraph Char,Multilevel para_II Char,References Char,Bullet1 Char"/>
    <w:link w:val="ListParagraph"/>
    <w:uiPriority w:val="34"/>
    <w:qFormat/>
    <w:locked/>
    <w:rsid w:val="00990B8D"/>
    <w:rPr>
      <w:sz w:val="22"/>
      <w:szCs w:val="22"/>
    </w:rPr>
  </w:style>
  <w:style w:type="table" w:styleId="TableGrid">
    <w:name w:val="Table Grid"/>
    <w:basedOn w:val="TableNormal"/>
    <w:uiPriority w:val="59"/>
    <w:rsid w:val="00336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31B9-062B-44B1-AA61-D532235C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19</Pages>
  <Words>4875</Words>
  <Characters>27789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keywords>https:/mul2-minfin.gov.am/tasks/961470/oneclick?token=174ae1ec2e618ebf6f13e5c882925e38</cp:keywords>
  <cp:lastModifiedBy>Emma Ghaytanjyan</cp:lastModifiedBy>
  <cp:revision>111</cp:revision>
  <cp:lastPrinted>2025-04-22T08:18:00Z</cp:lastPrinted>
  <dcterms:created xsi:type="dcterms:W3CDTF">2025-03-18T08:47:00Z</dcterms:created>
  <dcterms:modified xsi:type="dcterms:W3CDTF">2025-04-30T06:18:00Z</dcterms:modified>
</cp:coreProperties>
</file>