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18E6FDD7" w:rsidR="004B164F" w:rsidRPr="006906D4" w:rsidRDefault="00B87717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նախարարություն</w:t>
      </w:r>
    </w:p>
    <w:p w14:paraId="4B0C422D" w14:textId="76E3255D" w:rsidR="00B87717" w:rsidRDefault="00B87717" w:rsidP="00B87717">
      <w:pPr>
        <w:pStyle w:val="ListParagraph"/>
        <w:widowControl/>
        <w:numPr>
          <w:ilvl w:val="0"/>
          <w:numId w:val="2"/>
        </w:numPr>
        <w:autoSpaceDE/>
        <w:autoSpaceDN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գլխավոր քարտուղարի </w:t>
      </w:r>
      <w:r w:rsidR="00034E58">
        <w:rPr>
          <w:rFonts w:ascii="GHEA Grapalat" w:hAnsi="GHEA Grapalat"/>
          <w:sz w:val="24"/>
          <w:szCs w:val="24"/>
          <w:lang w:val="hy-AM"/>
        </w:rPr>
        <w:t>թիվ</w:t>
      </w:r>
      <w:r w:rsidR="00034E58" w:rsidRPr="00B8771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029">
        <w:rPr>
          <w:rFonts w:ascii="GHEA Grapalat" w:hAnsi="GHEA Grapalat"/>
          <w:sz w:val="24"/>
          <w:szCs w:val="24"/>
          <w:lang w:val="hy-AM"/>
        </w:rPr>
        <w:t>14</w:t>
      </w:r>
      <w:r w:rsidRPr="00B87717">
        <w:rPr>
          <w:rFonts w:ascii="GHEA Grapalat" w:hAnsi="GHEA Grapalat"/>
          <w:sz w:val="24"/>
          <w:szCs w:val="24"/>
          <w:lang w:val="hy-AM"/>
        </w:rPr>
        <w:t xml:space="preserve">-Ա </w:t>
      </w:r>
      <w:r>
        <w:rPr>
          <w:rFonts w:ascii="GHEA Grapalat" w:hAnsi="GHEA Grapalat"/>
          <w:sz w:val="24"/>
          <w:szCs w:val="24"/>
          <w:lang w:val="hy-AM"/>
        </w:rPr>
        <w:t>հրաման</w:t>
      </w:r>
    </w:p>
    <w:p w14:paraId="031D644A" w14:textId="77777777" w:rsidR="00446AD7" w:rsidRPr="00446AD7" w:rsidRDefault="00446AD7" w:rsidP="00446AD7">
      <w:pPr>
        <w:widowControl/>
        <w:autoSpaceDE/>
        <w:autoSpaceDN/>
        <w:ind w:left="391"/>
        <w:rPr>
          <w:rFonts w:ascii="GHEA Grapalat" w:hAnsi="GHEA Grapalat"/>
          <w:sz w:val="24"/>
          <w:szCs w:val="24"/>
          <w:lang w:val="hy-AM"/>
        </w:rPr>
      </w:pPr>
    </w:p>
    <w:p w14:paraId="332FE81B" w14:textId="6E3C9A43" w:rsidR="00B87717" w:rsidRPr="00B87717" w:rsidRDefault="00D65F9E" w:rsidP="00902029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902029">
        <w:rPr>
          <w:rFonts w:ascii="GHEA Grapalat" w:hAnsi="GHEA Grapalat"/>
          <w:sz w:val="24"/>
          <w:lang w:val="hy-AM"/>
        </w:rPr>
        <w:t>Արգամ Արամյան</w:t>
      </w:r>
      <w:r w:rsidR="00B87717" w:rsidRPr="00B87717">
        <w:rPr>
          <w:rFonts w:ascii="GHEA Grapalat" w:hAnsi="GHEA Grapalat"/>
          <w:sz w:val="24"/>
          <w:lang w:val="hy-AM"/>
        </w:rPr>
        <w:t xml:space="preserve">, ՀՀ ֆինանսների նախարարության միջազգային համագործակցության վարչության </w:t>
      </w:r>
      <w:r>
        <w:rPr>
          <w:rFonts w:ascii="GHEA Grapalat" w:hAnsi="GHEA Grapalat"/>
          <w:sz w:val="24"/>
          <w:lang w:val="hy-AM"/>
        </w:rPr>
        <w:t>պետ</w:t>
      </w:r>
    </w:p>
    <w:p w14:paraId="010BDA5C" w14:textId="79DF6163" w:rsidR="004B164F" w:rsidRPr="006906D4" w:rsidRDefault="00B87717" w:rsidP="00902029">
      <w:pPr>
        <w:pStyle w:val="ListParagraph"/>
        <w:numPr>
          <w:ilvl w:val="0"/>
          <w:numId w:val="2"/>
        </w:numPr>
        <w:tabs>
          <w:tab w:val="left" w:pos="648"/>
        </w:tabs>
        <w:spacing w:before="0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Ք. </w:t>
      </w:r>
      <w:r w:rsidR="00902029">
        <w:rPr>
          <w:rFonts w:ascii="GHEA Grapalat" w:hAnsi="GHEA Grapalat"/>
          <w:sz w:val="24"/>
          <w:szCs w:val="24"/>
          <w:lang w:val="hy-AM"/>
        </w:rPr>
        <w:t>Ալմաթի</w:t>
      </w:r>
    </w:p>
    <w:p w14:paraId="3EC4A2C2" w14:textId="0A074590" w:rsidR="004B164F" w:rsidRPr="006906D4" w:rsidRDefault="00B87717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7509CC">
        <w:rPr>
          <w:rFonts w:ascii="GHEA Grapalat" w:hAnsi="GHEA Grapalat"/>
          <w:sz w:val="24"/>
          <w:szCs w:val="24"/>
          <w:lang w:val="hy-AM"/>
        </w:rPr>
        <w:t>202</w:t>
      </w:r>
      <w:r w:rsidR="00902029">
        <w:rPr>
          <w:rFonts w:ascii="GHEA Grapalat" w:hAnsi="GHEA Grapalat"/>
          <w:sz w:val="24"/>
          <w:szCs w:val="24"/>
          <w:lang w:val="hy-AM"/>
        </w:rPr>
        <w:t>4</w:t>
      </w:r>
      <w:r w:rsidRPr="007509C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02029">
        <w:rPr>
          <w:rFonts w:ascii="GHEA Grapalat" w:hAnsi="GHEA Grapalat"/>
          <w:sz w:val="24"/>
          <w:szCs w:val="24"/>
          <w:lang w:val="hy-AM"/>
        </w:rPr>
        <w:t>հունվարի</w:t>
      </w:r>
      <w:r w:rsidRPr="007509CC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029">
        <w:rPr>
          <w:rFonts w:ascii="GHEA Grapalat" w:hAnsi="GHEA Grapalat"/>
          <w:sz w:val="24"/>
          <w:szCs w:val="24"/>
          <w:lang w:val="hy-AM"/>
        </w:rPr>
        <w:t>22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902029">
        <w:rPr>
          <w:rFonts w:ascii="GHEA Grapalat" w:hAnsi="GHEA Grapalat"/>
          <w:sz w:val="24"/>
          <w:szCs w:val="24"/>
          <w:lang w:val="hy-AM"/>
        </w:rPr>
        <w:t>հունվարի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2029">
        <w:rPr>
          <w:rFonts w:ascii="GHEA Grapalat" w:hAnsi="GHEA Grapalat"/>
          <w:sz w:val="24"/>
          <w:szCs w:val="24"/>
          <w:lang w:val="hy-AM"/>
        </w:rPr>
        <w:t>24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7509CC">
        <w:rPr>
          <w:rFonts w:ascii="GHEA Grapalat" w:hAnsi="GHEA Grapalat"/>
          <w:sz w:val="24"/>
          <w:szCs w:val="24"/>
          <w:lang w:val="hy-AM"/>
        </w:rPr>
        <w:t>ներառյալ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53B3CB8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="00B87717">
        <w:rPr>
          <w:rFonts w:ascii="GHEA Grapalat" w:hAnsi="GHEA Grapalat"/>
          <w:u w:val="single"/>
          <w:lang w:val="hy-AM"/>
        </w:rPr>
        <w:t>,</w:t>
      </w:r>
      <w:r w:rsidR="00D8485C">
        <w:rPr>
          <w:rFonts w:ascii="GHEA Grapalat" w:hAnsi="GHEA Grapalat"/>
          <w:u w:val="single"/>
        </w:rPr>
        <w:t xml:space="preserve">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3AECB586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bookmarkStart w:id="0" w:name="_GoBack"/>
      <w:bookmarkEnd w:id="0"/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1C491664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lang w:val="hy-AM"/>
        </w:rPr>
        <w:t>բ</w:t>
      </w:r>
      <w:r w:rsidRPr="00B87717">
        <w:rPr>
          <w:rFonts w:ascii="GHEA Grapalat" w:hAnsi="GHEA Grapalat"/>
          <w:u w:val="single"/>
          <w:lang w:val="hy-AM"/>
        </w:rPr>
        <w:t>. գործուղման անհատական իրավական ակտով տվյալ գործուղման փաստացի</w:t>
      </w:r>
      <w:r w:rsidRPr="00B87717">
        <w:rPr>
          <w:rFonts w:ascii="GHEA Grapalat" w:hAnsi="GHEA Grapalat"/>
          <w:spacing w:val="-64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կատարված ծախսերի</w:t>
      </w:r>
      <w:r w:rsidRPr="00B87717">
        <w:rPr>
          <w:rFonts w:ascii="GHEA Grapalat" w:hAnsi="GHEA Grapalat"/>
          <w:spacing w:val="-3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3B0C5925" w14:textId="21AC35DB" w:rsidR="002D6335" w:rsidRPr="00C600E6" w:rsidRDefault="00902029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Արգամ Արամյան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AA6687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B87717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4F35D8F3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 w:rsidR="00B877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7717" w:rsidRPr="00B87717">
              <w:rPr>
                <w:lang w:val="hy-AM"/>
              </w:rPr>
              <w:t xml:space="preserve"> </w:t>
            </w:r>
            <w:r w:rsidR="00B87717" w:rsidRPr="00B87717">
              <w:rPr>
                <w:rFonts w:ascii="GHEA Grapalat" w:hAnsi="GHEA Grapalat"/>
                <w:sz w:val="20"/>
                <w:szCs w:val="20"/>
                <w:lang w:val="hy-AM"/>
              </w:rPr>
              <w:t>USD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2DDDE13F" w14:textId="77777777" w:rsidR="00B87717" w:rsidRPr="0016499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5CD596" w14:textId="77777777" w:rsidR="00B87717" w:rsidRPr="0016499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F836CC" w14:textId="6CD208B5" w:rsidR="006A37FA" w:rsidRPr="00164997" w:rsidRDefault="00B87717" w:rsidP="0016499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499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164997" w:rsidRPr="0016499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105AF2F3" w14:textId="50A50290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347ADD58" w:rsidR="00B87717" w:rsidRPr="0016499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8A4A90" w14:textId="38794104" w:rsidR="006A37FA" w:rsidRPr="00164997" w:rsidRDefault="00164997" w:rsidP="00B87717">
            <w:pPr>
              <w:jc w:val="center"/>
              <w:rPr>
                <w:sz w:val="20"/>
                <w:szCs w:val="20"/>
                <w:lang w:val="hy-AM"/>
              </w:rPr>
            </w:pPr>
            <w:r w:rsidRPr="00164997">
              <w:rPr>
                <w:sz w:val="20"/>
                <w:szCs w:val="20"/>
                <w:lang w:val="hy-AM"/>
              </w:rPr>
              <w:t>32825.25</w:t>
            </w:r>
          </w:p>
        </w:tc>
        <w:tc>
          <w:tcPr>
            <w:tcW w:w="1169" w:type="dxa"/>
          </w:tcPr>
          <w:p w14:paraId="3852CE55" w14:textId="6E1655ED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2815F9A1" w:rsidR="006A37FA" w:rsidRPr="00164997" w:rsidRDefault="00164997" w:rsidP="0016499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499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69" w:type="dxa"/>
          </w:tcPr>
          <w:p w14:paraId="5F2166BA" w14:textId="3C3AA63D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3E9399A" w14:textId="77777777" w:rsidR="00B87717" w:rsidRPr="0016499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49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AF0AF67" w14:textId="6E433BA0" w:rsidR="006A37FA" w:rsidRPr="00164997" w:rsidRDefault="00B87717" w:rsidP="00164997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499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 w:rsidR="00446AD7">
              <w:rPr>
                <w:rFonts w:ascii="GHEA Grapalat" w:hAnsi="GHEA Grapalat"/>
                <w:sz w:val="20"/>
                <w:szCs w:val="20"/>
                <w:lang w:val="hy-AM"/>
              </w:rPr>
              <w:t>98475.75</w:t>
            </w:r>
          </w:p>
        </w:tc>
        <w:tc>
          <w:tcPr>
            <w:tcW w:w="1169" w:type="dxa"/>
          </w:tcPr>
          <w:p w14:paraId="2E85F5F5" w14:textId="452F2210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15157FE9" w:rsidR="006A37FA" w:rsidRPr="00C600E6" w:rsidRDefault="00164997" w:rsidP="0016499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98476</w:t>
            </w: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5084C516" w:rsidR="004B164F" w:rsidRPr="00C600E6" w:rsidRDefault="00F919E2" w:rsidP="002D633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</w:t>
      </w:r>
      <w:r w:rsidR="00164997">
        <w:rPr>
          <w:sz w:val="24"/>
          <w:szCs w:val="24"/>
          <w:lang w:val="hy-AM"/>
        </w:rPr>
        <w:t>1USD=405.25</w:t>
      </w: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34E58"/>
    <w:rsid w:val="00064548"/>
    <w:rsid w:val="00164997"/>
    <w:rsid w:val="002D6335"/>
    <w:rsid w:val="004272A2"/>
    <w:rsid w:val="00446AD7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7CF"/>
    <w:rsid w:val="0072299C"/>
    <w:rsid w:val="007678F5"/>
    <w:rsid w:val="007C24A9"/>
    <w:rsid w:val="00902029"/>
    <w:rsid w:val="009222AB"/>
    <w:rsid w:val="009628E9"/>
    <w:rsid w:val="00A25655"/>
    <w:rsid w:val="00AA6687"/>
    <w:rsid w:val="00B05C54"/>
    <w:rsid w:val="00B16BE5"/>
    <w:rsid w:val="00B87717"/>
    <w:rsid w:val="00BD5002"/>
    <w:rsid w:val="00C600E6"/>
    <w:rsid w:val="00CB34FB"/>
    <w:rsid w:val="00D65F9E"/>
    <w:rsid w:val="00D8485C"/>
    <w:rsid w:val="00DB4B74"/>
    <w:rsid w:val="00E1516E"/>
    <w:rsid w:val="00F919E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1226</Characters>
  <Application>Microsoft Office Word</Application>
  <DocSecurity>0</DocSecurity>
  <Lines>175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https://mul2-minfin.gov.am/tasks/760159/oneclick/caxs_Aramyan.docx?token=2ab62262fcabfeff6db7ce256439e53f</cp:keywords>
  <cp:lastModifiedBy>Milena Hovhannisyan</cp:lastModifiedBy>
  <cp:revision>4</cp:revision>
  <dcterms:created xsi:type="dcterms:W3CDTF">2024-01-26T13:27:00Z</dcterms:created>
  <dcterms:modified xsi:type="dcterms:W3CDTF">2024-01-26T13:52:00Z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