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E0DAAC" w14:textId="77777777" w:rsidR="00A84DC1" w:rsidRDefault="00A84DC1" w:rsidP="00A84DC1">
      <w:pPr>
        <w:pStyle w:val="BodyText"/>
        <w:spacing w:line="360" w:lineRule="auto"/>
        <w:ind w:right="94" w:firstLine="336"/>
        <w:jc w:val="both"/>
        <w:rPr>
          <w:b/>
          <w:i/>
          <w:color w:val="000000" w:themeColor="text1"/>
          <w:sz w:val="24"/>
          <w:szCs w:val="24"/>
        </w:rPr>
      </w:pPr>
      <w:r w:rsidRPr="00EE1352">
        <w:rPr>
          <w:b/>
          <w:i/>
          <w:color w:val="000000" w:themeColor="text1"/>
          <w:sz w:val="24"/>
          <w:szCs w:val="24"/>
        </w:rPr>
        <w:t>The sole purpose of this document is to facilitate the understanding of the application of the</w:t>
      </w:r>
      <w:r w:rsidRPr="00EE1352">
        <w:rPr>
          <w:b/>
          <w:i/>
          <w:color w:val="000000" w:themeColor="text1"/>
          <w:spacing w:val="-46"/>
          <w:sz w:val="24"/>
          <w:szCs w:val="24"/>
        </w:rPr>
        <w:t xml:space="preserve"> </w:t>
      </w:r>
      <w:r w:rsidRPr="00EE1352">
        <w:rPr>
          <w:b/>
          <w:i/>
          <w:color w:val="000000" w:themeColor="text1"/>
          <w:sz w:val="24"/>
          <w:szCs w:val="24"/>
        </w:rPr>
        <w:t>MLI to the Convention and the document does not constitute a document of law.</w:t>
      </w:r>
    </w:p>
    <w:p w14:paraId="1731E402" w14:textId="77777777" w:rsidR="00A84DC1" w:rsidRPr="00EE1352" w:rsidRDefault="00A84DC1" w:rsidP="00A84DC1">
      <w:pPr>
        <w:pStyle w:val="BodyText"/>
        <w:spacing w:line="360" w:lineRule="auto"/>
        <w:ind w:right="94" w:firstLine="284"/>
        <w:jc w:val="both"/>
        <w:rPr>
          <w:b/>
          <w:i/>
          <w:color w:val="000000" w:themeColor="text1"/>
          <w:sz w:val="24"/>
          <w:szCs w:val="24"/>
        </w:rPr>
      </w:pPr>
      <w:r w:rsidRPr="00EE1352">
        <w:rPr>
          <w:b/>
          <w:i/>
          <w:color w:val="000000" w:themeColor="text1"/>
          <w:sz w:val="24"/>
          <w:szCs w:val="24"/>
        </w:rPr>
        <w:t>The</w:t>
      </w:r>
      <w:r w:rsidRPr="00EE1352">
        <w:rPr>
          <w:b/>
          <w:i/>
          <w:color w:val="000000" w:themeColor="text1"/>
          <w:spacing w:val="1"/>
          <w:sz w:val="24"/>
          <w:szCs w:val="24"/>
        </w:rPr>
        <w:t xml:space="preserve"> </w:t>
      </w:r>
      <w:r w:rsidRPr="00EE1352">
        <w:rPr>
          <w:b/>
          <w:i/>
          <w:color w:val="000000" w:themeColor="text1"/>
          <w:sz w:val="24"/>
          <w:szCs w:val="24"/>
        </w:rPr>
        <w:t xml:space="preserve">authentic legal texts of the Convention and the MLI take precedence and remain the </w:t>
      </w:r>
      <w:r>
        <w:rPr>
          <w:b/>
          <w:i/>
          <w:color w:val="000000" w:themeColor="text1"/>
          <w:sz w:val="24"/>
          <w:szCs w:val="24"/>
        </w:rPr>
        <w:t xml:space="preserve">only </w:t>
      </w:r>
      <w:r w:rsidRPr="00EE1352">
        <w:rPr>
          <w:b/>
          <w:i/>
          <w:color w:val="000000" w:themeColor="text1"/>
          <w:sz w:val="24"/>
          <w:szCs w:val="24"/>
        </w:rPr>
        <w:t>legal</w:t>
      </w:r>
      <w:r w:rsidRPr="00EE1352">
        <w:rPr>
          <w:b/>
          <w:i/>
          <w:color w:val="000000" w:themeColor="text1"/>
          <w:spacing w:val="-2"/>
          <w:sz w:val="24"/>
          <w:szCs w:val="24"/>
        </w:rPr>
        <w:t xml:space="preserve"> </w:t>
      </w:r>
      <w:r w:rsidRPr="00EE1352">
        <w:rPr>
          <w:b/>
          <w:i/>
          <w:color w:val="000000" w:themeColor="text1"/>
          <w:sz w:val="24"/>
          <w:szCs w:val="24"/>
        </w:rPr>
        <w:t>texts</w:t>
      </w:r>
      <w:r w:rsidRPr="00EE1352">
        <w:rPr>
          <w:b/>
          <w:i/>
          <w:color w:val="000000" w:themeColor="text1"/>
          <w:spacing w:val="-1"/>
          <w:sz w:val="24"/>
          <w:szCs w:val="24"/>
        </w:rPr>
        <w:t xml:space="preserve"> </w:t>
      </w:r>
      <w:r w:rsidRPr="00EE1352">
        <w:rPr>
          <w:b/>
          <w:i/>
          <w:color w:val="000000" w:themeColor="text1"/>
          <w:sz w:val="24"/>
          <w:szCs w:val="24"/>
        </w:rPr>
        <w:t>applicable.</w:t>
      </w:r>
    </w:p>
    <w:p w14:paraId="6B2EE742" w14:textId="77777777" w:rsidR="00A84DC1" w:rsidRPr="00A84DC1" w:rsidRDefault="00A84DC1" w:rsidP="00EC57AC">
      <w:pPr>
        <w:spacing w:after="0" w:line="276" w:lineRule="auto"/>
        <w:jc w:val="center"/>
        <w:rPr>
          <w:rFonts w:ascii="Times New Roman" w:eastAsia="Times New Roman" w:hAnsi="Times New Roman" w:cs="Times New Roman"/>
          <w:b/>
          <w:sz w:val="20"/>
          <w:szCs w:val="20"/>
          <w:lang w:val="en-US" w:eastAsia="de-AT"/>
        </w:rPr>
      </w:pPr>
    </w:p>
    <w:p w14:paraId="791C6F25" w14:textId="77777777" w:rsidR="00A84DC1" w:rsidRDefault="00A84DC1" w:rsidP="00EC57AC">
      <w:pPr>
        <w:spacing w:after="0" w:line="276" w:lineRule="auto"/>
        <w:jc w:val="center"/>
        <w:rPr>
          <w:rFonts w:ascii="Times New Roman" w:eastAsia="Times New Roman" w:hAnsi="Times New Roman" w:cs="Times New Roman"/>
          <w:b/>
          <w:sz w:val="20"/>
          <w:szCs w:val="20"/>
          <w:lang w:val="en-GB" w:eastAsia="de-AT"/>
        </w:rPr>
      </w:pPr>
    </w:p>
    <w:p w14:paraId="34D7B4C3" w14:textId="016ACBE3" w:rsidR="00EC57AC" w:rsidRPr="00EC57AC" w:rsidRDefault="00D25848" w:rsidP="00EC57AC">
      <w:pPr>
        <w:spacing w:after="0" w:line="276" w:lineRule="auto"/>
        <w:jc w:val="center"/>
        <w:rPr>
          <w:rFonts w:ascii="Times New Roman" w:eastAsia="Times New Roman" w:hAnsi="Times New Roman" w:cs="Times New Roman"/>
          <w:b/>
          <w:sz w:val="20"/>
          <w:szCs w:val="20"/>
          <w:lang w:val="en-GB" w:eastAsia="de-AT"/>
        </w:rPr>
      </w:pPr>
      <w:r w:rsidRPr="002C6A98">
        <w:rPr>
          <w:rFonts w:ascii="Times New Roman" w:eastAsia="Times New Roman" w:hAnsi="Times New Roman" w:cs="Times New Roman"/>
          <w:b/>
          <w:sz w:val="20"/>
          <w:szCs w:val="20"/>
          <w:lang w:val="en-GB" w:eastAsia="de-AT"/>
        </w:rPr>
        <w:t xml:space="preserve">SYNTHESISED TEXT OF THE MLI AND </w:t>
      </w:r>
      <w:r w:rsidR="00EC57AC" w:rsidRPr="00EC57AC">
        <w:rPr>
          <w:rFonts w:ascii="Times New Roman" w:eastAsia="Times New Roman" w:hAnsi="Times New Roman" w:cs="Times New Roman"/>
          <w:b/>
          <w:sz w:val="20"/>
          <w:szCs w:val="20"/>
          <w:lang w:val="en-GB" w:eastAsia="de-AT"/>
        </w:rPr>
        <w:t>CONVENTION</w:t>
      </w:r>
      <w:r w:rsidR="00EC57AC">
        <w:rPr>
          <w:rFonts w:ascii="Times New Roman" w:eastAsia="Times New Roman" w:hAnsi="Times New Roman" w:cs="Times New Roman"/>
          <w:b/>
          <w:sz w:val="20"/>
          <w:szCs w:val="20"/>
          <w:lang w:val="en-GB" w:eastAsia="de-AT"/>
        </w:rPr>
        <w:t xml:space="preserve"> </w:t>
      </w:r>
      <w:r w:rsidR="00EC57AC" w:rsidRPr="00EC57AC">
        <w:rPr>
          <w:rFonts w:ascii="Times New Roman" w:eastAsia="Times New Roman" w:hAnsi="Times New Roman" w:cs="Times New Roman"/>
          <w:b/>
          <w:sz w:val="20"/>
          <w:szCs w:val="20"/>
          <w:lang w:val="en-GB" w:eastAsia="de-AT"/>
        </w:rPr>
        <w:t>BETWEEN</w:t>
      </w:r>
    </w:p>
    <w:p w14:paraId="3FD4D479" w14:textId="745998A1" w:rsidR="00EC57AC" w:rsidRPr="00EC57AC" w:rsidRDefault="00EC57AC" w:rsidP="00EC57AC">
      <w:pPr>
        <w:spacing w:after="0" w:line="276" w:lineRule="auto"/>
        <w:jc w:val="center"/>
        <w:rPr>
          <w:rFonts w:ascii="Times New Roman" w:eastAsia="Times New Roman" w:hAnsi="Times New Roman" w:cs="Times New Roman"/>
          <w:b/>
          <w:sz w:val="20"/>
          <w:szCs w:val="20"/>
          <w:lang w:val="en-GB" w:eastAsia="de-AT"/>
        </w:rPr>
      </w:pPr>
      <w:r w:rsidRPr="00EC57AC">
        <w:rPr>
          <w:rFonts w:ascii="Times New Roman" w:eastAsia="Times New Roman" w:hAnsi="Times New Roman" w:cs="Times New Roman"/>
          <w:b/>
          <w:sz w:val="20"/>
          <w:szCs w:val="20"/>
          <w:lang w:val="en-GB" w:eastAsia="de-AT"/>
        </w:rPr>
        <w:t>THE GOVERNMENT OF THE REPUBLIC OF AUSTRIA</w:t>
      </w:r>
      <w:r>
        <w:rPr>
          <w:rFonts w:ascii="Times New Roman" w:eastAsia="Times New Roman" w:hAnsi="Times New Roman" w:cs="Times New Roman"/>
          <w:b/>
          <w:sz w:val="20"/>
          <w:szCs w:val="20"/>
          <w:lang w:val="en-GB" w:eastAsia="de-AT"/>
        </w:rPr>
        <w:t xml:space="preserve"> </w:t>
      </w:r>
      <w:r w:rsidRPr="00EC57AC">
        <w:rPr>
          <w:rFonts w:ascii="Times New Roman" w:eastAsia="Times New Roman" w:hAnsi="Times New Roman" w:cs="Times New Roman"/>
          <w:b/>
          <w:sz w:val="20"/>
          <w:szCs w:val="20"/>
          <w:lang w:val="en-GB" w:eastAsia="de-AT"/>
        </w:rPr>
        <w:t>AND THE GOVERNMENT OF THE REPUBLIC OF ARMENIA</w:t>
      </w:r>
      <w:r w:rsidR="00A84DC1">
        <w:rPr>
          <w:rFonts w:ascii="Times New Roman" w:eastAsia="Times New Roman" w:hAnsi="Times New Roman" w:cs="Times New Roman"/>
          <w:b/>
          <w:sz w:val="20"/>
          <w:szCs w:val="20"/>
          <w:lang w:val="en-GB" w:eastAsia="de-AT"/>
        </w:rPr>
        <w:t xml:space="preserve"> </w:t>
      </w:r>
      <w:r w:rsidRPr="00EC57AC">
        <w:rPr>
          <w:rFonts w:ascii="Times New Roman" w:eastAsia="Times New Roman" w:hAnsi="Times New Roman" w:cs="Times New Roman"/>
          <w:b/>
          <w:sz w:val="20"/>
          <w:szCs w:val="20"/>
          <w:lang w:val="en-GB" w:eastAsia="de-AT"/>
        </w:rPr>
        <w:t>FOR THE AVOIDANCE OF DOUBLE TAXATION</w:t>
      </w:r>
    </w:p>
    <w:p w14:paraId="62E7F05C" w14:textId="2C414A02" w:rsidR="00D25848" w:rsidRDefault="00EC57AC" w:rsidP="00EC57AC">
      <w:pPr>
        <w:spacing w:after="0" w:line="276" w:lineRule="auto"/>
        <w:jc w:val="center"/>
        <w:rPr>
          <w:rFonts w:ascii="Times New Roman" w:eastAsia="Times New Roman" w:hAnsi="Times New Roman" w:cs="Times New Roman"/>
          <w:b/>
          <w:sz w:val="20"/>
          <w:szCs w:val="20"/>
          <w:lang w:val="en-GB" w:eastAsia="de-AT"/>
        </w:rPr>
      </w:pPr>
      <w:r w:rsidRPr="00EC57AC">
        <w:rPr>
          <w:rFonts w:ascii="Times New Roman" w:eastAsia="Times New Roman" w:hAnsi="Times New Roman" w:cs="Times New Roman"/>
          <w:b/>
          <w:sz w:val="20"/>
          <w:szCs w:val="20"/>
          <w:lang w:val="en-GB" w:eastAsia="de-AT"/>
        </w:rPr>
        <w:t>WITH RESPECT TO TAXES ON INCOME AND ON CAPITAL</w:t>
      </w:r>
    </w:p>
    <w:p w14:paraId="5FC0E965" w14:textId="77777777" w:rsidR="00A84DC1" w:rsidRPr="002C6A98" w:rsidRDefault="00A84DC1" w:rsidP="00EC57AC">
      <w:pPr>
        <w:spacing w:after="0" w:line="276" w:lineRule="auto"/>
        <w:jc w:val="center"/>
        <w:rPr>
          <w:rFonts w:ascii="Times New Roman" w:eastAsia="Times New Roman" w:hAnsi="Times New Roman" w:cs="Times New Roman"/>
          <w:b/>
          <w:sz w:val="20"/>
          <w:szCs w:val="20"/>
          <w:lang w:val="en-GB" w:eastAsia="de-AT"/>
        </w:rPr>
      </w:pPr>
    </w:p>
    <w:p w14:paraId="76FCE16B" w14:textId="77777777" w:rsidR="00D25848" w:rsidRPr="002C6A98" w:rsidRDefault="00D25848" w:rsidP="00D25848">
      <w:pPr>
        <w:suppressAutoHyphens w:val="0"/>
        <w:spacing w:before="9" w:after="0" w:line="240" w:lineRule="auto"/>
        <w:rPr>
          <w:rFonts w:ascii="Times New Roman" w:eastAsia="Arial" w:hAnsi="Times New Roman" w:cs="Times New Roman"/>
          <w:b/>
          <w:bCs/>
          <w:sz w:val="20"/>
          <w:szCs w:val="20"/>
          <w:lang w:val="en-GB" w:eastAsia="de-AT"/>
        </w:rPr>
      </w:pPr>
    </w:p>
    <w:p w14:paraId="5E60CA91" w14:textId="77777777" w:rsidR="00D25848" w:rsidRPr="002C6A98" w:rsidRDefault="00D25848" w:rsidP="00D25848">
      <w:pPr>
        <w:suppressAutoHyphens w:val="0"/>
        <w:spacing w:after="0" w:line="240" w:lineRule="auto"/>
        <w:rPr>
          <w:rFonts w:ascii="Times New Roman" w:eastAsia="Times New Roman" w:hAnsi="Times New Roman" w:cs="Times New Roman"/>
          <w:b/>
          <w:sz w:val="20"/>
          <w:szCs w:val="20"/>
          <w:lang w:val="en-GB" w:eastAsia="de-AT"/>
        </w:rPr>
      </w:pPr>
      <w:r w:rsidRPr="002C6A98">
        <w:rPr>
          <w:rFonts w:ascii="Times New Roman" w:eastAsia="Times New Roman" w:hAnsi="Times New Roman" w:cs="Times New Roman"/>
          <w:b/>
          <w:sz w:val="20"/>
          <w:szCs w:val="20"/>
          <w:lang w:val="en-GB" w:eastAsia="de-AT"/>
        </w:rPr>
        <w:t>General disclaimer on the Synthesised text document</w:t>
      </w:r>
    </w:p>
    <w:p w14:paraId="424810E4" w14:textId="77777777" w:rsidR="00D25848" w:rsidRPr="002C6A98" w:rsidRDefault="00D25848" w:rsidP="00D25848">
      <w:pPr>
        <w:suppressAutoHyphens w:val="0"/>
        <w:spacing w:after="0" w:line="240" w:lineRule="auto"/>
        <w:rPr>
          <w:rFonts w:ascii="Times New Roman" w:eastAsia="Arial" w:hAnsi="Times New Roman" w:cs="Times New Roman"/>
          <w:b/>
          <w:bCs/>
          <w:sz w:val="20"/>
          <w:szCs w:val="20"/>
          <w:lang w:val="en-GB" w:eastAsia="de-AT"/>
        </w:rPr>
      </w:pPr>
    </w:p>
    <w:tbl>
      <w:tblPr>
        <w:tblStyle w:val="Tabellenraster2"/>
        <w:tblW w:w="9209" w:type="dxa"/>
        <w:tblLook w:val="04A0" w:firstRow="1" w:lastRow="0" w:firstColumn="1" w:lastColumn="0" w:noHBand="0" w:noVBand="1"/>
      </w:tblPr>
      <w:tblGrid>
        <w:gridCol w:w="9209"/>
      </w:tblGrid>
      <w:tr w:rsidR="00D25848" w:rsidRPr="00FC4882" w14:paraId="1C34D02F" w14:textId="77777777" w:rsidTr="00EC57AC">
        <w:tc>
          <w:tcPr>
            <w:tcW w:w="9209" w:type="dxa"/>
          </w:tcPr>
          <w:p w14:paraId="61BCCA1A" w14:textId="77777777" w:rsidR="00D25848" w:rsidRPr="002C6A98" w:rsidRDefault="00D25848" w:rsidP="00EC57AC">
            <w:pPr>
              <w:suppressAutoHyphens w:val="0"/>
              <w:spacing w:after="120"/>
              <w:jc w:val="both"/>
              <w:rPr>
                <w:rFonts w:eastAsia="Arial"/>
                <w:bCs/>
                <w:lang w:eastAsia="de-AT"/>
              </w:rPr>
            </w:pPr>
            <w:r w:rsidRPr="002C6A98">
              <w:rPr>
                <w:rFonts w:eastAsia="Arial"/>
                <w:bCs/>
                <w:lang w:eastAsia="de-AT"/>
              </w:rPr>
              <w:t xml:space="preserve">This document presents the synthesised text for the application of the </w:t>
            </w:r>
            <w:r w:rsidR="00EC57AC" w:rsidRPr="00EC57AC">
              <w:rPr>
                <w:rFonts w:eastAsia="Arial"/>
                <w:bCs/>
                <w:lang w:eastAsia="de-AT"/>
              </w:rPr>
              <w:t>Convention</w:t>
            </w:r>
            <w:r w:rsidR="00EC57AC">
              <w:rPr>
                <w:rFonts w:eastAsia="Arial"/>
                <w:bCs/>
                <w:lang w:eastAsia="de-AT"/>
              </w:rPr>
              <w:t xml:space="preserve"> b</w:t>
            </w:r>
            <w:r w:rsidR="00EC57AC" w:rsidRPr="00EC57AC">
              <w:rPr>
                <w:rFonts w:eastAsia="Arial"/>
                <w:bCs/>
                <w:lang w:eastAsia="de-AT"/>
              </w:rPr>
              <w:t>etween</w:t>
            </w:r>
            <w:r w:rsidR="00EC57AC">
              <w:rPr>
                <w:rFonts w:eastAsia="Arial"/>
                <w:bCs/>
                <w:lang w:eastAsia="de-AT"/>
              </w:rPr>
              <w:t xml:space="preserve"> the Government of the Republic o</w:t>
            </w:r>
            <w:r w:rsidR="00EC57AC" w:rsidRPr="00EC57AC">
              <w:rPr>
                <w:rFonts w:eastAsia="Arial"/>
                <w:bCs/>
                <w:lang w:eastAsia="de-AT"/>
              </w:rPr>
              <w:t>f Austria</w:t>
            </w:r>
            <w:r w:rsidR="00EC57AC">
              <w:rPr>
                <w:rFonts w:eastAsia="Arial"/>
                <w:bCs/>
                <w:lang w:eastAsia="de-AT"/>
              </w:rPr>
              <w:t xml:space="preserve"> and the Government of the Republic o</w:t>
            </w:r>
            <w:r w:rsidR="00EC57AC" w:rsidRPr="00EC57AC">
              <w:rPr>
                <w:rFonts w:eastAsia="Arial"/>
                <w:bCs/>
                <w:lang w:eastAsia="de-AT"/>
              </w:rPr>
              <w:t>f Armenia</w:t>
            </w:r>
            <w:r w:rsidR="00EC57AC">
              <w:rPr>
                <w:rFonts w:eastAsia="Arial"/>
                <w:bCs/>
                <w:lang w:eastAsia="de-AT"/>
              </w:rPr>
              <w:t xml:space="preserve"> for the Avoidance o</w:t>
            </w:r>
            <w:r w:rsidR="00EC57AC" w:rsidRPr="00EC57AC">
              <w:rPr>
                <w:rFonts w:eastAsia="Arial"/>
                <w:bCs/>
                <w:lang w:eastAsia="de-AT"/>
              </w:rPr>
              <w:t>f Double Taxation</w:t>
            </w:r>
            <w:r w:rsidR="00EC57AC">
              <w:rPr>
                <w:rFonts w:eastAsia="Arial"/>
                <w:bCs/>
                <w:lang w:eastAsia="de-AT"/>
              </w:rPr>
              <w:t xml:space="preserve"> with Respect to Taxes on Income and o</w:t>
            </w:r>
            <w:r w:rsidR="00EC57AC" w:rsidRPr="00EC57AC">
              <w:rPr>
                <w:rFonts w:eastAsia="Arial"/>
                <w:bCs/>
                <w:lang w:eastAsia="de-AT"/>
              </w:rPr>
              <w:t>n Capital</w:t>
            </w:r>
            <w:r w:rsidR="00EC57AC">
              <w:rPr>
                <w:rFonts w:eastAsia="Arial"/>
                <w:bCs/>
                <w:lang w:eastAsia="de-AT"/>
              </w:rPr>
              <w:t xml:space="preserve"> </w:t>
            </w:r>
            <w:r w:rsidRPr="002C6A98">
              <w:rPr>
                <w:rFonts w:eastAsia="Arial"/>
                <w:bCs/>
                <w:lang w:eastAsia="de-AT"/>
              </w:rPr>
              <w:t xml:space="preserve">signed on </w:t>
            </w:r>
            <w:r w:rsidR="00EC57AC">
              <w:rPr>
                <w:rFonts w:eastAsia="Arial"/>
                <w:bCs/>
                <w:lang w:eastAsia="de-AT"/>
              </w:rPr>
              <w:t>27 February 2002</w:t>
            </w:r>
            <w:r w:rsidRPr="002C6A98">
              <w:rPr>
                <w:rFonts w:eastAsia="Arial"/>
                <w:bCs/>
                <w:lang w:eastAsia="de-AT"/>
              </w:rPr>
              <w:t xml:space="preserve"> (the “</w:t>
            </w:r>
            <w:r w:rsidR="00EC57AC">
              <w:rPr>
                <w:rFonts w:eastAsia="Arial"/>
                <w:bCs/>
                <w:lang w:eastAsia="de-AT"/>
              </w:rPr>
              <w:t>Convention</w:t>
            </w:r>
            <w:r w:rsidRPr="002C6A98">
              <w:rPr>
                <w:rFonts w:eastAsia="Arial"/>
                <w:bCs/>
                <w:lang w:eastAsia="de-AT"/>
              </w:rPr>
              <w:t xml:space="preserve">”), as modified by the Multilateral Convention to Implement Tax Treaty Related Measures to Prevent Base Erosion and Profit Shifting signed by the Republic of Austria and by the </w:t>
            </w:r>
            <w:r w:rsidR="00EC57AC">
              <w:rPr>
                <w:rFonts w:eastAsia="Arial"/>
                <w:bCs/>
                <w:lang w:eastAsia="de-AT"/>
              </w:rPr>
              <w:t>Republic of Armenia</w:t>
            </w:r>
            <w:r w:rsidRPr="002C6A98">
              <w:rPr>
                <w:rFonts w:eastAsia="Arial"/>
                <w:bCs/>
                <w:lang w:eastAsia="de-AT"/>
              </w:rPr>
              <w:t xml:space="preserve"> on 7 June 2017 (the “MLI”).</w:t>
            </w:r>
          </w:p>
          <w:p w14:paraId="22A22808" w14:textId="77777777" w:rsidR="00D25848" w:rsidRPr="002C6A98" w:rsidRDefault="00D25848" w:rsidP="00D25848">
            <w:pPr>
              <w:suppressAutoHyphens w:val="0"/>
              <w:spacing w:after="120"/>
              <w:jc w:val="both"/>
              <w:rPr>
                <w:rFonts w:eastAsia="Arial"/>
                <w:bCs/>
                <w:lang w:eastAsia="de-AT"/>
              </w:rPr>
            </w:pPr>
            <w:r w:rsidRPr="002C6A98">
              <w:rPr>
                <w:rFonts w:eastAsia="Arial"/>
                <w:bCs/>
                <w:lang w:eastAsia="de-AT"/>
              </w:rPr>
              <w:t xml:space="preserve">This document was prepared jointly by the competent authorities of the Republic of Austria and the </w:t>
            </w:r>
            <w:r w:rsidR="005B46F5">
              <w:rPr>
                <w:rFonts w:eastAsia="Arial"/>
                <w:bCs/>
                <w:lang w:eastAsia="de-AT"/>
              </w:rPr>
              <w:t>Republic of Armenia</w:t>
            </w:r>
            <w:r w:rsidRPr="002C6A98">
              <w:rPr>
                <w:rFonts w:eastAsia="Arial"/>
                <w:bCs/>
                <w:lang w:eastAsia="de-AT"/>
              </w:rPr>
              <w:t xml:space="preserve"> and represents their shared understanding of the modifications made to the Agreement by the MLI.</w:t>
            </w:r>
          </w:p>
          <w:p w14:paraId="41E6738D" w14:textId="77777777" w:rsidR="00D25848" w:rsidRPr="002C6A98" w:rsidRDefault="00D25848" w:rsidP="00D25848">
            <w:pPr>
              <w:suppressAutoHyphens w:val="0"/>
              <w:spacing w:after="120"/>
              <w:jc w:val="both"/>
              <w:rPr>
                <w:rFonts w:eastAsia="Arial"/>
                <w:bCs/>
                <w:lang w:eastAsia="de-AT"/>
              </w:rPr>
            </w:pPr>
            <w:r w:rsidRPr="002C6A98">
              <w:rPr>
                <w:rFonts w:eastAsia="Arial"/>
                <w:bCs/>
                <w:lang w:eastAsia="de-AT"/>
              </w:rPr>
              <w:t xml:space="preserve">The document was prepared on the basis of the MLI position of the Republic of Austria submitted to the Depositary upon ratification on 22 September 2017, as updated upon notification of extension of the list of agreements on 30 August 2023, and of the </w:t>
            </w:r>
            <w:r w:rsidR="00EC57AC">
              <w:rPr>
                <w:rFonts w:eastAsia="Arial"/>
                <w:bCs/>
                <w:lang w:eastAsia="de-AT"/>
              </w:rPr>
              <w:t>Republic of Armenia</w:t>
            </w:r>
            <w:r w:rsidRPr="002C6A98">
              <w:rPr>
                <w:rFonts w:eastAsia="Arial"/>
                <w:bCs/>
                <w:lang w:eastAsia="de-AT"/>
              </w:rPr>
              <w:t xml:space="preserve"> submitted to the Depositary upon ratification on </w:t>
            </w:r>
            <w:r w:rsidR="00EC57AC">
              <w:rPr>
                <w:rFonts w:eastAsia="Arial"/>
                <w:bCs/>
                <w:lang w:eastAsia="de-AT"/>
              </w:rPr>
              <w:t>25 September 2023</w:t>
            </w:r>
            <w:r w:rsidRPr="002C6A98">
              <w:rPr>
                <w:rFonts w:eastAsia="Arial"/>
                <w:bCs/>
                <w:lang w:eastAsia="de-AT"/>
              </w:rPr>
              <w:t>. These MLI positions are subject to modifications as provided in the MLI. Modifications made to MLI positions could modify the effects of the MLI on this Agreement.</w:t>
            </w:r>
          </w:p>
          <w:p w14:paraId="7D14C72F" w14:textId="212A4160" w:rsidR="00A84DC1" w:rsidRPr="00A84DC1" w:rsidRDefault="00A84DC1" w:rsidP="00D25848">
            <w:pPr>
              <w:suppressAutoHyphens w:val="0"/>
              <w:spacing w:after="120"/>
              <w:jc w:val="both"/>
              <w:rPr>
                <w:rFonts w:eastAsia="Arial"/>
                <w:bCs/>
                <w:color w:val="FF0000"/>
                <w:lang w:eastAsia="de-AT"/>
              </w:rPr>
            </w:pPr>
            <w:r w:rsidRPr="00A84DC1">
              <w:rPr>
                <w:color w:val="FF0000"/>
              </w:rPr>
              <w:t>The sole purpose of this document is to facilitate the understanding of the application of the MLI to the Convention and the document does not constitute a document of law. The authentic legal texts of the Convention and the MLI take precedence and remain the only legal texts applicable</w:t>
            </w:r>
          </w:p>
          <w:p w14:paraId="40EBCE5A" w14:textId="45DAFC7B" w:rsidR="00D25848" w:rsidRPr="00A84DC1" w:rsidRDefault="00D25848" w:rsidP="00D25848">
            <w:pPr>
              <w:suppressAutoHyphens w:val="0"/>
              <w:spacing w:after="120"/>
              <w:jc w:val="both"/>
              <w:rPr>
                <w:rFonts w:eastAsia="Arial"/>
                <w:bCs/>
                <w:color w:val="FF0000"/>
                <w:lang w:eastAsia="de-AT"/>
              </w:rPr>
            </w:pPr>
            <w:r w:rsidRPr="00A84DC1">
              <w:rPr>
                <w:rFonts w:eastAsia="Arial"/>
                <w:bCs/>
                <w:color w:val="FF0000"/>
                <w:lang w:eastAsia="de-AT"/>
              </w:rPr>
              <w:t>The authentic legal texts of the Agreement and the MLI take precedence and remain the legal texts applicable.</w:t>
            </w:r>
          </w:p>
          <w:p w14:paraId="31581C47" w14:textId="77777777" w:rsidR="00D25848" w:rsidRPr="002C6A98" w:rsidRDefault="00D25848" w:rsidP="00D25848">
            <w:pPr>
              <w:suppressAutoHyphens w:val="0"/>
              <w:spacing w:after="120"/>
              <w:jc w:val="both"/>
              <w:rPr>
                <w:rFonts w:eastAsia="Arial"/>
                <w:bCs/>
                <w:lang w:eastAsia="de-AT"/>
              </w:rPr>
            </w:pPr>
            <w:r w:rsidRPr="002C6A98">
              <w:rPr>
                <w:rFonts w:eastAsia="Arial"/>
                <w:bCs/>
                <w:lang w:eastAsia="de-AT"/>
              </w:rPr>
              <w:t>The provisions of the MLI that are applicable with respect to the provisions of the Agreement are included in boxes throughout the text of this document in the context of the relevant provisions of the Agreement. The boxes containing the provisions of the MLI have generally been inserted in accordance with the ordering of the provisions of the OECD Model Tax Convention.</w:t>
            </w:r>
          </w:p>
          <w:p w14:paraId="1C419182" w14:textId="77777777" w:rsidR="00D25848" w:rsidRPr="002C6A98" w:rsidRDefault="00D25848" w:rsidP="00D25848">
            <w:pPr>
              <w:suppressAutoHyphens w:val="0"/>
              <w:spacing w:after="120"/>
              <w:jc w:val="both"/>
              <w:rPr>
                <w:rFonts w:eastAsia="Arial"/>
                <w:bCs/>
                <w:lang w:eastAsia="de-AT"/>
              </w:rPr>
            </w:pPr>
            <w:r w:rsidRPr="002C6A98">
              <w:rPr>
                <w:rFonts w:eastAsia="Arial"/>
                <w:bCs/>
                <w:lang w:eastAsia="de-AT"/>
              </w:rPr>
              <w:t>Changes to the text of the provisions of the MLI have been made to conform the terminology used in the MLI to the terminology used in the Agreement (such as “Covered Tax Agreement” and “Agreement”, “Contracting Jurisdictions” and “Contracting States”), to ease the comprehension of the provisions of the MLI. The changes in terminology are intended to increase the readability of the document and are not intended to change the substance of the provisions of the MLI. Similarly, changes have been made to parts of provisions of the MLI that describe existing provisions of the Agreement: descriptive language has been replaced by legal references of the existing provisions to ease the readability.</w:t>
            </w:r>
          </w:p>
          <w:p w14:paraId="1A77E72B" w14:textId="77777777" w:rsidR="00D25848" w:rsidRPr="002C6A98" w:rsidRDefault="00D25848" w:rsidP="00D25848">
            <w:pPr>
              <w:suppressAutoHyphens w:val="0"/>
              <w:spacing w:after="120"/>
              <w:jc w:val="both"/>
              <w:rPr>
                <w:rFonts w:eastAsia="Arial"/>
                <w:bCs/>
                <w:lang w:eastAsia="de-AT"/>
              </w:rPr>
            </w:pPr>
            <w:r w:rsidRPr="002C6A98">
              <w:rPr>
                <w:rFonts w:eastAsia="Arial"/>
                <w:bCs/>
                <w:lang w:eastAsia="de-AT"/>
              </w:rPr>
              <w:t>In all cases, references made to the provisions of the Agreement or to the Agreement must be understood as referring to the Agreement as modified by the provisions of the MLI, provided such provisions of the MLI have taken effect.</w:t>
            </w:r>
          </w:p>
          <w:p w14:paraId="04EC2648" w14:textId="77777777" w:rsidR="00D25848" w:rsidRPr="002C6A98" w:rsidRDefault="00D25848" w:rsidP="00D25848">
            <w:pPr>
              <w:suppressAutoHyphens w:val="0"/>
              <w:spacing w:after="120"/>
              <w:jc w:val="both"/>
              <w:rPr>
                <w:rFonts w:eastAsia="Arial"/>
                <w:bCs/>
                <w:u w:val="single"/>
                <w:lang w:eastAsia="de-AT"/>
              </w:rPr>
            </w:pPr>
            <w:r w:rsidRPr="002C6A98">
              <w:rPr>
                <w:rFonts w:eastAsia="Arial"/>
                <w:bCs/>
                <w:u w:val="single"/>
                <w:lang w:eastAsia="de-AT"/>
              </w:rPr>
              <w:t>References</w:t>
            </w:r>
          </w:p>
          <w:p w14:paraId="72853A78" w14:textId="10D49C0A" w:rsidR="00D25848" w:rsidRPr="002C6A98" w:rsidRDefault="00D25848" w:rsidP="00D25848">
            <w:pPr>
              <w:suppressAutoHyphens w:val="0"/>
              <w:spacing w:after="120"/>
              <w:jc w:val="both"/>
              <w:rPr>
                <w:rFonts w:eastAsia="Arial"/>
                <w:bCs/>
                <w:lang w:eastAsia="de-AT"/>
              </w:rPr>
            </w:pPr>
            <w:r w:rsidRPr="002C6A98">
              <w:rPr>
                <w:rFonts w:eastAsia="Arial"/>
                <w:bCs/>
                <w:lang w:eastAsia="de-AT"/>
              </w:rPr>
              <w:t>The authentic legal texts of the MLI and the Agreement can be found on the webpage of the Federal Ministry of Finance (https://www.bmf.gv.at/).</w:t>
            </w:r>
          </w:p>
          <w:p w14:paraId="7C211523" w14:textId="77777777" w:rsidR="00D25848" w:rsidRPr="002C6A98" w:rsidRDefault="00D25848" w:rsidP="00EC57AC">
            <w:pPr>
              <w:suppressAutoHyphens w:val="0"/>
              <w:spacing w:after="120"/>
              <w:jc w:val="both"/>
              <w:rPr>
                <w:rFonts w:eastAsia="Arial"/>
                <w:b/>
                <w:bCs/>
                <w:lang w:eastAsia="de-AT"/>
              </w:rPr>
            </w:pPr>
            <w:r w:rsidRPr="002C6A98">
              <w:rPr>
                <w:rFonts w:eastAsia="Arial"/>
                <w:bCs/>
                <w:lang w:eastAsia="de-AT"/>
              </w:rPr>
              <w:t xml:space="preserve">The MLI position of the Republic of Austria submitted to the Depositary upon ratification on 22 September 2017, as updated upon notification of extension of the list of agreements on 30 August 2023, and the MLI position of the </w:t>
            </w:r>
            <w:r w:rsidR="00EC57AC">
              <w:rPr>
                <w:rFonts w:eastAsia="Arial"/>
                <w:bCs/>
                <w:lang w:eastAsia="de-AT"/>
              </w:rPr>
              <w:t>Republic of Armenia</w:t>
            </w:r>
            <w:r w:rsidRPr="002C6A98">
              <w:rPr>
                <w:rFonts w:eastAsia="Arial"/>
                <w:bCs/>
                <w:lang w:eastAsia="de-AT"/>
              </w:rPr>
              <w:t xml:space="preserve"> submitted to the Depositary upon ratification on </w:t>
            </w:r>
            <w:r w:rsidR="00EC57AC">
              <w:rPr>
                <w:rFonts w:eastAsia="Arial"/>
                <w:bCs/>
                <w:lang w:eastAsia="de-AT"/>
              </w:rPr>
              <w:t>25 September 2023</w:t>
            </w:r>
            <w:r w:rsidRPr="002C6A98">
              <w:rPr>
                <w:rFonts w:eastAsia="Arial"/>
                <w:bCs/>
                <w:lang w:eastAsia="de-AT"/>
              </w:rPr>
              <w:t xml:space="preserve"> can be found on the MLI Depositary (OECD) webpage (http://www.oecd.org/tax/treaties/beps-mli-signatories-and-parties.pdf).</w:t>
            </w:r>
          </w:p>
        </w:tc>
      </w:tr>
    </w:tbl>
    <w:p w14:paraId="31236747" w14:textId="77777777" w:rsidR="00D25848" w:rsidRPr="002C6A98" w:rsidRDefault="00D25848" w:rsidP="00D25848">
      <w:pPr>
        <w:suppressAutoHyphens w:val="0"/>
        <w:spacing w:before="80" w:after="0" w:line="220" w:lineRule="exact"/>
        <w:jc w:val="center"/>
        <w:rPr>
          <w:rFonts w:ascii="Times New Roman" w:eastAsia="Times New Roman" w:hAnsi="Times New Roman" w:cs="Times New Roman"/>
          <w:b/>
          <w:caps/>
          <w:color w:val="000000"/>
          <w:sz w:val="20"/>
          <w:szCs w:val="20"/>
          <w:lang w:val="en-GB" w:eastAsia="de-AT"/>
        </w:rPr>
      </w:pPr>
    </w:p>
    <w:p w14:paraId="7BD24F43" w14:textId="64B5636C" w:rsidR="00D25848" w:rsidRPr="002C6A98" w:rsidRDefault="00D25848" w:rsidP="00A84DC1">
      <w:pPr>
        <w:suppressAutoHyphens w:val="0"/>
        <w:spacing w:after="0" w:line="240" w:lineRule="auto"/>
        <w:rPr>
          <w:rFonts w:ascii="Times New Roman" w:eastAsia="Times New Roman" w:hAnsi="Times New Roman" w:cs="Times New Roman"/>
          <w:b/>
          <w:sz w:val="20"/>
          <w:szCs w:val="20"/>
          <w:lang w:val="en-GB" w:eastAsia="de-AT"/>
        </w:rPr>
      </w:pPr>
      <w:r w:rsidRPr="002C6A98">
        <w:rPr>
          <w:rFonts w:ascii="Times New Roman" w:eastAsia="Times New Roman" w:hAnsi="Times New Roman" w:cs="Times New Roman"/>
          <w:b/>
          <w:caps/>
          <w:sz w:val="20"/>
          <w:szCs w:val="20"/>
          <w:lang w:val="en-GB" w:eastAsia="de-AT"/>
        </w:rPr>
        <w:br w:type="page"/>
      </w:r>
      <w:r w:rsidRPr="002C6A98">
        <w:rPr>
          <w:rFonts w:ascii="Times New Roman" w:eastAsia="Times New Roman" w:hAnsi="Times New Roman" w:cs="Times New Roman"/>
          <w:b/>
          <w:sz w:val="20"/>
          <w:szCs w:val="20"/>
          <w:lang w:val="en-GB" w:eastAsia="de-AT"/>
        </w:rPr>
        <w:lastRenderedPageBreak/>
        <w:t>Disclaimer on the entry into effect of the provisions of the MLI</w:t>
      </w:r>
    </w:p>
    <w:p w14:paraId="4E37CABB" w14:textId="77777777" w:rsidR="00D25848" w:rsidRPr="002C6A98" w:rsidRDefault="00D25848" w:rsidP="00D25848">
      <w:pPr>
        <w:suppressAutoHyphens w:val="0"/>
        <w:spacing w:after="0" w:line="240" w:lineRule="auto"/>
        <w:rPr>
          <w:rFonts w:ascii="Times New Roman" w:eastAsia="Arial" w:hAnsi="Times New Roman" w:cs="Times New Roman"/>
          <w:b/>
          <w:bCs/>
          <w:sz w:val="20"/>
          <w:szCs w:val="20"/>
          <w:lang w:val="en-GB" w:eastAsia="de-AT"/>
        </w:rPr>
      </w:pPr>
    </w:p>
    <w:tbl>
      <w:tblPr>
        <w:tblStyle w:val="Tabellenraster2"/>
        <w:tblW w:w="9209" w:type="dxa"/>
        <w:tblLook w:val="04A0" w:firstRow="1" w:lastRow="0" w:firstColumn="1" w:lastColumn="0" w:noHBand="0" w:noVBand="1"/>
      </w:tblPr>
      <w:tblGrid>
        <w:gridCol w:w="9209"/>
      </w:tblGrid>
      <w:tr w:rsidR="00D25848" w:rsidRPr="00FC4882" w14:paraId="165F214D" w14:textId="77777777" w:rsidTr="00EC57AC">
        <w:tc>
          <w:tcPr>
            <w:tcW w:w="9209" w:type="dxa"/>
          </w:tcPr>
          <w:p w14:paraId="4D69387B" w14:textId="77777777" w:rsidR="00D25848" w:rsidRPr="002C6A98" w:rsidRDefault="00D25848" w:rsidP="00D25848">
            <w:pPr>
              <w:suppressAutoHyphens w:val="0"/>
              <w:spacing w:after="120"/>
              <w:rPr>
                <w:rFonts w:eastAsia="Arial"/>
                <w:bCs/>
                <w:u w:val="single"/>
                <w:lang w:eastAsia="de-AT"/>
              </w:rPr>
            </w:pPr>
            <w:r w:rsidRPr="002C6A98">
              <w:rPr>
                <w:rFonts w:eastAsia="Arial"/>
                <w:bCs/>
                <w:u w:val="single"/>
                <w:lang w:eastAsia="de-AT"/>
              </w:rPr>
              <w:t>Entry into Effect of the MLI Provisions</w:t>
            </w:r>
          </w:p>
          <w:p w14:paraId="58A8AAA3" w14:textId="77777777" w:rsidR="00D25848" w:rsidRPr="002C6A98" w:rsidRDefault="00D25848" w:rsidP="00D25848">
            <w:pPr>
              <w:suppressAutoHyphens w:val="0"/>
              <w:spacing w:after="120"/>
              <w:jc w:val="both"/>
              <w:rPr>
                <w:rFonts w:eastAsia="Arial"/>
                <w:bCs/>
                <w:lang w:eastAsia="de-AT"/>
              </w:rPr>
            </w:pPr>
            <w:r w:rsidRPr="002C6A98">
              <w:rPr>
                <w:rFonts w:eastAsia="Arial"/>
                <w:bCs/>
                <w:lang w:eastAsia="de-AT"/>
              </w:rPr>
              <w:t xml:space="preserve">The provisions of the MLI applicable to this Agreement do not take effect on the same dates as the original provisions of the Agreement. Each of the provisions of the MLI could take effect on different dates, depending on the types of taxes involved (taxes withheld at source or other taxes levied) and on the choices made by the Republic of Austria and the </w:t>
            </w:r>
            <w:r w:rsidR="005B46F5">
              <w:rPr>
                <w:rFonts w:eastAsia="Arial"/>
                <w:bCs/>
                <w:lang w:eastAsia="de-AT"/>
              </w:rPr>
              <w:t>Republic of Armenia</w:t>
            </w:r>
            <w:r w:rsidRPr="002C6A98">
              <w:rPr>
                <w:rFonts w:eastAsia="Arial"/>
                <w:bCs/>
                <w:lang w:eastAsia="de-AT"/>
              </w:rPr>
              <w:t xml:space="preserve"> in their MLI positions.</w:t>
            </w:r>
          </w:p>
          <w:p w14:paraId="59A714E4" w14:textId="1BDAB2E0" w:rsidR="00D25848" w:rsidRPr="002C6A98" w:rsidRDefault="00D25848" w:rsidP="00D25848">
            <w:pPr>
              <w:suppressAutoHyphens w:val="0"/>
              <w:spacing w:after="120"/>
              <w:jc w:val="both"/>
              <w:rPr>
                <w:rFonts w:eastAsia="Arial"/>
                <w:bCs/>
                <w:lang w:eastAsia="de-AT"/>
              </w:rPr>
            </w:pPr>
            <w:r w:rsidRPr="002C6A98">
              <w:rPr>
                <w:rFonts w:eastAsia="Arial"/>
                <w:bCs/>
                <w:lang w:eastAsia="de-AT"/>
              </w:rPr>
              <w:t>Dates of the</w:t>
            </w:r>
            <w:r w:rsidR="00A84DC1">
              <w:rPr>
                <w:rFonts w:eastAsia="Arial"/>
                <w:bCs/>
                <w:lang w:eastAsia="de-AT"/>
              </w:rPr>
              <w:t xml:space="preserve"> </w:t>
            </w:r>
            <w:r w:rsidRPr="002C6A98">
              <w:rPr>
                <w:rFonts w:eastAsia="Arial"/>
                <w:bCs/>
                <w:lang w:eastAsia="de-AT"/>
              </w:rPr>
              <w:t xml:space="preserve">deposit of instruments of ratification, acceptance or approval: 22 September 2017, as updated upon notification of extension of the list of agreements on 30 August 2023, for the Republic of Austria and </w:t>
            </w:r>
            <w:r w:rsidR="00EC57AC">
              <w:rPr>
                <w:rFonts w:eastAsia="Arial"/>
                <w:bCs/>
                <w:lang w:eastAsia="de-AT"/>
              </w:rPr>
              <w:t xml:space="preserve">25 September 2023 </w:t>
            </w:r>
            <w:r w:rsidRPr="002C6A98">
              <w:rPr>
                <w:rFonts w:eastAsia="Arial"/>
                <w:bCs/>
                <w:lang w:eastAsia="de-AT"/>
              </w:rPr>
              <w:t xml:space="preserve">for the </w:t>
            </w:r>
            <w:r w:rsidR="00EC57AC">
              <w:rPr>
                <w:rFonts w:eastAsia="Arial"/>
                <w:bCs/>
                <w:lang w:eastAsia="de-AT"/>
              </w:rPr>
              <w:t>Republic</w:t>
            </w:r>
            <w:r w:rsidRPr="002C6A98">
              <w:rPr>
                <w:rFonts w:eastAsia="Arial"/>
                <w:bCs/>
                <w:lang w:eastAsia="de-AT"/>
              </w:rPr>
              <w:t xml:space="preserve"> of </w:t>
            </w:r>
            <w:r w:rsidR="00EC57AC">
              <w:rPr>
                <w:rFonts w:eastAsia="Arial"/>
                <w:bCs/>
                <w:lang w:eastAsia="de-AT"/>
              </w:rPr>
              <w:t>Armenia</w:t>
            </w:r>
            <w:r w:rsidRPr="002C6A98">
              <w:rPr>
                <w:rFonts w:eastAsia="Arial"/>
                <w:bCs/>
                <w:lang w:eastAsia="de-AT"/>
              </w:rPr>
              <w:t>.</w:t>
            </w:r>
          </w:p>
          <w:p w14:paraId="79D95B52" w14:textId="77777777" w:rsidR="00D25848" w:rsidRPr="002C6A98" w:rsidRDefault="00D25848" w:rsidP="00D25848">
            <w:pPr>
              <w:suppressAutoHyphens w:val="0"/>
              <w:spacing w:after="120"/>
              <w:jc w:val="both"/>
              <w:rPr>
                <w:rFonts w:eastAsia="Arial"/>
                <w:bCs/>
                <w:lang w:eastAsia="de-AT"/>
              </w:rPr>
            </w:pPr>
            <w:r w:rsidRPr="002C6A98">
              <w:rPr>
                <w:rFonts w:eastAsia="Arial"/>
                <w:bCs/>
                <w:lang w:eastAsia="de-AT"/>
              </w:rPr>
              <w:t xml:space="preserve">Entry into force of the MLI: 1 July 2018 for the Republic of Austria and </w:t>
            </w:r>
            <w:r w:rsidR="00EC57AC">
              <w:rPr>
                <w:rFonts w:eastAsia="Arial"/>
                <w:bCs/>
                <w:lang w:eastAsia="de-AT"/>
              </w:rPr>
              <w:t>1 January</w:t>
            </w:r>
            <w:r w:rsidR="005B46F5">
              <w:rPr>
                <w:rFonts w:eastAsia="Arial"/>
                <w:bCs/>
                <w:lang w:eastAsia="de-AT"/>
              </w:rPr>
              <w:t xml:space="preserve"> 2024</w:t>
            </w:r>
            <w:r w:rsidRPr="002C6A98">
              <w:rPr>
                <w:rFonts w:eastAsia="Arial"/>
                <w:bCs/>
                <w:lang w:eastAsia="de-AT"/>
              </w:rPr>
              <w:t xml:space="preserve"> for the </w:t>
            </w:r>
            <w:r w:rsidR="00EC57AC">
              <w:rPr>
                <w:rFonts w:eastAsia="Arial"/>
                <w:bCs/>
                <w:lang w:eastAsia="de-AT"/>
              </w:rPr>
              <w:t>Republic</w:t>
            </w:r>
            <w:r w:rsidRPr="002C6A98">
              <w:rPr>
                <w:rFonts w:eastAsia="Arial"/>
                <w:bCs/>
                <w:lang w:eastAsia="de-AT"/>
              </w:rPr>
              <w:t xml:space="preserve"> of </w:t>
            </w:r>
            <w:r w:rsidR="00EC57AC">
              <w:rPr>
                <w:rFonts w:eastAsia="Arial"/>
                <w:bCs/>
                <w:lang w:eastAsia="de-AT"/>
              </w:rPr>
              <w:t>Armenia</w:t>
            </w:r>
            <w:r w:rsidRPr="002C6A98">
              <w:rPr>
                <w:rFonts w:eastAsia="Arial"/>
                <w:bCs/>
                <w:lang w:eastAsia="de-AT"/>
              </w:rPr>
              <w:t>.</w:t>
            </w:r>
          </w:p>
          <w:p w14:paraId="22915998" w14:textId="77777777" w:rsidR="00D25848" w:rsidRPr="002C6A98" w:rsidRDefault="00D25848" w:rsidP="00D25848">
            <w:pPr>
              <w:suppressAutoHyphens w:val="0"/>
              <w:spacing w:after="120"/>
              <w:jc w:val="both"/>
              <w:rPr>
                <w:rFonts w:eastAsia="Arial"/>
                <w:bCs/>
                <w:lang w:val="en-GB" w:eastAsia="de-AT"/>
              </w:rPr>
            </w:pPr>
            <w:r w:rsidRPr="002C6A98">
              <w:rPr>
                <w:rFonts w:eastAsia="Arial"/>
                <w:bCs/>
                <w:lang w:val="en-GB" w:eastAsia="de-AT"/>
              </w:rPr>
              <w:t>Notification of the updated positions of the Republic of Austria by the Depositary: 30 August 2023.</w:t>
            </w:r>
          </w:p>
          <w:p w14:paraId="3D26D8FC" w14:textId="77777777" w:rsidR="00D25848" w:rsidRPr="002C6A98" w:rsidRDefault="00D25848" w:rsidP="00D25848">
            <w:pPr>
              <w:suppressAutoHyphens w:val="0"/>
              <w:spacing w:after="120"/>
              <w:jc w:val="both"/>
              <w:rPr>
                <w:rFonts w:eastAsia="Arial"/>
                <w:b/>
                <w:bCs/>
                <w:lang w:eastAsia="de-AT"/>
              </w:rPr>
            </w:pPr>
            <w:r w:rsidRPr="002C6A98">
              <w:rPr>
                <w:rFonts w:eastAsia="Arial"/>
                <w:bCs/>
                <w:lang w:eastAsia="de-AT"/>
              </w:rPr>
              <w:t>This document provides specific information on the dates on or after which each of the provisions of the MLI has effect with respect to the Agreement throughout this document.</w:t>
            </w:r>
          </w:p>
        </w:tc>
      </w:tr>
    </w:tbl>
    <w:p w14:paraId="5A8D5413" w14:textId="77777777" w:rsidR="00D25848" w:rsidRDefault="00D25848">
      <w:pPr>
        <w:suppressAutoHyphens w:val="0"/>
        <w:rPr>
          <w:rFonts w:ascii="Times New Roman" w:hAnsi="Times New Roman" w:cs="Times New Roman"/>
          <w:b/>
          <w:sz w:val="22"/>
          <w:szCs w:val="22"/>
          <w:lang w:val="en-US"/>
        </w:rPr>
      </w:pPr>
    </w:p>
    <w:p w14:paraId="7ADF3337" w14:textId="77777777" w:rsidR="00D25848" w:rsidRDefault="00D25848">
      <w:pPr>
        <w:suppressAutoHyphens w:val="0"/>
        <w:rPr>
          <w:rFonts w:ascii="Times New Roman" w:hAnsi="Times New Roman" w:cs="Times New Roman"/>
          <w:b/>
          <w:sz w:val="22"/>
          <w:szCs w:val="22"/>
          <w:lang w:val="en-US"/>
        </w:rPr>
      </w:pPr>
      <w:r>
        <w:rPr>
          <w:rFonts w:ascii="Times New Roman" w:hAnsi="Times New Roman" w:cs="Times New Roman"/>
          <w:b/>
          <w:sz w:val="22"/>
          <w:szCs w:val="22"/>
          <w:lang w:val="en-US"/>
        </w:rPr>
        <w:br w:type="page"/>
      </w:r>
    </w:p>
    <w:p w14:paraId="5FBCCEC6" w14:textId="77777777" w:rsidR="006822C9" w:rsidRPr="00F7778D" w:rsidRDefault="006822C9" w:rsidP="00F7778D">
      <w:pPr>
        <w:spacing w:before="120" w:after="120" w:line="276" w:lineRule="auto"/>
        <w:jc w:val="center"/>
        <w:rPr>
          <w:rFonts w:ascii="Times New Roman" w:hAnsi="Times New Roman" w:cs="Times New Roman"/>
          <w:b/>
          <w:sz w:val="22"/>
          <w:szCs w:val="22"/>
          <w:lang w:val="en-US"/>
        </w:rPr>
      </w:pPr>
      <w:r w:rsidRPr="00F7778D">
        <w:rPr>
          <w:rFonts w:ascii="Times New Roman" w:hAnsi="Times New Roman" w:cs="Times New Roman"/>
          <w:b/>
          <w:sz w:val="22"/>
          <w:szCs w:val="22"/>
          <w:lang w:val="en-US"/>
        </w:rPr>
        <w:lastRenderedPageBreak/>
        <w:t>CONVENTION</w:t>
      </w:r>
    </w:p>
    <w:p w14:paraId="69555D44" w14:textId="77777777" w:rsidR="006822C9" w:rsidRPr="00F7778D" w:rsidRDefault="006822C9" w:rsidP="00F7778D">
      <w:pPr>
        <w:spacing w:before="120" w:after="120" w:line="276" w:lineRule="auto"/>
        <w:jc w:val="center"/>
        <w:rPr>
          <w:rFonts w:ascii="Times New Roman" w:hAnsi="Times New Roman" w:cs="Times New Roman"/>
          <w:b/>
          <w:sz w:val="22"/>
          <w:szCs w:val="22"/>
          <w:lang w:val="en-US"/>
        </w:rPr>
      </w:pPr>
      <w:r w:rsidRPr="00F7778D">
        <w:rPr>
          <w:rFonts w:ascii="Times New Roman" w:hAnsi="Times New Roman" w:cs="Times New Roman"/>
          <w:b/>
          <w:sz w:val="22"/>
          <w:szCs w:val="22"/>
          <w:lang w:val="en-US"/>
        </w:rPr>
        <w:t>BETWEEN</w:t>
      </w:r>
    </w:p>
    <w:p w14:paraId="0AE7E3A8" w14:textId="77777777" w:rsidR="006822C9" w:rsidRPr="00F7778D" w:rsidRDefault="006822C9" w:rsidP="00F7778D">
      <w:pPr>
        <w:spacing w:before="120" w:after="120" w:line="276" w:lineRule="auto"/>
        <w:jc w:val="center"/>
        <w:rPr>
          <w:rFonts w:ascii="Times New Roman" w:hAnsi="Times New Roman" w:cs="Times New Roman"/>
          <w:b/>
          <w:sz w:val="22"/>
          <w:szCs w:val="22"/>
          <w:lang w:val="en-US"/>
        </w:rPr>
      </w:pPr>
      <w:r w:rsidRPr="00F7778D">
        <w:rPr>
          <w:rFonts w:ascii="Times New Roman" w:hAnsi="Times New Roman" w:cs="Times New Roman"/>
          <w:b/>
          <w:sz w:val="22"/>
          <w:szCs w:val="22"/>
          <w:lang w:val="en-US"/>
        </w:rPr>
        <w:t>THE GOVERNMENT OF THE REPUBLIC OF AUSTRIA</w:t>
      </w:r>
    </w:p>
    <w:p w14:paraId="7D15515C" w14:textId="77777777" w:rsidR="006822C9" w:rsidRPr="00F7778D" w:rsidRDefault="006822C9" w:rsidP="00F7778D">
      <w:pPr>
        <w:spacing w:before="120" w:after="120" w:line="276" w:lineRule="auto"/>
        <w:jc w:val="center"/>
        <w:rPr>
          <w:rFonts w:ascii="Times New Roman" w:hAnsi="Times New Roman" w:cs="Times New Roman"/>
          <w:b/>
          <w:sz w:val="22"/>
          <w:szCs w:val="22"/>
          <w:lang w:val="en-US"/>
        </w:rPr>
      </w:pPr>
      <w:r w:rsidRPr="00F7778D">
        <w:rPr>
          <w:rFonts w:ascii="Times New Roman" w:hAnsi="Times New Roman" w:cs="Times New Roman"/>
          <w:b/>
          <w:sz w:val="22"/>
          <w:szCs w:val="22"/>
          <w:lang w:val="en-US"/>
        </w:rPr>
        <w:t>AND THE GOVERNMENT OF THE REPUBLIC OF ARMENIA</w:t>
      </w:r>
    </w:p>
    <w:p w14:paraId="35DF3281" w14:textId="77777777" w:rsidR="006822C9" w:rsidRPr="00F7778D" w:rsidRDefault="006822C9" w:rsidP="00F7778D">
      <w:pPr>
        <w:spacing w:before="120" w:after="120" w:line="276" w:lineRule="auto"/>
        <w:jc w:val="center"/>
        <w:rPr>
          <w:rFonts w:ascii="Times New Roman" w:hAnsi="Times New Roman" w:cs="Times New Roman"/>
          <w:b/>
          <w:sz w:val="22"/>
          <w:szCs w:val="22"/>
          <w:lang w:val="en-US"/>
        </w:rPr>
      </w:pPr>
      <w:r w:rsidRPr="00F7778D">
        <w:rPr>
          <w:rFonts w:ascii="Times New Roman" w:hAnsi="Times New Roman" w:cs="Times New Roman"/>
          <w:b/>
          <w:sz w:val="22"/>
          <w:szCs w:val="22"/>
          <w:lang w:val="en-US"/>
        </w:rPr>
        <w:t>FOR THE AVOIDANCE OF DOUBLE TAXATION</w:t>
      </w:r>
    </w:p>
    <w:p w14:paraId="4EA150E9" w14:textId="77777777" w:rsidR="006822C9" w:rsidRPr="00F7778D" w:rsidRDefault="006822C9" w:rsidP="00F7778D">
      <w:pPr>
        <w:spacing w:before="120" w:after="120" w:line="276" w:lineRule="auto"/>
        <w:jc w:val="center"/>
        <w:rPr>
          <w:rFonts w:ascii="Times New Roman" w:hAnsi="Times New Roman" w:cs="Times New Roman"/>
          <w:b/>
          <w:sz w:val="22"/>
          <w:szCs w:val="22"/>
          <w:lang w:val="en-US"/>
        </w:rPr>
      </w:pPr>
      <w:r w:rsidRPr="00F7778D">
        <w:rPr>
          <w:rFonts w:ascii="Times New Roman" w:hAnsi="Times New Roman" w:cs="Times New Roman"/>
          <w:b/>
          <w:sz w:val="22"/>
          <w:szCs w:val="22"/>
          <w:lang w:val="en-US"/>
        </w:rPr>
        <w:t>WITH RESPECT TO TAXES ON INCOME AND ON CAPITAL</w:t>
      </w:r>
    </w:p>
    <w:p w14:paraId="1DA9D084" w14:textId="77777777" w:rsidR="006822C9" w:rsidRDefault="006822C9" w:rsidP="006822C9">
      <w:pPr>
        <w:spacing w:before="120" w:after="120" w:line="276" w:lineRule="auto"/>
        <w:jc w:val="both"/>
        <w:rPr>
          <w:rFonts w:ascii="Times New Roman" w:hAnsi="Times New Roman" w:cs="Times New Roman"/>
          <w:sz w:val="22"/>
          <w:szCs w:val="22"/>
          <w:lang w:val="en-US"/>
        </w:rPr>
      </w:pPr>
    </w:p>
    <w:p w14:paraId="16B11193" w14:textId="77777777" w:rsidR="006822C9" w:rsidRDefault="006822C9" w:rsidP="006822C9">
      <w:pPr>
        <w:spacing w:before="120" w:after="120" w:line="276" w:lineRule="auto"/>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The Government of the Republic of Austria and the Government of the Republic of Armenia, </w:t>
      </w:r>
    </w:p>
    <w:p w14:paraId="21FC0208" w14:textId="77777777" w:rsidR="006822C9" w:rsidRDefault="00A40255" w:rsidP="006822C9">
      <w:pPr>
        <w:spacing w:before="120" w:after="120" w:line="276" w:lineRule="auto"/>
        <w:jc w:val="both"/>
        <w:rPr>
          <w:rFonts w:ascii="Times New Roman" w:hAnsi="Times New Roman" w:cs="Times New Roman"/>
          <w:sz w:val="22"/>
          <w:szCs w:val="22"/>
          <w:lang w:val="en-US"/>
        </w:rPr>
      </w:pPr>
      <w:r w:rsidRPr="00A40255">
        <w:rPr>
          <w:rFonts w:ascii="Times New Roman" w:hAnsi="Times New Roman" w:cs="Times New Roman"/>
          <w:b/>
          <w:sz w:val="22"/>
          <w:szCs w:val="22"/>
          <w:lang w:val="en-US"/>
        </w:rPr>
        <w:t>[REPLACED by paragraph 1 of Article 6 of the MLI]</w:t>
      </w:r>
      <w:r w:rsidRPr="00A40255">
        <w:rPr>
          <w:rFonts w:ascii="Times New Roman" w:hAnsi="Times New Roman" w:cs="Times New Roman"/>
          <w:sz w:val="22"/>
          <w:szCs w:val="22"/>
          <w:lang w:val="en-US"/>
        </w:rPr>
        <w:t xml:space="preserve"> [</w:t>
      </w:r>
      <w:r w:rsidR="006822C9" w:rsidRPr="006822C9">
        <w:rPr>
          <w:rFonts w:ascii="Times New Roman" w:hAnsi="Times New Roman" w:cs="Times New Roman"/>
          <w:sz w:val="22"/>
          <w:szCs w:val="22"/>
          <w:lang w:val="en-US"/>
        </w:rPr>
        <w:t xml:space="preserve">desiring to conclude a Convention for the avoidance of double taxation with respect to </w:t>
      </w:r>
      <w:r>
        <w:rPr>
          <w:rFonts w:ascii="Times New Roman" w:hAnsi="Times New Roman" w:cs="Times New Roman"/>
          <w:sz w:val="22"/>
          <w:szCs w:val="22"/>
          <w:lang w:val="en-US"/>
        </w:rPr>
        <w:t>taxes on income and on capital,]</w:t>
      </w:r>
    </w:p>
    <w:tbl>
      <w:tblPr>
        <w:tblStyle w:val="Tabellenraster1"/>
        <w:tblW w:w="8931" w:type="dxa"/>
        <w:tblInd w:w="-5" w:type="dxa"/>
        <w:tblLook w:val="04A0" w:firstRow="1" w:lastRow="0" w:firstColumn="1" w:lastColumn="0" w:noHBand="0" w:noVBand="1"/>
      </w:tblPr>
      <w:tblGrid>
        <w:gridCol w:w="8931"/>
      </w:tblGrid>
      <w:tr w:rsidR="00A40255" w:rsidRPr="00FC4882" w14:paraId="413212A7" w14:textId="77777777" w:rsidTr="00A40255">
        <w:tc>
          <w:tcPr>
            <w:tcW w:w="8931" w:type="dxa"/>
          </w:tcPr>
          <w:p w14:paraId="5BE6A746" w14:textId="77777777" w:rsidR="00A40255" w:rsidRPr="002C6A98" w:rsidRDefault="00A40255" w:rsidP="00A40255">
            <w:pPr>
              <w:suppressAutoHyphens w:val="0"/>
              <w:spacing w:after="5" w:line="276" w:lineRule="auto"/>
              <w:ind w:right="3"/>
              <w:jc w:val="both"/>
              <w:rPr>
                <w:rFonts w:ascii="Times New Roman" w:eastAsia="Arial" w:hAnsi="Times New Roman" w:cs="Times New Roman"/>
                <w:i/>
                <w:color w:val="000000"/>
                <w:lang w:val="en-GB"/>
              </w:rPr>
            </w:pPr>
            <w:r w:rsidRPr="002C6A98">
              <w:rPr>
                <w:rFonts w:ascii="Times New Roman" w:eastAsiaTheme="minorHAnsi" w:hAnsi="Times New Roman" w:cs="Times New Roman"/>
                <w:i/>
                <w:lang w:val="en-US" w:eastAsia="en-US"/>
              </w:rPr>
              <w:t xml:space="preserve">The following paragraph 1 of Article 6 of the MLI </w:t>
            </w:r>
            <w:r w:rsidR="00EC01EB" w:rsidRPr="00EC01EB">
              <w:rPr>
                <w:rFonts w:ascii="Times New Roman" w:eastAsiaTheme="minorHAnsi" w:hAnsi="Times New Roman" w:cs="Times New Roman"/>
                <w:i/>
                <w:lang w:val="en-US" w:eastAsia="en-US"/>
              </w:rPr>
              <w:t xml:space="preserve">replaces the text referring to an intent to eliminate double taxation </w:t>
            </w:r>
            <w:r w:rsidRPr="002C6A98">
              <w:rPr>
                <w:rFonts w:ascii="Times New Roman" w:eastAsiaTheme="minorHAnsi" w:hAnsi="Times New Roman" w:cs="Times New Roman"/>
                <w:i/>
                <w:lang w:val="en-US" w:eastAsia="en-US"/>
              </w:rPr>
              <w:t>in the preamble of this Convention:</w:t>
            </w:r>
            <w:r w:rsidRPr="002C6A98">
              <w:rPr>
                <w:rFonts w:ascii="Times New Roman" w:eastAsia="Arial" w:hAnsi="Times New Roman" w:cs="Times New Roman"/>
                <w:color w:val="000000"/>
                <w:vertAlign w:val="superscript"/>
                <w:lang w:val="en-GB"/>
              </w:rPr>
              <w:footnoteReference w:id="1"/>
            </w:r>
          </w:p>
          <w:p w14:paraId="3AAC1560" w14:textId="77777777" w:rsidR="00A40255" w:rsidRPr="002C6A98" w:rsidRDefault="00A40255" w:rsidP="00A40255">
            <w:pPr>
              <w:suppressAutoHyphens w:val="0"/>
              <w:spacing w:after="5" w:line="276" w:lineRule="auto"/>
              <w:ind w:left="165" w:right="3" w:firstLine="278"/>
              <w:jc w:val="both"/>
              <w:rPr>
                <w:rFonts w:ascii="Times New Roman" w:eastAsia="Arial" w:hAnsi="Times New Roman" w:cs="Times New Roman"/>
                <w:color w:val="000000"/>
                <w:lang w:val="en-GB"/>
              </w:rPr>
            </w:pPr>
          </w:p>
          <w:p w14:paraId="76BCE1C2" w14:textId="77777777" w:rsidR="00A40255" w:rsidRPr="002C6A98" w:rsidRDefault="00A40255" w:rsidP="00A40255">
            <w:pPr>
              <w:suppressAutoHyphens w:val="0"/>
              <w:spacing w:after="120" w:line="276" w:lineRule="auto"/>
              <w:ind w:left="5" w:right="3" w:firstLine="438"/>
              <w:jc w:val="center"/>
              <w:rPr>
                <w:rFonts w:ascii="Times New Roman" w:eastAsiaTheme="minorHAnsi" w:hAnsi="Times New Roman" w:cs="Times New Roman"/>
                <w:lang w:val="en-US" w:eastAsia="en-US"/>
              </w:rPr>
            </w:pPr>
            <w:r w:rsidRPr="002C6A98">
              <w:rPr>
                <w:rFonts w:ascii="Times New Roman" w:eastAsiaTheme="minorHAnsi" w:hAnsi="Times New Roman" w:cs="Times New Roman"/>
                <w:lang w:val="en-US" w:eastAsia="en-US"/>
              </w:rPr>
              <w:t>ARTICLE 6 OF THE MLI – PURPOSE OF A COVERED TAX AGREEMENT</w:t>
            </w:r>
          </w:p>
          <w:p w14:paraId="472DC02B" w14:textId="77777777" w:rsidR="00A40255" w:rsidRPr="002C6A98" w:rsidRDefault="00A40255" w:rsidP="00A40255">
            <w:pPr>
              <w:suppressAutoHyphens w:val="0"/>
              <w:spacing w:after="120" w:line="276" w:lineRule="auto"/>
              <w:ind w:left="5" w:right="3"/>
              <w:jc w:val="both"/>
              <w:rPr>
                <w:rFonts w:ascii="Times New Roman" w:eastAsia="Arial" w:hAnsi="Times New Roman" w:cs="Times New Roman"/>
                <w:color w:val="000000"/>
                <w:lang w:val="en-GB"/>
              </w:rPr>
            </w:pPr>
            <w:r w:rsidRPr="002C6A98">
              <w:rPr>
                <w:rFonts w:ascii="Times New Roman" w:eastAsiaTheme="minorHAnsi" w:hAnsi="Times New Roman" w:cs="Times New Roman"/>
                <w:lang w:val="en-US" w:eastAsia="en-US"/>
              </w:rPr>
              <w:t>Intending to eliminate double taxation with respect to the taxes covered by this Convention without creating opportunities for non-taxation or reduced taxation through tax evasion or avoidance (including through treaty-shopping arrangements aimed at obtaining reliefs provided in this Convention for the indirect benefit of residents of third jurisdictions),</w:t>
            </w:r>
          </w:p>
        </w:tc>
      </w:tr>
    </w:tbl>
    <w:p w14:paraId="39027320" w14:textId="77777777" w:rsidR="00A40255" w:rsidRDefault="00A40255" w:rsidP="006822C9">
      <w:pPr>
        <w:spacing w:before="120" w:after="120" w:line="276" w:lineRule="auto"/>
        <w:jc w:val="both"/>
        <w:rPr>
          <w:rFonts w:ascii="Times New Roman" w:hAnsi="Times New Roman" w:cs="Times New Roman"/>
          <w:sz w:val="22"/>
          <w:szCs w:val="22"/>
          <w:lang w:val="en-US"/>
        </w:rPr>
      </w:pPr>
    </w:p>
    <w:p w14:paraId="2E076007" w14:textId="77777777" w:rsidR="008B003C" w:rsidRDefault="006822C9" w:rsidP="006822C9">
      <w:pPr>
        <w:spacing w:before="120" w:after="120" w:line="276" w:lineRule="auto"/>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Have agreed as follows:</w:t>
      </w:r>
    </w:p>
    <w:p w14:paraId="6BFBB85E" w14:textId="77777777" w:rsidR="006822C9" w:rsidRDefault="006822C9" w:rsidP="006822C9">
      <w:pPr>
        <w:spacing w:before="120" w:after="120" w:line="276" w:lineRule="auto"/>
        <w:jc w:val="both"/>
        <w:rPr>
          <w:rFonts w:ascii="Times New Roman" w:hAnsi="Times New Roman" w:cs="Times New Roman"/>
          <w:sz w:val="22"/>
          <w:szCs w:val="22"/>
          <w:lang w:val="en-US"/>
        </w:rPr>
      </w:pPr>
    </w:p>
    <w:p w14:paraId="32DCE775" w14:textId="77777777" w:rsidR="006822C9" w:rsidRPr="00F7778D" w:rsidRDefault="006822C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Article 1</w:t>
      </w:r>
    </w:p>
    <w:p w14:paraId="5FA85057" w14:textId="77777777" w:rsidR="006822C9" w:rsidRPr="00F7778D" w:rsidRDefault="006822C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PERSONS COVERED</w:t>
      </w:r>
    </w:p>
    <w:p w14:paraId="571EF577" w14:textId="77777777" w:rsidR="006822C9" w:rsidRDefault="006822C9" w:rsidP="006822C9">
      <w:pPr>
        <w:spacing w:before="120" w:after="120" w:line="276" w:lineRule="auto"/>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This Convention shall apply to persons who are residents of one or both of the Contracting States. </w:t>
      </w:r>
    </w:p>
    <w:p w14:paraId="59BBCA98" w14:textId="77777777" w:rsidR="00F7778D" w:rsidRDefault="00F7778D" w:rsidP="006822C9">
      <w:pPr>
        <w:spacing w:before="120" w:after="120" w:line="276" w:lineRule="auto"/>
        <w:jc w:val="both"/>
        <w:rPr>
          <w:rFonts w:ascii="Times New Roman" w:hAnsi="Times New Roman" w:cs="Times New Roman"/>
          <w:sz w:val="22"/>
          <w:szCs w:val="22"/>
          <w:lang w:val="en-US"/>
        </w:rPr>
      </w:pPr>
    </w:p>
    <w:p w14:paraId="1458066F" w14:textId="77777777" w:rsidR="006822C9" w:rsidRPr="00F7778D" w:rsidRDefault="006822C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Article 2</w:t>
      </w:r>
    </w:p>
    <w:p w14:paraId="0FFB824E" w14:textId="77777777" w:rsidR="006822C9" w:rsidRPr="00F7778D" w:rsidRDefault="006822C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TAXES COVERED</w:t>
      </w:r>
    </w:p>
    <w:p w14:paraId="3EC2A3BB" w14:textId="77777777" w:rsidR="006822C9" w:rsidRDefault="006822C9" w:rsidP="006822C9">
      <w:pPr>
        <w:spacing w:before="120" w:after="120" w:line="276" w:lineRule="auto"/>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(1) This Convention shall apply to taxes on income and on capital imposed on behalf of a Contracting State or of its political subdivisions or local authorities, irrespective of the manner in which they are levied. </w:t>
      </w:r>
    </w:p>
    <w:p w14:paraId="4C101C04" w14:textId="77777777" w:rsidR="006822C9" w:rsidRDefault="006822C9" w:rsidP="006822C9">
      <w:pPr>
        <w:spacing w:before="120" w:after="120" w:line="276" w:lineRule="auto"/>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lastRenderedPageBreak/>
        <w:t xml:space="preserve">(2) There shall be regarded as taxes on income and on capital all taxes imposed on total income, on total capital, or on elements of income or of capital, including taxes on gains from the alienation of movable or immovable property, taxes on the total amounts of wages or salaries paid by enterprises, as well as taxes on capital appreciation. </w:t>
      </w:r>
    </w:p>
    <w:p w14:paraId="210FB28D" w14:textId="77777777" w:rsidR="006822C9" w:rsidRDefault="006822C9" w:rsidP="006822C9">
      <w:pPr>
        <w:spacing w:before="120" w:after="120" w:line="276" w:lineRule="auto"/>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(3) The existing taxes to which the Convention shall apply are in particular: </w:t>
      </w:r>
    </w:p>
    <w:p w14:paraId="724190AE" w14:textId="77777777" w:rsidR="006822C9" w:rsidRDefault="006822C9" w:rsidP="00F7778D">
      <w:pPr>
        <w:spacing w:before="120" w:after="120" w:line="276" w:lineRule="auto"/>
        <w:ind w:firstLine="708"/>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a) in Armenia: </w:t>
      </w:r>
    </w:p>
    <w:p w14:paraId="58584BA9" w14:textId="77777777" w:rsidR="006822C9" w:rsidRDefault="006822C9" w:rsidP="00F7778D">
      <w:pPr>
        <w:spacing w:before="120" w:after="120" w:line="276" w:lineRule="auto"/>
        <w:ind w:left="708" w:firstLine="708"/>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i) the profit tax; </w:t>
      </w:r>
    </w:p>
    <w:p w14:paraId="4E5B7453" w14:textId="77777777" w:rsidR="006822C9" w:rsidRDefault="006822C9" w:rsidP="00F7778D">
      <w:pPr>
        <w:spacing w:before="120" w:after="120" w:line="276" w:lineRule="auto"/>
        <w:ind w:left="1416"/>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ii) the income tax; </w:t>
      </w:r>
    </w:p>
    <w:p w14:paraId="258A7D81" w14:textId="77777777" w:rsidR="006822C9" w:rsidRDefault="006822C9" w:rsidP="00F7778D">
      <w:pPr>
        <w:spacing w:before="120" w:after="120" w:line="276" w:lineRule="auto"/>
        <w:ind w:left="708" w:firstLine="708"/>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ii) the property tax;</w:t>
      </w:r>
    </w:p>
    <w:p w14:paraId="4CFD802D" w14:textId="77777777" w:rsidR="006822C9" w:rsidRDefault="006822C9" w:rsidP="00F7778D">
      <w:pPr>
        <w:spacing w:before="120" w:after="120" w:line="276" w:lineRule="auto"/>
        <w:ind w:left="708" w:firstLine="708"/>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iv) the land tax; </w:t>
      </w:r>
    </w:p>
    <w:p w14:paraId="342B0EAC" w14:textId="77777777" w:rsidR="006822C9" w:rsidRDefault="006822C9" w:rsidP="00F7778D">
      <w:pPr>
        <w:spacing w:before="120" w:after="120" w:line="276" w:lineRule="auto"/>
        <w:ind w:left="708" w:firstLine="708"/>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(hereinafter referred to as "Armenian tax"); </w:t>
      </w:r>
    </w:p>
    <w:p w14:paraId="72DEAB88" w14:textId="77777777" w:rsidR="006822C9" w:rsidRDefault="006822C9" w:rsidP="00F7778D">
      <w:pPr>
        <w:spacing w:before="120" w:after="120" w:line="276" w:lineRule="auto"/>
        <w:ind w:firstLine="708"/>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b) in Austria: </w:t>
      </w:r>
    </w:p>
    <w:p w14:paraId="63677272" w14:textId="77777777" w:rsidR="006822C9" w:rsidRDefault="006822C9" w:rsidP="00F7778D">
      <w:pPr>
        <w:spacing w:before="120" w:after="120" w:line="276" w:lineRule="auto"/>
        <w:ind w:left="708" w:firstLine="708"/>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i) the income tax; </w:t>
      </w:r>
    </w:p>
    <w:p w14:paraId="129E6AF0" w14:textId="77777777" w:rsidR="006822C9" w:rsidRDefault="006822C9" w:rsidP="00F7778D">
      <w:pPr>
        <w:spacing w:before="120" w:after="120" w:line="276" w:lineRule="auto"/>
        <w:ind w:left="708" w:firstLine="708"/>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ii) the corporation tax; </w:t>
      </w:r>
    </w:p>
    <w:p w14:paraId="627945C3" w14:textId="77777777" w:rsidR="006822C9" w:rsidRDefault="006822C9" w:rsidP="00F7778D">
      <w:pPr>
        <w:spacing w:before="120" w:after="120" w:line="276" w:lineRule="auto"/>
        <w:ind w:left="708" w:firstLine="708"/>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iii) the land tax; </w:t>
      </w:r>
    </w:p>
    <w:p w14:paraId="61763C1B" w14:textId="77777777" w:rsidR="006822C9" w:rsidRDefault="006822C9" w:rsidP="00F7778D">
      <w:pPr>
        <w:spacing w:before="120" w:after="120" w:line="276" w:lineRule="auto"/>
        <w:ind w:left="708" w:firstLine="708"/>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iv) the tax on agricultural and forestry enterprises; </w:t>
      </w:r>
    </w:p>
    <w:p w14:paraId="0FECB1BA" w14:textId="77777777" w:rsidR="006822C9" w:rsidRDefault="006822C9" w:rsidP="00F7778D">
      <w:pPr>
        <w:spacing w:before="120" w:after="120" w:line="276" w:lineRule="auto"/>
        <w:ind w:left="708" w:firstLine="708"/>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v) the tax on the value of vacant plots; </w:t>
      </w:r>
    </w:p>
    <w:p w14:paraId="066ADEDA" w14:textId="77777777" w:rsidR="006822C9" w:rsidRDefault="006822C9" w:rsidP="00F7778D">
      <w:pPr>
        <w:spacing w:before="120" w:after="120" w:line="276" w:lineRule="auto"/>
        <w:ind w:left="708" w:firstLine="708"/>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(hereinafter referred to as "Austrian tax"). </w:t>
      </w:r>
    </w:p>
    <w:p w14:paraId="4CF4001A" w14:textId="77777777" w:rsidR="006822C9" w:rsidRDefault="006822C9" w:rsidP="006822C9">
      <w:pPr>
        <w:spacing w:before="120" w:after="120" w:line="276" w:lineRule="auto"/>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(4) The Convention shall apply also to any identical or substantially similar taxes which are imposed after the date of signature of the Convention in addition to, or in place of, the existing taxes. The competent authorities of the Contracting States shall notify each other within a reasonable period of time of any significant changes which have been made in their respective taxation laws.</w:t>
      </w:r>
    </w:p>
    <w:p w14:paraId="47B4B40C" w14:textId="77777777" w:rsidR="00F7778D" w:rsidRPr="005B46F5" w:rsidRDefault="00F7778D" w:rsidP="006822C9">
      <w:pPr>
        <w:spacing w:before="120" w:after="120" w:line="276" w:lineRule="auto"/>
        <w:jc w:val="both"/>
        <w:rPr>
          <w:rFonts w:ascii="Times New Roman" w:hAnsi="Times New Roman" w:cs="Times New Roman"/>
          <w:sz w:val="22"/>
          <w:szCs w:val="22"/>
          <w:lang w:val="en-GB"/>
        </w:rPr>
      </w:pPr>
    </w:p>
    <w:p w14:paraId="7A6BF896" w14:textId="77777777" w:rsidR="006822C9" w:rsidRPr="005B46F5" w:rsidRDefault="006822C9" w:rsidP="00F7778D">
      <w:pPr>
        <w:spacing w:before="120" w:after="120" w:line="276" w:lineRule="auto"/>
        <w:jc w:val="center"/>
        <w:rPr>
          <w:rFonts w:ascii="Times New Roman" w:hAnsi="Times New Roman" w:cs="Times New Roman"/>
          <w:b/>
          <w:sz w:val="22"/>
          <w:szCs w:val="22"/>
          <w:u w:val="single"/>
          <w:lang w:val="en-GB"/>
        </w:rPr>
      </w:pPr>
      <w:r w:rsidRPr="005B46F5">
        <w:rPr>
          <w:rFonts w:ascii="Times New Roman" w:hAnsi="Times New Roman" w:cs="Times New Roman"/>
          <w:b/>
          <w:sz w:val="22"/>
          <w:szCs w:val="22"/>
          <w:u w:val="single"/>
          <w:lang w:val="en-GB"/>
        </w:rPr>
        <w:t>Article 3</w:t>
      </w:r>
    </w:p>
    <w:p w14:paraId="1B2C9698" w14:textId="77777777" w:rsidR="006822C9" w:rsidRPr="00F7778D" w:rsidRDefault="006822C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GENERAL DEFINITIONS</w:t>
      </w:r>
    </w:p>
    <w:p w14:paraId="189A01B0" w14:textId="77777777" w:rsidR="006822C9" w:rsidRDefault="006822C9" w:rsidP="006822C9">
      <w:pPr>
        <w:spacing w:before="120" w:after="120" w:line="276" w:lineRule="auto"/>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(1) For the purposes of this Convention, unless the context otherwise requires: </w:t>
      </w:r>
    </w:p>
    <w:p w14:paraId="673F86D1" w14:textId="77777777" w:rsidR="00F7778D" w:rsidRDefault="006822C9" w:rsidP="00F7778D">
      <w:pPr>
        <w:spacing w:before="120" w:after="120" w:line="276" w:lineRule="auto"/>
        <w:ind w:left="708"/>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a) the terms "a Contracting State" and "the other Contracting State" mean Armenia or Austria, as the context requires; </w:t>
      </w:r>
    </w:p>
    <w:p w14:paraId="0B23DD84" w14:textId="77777777" w:rsidR="006822C9" w:rsidRDefault="006822C9" w:rsidP="00F7778D">
      <w:pPr>
        <w:spacing w:before="120" w:after="120" w:line="276" w:lineRule="auto"/>
        <w:ind w:left="708"/>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b) the term "Armenia" means the Republic of Armenia; </w:t>
      </w:r>
    </w:p>
    <w:p w14:paraId="79F5BF68" w14:textId="77777777" w:rsidR="006822C9" w:rsidRDefault="006822C9" w:rsidP="00F7778D">
      <w:pPr>
        <w:spacing w:before="120" w:after="120" w:line="276" w:lineRule="auto"/>
        <w:ind w:firstLine="708"/>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c) the term "Austria" means the Republic of Austria; </w:t>
      </w:r>
    </w:p>
    <w:p w14:paraId="63BCEA4C" w14:textId="77777777" w:rsidR="006822C9" w:rsidRDefault="006822C9" w:rsidP="00F7778D">
      <w:pPr>
        <w:spacing w:before="120" w:after="120" w:line="276" w:lineRule="auto"/>
        <w:ind w:firstLine="708"/>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d) the term "person" includes an individual, a company and any other body of persons; </w:t>
      </w:r>
    </w:p>
    <w:p w14:paraId="617546A4" w14:textId="77777777" w:rsidR="006822C9" w:rsidRDefault="006822C9" w:rsidP="00F7778D">
      <w:pPr>
        <w:spacing w:before="120" w:after="120" w:line="276" w:lineRule="auto"/>
        <w:ind w:left="708"/>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e) the term "company" means any body corporate or any entity which is treated as a body corporate for tax purposes; </w:t>
      </w:r>
    </w:p>
    <w:p w14:paraId="6B23E408" w14:textId="77777777" w:rsidR="006822C9" w:rsidRDefault="006822C9" w:rsidP="00F7778D">
      <w:pPr>
        <w:spacing w:before="120" w:after="120" w:line="276" w:lineRule="auto"/>
        <w:ind w:left="708"/>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f) the terms "enterprise of a Contracting State" and "enterprise of the other Contracting State" mean respectively an enterprise carried on by a resident of a Contracting State and an enterprise carried on by a resident of the other Contracting State; </w:t>
      </w:r>
    </w:p>
    <w:p w14:paraId="5AEFFAAB" w14:textId="77777777" w:rsidR="006822C9" w:rsidRDefault="006822C9" w:rsidP="00F7778D">
      <w:pPr>
        <w:spacing w:before="120" w:after="120" w:line="276" w:lineRule="auto"/>
        <w:ind w:left="708"/>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g) the term "international traffic" means any transport by a ship or aircraft operated by an enterprise that has its place of effective management in a Contracting State, except when the ship or aircraft is operated solely between places in the other Contracting State; </w:t>
      </w:r>
    </w:p>
    <w:p w14:paraId="43706463" w14:textId="77777777" w:rsidR="006822C9" w:rsidRDefault="006822C9" w:rsidP="00F7778D">
      <w:pPr>
        <w:spacing w:before="120" w:after="120" w:line="276" w:lineRule="auto"/>
        <w:ind w:firstLine="708"/>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h) the term "competent authority" means: </w:t>
      </w:r>
    </w:p>
    <w:p w14:paraId="49C803E1" w14:textId="77777777" w:rsidR="006822C9" w:rsidRDefault="006822C9" w:rsidP="00F7778D">
      <w:pPr>
        <w:spacing w:before="120" w:after="120" w:line="276" w:lineRule="auto"/>
        <w:ind w:left="1416"/>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lastRenderedPageBreak/>
        <w:t xml:space="preserve">i) in Armenia: the Minister of Finance and Economy and the Minister of State Revenues or their authorised representatives; </w:t>
      </w:r>
    </w:p>
    <w:p w14:paraId="1949A762" w14:textId="77777777" w:rsidR="006822C9" w:rsidRDefault="006822C9" w:rsidP="00F7778D">
      <w:pPr>
        <w:spacing w:before="120" w:after="120" w:line="276" w:lineRule="auto"/>
        <w:ind w:left="708" w:firstLine="708"/>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ii) in Austria: the Federal Minister of Finance or his authorised representative; </w:t>
      </w:r>
    </w:p>
    <w:p w14:paraId="39A70982" w14:textId="77777777" w:rsidR="006822C9" w:rsidRDefault="006822C9" w:rsidP="00F7778D">
      <w:pPr>
        <w:spacing w:before="120" w:after="120" w:line="276" w:lineRule="auto"/>
        <w:ind w:firstLine="708"/>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i) the term "national" means: </w:t>
      </w:r>
    </w:p>
    <w:p w14:paraId="58248ED3" w14:textId="77777777" w:rsidR="006822C9" w:rsidRDefault="006822C9" w:rsidP="00F7778D">
      <w:pPr>
        <w:spacing w:before="120" w:after="120" w:line="276" w:lineRule="auto"/>
        <w:ind w:left="708" w:firstLine="708"/>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i) any individual possessing the nationality of a Contracting State; </w:t>
      </w:r>
    </w:p>
    <w:p w14:paraId="0D882340" w14:textId="77777777" w:rsidR="006822C9" w:rsidRDefault="006822C9" w:rsidP="00F7778D">
      <w:pPr>
        <w:spacing w:before="120" w:after="120" w:line="276" w:lineRule="auto"/>
        <w:ind w:left="1416"/>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ii) any legal person, partnership or association deriving its status as such from the laws in force in a Contracting State. </w:t>
      </w:r>
    </w:p>
    <w:p w14:paraId="3ABD059F" w14:textId="77777777" w:rsidR="006822C9" w:rsidRDefault="006822C9" w:rsidP="006822C9">
      <w:pPr>
        <w:spacing w:before="120" w:after="120" w:line="276" w:lineRule="auto"/>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(2) As regards the application of the Convention at any time by a Contracting State, any term not defined therein shall, unless the context otherwise requires, have the meaning that it has at that time under the law of that State for the purposes of the taxes to which the Convention applies, any meaning under the applicable tax laws of that State prevailing over a meaning given to the term under other laws of that State.</w:t>
      </w:r>
    </w:p>
    <w:p w14:paraId="008D8785" w14:textId="77777777" w:rsidR="00F7778D" w:rsidRDefault="00F7778D" w:rsidP="006822C9">
      <w:pPr>
        <w:spacing w:before="120" w:after="120" w:line="276" w:lineRule="auto"/>
        <w:jc w:val="both"/>
        <w:rPr>
          <w:rFonts w:ascii="Times New Roman" w:hAnsi="Times New Roman" w:cs="Times New Roman"/>
          <w:sz w:val="22"/>
          <w:szCs w:val="22"/>
          <w:lang w:val="en-US"/>
        </w:rPr>
      </w:pPr>
    </w:p>
    <w:p w14:paraId="5094BC3A" w14:textId="77777777" w:rsidR="006822C9" w:rsidRPr="00F7778D" w:rsidRDefault="006822C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Article 4</w:t>
      </w:r>
    </w:p>
    <w:p w14:paraId="7505DEC6" w14:textId="77777777" w:rsidR="006822C9" w:rsidRPr="00F7778D" w:rsidRDefault="006822C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RESIDENT</w:t>
      </w:r>
    </w:p>
    <w:p w14:paraId="7D405833" w14:textId="77777777" w:rsidR="006822C9" w:rsidRDefault="006822C9" w:rsidP="006822C9">
      <w:pPr>
        <w:spacing w:before="120" w:after="120" w:line="276" w:lineRule="auto"/>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(1) For the purposes of this Convention, the term "resident of a Contracting State" means any person who, under the laws of that State, is liable to tax therein by reason of his domicile, residence, place of incorporation, place of management or any other criterion of a similar nature, and also includes that State and any political subdivision or local authority thereof. This term, however, does not include any person who is liable to tax in that State in respect only of income from sources in that State or capital situated therein. </w:t>
      </w:r>
    </w:p>
    <w:p w14:paraId="2884898D" w14:textId="77777777" w:rsidR="006822C9" w:rsidRDefault="006822C9" w:rsidP="006822C9">
      <w:pPr>
        <w:spacing w:before="120" w:after="120" w:line="276" w:lineRule="auto"/>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(2) Where by reason of the provisions of paragraph 1 an individual is a resident of both Contracting States, then his status shall be determined as follows: </w:t>
      </w:r>
    </w:p>
    <w:p w14:paraId="7F9DA4C9" w14:textId="77777777" w:rsidR="006822C9" w:rsidRDefault="006822C9" w:rsidP="00F7778D">
      <w:pPr>
        <w:spacing w:before="120" w:after="120" w:line="276" w:lineRule="auto"/>
        <w:ind w:left="708"/>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a) he shall be deemed to be a resident only of the State in which he has a permanent home available to him; if he has a permanent home available to him in both States, he shall be deemed to be a resident only of the State with which his personal and economic relations are closer (centre of vital interests); </w:t>
      </w:r>
    </w:p>
    <w:p w14:paraId="5DC7A68F" w14:textId="77777777" w:rsidR="006822C9" w:rsidRDefault="006822C9" w:rsidP="00F7778D">
      <w:pPr>
        <w:spacing w:before="120" w:after="120" w:line="276" w:lineRule="auto"/>
        <w:ind w:left="708"/>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b) if the State in which he has his centre of vital interests cannot be determined, or if he has not a permanent home available to him in either State, he shall be deemed to be a resident only of the State in which he has an habitual abode; </w:t>
      </w:r>
    </w:p>
    <w:p w14:paraId="4F4D9962" w14:textId="77777777" w:rsidR="006822C9" w:rsidRDefault="006822C9" w:rsidP="00F7778D">
      <w:pPr>
        <w:spacing w:before="120" w:after="120" w:line="276" w:lineRule="auto"/>
        <w:ind w:left="708"/>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c) if he has an habitual abode in both States or in neither of them, he shall be deemed to be a resident only of the State of which he is a national; </w:t>
      </w:r>
    </w:p>
    <w:p w14:paraId="6F0231D8" w14:textId="77777777" w:rsidR="006822C9" w:rsidRDefault="006822C9" w:rsidP="00F7778D">
      <w:pPr>
        <w:spacing w:before="120" w:after="120" w:line="276" w:lineRule="auto"/>
        <w:ind w:left="708"/>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d) if he is a national of both States or of neither of them, the competent authorities of the Contracting States shall endeavour to settle the question by mutual agreement. </w:t>
      </w:r>
    </w:p>
    <w:p w14:paraId="423F253A" w14:textId="77777777" w:rsidR="006822C9" w:rsidRDefault="006822C9" w:rsidP="006822C9">
      <w:pPr>
        <w:spacing w:before="120" w:after="120" w:line="276" w:lineRule="auto"/>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(3) Where by reason of the provisions of paragraph 1 a person other than an individual is a resident of both Contracting States, then it shall be deemed to be a resident only of the State in which its place of effective management is situated. </w:t>
      </w:r>
    </w:p>
    <w:p w14:paraId="0B84025B" w14:textId="77777777" w:rsidR="00F7778D" w:rsidRDefault="00F7778D" w:rsidP="006822C9">
      <w:pPr>
        <w:spacing w:before="120" w:after="120" w:line="276" w:lineRule="auto"/>
        <w:jc w:val="both"/>
        <w:rPr>
          <w:rFonts w:ascii="Times New Roman" w:hAnsi="Times New Roman" w:cs="Times New Roman"/>
          <w:sz w:val="22"/>
          <w:szCs w:val="22"/>
          <w:lang w:val="en-US"/>
        </w:rPr>
      </w:pPr>
    </w:p>
    <w:p w14:paraId="625B2031" w14:textId="77777777" w:rsidR="006822C9" w:rsidRPr="00F7778D" w:rsidRDefault="006822C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Article 5</w:t>
      </w:r>
    </w:p>
    <w:p w14:paraId="5CEEEE69" w14:textId="77777777" w:rsidR="006822C9" w:rsidRPr="00F7778D" w:rsidRDefault="006822C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PERMANENT ESTABLISHMENT</w:t>
      </w:r>
    </w:p>
    <w:p w14:paraId="553D2096" w14:textId="77777777" w:rsidR="006822C9" w:rsidRDefault="006822C9" w:rsidP="006822C9">
      <w:pPr>
        <w:spacing w:before="120" w:after="120" w:line="276" w:lineRule="auto"/>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(1) For the purposes of this Convention, the term "permanent establishment" means a fixed place of business through which the business of an enterprise is wholly or partly carried on.</w:t>
      </w:r>
    </w:p>
    <w:p w14:paraId="251810A8" w14:textId="77777777" w:rsidR="00F7778D" w:rsidRDefault="006822C9" w:rsidP="006822C9">
      <w:pPr>
        <w:spacing w:before="120" w:after="120" w:line="276" w:lineRule="auto"/>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(2) The term "permanent establishment" includes especially: </w:t>
      </w:r>
    </w:p>
    <w:p w14:paraId="2743C1AB" w14:textId="77777777" w:rsidR="00F7778D" w:rsidRDefault="006822C9" w:rsidP="00F7778D">
      <w:pPr>
        <w:spacing w:before="120" w:after="120" w:line="276" w:lineRule="auto"/>
        <w:ind w:firstLine="708"/>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lastRenderedPageBreak/>
        <w:t xml:space="preserve">a) a place of management; </w:t>
      </w:r>
    </w:p>
    <w:p w14:paraId="6D697F48" w14:textId="77777777" w:rsidR="00F7778D" w:rsidRDefault="006822C9" w:rsidP="00F7778D">
      <w:pPr>
        <w:spacing w:before="120" w:after="120" w:line="276" w:lineRule="auto"/>
        <w:ind w:firstLine="708"/>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b) a branch; </w:t>
      </w:r>
    </w:p>
    <w:p w14:paraId="0344D5E9" w14:textId="77777777" w:rsidR="00F7778D" w:rsidRDefault="006822C9" w:rsidP="00F7778D">
      <w:pPr>
        <w:spacing w:before="120" w:after="120" w:line="276" w:lineRule="auto"/>
        <w:ind w:firstLine="708"/>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c) an office; </w:t>
      </w:r>
    </w:p>
    <w:p w14:paraId="02CEFCBA" w14:textId="77777777" w:rsidR="00F7778D" w:rsidRDefault="006822C9" w:rsidP="00F7778D">
      <w:pPr>
        <w:spacing w:before="120" w:after="120" w:line="276" w:lineRule="auto"/>
        <w:ind w:firstLine="708"/>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d) a factory; </w:t>
      </w:r>
    </w:p>
    <w:p w14:paraId="59C21E13" w14:textId="77777777" w:rsidR="00F7778D" w:rsidRDefault="006822C9" w:rsidP="00F7778D">
      <w:pPr>
        <w:spacing w:before="120" w:after="120" w:line="276" w:lineRule="auto"/>
        <w:ind w:firstLine="708"/>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e) a workshop, and </w:t>
      </w:r>
    </w:p>
    <w:p w14:paraId="070899B7" w14:textId="77777777" w:rsidR="006822C9" w:rsidRDefault="006822C9" w:rsidP="00F7778D">
      <w:pPr>
        <w:spacing w:before="120" w:after="120" w:line="276" w:lineRule="auto"/>
        <w:ind w:firstLine="708"/>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f) a mine, an oil or gas well, a quarry or any other place of extraction of natural resources. </w:t>
      </w:r>
    </w:p>
    <w:p w14:paraId="6FFDB301" w14:textId="77777777" w:rsidR="006822C9" w:rsidRDefault="006822C9" w:rsidP="006822C9">
      <w:pPr>
        <w:spacing w:before="120" w:after="120" w:line="276" w:lineRule="auto"/>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(3 A building site or construction or installation project constitutes a permanent establishment only if it lasts more than nine months. </w:t>
      </w:r>
    </w:p>
    <w:p w14:paraId="72C93009" w14:textId="77777777" w:rsidR="006822C9" w:rsidRDefault="006822C9" w:rsidP="006822C9">
      <w:pPr>
        <w:spacing w:before="120" w:after="120" w:line="276" w:lineRule="auto"/>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(4) </w:t>
      </w:r>
      <w:r w:rsidR="00A40255" w:rsidRPr="00A40255">
        <w:rPr>
          <w:rFonts w:ascii="Times New Roman" w:hAnsi="Times New Roman" w:cs="Times New Roman"/>
          <w:b/>
          <w:sz w:val="22"/>
          <w:szCs w:val="22"/>
          <w:lang w:val="nl-NL"/>
        </w:rPr>
        <w:t xml:space="preserve">[REPLACED by paragraph 2 of Article 13 of the MLI] </w:t>
      </w:r>
      <w:r w:rsidR="00A40255" w:rsidRPr="00A40255">
        <w:rPr>
          <w:rFonts w:ascii="Times New Roman" w:hAnsi="Times New Roman" w:cs="Times New Roman"/>
          <w:sz w:val="22"/>
          <w:szCs w:val="22"/>
          <w:lang w:val="nl-NL"/>
        </w:rPr>
        <w:t>[</w:t>
      </w:r>
      <w:r w:rsidRPr="006822C9">
        <w:rPr>
          <w:rFonts w:ascii="Times New Roman" w:hAnsi="Times New Roman" w:cs="Times New Roman"/>
          <w:sz w:val="22"/>
          <w:szCs w:val="22"/>
          <w:lang w:val="en-US"/>
        </w:rPr>
        <w:t xml:space="preserve">Notwithstanding the preceding provisions of this Article, the term "permanent establishment" shall be deemed not to include: </w:t>
      </w:r>
    </w:p>
    <w:p w14:paraId="2B44C115" w14:textId="77777777" w:rsidR="006822C9" w:rsidRDefault="006822C9" w:rsidP="00F7778D">
      <w:pPr>
        <w:spacing w:before="120" w:after="120" w:line="276" w:lineRule="auto"/>
        <w:ind w:left="708"/>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a) the use of facilities solely for the purpose of storage, display or delivery of goods or merchandise belonging to the enterprise; </w:t>
      </w:r>
    </w:p>
    <w:p w14:paraId="07B00731" w14:textId="77777777" w:rsidR="006822C9" w:rsidRDefault="006822C9" w:rsidP="00F7778D">
      <w:pPr>
        <w:spacing w:before="120" w:after="120" w:line="276" w:lineRule="auto"/>
        <w:ind w:left="708"/>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b) the maintenance of a stock of goods or merchandise belonging to the enterprise solely for the purpose of storage, display or delivery; </w:t>
      </w:r>
    </w:p>
    <w:p w14:paraId="07109DFF" w14:textId="77777777" w:rsidR="006822C9" w:rsidRDefault="006822C9" w:rsidP="00F7778D">
      <w:pPr>
        <w:spacing w:before="120" w:after="120" w:line="276" w:lineRule="auto"/>
        <w:ind w:left="708"/>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c) the maintenance of a stock of goods or merchandise belonging to the enterprise solely for the purpose of processing by another enterprise; </w:t>
      </w:r>
    </w:p>
    <w:p w14:paraId="238A0625" w14:textId="77777777" w:rsidR="006822C9" w:rsidRDefault="006822C9" w:rsidP="00F7778D">
      <w:pPr>
        <w:spacing w:before="120" w:after="120" w:line="276" w:lineRule="auto"/>
        <w:ind w:left="708"/>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d) the maintenance of a fixed place of business solely for the purpose of purchasing goods or merchandise or of collecting information, for the enterprise; </w:t>
      </w:r>
    </w:p>
    <w:p w14:paraId="011A905D" w14:textId="77777777" w:rsidR="006822C9" w:rsidRDefault="006822C9" w:rsidP="00F7778D">
      <w:pPr>
        <w:spacing w:before="120" w:after="120" w:line="276" w:lineRule="auto"/>
        <w:ind w:left="708"/>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e) the maintenance of a fixed place of business solely for the purpose of carrying on, for the enterprise, any other activity of a preparatory or auxiliary character; </w:t>
      </w:r>
    </w:p>
    <w:p w14:paraId="7320E7DE" w14:textId="77777777" w:rsidR="006822C9" w:rsidRDefault="006822C9" w:rsidP="00F7778D">
      <w:pPr>
        <w:spacing w:before="120" w:after="120" w:line="276" w:lineRule="auto"/>
        <w:ind w:left="708"/>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f) the maintenance of a fixed place of business solely for any combination of activities mentioned in sub-paragraphs a) to e), provided that the overall activity of the fixed place of business resulting from this combination is of a prep</w:t>
      </w:r>
      <w:r w:rsidR="00C651D4">
        <w:rPr>
          <w:rFonts w:ascii="Times New Roman" w:hAnsi="Times New Roman" w:cs="Times New Roman"/>
          <w:sz w:val="22"/>
          <w:szCs w:val="22"/>
          <w:lang w:val="en-US"/>
        </w:rPr>
        <w:t>aratory or auxiliary character.]</w:t>
      </w:r>
    </w:p>
    <w:tbl>
      <w:tblPr>
        <w:tblStyle w:val="TableGrid"/>
        <w:tblW w:w="9067" w:type="dxa"/>
        <w:tblLook w:val="04A0" w:firstRow="1" w:lastRow="0" w:firstColumn="1" w:lastColumn="0" w:noHBand="0" w:noVBand="1"/>
      </w:tblPr>
      <w:tblGrid>
        <w:gridCol w:w="9067"/>
      </w:tblGrid>
      <w:tr w:rsidR="00A40255" w:rsidRPr="00FC4882" w14:paraId="65A54FF2" w14:textId="77777777" w:rsidTr="00A40255">
        <w:tc>
          <w:tcPr>
            <w:tcW w:w="9067" w:type="dxa"/>
          </w:tcPr>
          <w:p w14:paraId="506C36AB" w14:textId="77777777" w:rsidR="00A40255" w:rsidRPr="00684734" w:rsidRDefault="00A40255" w:rsidP="00684734">
            <w:pPr>
              <w:spacing w:after="120" w:line="276" w:lineRule="auto"/>
              <w:jc w:val="both"/>
              <w:rPr>
                <w:rFonts w:ascii="Times New Roman" w:hAnsi="Times New Roman" w:cs="Times New Roman"/>
                <w:i/>
                <w:sz w:val="22"/>
                <w:szCs w:val="22"/>
                <w:lang w:val="en-US"/>
              </w:rPr>
            </w:pPr>
            <w:r w:rsidRPr="00684734">
              <w:rPr>
                <w:rFonts w:ascii="Times New Roman" w:hAnsi="Times New Roman" w:cs="Times New Roman"/>
                <w:i/>
                <w:sz w:val="22"/>
                <w:szCs w:val="22"/>
                <w:lang w:val="en-US"/>
              </w:rPr>
              <w:t>The following paragraph 2 of Article 13 of the MLI replaces paragraph 4 of Article 5 of this Convention:</w:t>
            </w:r>
            <w:r w:rsidRPr="00684734">
              <w:rPr>
                <w:rStyle w:val="FootnoteReference"/>
                <w:rFonts w:ascii="Times New Roman" w:hAnsi="Times New Roman" w:cs="Times New Roman"/>
                <w:i/>
                <w:sz w:val="22"/>
                <w:szCs w:val="22"/>
              </w:rPr>
              <w:footnoteReference w:id="2"/>
            </w:r>
          </w:p>
          <w:p w14:paraId="627A2FA3" w14:textId="77777777" w:rsidR="00A40255" w:rsidRPr="00684734" w:rsidRDefault="00A40255" w:rsidP="00A40255">
            <w:pPr>
              <w:pStyle w:val="Para"/>
              <w:spacing w:before="0" w:line="276" w:lineRule="auto"/>
              <w:jc w:val="center"/>
              <w:rPr>
                <w:szCs w:val="22"/>
              </w:rPr>
            </w:pPr>
            <w:r w:rsidRPr="00684734">
              <w:rPr>
                <w:rFonts w:eastAsiaTheme="minorHAnsi"/>
                <w:szCs w:val="22"/>
                <w:lang w:val="en-US"/>
              </w:rPr>
              <w:t>ARTICLE 13 OF THE MLI – ARTIFICIAL AVOIDANCE OF PERMANENT ESTABLISHMENT STATUS THROUGH THE SPECIFIC ACTIVITY EXEMPTIONS</w:t>
            </w:r>
            <w:r w:rsidRPr="00684734">
              <w:rPr>
                <w:szCs w:val="22"/>
              </w:rPr>
              <w:t xml:space="preserve"> </w:t>
            </w:r>
            <w:r w:rsidRPr="00684734">
              <w:rPr>
                <w:i/>
                <w:szCs w:val="22"/>
              </w:rPr>
              <w:t>(Option A)</w:t>
            </w:r>
          </w:p>
          <w:p w14:paraId="0482612D" w14:textId="77777777" w:rsidR="00A40255" w:rsidRPr="00684734" w:rsidRDefault="00A40255" w:rsidP="00684734">
            <w:pPr>
              <w:spacing w:before="120" w:after="120" w:line="276" w:lineRule="auto"/>
              <w:jc w:val="both"/>
              <w:rPr>
                <w:rFonts w:ascii="Times New Roman" w:hAnsi="Times New Roman" w:cs="Times New Roman"/>
                <w:spacing w:val="-1"/>
                <w:sz w:val="22"/>
                <w:szCs w:val="22"/>
                <w:lang w:val="en-US"/>
              </w:rPr>
            </w:pPr>
            <w:r w:rsidRPr="00684734">
              <w:rPr>
                <w:rFonts w:ascii="Times New Roman" w:hAnsi="Times New Roman" w:cs="Times New Roman"/>
                <w:spacing w:val="-1"/>
                <w:sz w:val="22"/>
                <w:szCs w:val="22"/>
                <w:lang w:val="en-US"/>
              </w:rPr>
              <w:t>Notwithstanding Article 5 of the Convention, the term “permanent establishment” shall be deemed not to include:</w:t>
            </w:r>
          </w:p>
          <w:p w14:paraId="18D6B079" w14:textId="77777777" w:rsidR="00A40255" w:rsidRPr="00684734" w:rsidRDefault="00A40255" w:rsidP="00684734">
            <w:pPr>
              <w:spacing w:before="120" w:after="120" w:line="276" w:lineRule="auto"/>
              <w:ind w:left="27" w:firstLine="682"/>
              <w:jc w:val="both"/>
              <w:rPr>
                <w:rFonts w:ascii="Times New Roman" w:hAnsi="Times New Roman" w:cs="Times New Roman"/>
                <w:spacing w:val="-1"/>
                <w:sz w:val="22"/>
                <w:szCs w:val="22"/>
                <w:lang w:val="en-US"/>
              </w:rPr>
            </w:pPr>
            <w:r w:rsidRPr="00684734">
              <w:rPr>
                <w:rFonts w:ascii="Times New Roman" w:hAnsi="Times New Roman" w:cs="Times New Roman"/>
                <w:spacing w:val="-1"/>
                <w:sz w:val="22"/>
                <w:szCs w:val="22"/>
                <w:lang w:val="en-US"/>
              </w:rPr>
              <w:t xml:space="preserve">(a) the activities specifically listed in paragraph 4 of Article 5 of the Convention (prior to modification by the MLI) as activities deemed not to constitute a permanent establishment, whether </w:t>
            </w:r>
            <w:r w:rsidRPr="00684734">
              <w:rPr>
                <w:rFonts w:ascii="Times New Roman" w:hAnsi="Times New Roman" w:cs="Times New Roman"/>
                <w:spacing w:val="-1"/>
                <w:sz w:val="22"/>
                <w:szCs w:val="22"/>
                <w:lang w:val="en-US"/>
              </w:rPr>
              <w:lastRenderedPageBreak/>
              <w:t>or not that exception from permanent establishment status is contingent on the activity being of a preparatory or auxiliary character;</w:t>
            </w:r>
          </w:p>
          <w:p w14:paraId="7F3CE37A" w14:textId="77777777" w:rsidR="00A40255" w:rsidRPr="00684734" w:rsidRDefault="00A40255" w:rsidP="00684734">
            <w:pPr>
              <w:spacing w:before="120" w:after="120" w:line="276" w:lineRule="auto"/>
              <w:ind w:left="27" w:firstLine="682"/>
              <w:jc w:val="both"/>
              <w:rPr>
                <w:rFonts w:ascii="Times New Roman" w:hAnsi="Times New Roman" w:cs="Times New Roman"/>
                <w:spacing w:val="-1"/>
                <w:sz w:val="22"/>
                <w:szCs w:val="22"/>
                <w:lang w:val="en-US"/>
              </w:rPr>
            </w:pPr>
            <w:r w:rsidRPr="00684734">
              <w:rPr>
                <w:rFonts w:ascii="Times New Roman" w:hAnsi="Times New Roman" w:cs="Times New Roman"/>
                <w:spacing w:val="-1"/>
                <w:sz w:val="22"/>
                <w:szCs w:val="22"/>
                <w:lang w:val="en-US"/>
              </w:rPr>
              <w:t>(b) the maintenance of a fixed place of business solely for the purpose of carrying on, for the enterprise, any activity not described in subparagraph (a);</w:t>
            </w:r>
          </w:p>
          <w:p w14:paraId="5DEFB123" w14:textId="77777777" w:rsidR="00A40255" w:rsidRPr="00684734" w:rsidRDefault="00A40255" w:rsidP="00684734">
            <w:pPr>
              <w:spacing w:before="120" w:after="120" w:line="276" w:lineRule="auto"/>
              <w:ind w:left="27" w:firstLine="682"/>
              <w:jc w:val="both"/>
              <w:rPr>
                <w:rFonts w:ascii="Times New Roman" w:hAnsi="Times New Roman" w:cs="Times New Roman"/>
                <w:spacing w:val="-1"/>
                <w:sz w:val="22"/>
                <w:szCs w:val="22"/>
                <w:lang w:val="en-US"/>
              </w:rPr>
            </w:pPr>
            <w:r w:rsidRPr="00684734">
              <w:rPr>
                <w:rFonts w:ascii="Times New Roman" w:hAnsi="Times New Roman" w:cs="Times New Roman"/>
                <w:spacing w:val="-1"/>
                <w:sz w:val="22"/>
                <w:szCs w:val="22"/>
                <w:lang w:val="en-US"/>
              </w:rPr>
              <w:t>(c) the maintenance of a fixed place of business solely for any combination of activities mentioned in subparagraphs (a) and (b),</w:t>
            </w:r>
          </w:p>
          <w:p w14:paraId="4F6B6242" w14:textId="77777777" w:rsidR="00A40255" w:rsidRPr="005B2F6F" w:rsidRDefault="00A40255" w:rsidP="00684734">
            <w:pPr>
              <w:spacing w:before="120" w:after="120" w:line="276" w:lineRule="auto"/>
              <w:jc w:val="both"/>
              <w:rPr>
                <w:rFonts w:ascii="Times New Roman" w:hAnsi="Times New Roman" w:cs="Times New Roman"/>
                <w:color w:val="000000" w:themeColor="text1"/>
                <w:lang w:val="nl-NL"/>
              </w:rPr>
            </w:pPr>
            <w:r w:rsidRPr="00684734">
              <w:rPr>
                <w:rFonts w:ascii="Times New Roman" w:hAnsi="Times New Roman" w:cs="Times New Roman"/>
                <w:spacing w:val="-1"/>
                <w:sz w:val="22"/>
                <w:szCs w:val="22"/>
                <w:lang w:val="en-US"/>
              </w:rPr>
              <w:t>provided that such activity or, in the case of subparagraph c), the overall activity of the fixed place of business, is of a preparatory or auxiliary character.</w:t>
            </w:r>
          </w:p>
        </w:tc>
      </w:tr>
    </w:tbl>
    <w:p w14:paraId="11F8EC2E" w14:textId="77777777" w:rsidR="00A40255" w:rsidRDefault="00A40255" w:rsidP="00A40255">
      <w:pPr>
        <w:spacing w:before="120" w:after="120" w:line="276" w:lineRule="auto"/>
        <w:jc w:val="both"/>
        <w:rPr>
          <w:rFonts w:ascii="Times New Roman" w:hAnsi="Times New Roman" w:cs="Times New Roman"/>
          <w:sz w:val="22"/>
          <w:szCs w:val="22"/>
          <w:lang w:val="en-US"/>
        </w:rPr>
      </w:pPr>
    </w:p>
    <w:p w14:paraId="15895E74" w14:textId="77777777" w:rsidR="006822C9" w:rsidRDefault="006822C9" w:rsidP="006822C9">
      <w:pPr>
        <w:spacing w:before="120" w:after="120" w:line="276" w:lineRule="auto"/>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(5) Notwithstanding the provisions of paragraphs 1 and 2, where a person - other than an agent of an independent status to whom paragraph 7 applies - is acting on behalf of an enterprise and has, and habitually exercises, in a Contracting State an authority to conclude contracts in the name of the enterprise, that enterprise shall be deemed to have a permanent establishment in that State in respect of any activities which that person undertakes for the enterprise, unless the activities of such person are limited to those mentioned in paragraph 4 which, if exercised through a fixed place of business, would not make this fixed place of business a permanent establishment under the provisions of that paragraph. </w:t>
      </w:r>
    </w:p>
    <w:p w14:paraId="51F95564" w14:textId="77777777" w:rsidR="006822C9" w:rsidRDefault="006822C9" w:rsidP="006822C9">
      <w:pPr>
        <w:spacing w:before="120" w:after="120" w:line="276" w:lineRule="auto"/>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(6) Notwithstanding the preceding provisions of this Article, an insurance enterprise of a Contracting State shall, except in regard to re-insurance, be deemed to have a permanent establishment in the other Contracting State if it collects premiums in the territory of that other State or insures risks situated therein through a person other than agent of an independent status to whom paragraph 7 applies.</w:t>
      </w:r>
    </w:p>
    <w:p w14:paraId="654DC195" w14:textId="77777777" w:rsidR="006822C9" w:rsidRDefault="006822C9" w:rsidP="006822C9">
      <w:pPr>
        <w:spacing w:before="120" w:after="120" w:line="276" w:lineRule="auto"/>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(7) An enterprise shall not be deemed to have a permanent establishment in a Contracting State merely because it carries on business in that State through a broker, general commission agent or any other agent of an independent status, provided that such persons are acting in the ordinary course of their business. However, when the activities of such an agent are devoted wholly or almost wholly on behalf of that enterprise, he will not be considered an agent of an independent status within the meaning of this paragraph. </w:t>
      </w:r>
    </w:p>
    <w:p w14:paraId="73084C50" w14:textId="77777777" w:rsidR="006822C9" w:rsidRDefault="006822C9" w:rsidP="006822C9">
      <w:pPr>
        <w:spacing w:before="120" w:after="120" w:line="276" w:lineRule="auto"/>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(8) 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either company a permanent establishment of the other. </w:t>
      </w:r>
    </w:p>
    <w:p w14:paraId="20649B71" w14:textId="77777777" w:rsidR="00F7778D" w:rsidRDefault="00F7778D" w:rsidP="006822C9">
      <w:pPr>
        <w:spacing w:before="120" w:after="120" w:line="276" w:lineRule="auto"/>
        <w:jc w:val="both"/>
        <w:rPr>
          <w:rFonts w:ascii="Times New Roman" w:hAnsi="Times New Roman" w:cs="Times New Roman"/>
          <w:sz w:val="22"/>
          <w:szCs w:val="22"/>
          <w:lang w:val="en-US"/>
        </w:rPr>
      </w:pPr>
    </w:p>
    <w:p w14:paraId="4EABF3A0" w14:textId="77777777" w:rsidR="006822C9" w:rsidRPr="00F7778D" w:rsidRDefault="006822C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Article 6</w:t>
      </w:r>
    </w:p>
    <w:p w14:paraId="35AE1618" w14:textId="77777777" w:rsidR="006822C9" w:rsidRPr="00F7778D" w:rsidRDefault="006822C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INCOME FROM IMMOVABLE PROPERTY</w:t>
      </w:r>
    </w:p>
    <w:p w14:paraId="72926FCE" w14:textId="77777777" w:rsidR="006822C9" w:rsidRDefault="006822C9" w:rsidP="006822C9">
      <w:pPr>
        <w:spacing w:before="120" w:after="120" w:line="276" w:lineRule="auto"/>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(1) Income derived by a resident of a Contracting State from immovable property (including income from agriculture or forestry) situated in the other Contracting State may be taxed in that other State. </w:t>
      </w:r>
    </w:p>
    <w:p w14:paraId="76D830E9" w14:textId="77777777" w:rsidR="006822C9" w:rsidRDefault="006822C9" w:rsidP="006822C9">
      <w:pPr>
        <w:spacing w:before="120" w:after="120" w:line="276" w:lineRule="auto"/>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(2) The term "immovable property" shall have the meaning which it has under the law of the Contracting State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and aircraft shall not be regarded as immovable property. </w:t>
      </w:r>
    </w:p>
    <w:p w14:paraId="5ED95D3E" w14:textId="77777777" w:rsidR="006822C9" w:rsidRDefault="006822C9" w:rsidP="006822C9">
      <w:pPr>
        <w:spacing w:before="120" w:after="120" w:line="276" w:lineRule="auto"/>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lastRenderedPageBreak/>
        <w:t xml:space="preserve">(3) The provisions of paragraph 1 shall apply to income derived from the direct use, letting, or use in any other form of immovable property. </w:t>
      </w:r>
    </w:p>
    <w:p w14:paraId="53DB0471" w14:textId="77777777" w:rsidR="006822C9" w:rsidRDefault="006822C9" w:rsidP="006822C9">
      <w:pPr>
        <w:spacing w:before="120" w:after="120" w:line="276" w:lineRule="auto"/>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(4) The provisions of paragraphs 1 and 3 shall also apply to the income from immovable property of an enterprise and to income from immovable property used for the performance of independent personal services.</w:t>
      </w:r>
    </w:p>
    <w:p w14:paraId="144632A1" w14:textId="77777777" w:rsidR="00F7778D" w:rsidRDefault="00F7778D" w:rsidP="006822C9">
      <w:pPr>
        <w:spacing w:before="120" w:after="120" w:line="276" w:lineRule="auto"/>
        <w:jc w:val="both"/>
        <w:rPr>
          <w:rFonts w:ascii="Times New Roman" w:hAnsi="Times New Roman" w:cs="Times New Roman"/>
          <w:sz w:val="22"/>
          <w:szCs w:val="22"/>
          <w:lang w:val="en-US"/>
        </w:rPr>
      </w:pPr>
    </w:p>
    <w:p w14:paraId="6410FA37" w14:textId="77777777" w:rsidR="006822C9" w:rsidRPr="00F7778D" w:rsidRDefault="006822C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Article 7</w:t>
      </w:r>
    </w:p>
    <w:p w14:paraId="7A5C04DE" w14:textId="77777777" w:rsidR="006822C9" w:rsidRPr="00F7778D" w:rsidRDefault="006822C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BUSINESS PROFITS</w:t>
      </w:r>
    </w:p>
    <w:p w14:paraId="3733A046" w14:textId="77777777" w:rsidR="006822C9" w:rsidRDefault="006822C9" w:rsidP="006822C9">
      <w:pPr>
        <w:spacing w:before="120" w:after="120" w:line="276" w:lineRule="auto"/>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(1) The profits of an enterprise of a Contracting State shall be taxable only in that State unless the enterprise carries on business in the other Contracting State through a permanent establishment situated therein. If the enterprise carries on business as aforesaid, the profits of the enterprise may be taxed in the other State but only so much of them as is attributable to that permanent establishment. </w:t>
      </w:r>
    </w:p>
    <w:p w14:paraId="52987F5C" w14:textId="77777777" w:rsidR="006822C9" w:rsidRDefault="006822C9" w:rsidP="006822C9">
      <w:pPr>
        <w:spacing w:before="120" w:after="120" w:line="276" w:lineRule="auto"/>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(2) 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 </w:t>
      </w:r>
    </w:p>
    <w:p w14:paraId="3F5AD5C5" w14:textId="77777777" w:rsidR="006822C9" w:rsidRDefault="006822C9" w:rsidP="006822C9">
      <w:pPr>
        <w:spacing w:before="120" w:after="120" w:line="276" w:lineRule="auto"/>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(3) In determining the profits of a permanent establishment, there shall be allowed as deductions expenses which are incurred for the purposes of the permanent establishment, including executive and general administrative expenses so incurred, whether in the State in which the permanent establishment is situated or elsewhere. However, no such deduction shall be allowed in respect of amounts, if any, paid (otherwise than towards reimbursement of actual expenses) by the permanent establishment to the head office of the enterprise or any of its other offices, by way of royalties, fees, or other similar payments in return for the use of patents or other rights, or by way of commission, for specific services performed or for management, or, except in the case of a banking enterprise, by way of interest on moneys lent to the permanent establishment. Likewise, no account shall be taken, in the determination of the profits of a permanent establishment, for amounts charged (otherwise than towards reimbursement of actual expenses) by the permanent establishment to the head office of the enterprise or any of its other offices, by way of royalties, fees, or other similar payments in return for the use of patents or other rights, or by way of commission for specific services performed or for management, or, except in the case of a banking enterprise, by way of interest on moneys lent to the head of the enterprise or any of its other offices. </w:t>
      </w:r>
    </w:p>
    <w:p w14:paraId="1AC7CF3E" w14:textId="77777777" w:rsidR="006822C9" w:rsidRDefault="006822C9" w:rsidP="006822C9">
      <w:pPr>
        <w:spacing w:before="120" w:after="120" w:line="276" w:lineRule="auto"/>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(4) Insofar as it has been customary in a Contracting State to determine the profits to be attributed to a permanent establishment on the basis of an apportionment of the total profits of the enterprise to its various parts, nothing in paragraph 2 shall preclude that Contracting State from determining the profits to be taxed by such an apportionment as may be customary; the method of apportionment adopted shall, however, be such that the result shall be in accordance with the principles contained in this Article. </w:t>
      </w:r>
    </w:p>
    <w:p w14:paraId="7E664DD8" w14:textId="77777777" w:rsidR="006822C9" w:rsidRDefault="006822C9" w:rsidP="006822C9">
      <w:pPr>
        <w:spacing w:before="120" w:after="120" w:line="276" w:lineRule="auto"/>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(5) No profits shall be attributed to a permanent establishment by reason of the mere purchase by that permanent establishment of goods or merchandise for the enterprise.</w:t>
      </w:r>
    </w:p>
    <w:p w14:paraId="35C54CE2" w14:textId="77777777" w:rsidR="006822C9" w:rsidRDefault="006822C9" w:rsidP="006822C9">
      <w:pPr>
        <w:spacing w:before="120" w:after="120" w:line="276" w:lineRule="auto"/>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(6) For the purposes of the preceding paragraphs, the profits to be attributed to the permanent establishment shall be determined by the same method year by year unless there is good and sufficient reason to the contrary. </w:t>
      </w:r>
    </w:p>
    <w:p w14:paraId="6D2345DA" w14:textId="77777777" w:rsidR="006822C9" w:rsidRDefault="006822C9" w:rsidP="006822C9">
      <w:pPr>
        <w:spacing w:before="120" w:after="120" w:line="276" w:lineRule="auto"/>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(7) Where profits include items of income which are dealt with separately in other Articles of this Convention, then the provisions of those Articles shall not be affected by the provisions of this Article. </w:t>
      </w:r>
    </w:p>
    <w:p w14:paraId="7D3BAE88" w14:textId="77777777" w:rsidR="006822C9" w:rsidRDefault="006822C9" w:rsidP="006822C9">
      <w:pPr>
        <w:spacing w:before="120" w:after="120" w:line="276" w:lineRule="auto"/>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lastRenderedPageBreak/>
        <w:t xml:space="preserve">(8) The term "profits" as used in this Article includes the profits derived by any partner from his participation in a partnership and in any other body of persons which is treated in the same way for tax purposes. </w:t>
      </w:r>
    </w:p>
    <w:p w14:paraId="75A39ECC" w14:textId="77777777" w:rsidR="00F7778D" w:rsidRDefault="00F7778D" w:rsidP="006822C9">
      <w:pPr>
        <w:spacing w:before="120" w:after="120" w:line="276" w:lineRule="auto"/>
        <w:jc w:val="both"/>
        <w:rPr>
          <w:rFonts w:ascii="Times New Roman" w:hAnsi="Times New Roman" w:cs="Times New Roman"/>
          <w:sz w:val="22"/>
          <w:szCs w:val="22"/>
          <w:lang w:val="en-US"/>
        </w:rPr>
      </w:pPr>
    </w:p>
    <w:p w14:paraId="21100101" w14:textId="77777777" w:rsidR="006822C9" w:rsidRPr="00F7778D" w:rsidRDefault="006822C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Article 8</w:t>
      </w:r>
    </w:p>
    <w:p w14:paraId="7E0357CE" w14:textId="77777777" w:rsidR="006822C9" w:rsidRPr="00F7778D" w:rsidRDefault="006822C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INTERNATIONAL TRAFFIC</w:t>
      </w:r>
    </w:p>
    <w:p w14:paraId="614C6EDF" w14:textId="77777777" w:rsidR="006822C9" w:rsidRDefault="006822C9" w:rsidP="006822C9">
      <w:pPr>
        <w:spacing w:before="120" w:after="120" w:line="276" w:lineRule="auto"/>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(1) Profits from the operation of ships or aircraft in international traffic shall be taxable only in the Contracting State in which the place of effective management of the enterprise is situated. </w:t>
      </w:r>
    </w:p>
    <w:p w14:paraId="4C4656B9" w14:textId="77777777" w:rsidR="006822C9" w:rsidRDefault="006822C9" w:rsidP="006822C9">
      <w:pPr>
        <w:spacing w:before="120" w:after="120" w:line="276" w:lineRule="auto"/>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(2) The provisions of paragraph 1 shall also apply to profits derived from the direct use, the letting or any other way of exploitation of containers and equipment pertaining to them. </w:t>
      </w:r>
    </w:p>
    <w:p w14:paraId="4179DEC2" w14:textId="77777777" w:rsidR="006822C9" w:rsidRDefault="006822C9" w:rsidP="006822C9">
      <w:pPr>
        <w:spacing w:before="120" w:after="120" w:line="276" w:lineRule="auto"/>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(3) The provisions of paragraphs 1 and 2 shall also apply to profits from the participation in a pool, a joint business or an international operating agency. </w:t>
      </w:r>
    </w:p>
    <w:p w14:paraId="7B63935C" w14:textId="77777777" w:rsidR="00F7778D" w:rsidRDefault="00F7778D" w:rsidP="006822C9">
      <w:pPr>
        <w:spacing w:before="120" w:after="120" w:line="276" w:lineRule="auto"/>
        <w:jc w:val="both"/>
        <w:rPr>
          <w:rFonts w:ascii="Times New Roman" w:hAnsi="Times New Roman" w:cs="Times New Roman"/>
          <w:sz w:val="22"/>
          <w:szCs w:val="22"/>
          <w:lang w:val="en-US"/>
        </w:rPr>
      </w:pPr>
    </w:p>
    <w:p w14:paraId="36193D4A" w14:textId="77777777" w:rsidR="006822C9" w:rsidRPr="00F7778D" w:rsidRDefault="006822C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Article 9</w:t>
      </w:r>
    </w:p>
    <w:p w14:paraId="015105F2" w14:textId="77777777" w:rsidR="006822C9" w:rsidRPr="00F7778D" w:rsidRDefault="006822C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ASSOCIATED ENTERPRISES</w:t>
      </w:r>
    </w:p>
    <w:p w14:paraId="1C5DC206" w14:textId="77777777" w:rsidR="006822C9" w:rsidRDefault="006822C9" w:rsidP="006822C9">
      <w:pPr>
        <w:spacing w:before="120" w:after="120" w:line="276" w:lineRule="auto"/>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(1) Where </w:t>
      </w:r>
    </w:p>
    <w:p w14:paraId="53E920FE" w14:textId="77777777" w:rsidR="006822C9" w:rsidRDefault="006822C9" w:rsidP="00F7778D">
      <w:pPr>
        <w:spacing w:before="120" w:after="120" w:line="276" w:lineRule="auto"/>
        <w:ind w:left="708"/>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a) an enterprise of a Contracting State participates directly or indirectly in the management, control or capital of an enterprise of the other Contracting State, or </w:t>
      </w:r>
    </w:p>
    <w:p w14:paraId="31A39A30" w14:textId="77777777" w:rsidR="006822C9" w:rsidRDefault="006822C9" w:rsidP="00F7778D">
      <w:pPr>
        <w:spacing w:before="120" w:after="120" w:line="276" w:lineRule="auto"/>
        <w:ind w:left="708"/>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 xml:space="preserve">b) the same persons participate directly or indirectly in the management, control or capital of an enterprise of a Contracting State and an enterprise of the other Contracting State, </w:t>
      </w:r>
    </w:p>
    <w:p w14:paraId="6C5EE06D" w14:textId="77777777" w:rsidR="005B05A9" w:rsidRDefault="006822C9" w:rsidP="006822C9">
      <w:pPr>
        <w:spacing w:before="120" w:after="120" w:line="276" w:lineRule="auto"/>
        <w:jc w:val="both"/>
        <w:rPr>
          <w:rFonts w:ascii="Times New Roman" w:hAnsi="Times New Roman" w:cs="Times New Roman"/>
          <w:sz w:val="22"/>
          <w:szCs w:val="22"/>
          <w:lang w:val="en-US"/>
        </w:rPr>
      </w:pPr>
      <w:r w:rsidRPr="006822C9">
        <w:rPr>
          <w:rFonts w:ascii="Times New Roman" w:hAnsi="Times New Roman" w:cs="Times New Roman"/>
          <w:sz w:val="22"/>
          <w:szCs w:val="22"/>
          <w:lang w:val="en-US"/>
        </w:rPr>
        <w:t>and in either case conditions are made or imposed between the two enterprises in their commercial or financial relations which differ from those which would be made between independent enterprises, then any profits which would, but for those</w:t>
      </w:r>
      <w:r w:rsidR="005B05A9" w:rsidRPr="005B05A9">
        <w:rPr>
          <w:lang w:val="en-US"/>
        </w:rPr>
        <w:t xml:space="preserve"> </w:t>
      </w:r>
      <w:r w:rsidR="005B05A9" w:rsidRPr="005B05A9">
        <w:rPr>
          <w:rFonts w:ascii="Times New Roman" w:hAnsi="Times New Roman" w:cs="Times New Roman"/>
          <w:sz w:val="22"/>
          <w:szCs w:val="22"/>
          <w:lang w:val="en-US"/>
        </w:rPr>
        <w:t xml:space="preserve">conditions, have accrued to one of the enterprises, but, by reason of those conditions, have not so accrued, may be included in the profits of that enterprise and taxed accordingly. </w:t>
      </w:r>
    </w:p>
    <w:p w14:paraId="0ED4B042"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(2) </w:t>
      </w:r>
      <w:r w:rsidR="00C651D4" w:rsidRPr="00C651D4">
        <w:rPr>
          <w:rFonts w:ascii="Times New Roman" w:hAnsi="Times New Roman" w:cs="Times New Roman"/>
          <w:b/>
          <w:sz w:val="22"/>
          <w:szCs w:val="22"/>
          <w:lang w:val="nl-NL"/>
        </w:rPr>
        <w:t>[REPLACED by paragraph 1 of Article 17 of the MLI]</w:t>
      </w:r>
      <w:r w:rsidR="00C651D4" w:rsidRPr="00C651D4">
        <w:rPr>
          <w:rFonts w:ascii="Times New Roman" w:hAnsi="Times New Roman" w:cs="Times New Roman"/>
          <w:sz w:val="22"/>
          <w:szCs w:val="22"/>
          <w:lang w:val="en-US"/>
        </w:rPr>
        <w:t xml:space="preserve"> [</w:t>
      </w:r>
      <w:r w:rsidRPr="005B05A9">
        <w:rPr>
          <w:rFonts w:ascii="Times New Roman" w:hAnsi="Times New Roman" w:cs="Times New Roman"/>
          <w:sz w:val="22"/>
          <w:szCs w:val="22"/>
          <w:lang w:val="en-US"/>
        </w:rPr>
        <w:t>Where a Contracting State includes in the profits of an enterprise of that State - and taxes accordingly - profits on which an enterprise of the other Contracting State has been charged to tax in that other State and the profits so included are profits which would have accrued to the enterprise of the first-mentioned State if the conditions made between the two enterprises had been those which would have been made between independent enterprises, then that other State shall make an appropriate adjustment to the amount of the tax charged therein on those profits. In determining such adjustment, due regard shall be had to the other provisions of this Convention and the competent authorities of the Contracting States shall i</w:t>
      </w:r>
      <w:r w:rsidR="00C651D4">
        <w:rPr>
          <w:rFonts w:ascii="Times New Roman" w:hAnsi="Times New Roman" w:cs="Times New Roman"/>
          <w:sz w:val="22"/>
          <w:szCs w:val="22"/>
          <w:lang w:val="en-US"/>
        </w:rPr>
        <w:t>f necessary consult each other.]</w:t>
      </w:r>
    </w:p>
    <w:tbl>
      <w:tblPr>
        <w:tblStyle w:val="TableGrid"/>
        <w:tblW w:w="9209" w:type="dxa"/>
        <w:tblLook w:val="04A0" w:firstRow="1" w:lastRow="0" w:firstColumn="1" w:lastColumn="0" w:noHBand="0" w:noVBand="1"/>
      </w:tblPr>
      <w:tblGrid>
        <w:gridCol w:w="9209"/>
      </w:tblGrid>
      <w:tr w:rsidR="005D7B09" w:rsidRPr="00FC4882" w14:paraId="421044F5" w14:textId="77777777" w:rsidTr="005D7B09">
        <w:tc>
          <w:tcPr>
            <w:tcW w:w="9209" w:type="dxa"/>
          </w:tcPr>
          <w:p w14:paraId="107A94CB" w14:textId="77777777" w:rsidR="005D7B09" w:rsidRPr="005D7B09" w:rsidRDefault="005D7B09" w:rsidP="005D7B09">
            <w:pPr>
              <w:spacing w:after="240" w:line="276" w:lineRule="auto"/>
              <w:jc w:val="both"/>
              <w:rPr>
                <w:rFonts w:ascii="Times New Roman" w:eastAsia="MS Mincho" w:hAnsi="Times New Roman" w:cs="Times New Roman"/>
                <w:i/>
                <w:iCs/>
                <w:sz w:val="22"/>
                <w:szCs w:val="22"/>
                <w:lang w:val="en-US" w:eastAsia="en-GB"/>
              </w:rPr>
            </w:pPr>
            <w:r w:rsidRPr="005D7B09">
              <w:rPr>
                <w:rFonts w:ascii="Times New Roman" w:eastAsia="MS Mincho" w:hAnsi="Times New Roman" w:cs="Times New Roman"/>
                <w:i/>
                <w:iCs/>
                <w:sz w:val="22"/>
                <w:szCs w:val="22"/>
                <w:lang w:val="en-US" w:eastAsia="en-GB"/>
              </w:rPr>
              <w:t>The following paragraph 1 of Article 17 of the MLI replaces the paragraph 2 of Article 9 of this Convention:</w:t>
            </w:r>
            <w:r w:rsidRPr="005D7B09">
              <w:rPr>
                <w:rStyle w:val="FootnoteReference"/>
                <w:rFonts w:ascii="Times New Roman" w:eastAsia="MS Mincho" w:hAnsi="Times New Roman" w:cs="Times New Roman"/>
                <w:i/>
                <w:iCs/>
                <w:sz w:val="22"/>
                <w:szCs w:val="22"/>
                <w:lang w:eastAsia="en-GB"/>
              </w:rPr>
              <w:footnoteReference w:id="3"/>
            </w:r>
          </w:p>
          <w:p w14:paraId="49AAE7CB" w14:textId="77777777" w:rsidR="005D7B09" w:rsidRPr="005D7B09" w:rsidRDefault="005D7B09" w:rsidP="009E1516">
            <w:pPr>
              <w:pStyle w:val="Para"/>
              <w:spacing w:before="0" w:line="276" w:lineRule="auto"/>
              <w:jc w:val="center"/>
              <w:rPr>
                <w:rFonts w:eastAsiaTheme="minorHAnsi"/>
                <w:szCs w:val="22"/>
                <w:lang w:val="en-US"/>
              </w:rPr>
            </w:pPr>
            <w:r w:rsidRPr="005D7B09">
              <w:rPr>
                <w:rFonts w:eastAsiaTheme="minorHAnsi"/>
                <w:szCs w:val="22"/>
                <w:lang w:val="en-US"/>
              </w:rPr>
              <w:lastRenderedPageBreak/>
              <w:t>ARTICLE 17 OF THE MLI – CORRESPONDING ADJUSTMENTS</w:t>
            </w:r>
          </w:p>
          <w:p w14:paraId="3C8B2B7E" w14:textId="77777777" w:rsidR="005D7B09" w:rsidRPr="005B2F6F" w:rsidRDefault="005D7B09" w:rsidP="009E1516">
            <w:pPr>
              <w:spacing w:line="276" w:lineRule="auto"/>
              <w:jc w:val="both"/>
              <w:rPr>
                <w:rFonts w:ascii="Times New Roman" w:hAnsi="Times New Roman" w:cs="Times New Roman"/>
                <w:color w:val="000000" w:themeColor="text1"/>
                <w:lang w:val="nl-NL"/>
              </w:rPr>
            </w:pPr>
            <w:r w:rsidRPr="005D7B09">
              <w:rPr>
                <w:rFonts w:ascii="Times New Roman" w:hAnsi="Times New Roman" w:cs="Times New Roman"/>
                <w:spacing w:val="-1"/>
                <w:sz w:val="22"/>
                <w:szCs w:val="22"/>
                <w:lang w:val="en-US"/>
              </w:rPr>
              <w:t>Where a Contracting State includes in the profits of an enterprise of that Contracting State — and taxes accordingly — profits on which an enterprise of the other Contracting State has been charged to tax in that other Contracting State and the profits so included are profits which would have accrued to the enterprise of the first-mentioned Contracting State if the conditions made between the two enterprises had been those which would have been made between independent enterprises, then that other Contracting State shall make an appropriate adjustment to the amount of the tax charged therein on those profits. In determining such adjustment, due regard shall be had to the other provisions of the Convention and the competent authorities of the Contracting States shall if necessary consult each other</w:t>
            </w:r>
            <w:r w:rsidRPr="005D7B09">
              <w:rPr>
                <w:rFonts w:ascii="Times New Roman" w:eastAsia="MS Mincho" w:hAnsi="Times New Roman" w:cs="Times New Roman"/>
                <w:iCs/>
                <w:sz w:val="22"/>
                <w:szCs w:val="22"/>
                <w:lang w:val="en-US" w:eastAsia="en-GB"/>
              </w:rPr>
              <w:t>.</w:t>
            </w:r>
          </w:p>
        </w:tc>
      </w:tr>
    </w:tbl>
    <w:p w14:paraId="05325016" w14:textId="77777777" w:rsidR="00F7778D" w:rsidRDefault="00F7778D" w:rsidP="006822C9">
      <w:pPr>
        <w:spacing w:before="120" w:after="120" w:line="276" w:lineRule="auto"/>
        <w:jc w:val="both"/>
        <w:rPr>
          <w:rFonts w:ascii="Times New Roman" w:hAnsi="Times New Roman" w:cs="Times New Roman"/>
          <w:sz w:val="22"/>
          <w:szCs w:val="22"/>
          <w:lang w:val="en-US"/>
        </w:rPr>
      </w:pPr>
    </w:p>
    <w:p w14:paraId="763710BD" w14:textId="77777777" w:rsidR="005B05A9" w:rsidRPr="00F7778D" w:rsidRDefault="005B05A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Article 10</w:t>
      </w:r>
    </w:p>
    <w:p w14:paraId="398A1E11" w14:textId="77777777" w:rsidR="005B05A9" w:rsidRPr="00F7778D" w:rsidRDefault="005B05A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DIVIDENDS</w:t>
      </w:r>
    </w:p>
    <w:p w14:paraId="02B05250"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(1) Dividends paid by a company which is a resident of a Contracting State to a resident of the other Contracting State may be taxed in that other State. </w:t>
      </w:r>
    </w:p>
    <w:p w14:paraId="41527C43"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(2) However, such dividends may also be taxed in the Contracting State of which the company paying the dividends is a resident and according to the laws of that State, but if the recipient is the beneficial owner of the dividends the tax so charged shall not exceed: </w:t>
      </w:r>
    </w:p>
    <w:p w14:paraId="1475EED6" w14:textId="77777777" w:rsidR="005B05A9" w:rsidRDefault="005B05A9" w:rsidP="00F7778D">
      <w:pPr>
        <w:spacing w:before="120" w:after="120" w:line="276" w:lineRule="auto"/>
        <w:ind w:left="708"/>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a) 5 per cent of the gross amount of the dividends if the beneficial owner is a company (other than a partnership) which holds directly at least 10 per cent of the capital of the company paying the dividends; </w:t>
      </w:r>
    </w:p>
    <w:p w14:paraId="0B583FB8" w14:textId="77777777" w:rsidR="005B05A9" w:rsidRDefault="005B05A9" w:rsidP="00F7778D">
      <w:pPr>
        <w:spacing w:before="120" w:after="120" w:line="276" w:lineRule="auto"/>
        <w:ind w:left="708"/>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b) 15 per cent of the gross amount of the dividends in all other cases. The competent authorities of the Contracting States shall by mutual agreement settle the mode of application of these limitations. This paragraph shall not affect the taxation of the company in respect of the profits out of which the dividends are paid. </w:t>
      </w:r>
    </w:p>
    <w:p w14:paraId="53911D41"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(3) The term "dividends" as used in this Article means income from shares, "jouissance" shares or "jouissance" rights, mining shares, founders' shares or other rights, not being debt-claims, participating in profits, as well as income from other corporate rights which is subjected to the same taxation treatment as income from shares by the laws of the State of which the company making the distribution is a resident. </w:t>
      </w:r>
    </w:p>
    <w:p w14:paraId="011C3549"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(4) The provisions of paragraphs 1 and 2 shall not apply if the beneficial owner of the dividends, being a resident of a Contracting State, carries on business in the</w:t>
      </w:r>
      <w:r w:rsidRPr="005B05A9">
        <w:rPr>
          <w:lang w:val="en-US"/>
        </w:rPr>
        <w:t xml:space="preserve"> </w:t>
      </w:r>
      <w:r w:rsidRPr="005B05A9">
        <w:rPr>
          <w:rFonts w:ascii="Times New Roman" w:hAnsi="Times New Roman" w:cs="Times New Roman"/>
          <w:sz w:val="22"/>
          <w:szCs w:val="22"/>
          <w:lang w:val="en-US"/>
        </w:rPr>
        <w:t xml:space="preserve">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case the provisions of Article 7 or Article 14, as the case may be, shall apply. </w:t>
      </w:r>
    </w:p>
    <w:p w14:paraId="3234EFDC"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(5)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w:t>
      </w:r>
      <w:r w:rsidRPr="005B05A9">
        <w:rPr>
          <w:rFonts w:ascii="Times New Roman" w:hAnsi="Times New Roman" w:cs="Times New Roman"/>
          <w:sz w:val="22"/>
          <w:szCs w:val="22"/>
          <w:lang w:val="en-US"/>
        </w:rPr>
        <w:lastRenderedPageBreak/>
        <w:t xml:space="preserve">profits to a tax on the company's undistributed profits, even if the dividends paid or the undistributed profits consist wholly or partly of profits or income arising in such other State. </w:t>
      </w:r>
    </w:p>
    <w:p w14:paraId="33E2A98F" w14:textId="77777777" w:rsidR="00F7778D" w:rsidRDefault="00F7778D" w:rsidP="006822C9">
      <w:pPr>
        <w:spacing w:before="120" w:after="120" w:line="276" w:lineRule="auto"/>
        <w:jc w:val="both"/>
        <w:rPr>
          <w:rFonts w:ascii="Times New Roman" w:hAnsi="Times New Roman" w:cs="Times New Roman"/>
          <w:sz w:val="22"/>
          <w:szCs w:val="22"/>
          <w:lang w:val="en-US"/>
        </w:rPr>
      </w:pPr>
    </w:p>
    <w:p w14:paraId="198FA1BD" w14:textId="77777777" w:rsidR="005B05A9" w:rsidRPr="00F7778D" w:rsidRDefault="005B05A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Article 11</w:t>
      </w:r>
    </w:p>
    <w:p w14:paraId="363C9622" w14:textId="77777777" w:rsidR="005B05A9" w:rsidRPr="00F7778D" w:rsidRDefault="005B05A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INTEREST</w:t>
      </w:r>
    </w:p>
    <w:p w14:paraId="4D58569A"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(1) Interest arising in a Contracting State and paid to a resident of the other Contracting State may be taxed in that other State. </w:t>
      </w:r>
    </w:p>
    <w:p w14:paraId="50FF3599"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(2) However, such interest may also be taxed in the Contracting State in which it arises and according to the laws of that State, but if the recipient is the beneficial owner of the interest the tax so charged shall not exceed 10 per cent of the gross amount of the interest. The competent authorities of the Contracting States shall by mutual agreement settle the mode of application of this limitation. </w:t>
      </w:r>
    </w:p>
    <w:p w14:paraId="69B81EBF"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(3) Notwithstanding the provisions of paragraph 2, interest shall be exempted from tax in the Contracting State in which it arises if it is: </w:t>
      </w:r>
    </w:p>
    <w:p w14:paraId="5780825E" w14:textId="77777777" w:rsidR="005B05A9" w:rsidRDefault="005B05A9" w:rsidP="00F7778D">
      <w:pPr>
        <w:spacing w:before="120" w:after="120" w:line="276" w:lineRule="auto"/>
        <w:ind w:left="708"/>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a) interest in connection with the sale on credit of any industrial, commercial or scientific equipment or of any capital goods by an enterprise to another enterprise; </w:t>
      </w:r>
    </w:p>
    <w:p w14:paraId="78162916" w14:textId="77777777" w:rsidR="005B05A9" w:rsidRDefault="005B05A9" w:rsidP="00F7778D">
      <w:pPr>
        <w:spacing w:before="120" w:after="120" w:line="276" w:lineRule="auto"/>
        <w:ind w:left="708"/>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b) interest on a loan of any nature – not represented by bearer instruments – granted by a banking enterprise; </w:t>
      </w:r>
    </w:p>
    <w:p w14:paraId="05332223" w14:textId="77777777" w:rsidR="005B05A9" w:rsidRDefault="005B05A9" w:rsidP="00F7778D">
      <w:pPr>
        <w:spacing w:before="120" w:after="120" w:line="276" w:lineRule="auto"/>
        <w:ind w:left="708"/>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c) interest paid to the other Contracting State or to its political subdivisions or local authorities. </w:t>
      </w:r>
    </w:p>
    <w:p w14:paraId="15B156FC" w14:textId="77777777" w:rsidR="006822C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(4) The term "interest" as used in this Article means income from debt 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 of this Article.</w:t>
      </w:r>
    </w:p>
    <w:p w14:paraId="4F62B2D9"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(5) The provisions of paragraphs 1 and 2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 the provisions of Article 7 or Article 14, as the case may be, shall apply. </w:t>
      </w:r>
    </w:p>
    <w:p w14:paraId="18741C9B"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(6) Interest shall be deemed to arise in a Contracting State when the payer is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State in which the permanent establishment or fixed base is situated. </w:t>
      </w:r>
    </w:p>
    <w:p w14:paraId="397A1DC2"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(7) 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Convention. </w:t>
      </w:r>
    </w:p>
    <w:p w14:paraId="1CD45ED7" w14:textId="77777777" w:rsidR="00F7778D" w:rsidRDefault="00F7778D" w:rsidP="006822C9">
      <w:pPr>
        <w:spacing w:before="120" w:after="120" w:line="276" w:lineRule="auto"/>
        <w:jc w:val="both"/>
        <w:rPr>
          <w:rFonts w:ascii="Times New Roman" w:hAnsi="Times New Roman" w:cs="Times New Roman"/>
          <w:sz w:val="22"/>
          <w:szCs w:val="22"/>
          <w:lang w:val="en-US"/>
        </w:rPr>
      </w:pPr>
    </w:p>
    <w:p w14:paraId="7B145449" w14:textId="77777777" w:rsidR="00A84DC1" w:rsidRDefault="00A84DC1">
      <w:pPr>
        <w:suppressAutoHyphens w:val="0"/>
        <w:rPr>
          <w:rFonts w:ascii="Times New Roman" w:hAnsi="Times New Roman" w:cs="Times New Roman"/>
          <w:b/>
          <w:sz w:val="22"/>
          <w:szCs w:val="22"/>
          <w:u w:val="single"/>
          <w:lang w:val="en-US"/>
        </w:rPr>
      </w:pPr>
      <w:r>
        <w:rPr>
          <w:rFonts w:ascii="Times New Roman" w:hAnsi="Times New Roman" w:cs="Times New Roman"/>
          <w:b/>
          <w:sz w:val="22"/>
          <w:szCs w:val="22"/>
          <w:u w:val="single"/>
          <w:lang w:val="en-US"/>
        </w:rPr>
        <w:br w:type="page"/>
      </w:r>
    </w:p>
    <w:p w14:paraId="1A471CE6" w14:textId="300CEE07" w:rsidR="005B05A9" w:rsidRPr="00F7778D" w:rsidRDefault="005B05A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lastRenderedPageBreak/>
        <w:t>Article 12</w:t>
      </w:r>
    </w:p>
    <w:p w14:paraId="352C5F46" w14:textId="77777777" w:rsidR="005B05A9" w:rsidRPr="00F7778D" w:rsidRDefault="005B05A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ROYALTIES</w:t>
      </w:r>
    </w:p>
    <w:p w14:paraId="024FD15B"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(1) Royalties arising in a Contracting State and beneficially owned by a resident of the other Contracting State may be taxed in that other State. </w:t>
      </w:r>
    </w:p>
    <w:p w14:paraId="4B1F4A21"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(2) However, such royalties may also be taxed in the Contracting State in which they arise and according to the laws of that State, but if the recipient is the beneficial owner of the royalties the tax so charged shall not exceed 5 per cent of the gross amount of the royalties. The competent authorities of the Contracting States shall by mutual agreement settle the mode of application of this limitation. </w:t>
      </w:r>
    </w:p>
    <w:p w14:paraId="0A6BA511"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(3) The term "royalties" as used in this Article means payments of any kind received as a consideration for the use of, or the right to use, any copyright of literary, artistic or scientific work including cinematograph films, or films or tapes used for radio or television broadcasting, any patent, trade mark, design or model, plan, secret formula or process, or for information concerning industrial, commercial or scientific experience. </w:t>
      </w:r>
    </w:p>
    <w:p w14:paraId="5EA835D2"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(4) The provisions of paragraphs 1 and 2 shall not apply if the beneficial owner of the royalties, being a resident of a Contracting State, carries on business in the other Contracting State in which the royalties arise, through a permanent</w:t>
      </w:r>
      <w:r w:rsidRPr="005B05A9">
        <w:rPr>
          <w:lang w:val="en-US"/>
        </w:rPr>
        <w:t xml:space="preserve"> </w:t>
      </w:r>
      <w:r w:rsidRPr="005B05A9">
        <w:rPr>
          <w:rFonts w:ascii="Times New Roman" w:hAnsi="Times New Roman" w:cs="Times New Roman"/>
          <w:sz w:val="22"/>
          <w:szCs w:val="22"/>
          <w:lang w:val="en-US"/>
        </w:rPr>
        <w:t xml:space="preserve">establishment situated therein, or performs in that other State independent personal services from a fixed base situated therein, and the right or property in respect of which the royalties are paid is effectively connected with such permanent establishment or fixed base. In such case the provisions of Article 7 or Article 14, as the case may be, shall apply. </w:t>
      </w:r>
    </w:p>
    <w:p w14:paraId="76259F6A"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(5) Royalties shall be deemed to arise in a Contracting State when the payer is a resident of that State. Where, however, the person paying the royalties, whether he is a resident of a Contracting State or not, has in a Contracting State a permanent establishment or a fixed base in connection with which the liability to pay the royalties was incurred, and such royalties are borne by such permanent establishment or fixed base, then such royalties shall be deemed to arise in the State in which the permanent establishment or fixed base is situated. </w:t>
      </w:r>
    </w:p>
    <w:p w14:paraId="1C619574"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(6) Where, by reason of a special relationship between the payer and the beneficial owner or between both of them and some other person, the amount of the royalties, having regard to the use, right or information for which they are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Convention. </w:t>
      </w:r>
    </w:p>
    <w:p w14:paraId="66AF4500" w14:textId="77777777" w:rsidR="00F7778D" w:rsidRDefault="00F7778D" w:rsidP="006822C9">
      <w:pPr>
        <w:spacing w:before="120" w:after="120" w:line="276" w:lineRule="auto"/>
        <w:jc w:val="both"/>
        <w:rPr>
          <w:rFonts w:ascii="Times New Roman" w:hAnsi="Times New Roman" w:cs="Times New Roman"/>
          <w:sz w:val="22"/>
          <w:szCs w:val="22"/>
          <w:lang w:val="en-US"/>
        </w:rPr>
      </w:pPr>
    </w:p>
    <w:p w14:paraId="6CF7043D" w14:textId="77777777" w:rsidR="005B05A9" w:rsidRPr="00F7778D" w:rsidRDefault="005B05A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Article 13</w:t>
      </w:r>
    </w:p>
    <w:p w14:paraId="5B6A7FEF" w14:textId="77777777" w:rsidR="005B05A9" w:rsidRPr="00F7778D" w:rsidRDefault="005B05A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CAPITAL GAINS</w:t>
      </w:r>
    </w:p>
    <w:p w14:paraId="1FBAE3B2"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(1) Gains derived by a resident of a Contracting State from the alienation of immovable property referred to in Article 6 and situated in the other Contracting State may be taxed in that other State. </w:t>
      </w:r>
    </w:p>
    <w:p w14:paraId="5FBDDE68"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(2) 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with the whole enterprise) or of such fixed base, may be taxed in that other State. </w:t>
      </w:r>
    </w:p>
    <w:p w14:paraId="120A2535"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lastRenderedPageBreak/>
        <w:t xml:space="preserve">(3) Gains from the alienation of ships or aircraft operated in international traffic, or movable property pertaining to the operation of such ships or aircraft shall be taxable only in the Contracting State in which the place of effective management of the enterprise is situated. </w:t>
      </w:r>
    </w:p>
    <w:p w14:paraId="2A422B89"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(4) Gains derived by a resident of a Contracting State from the alienation of shares or other corporate rights in a company the assets of which consist mainly of immovable property situated in the other Contracting State may be taxed in that State.</w:t>
      </w:r>
    </w:p>
    <w:p w14:paraId="478CF2F9"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(5) Gains from the alienation of any property other than that referred to in paragraphs 1, 2, 3 and 4 shall be taxable only in the Contracting State of which the alienator is a resident. </w:t>
      </w:r>
    </w:p>
    <w:p w14:paraId="055209E3" w14:textId="77777777" w:rsidR="00F7778D" w:rsidRDefault="00F7778D" w:rsidP="006822C9">
      <w:pPr>
        <w:spacing w:before="120" w:after="120" w:line="276" w:lineRule="auto"/>
        <w:jc w:val="both"/>
        <w:rPr>
          <w:rFonts w:ascii="Times New Roman" w:hAnsi="Times New Roman" w:cs="Times New Roman"/>
          <w:sz w:val="22"/>
          <w:szCs w:val="22"/>
          <w:lang w:val="en-US"/>
        </w:rPr>
      </w:pPr>
    </w:p>
    <w:p w14:paraId="3751EB42" w14:textId="77777777" w:rsidR="005B05A9" w:rsidRPr="00F7778D" w:rsidRDefault="005B05A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Article 14</w:t>
      </w:r>
    </w:p>
    <w:p w14:paraId="5CBB19BE" w14:textId="77777777" w:rsidR="005B05A9" w:rsidRPr="00F7778D" w:rsidRDefault="005B05A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INDEPENDENT PERSONAL SERVICES</w:t>
      </w:r>
    </w:p>
    <w:p w14:paraId="10D774E7"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(1) Income derived by a resident of a Contracting State in respect of professional services or other activities of an independent character shall be taxable only in that State unless he has a fixed base regularly available to him in the other Contracting State for the purpose of performing his activities. If he has such a fixed base, the income may be taxed in the other State but only so much of it as is attributable to that fixed base. </w:t>
      </w:r>
    </w:p>
    <w:p w14:paraId="34AC8475"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(2) The term "professional services" includes especially independent scientific, literary, artistic, educational or teaching activities as well as the independent activities of physicians, lawyers, engineers, architects, dentists and accountants. </w:t>
      </w:r>
    </w:p>
    <w:p w14:paraId="59623B5E" w14:textId="77777777" w:rsidR="00F7778D" w:rsidRDefault="00F7778D" w:rsidP="006822C9">
      <w:pPr>
        <w:spacing w:before="120" w:after="120" w:line="276" w:lineRule="auto"/>
        <w:jc w:val="both"/>
        <w:rPr>
          <w:rFonts w:ascii="Times New Roman" w:hAnsi="Times New Roman" w:cs="Times New Roman"/>
          <w:sz w:val="22"/>
          <w:szCs w:val="22"/>
          <w:lang w:val="en-US"/>
        </w:rPr>
      </w:pPr>
    </w:p>
    <w:p w14:paraId="288C6E33" w14:textId="77777777" w:rsidR="005B05A9" w:rsidRPr="00F7778D" w:rsidRDefault="005B05A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Article 15</w:t>
      </w:r>
    </w:p>
    <w:p w14:paraId="2E6C6755" w14:textId="77777777" w:rsidR="005B05A9" w:rsidRPr="00F7778D" w:rsidRDefault="005B05A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DEPENDENT PERSONAL SERVICES</w:t>
      </w:r>
    </w:p>
    <w:p w14:paraId="0FC4E254"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(1) Subject to the provisions of Articles 16, 18 and 19, salaries, wages and other similar remuneration derived by a resident of a Contracting State in respect of an employment shall be taxable only in that State unless the employment is exercised in the other Contracting State. If the employment is so exercised, such remuneration as is derived therefrom may be taxed in that other State. </w:t>
      </w:r>
    </w:p>
    <w:p w14:paraId="0F2B57B5"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(2) Notwithstanding the provisions of paragraph 1, remuneration derived by a resident of a Contracting State in respect of an employment exercised in the other Contracting State shall be taxable only in the first-mentioned State if: </w:t>
      </w:r>
    </w:p>
    <w:p w14:paraId="0CD06E28" w14:textId="77777777" w:rsidR="005B05A9" w:rsidRDefault="005B05A9" w:rsidP="00F7778D">
      <w:pPr>
        <w:spacing w:before="120" w:after="120" w:line="276" w:lineRule="auto"/>
        <w:ind w:left="708"/>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a) the recipient is present in the other State for a period or periods not exceeding in the aggregate 183 days in the fiscal year concerned, and </w:t>
      </w:r>
    </w:p>
    <w:p w14:paraId="331EBF3C" w14:textId="77777777" w:rsidR="005B05A9" w:rsidRDefault="005B05A9" w:rsidP="00F7778D">
      <w:pPr>
        <w:spacing w:before="120" w:after="120" w:line="276" w:lineRule="auto"/>
        <w:ind w:left="708"/>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b) the remuneration is paid by, or on behalf of, an employer who is not a resident of the other State, and </w:t>
      </w:r>
    </w:p>
    <w:p w14:paraId="3D9B3E4F" w14:textId="77777777" w:rsidR="005B05A9" w:rsidRDefault="005B05A9" w:rsidP="00F7778D">
      <w:pPr>
        <w:spacing w:before="120" w:after="120" w:line="276" w:lineRule="auto"/>
        <w:ind w:left="708"/>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c) the remuneration is not borne by a permanent establishment or a fixed base which the employer has in the other State. </w:t>
      </w:r>
    </w:p>
    <w:p w14:paraId="07B22A8E"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(3) Notwithstanding the preceding provisions of this Article, remuneration derived in respect of an employment exercised aboard a ship or aircraft operated in international traffic, may be taxed in the Contracting State of which the operator is a resident.</w:t>
      </w:r>
    </w:p>
    <w:p w14:paraId="5917327F" w14:textId="77777777" w:rsidR="00F7778D" w:rsidRDefault="00F7778D" w:rsidP="006822C9">
      <w:pPr>
        <w:spacing w:before="120" w:after="120" w:line="276" w:lineRule="auto"/>
        <w:jc w:val="both"/>
        <w:rPr>
          <w:rFonts w:ascii="Times New Roman" w:hAnsi="Times New Roman" w:cs="Times New Roman"/>
          <w:sz w:val="22"/>
          <w:szCs w:val="22"/>
          <w:lang w:val="en-US"/>
        </w:rPr>
      </w:pPr>
    </w:p>
    <w:p w14:paraId="526EC3C7" w14:textId="77777777" w:rsidR="00A84DC1" w:rsidRDefault="00A84DC1">
      <w:pPr>
        <w:suppressAutoHyphens w:val="0"/>
        <w:rPr>
          <w:rFonts w:ascii="Times New Roman" w:hAnsi="Times New Roman" w:cs="Times New Roman"/>
          <w:b/>
          <w:sz w:val="22"/>
          <w:szCs w:val="22"/>
          <w:u w:val="single"/>
          <w:lang w:val="en-US"/>
        </w:rPr>
      </w:pPr>
      <w:r>
        <w:rPr>
          <w:rFonts w:ascii="Times New Roman" w:hAnsi="Times New Roman" w:cs="Times New Roman"/>
          <w:b/>
          <w:sz w:val="22"/>
          <w:szCs w:val="22"/>
          <w:u w:val="single"/>
          <w:lang w:val="en-US"/>
        </w:rPr>
        <w:br w:type="page"/>
      </w:r>
    </w:p>
    <w:p w14:paraId="69F912B8" w14:textId="55F27B3D" w:rsidR="005B05A9" w:rsidRPr="00F7778D" w:rsidRDefault="005B05A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lastRenderedPageBreak/>
        <w:t>Article 16</w:t>
      </w:r>
    </w:p>
    <w:p w14:paraId="134FFBDB" w14:textId="77777777" w:rsidR="005B05A9" w:rsidRPr="00F7778D" w:rsidRDefault="005B05A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DIRECTORS' FEES</w:t>
      </w:r>
    </w:p>
    <w:p w14:paraId="7E7DC052"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Directors' fees and other similar payments derived by a resident of a Contracting State in his capacity as a member of the board of directors or any other similar organ of a company which is a resident of the other Contracting State may be taxed in that other State. </w:t>
      </w:r>
    </w:p>
    <w:p w14:paraId="3947F9BC" w14:textId="77777777" w:rsidR="00F7778D" w:rsidRDefault="00F7778D" w:rsidP="006822C9">
      <w:pPr>
        <w:spacing w:before="120" w:after="120" w:line="276" w:lineRule="auto"/>
        <w:jc w:val="both"/>
        <w:rPr>
          <w:rFonts w:ascii="Times New Roman" w:hAnsi="Times New Roman" w:cs="Times New Roman"/>
          <w:sz w:val="22"/>
          <w:szCs w:val="22"/>
          <w:lang w:val="en-US"/>
        </w:rPr>
      </w:pPr>
    </w:p>
    <w:p w14:paraId="19446329" w14:textId="77777777" w:rsidR="005B05A9" w:rsidRPr="00F7778D" w:rsidRDefault="005B05A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Article 17</w:t>
      </w:r>
    </w:p>
    <w:p w14:paraId="6F9CE8C5" w14:textId="77777777" w:rsidR="005B05A9" w:rsidRPr="00F7778D" w:rsidRDefault="005B05A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ARTISTES AND SPORTSMEN</w:t>
      </w:r>
    </w:p>
    <w:p w14:paraId="719AB557"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(1) Notwithstanding the provisions of Articles 7, 14 and 15, income derived by a resident of a Contracting State as an entertainer, such as a theatre, motion picture, radio or television artiste, or a musician, or as a sportsman, from his personal activities as such exercised in the other Contracting State, may be taxed in that other State. </w:t>
      </w:r>
    </w:p>
    <w:p w14:paraId="572BBA79"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(2) Where income in respect of personal activities exercised by an entertainer or a sportsman in his capacity as such accrues not to the entertainer or sportsman himself but to another person, that income may, notwithstanding the provisions of Articles 7, 14 and 15, be taxed in the Contracting State in which the activities of the entertainer or sportsman are exercised. </w:t>
      </w:r>
    </w:p>
    <w:p w14:paraId="439D9524"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(3) Notwithstanding the provisions of paragraphs 1 and 2, the income derived by an entertainer or a sportsman from the activities referred to in paragraph 1 performed within the framework of cultural or sport exchanges agreed to by the Governments of the Contracting States and carried out other than for the purpose of profit, shall be exempt from tax in the Contracting State in which these activities are exercised. </w:t>
      </w:r>
    </w:p>
    <w:p w14:paraId="0F6F501C" w14:textId="77777777" w:rsidR="00F7778D" w:rsidRDefault="00F7778D" w:rsidP="006822C9">
      <w:pPr>
        <w:spacing w:before="120" w:after="120" w:line="276" w:lineRule="auto"/>
        <w:jc w:val="both"/>
        <w:rPr>
          <w:rFonts w:ascii="Times New Roman" w:hAnsi="Times New Roman" w:cs="Times New Roman"/>
          <w:sz w:val="22"/>
          <w:szCs w:val="22"/>
          <w:lang w:val="en-US"/>
        </w:rPr>
      </w:pPr>
    </w:p>
    <w:p w14:paraId="3C610755" w14:textId="77777777" w:rsidR="005B05A9" w:rsidRPr="00F7778D" w:rsidRDefault="005B05A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Article 18</w:t>
      </w:r>
    </w:p>
    <w:p w14:paraId="71631474" w14:textId="77777777" w:rsidR="005B05A9" w:rsidRPr="00F7778D" w:rsidRDefault="005B05A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PENSIONS</w:t>
      </w:r>
    </w:p>
    <w:p w14:paraId="01149869"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Subject to the provisions of paragraph 2 of Article 19, pensions and other similar remuneration paid to a resident of a Contracting State in consideration of past employment shall be taxable only in that State.</w:t>
      </w:r>
    </w:p>
    <w:p w14:paraId="0E27A7C6" w14:textId="77777777" w:rsidR="00F7778D" w:rsidRDefault="00F7778D" w:rsidP="006822C9">
      <w:pPr>
        <w:spacing w:before="120" w:after="120" w:line="276" w:lineRule="auto"/>
        <w:jc w:val="both"/>
        <w:rPr>
          <w:rFonts w:ascii="Times New Roman" w:hAnsi="Times New Roman" w:cs="Times New Roman"/>
          <w:sz w:val="22"/>
          <w:szCs w:val="22"/>
          <w:lang w:val="en-US"/>
        </w:rPr>
      </w:pPr>
    </w:p>
    <w:p w14:paraId="225C102E" w14:textId="77777777" w:rsidR="005B05A9" w:rsidRPr="00F7778D" w:rsidRDefault="005B05A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Article 19</w:t>
      </w:r>
    </w:p>
    <w:p w14:paraId="40E56AFF" w14:textId="77777777" w:rsidR="005B05A9" w:rsidRPr="00F7778D" w:rsidRDefault="005B05A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GOVERNMENT SERVICE</w:t>
      </w:r>
    </w:p>
    <w:p w14:paraId="3C469643" w14:textId="77777777" w:rsidR="005B05A9" w:rsidRDefault="005B05A9" w:rsidP="00F7778D">
      <w:pPr>
        <w:spacing w:before="120" w:after="120" w:line="276" w:lineRule="auto"/>
        <w:ind w:left="705" w:hanging="705"/>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(1) </w:t>
      </w:r>
      <w:r w:rsidR="00F7778D">
        <w:rPr>
          <w:rFonts w:ascii="Times New Roman" w:hAnsi="Times New Roman" w:cs="Times New Roman"/>
          <w:sz w:val="22"/>
          <w:szCs w:val="22"/>
          <w:lang w:val="en-US"/>
        </w:rPr>
        <w:tab/>
      </w:r>
      <w:r w:rsidRPr="005B05A9">
        <w:rPr>
          <w:rFonts w:ascii="Times New Roman" w:hAnsi="Times New Roman" w:cs="Times New Roman"/>
          <w:sz w:val="22"/>
          <w:szCs w:val="22"/>
          <w:lang w:val="en-US"/>
        </w:rPr>
        <w:t xml:space="preserve">a) Salaries, wages and other similar remuneration, other than a pension, paid by a Contracting State or a political subdivision or a local authority thereof to an individual in respect of services rendered to that State or subdivision or authority shall be taxable only in that State. </w:t>
      </w:r>
    </w:p>
    <w:p w14:paraId="7AFF4D6C" w14:textId="77777777" w:rsidR="005B05A9" w:rsidRDefault="005B05A9" w:rsidP="00F7778D">
      <w:pPr>
        <w:spacing w:before="120" w:after="120" w:line="276" w:lineRule="auto"/>
        <w:ind w:left="705" w:firstLine="3"/>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b) However, such salaries, wages and other similar remuneration shall be taxable only in the other Contracting State if the services are rendered in that State and the individual is a resident of that State who: </w:t>
      </w:r>
    </w:p>
    <w:p w14:paraId="2F4A1435" w14:textId="77777777" w:rsidR="005B05A9" w:rsidRDefault="005B05A9" w:rsidP="00F7778D">
      <w:pPr>
        <w:spacing w:before="120" w:after="120" w:line="276" w:lineRule="auto"/>
        <w:ind w:left="708" w:firstLine="708"/>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i) is a national of that State; or </w:t>
      </w:r>
    </w:p>
    <w:p w14:paraId="47F6055A" w14:textId="77777777" w:rsidR="005B05A9" w:rsidRDefault="005B05A9" w:rsidP="00F7778D">
      <w:pPr>
        <w:spacing w:before="120" w:after="120" w:line="276" w:lineRule="auto"/>
        <w:ind w:left="1416"/>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ii) did not become a resident of that State solely for the purpose of rendering the services. </w:t>
      </w:r>
    </w:p>
    <w:p w14:paraId="44382E34" w14:textId="77777777" w:rsidR="005B05A9" w:rsidRDefault="005B05A9" w:rsidP="00F7778D">
      <w:pPr>
        <w:spacing w:before="120" w:after="120" w:line="276" w:lineRule="auto"/>
        <w:ind w:left="708" w:hanging="708"/>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(2)</w:t>
      </w:r>
      <w:r w:rsidR="00F7778D">
        <w:rPr>
          <w:rFonts w:ascii="Times New Roman" w:hAnsi="Times New Roman" w:cs="Times New Roman"/>
          <w:sz w:val="22"/>
          <w:szCs w:val="22"/>
          <w:lang w:val="en-US"/>
        </w:rPr>
        <w:tab/>
      </w:r>
      <w:r w:rsidRPr="005B05A9">
        <w:rPr>
          <w:rFonts w:ascii="Times New Roman" w:hAnsi="Times New Roman" w:cs="Times New Roman"/>
          <w:sz w:val="22"/>
          <w:szCs w:val="22"/>
          <w:lang w:val="en-US"/>
        </w:rPr>
        <w:t xml:space="preserve"> a) Any pension paid by, or out of funds created by, a Contracting State or a political subdivision or a local authority thereof to an individual in respect of services rendered to that State or subdivision or authority shall be taxable only in that State.</w:t>
      </w:r>
    </w:p>
    <w:p w14:paraId="3A5158EF" w14:textId="77777777" w:rsidR="005B05A9" w:rsidRDefault="005B05A9" w:rsidP="00F7778D">
      <w:pPr>
        <w:spacing w:before="120" w:after="120" w:line="276" w:lineRule="auto"/>
        <w:ind w:left="708"/>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lastRenderedPageBreak/>
        <w:t xml:space="preserve">b) However, such pension shall be taxable only in the other Contracting State if the individual is a resident of, and a national of, that State. </w:t>
      </w:r>
    </w:p>
    <w:p w14:paraId="5DCD8CB5"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(3) The provisions of paragraph 1 of this Article shall likewise apply in respect of remuneration paid to the Austrian Foreign Trade Commissioner in Armenia and to the members of the staff of that Austrian Foreign Trade Commissioner and to the staff of an Armenian organisation of a similar nature established in Austria. </w:t>
      </w:r>
    </w:p>
    <w:p w14:paraId="319BEB53"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(4) The provisions of Articles 15, 16, 17, and 18 shall apply to salaries, wages and other similar remuneration, and to pensions, in respect of services rendered in connection with a business carried on by a Contracting State or a political subdivision or a local authority thereof. </w:t>
      </w:r>
    </w:p>
    <w:p w14:paraId="459F9463" w14:textId="77777777" w:rsidR="00F7778D" w:rsidRDefault="00F7778D" w:rsidP="006822C9">
      <w:pPr>
        <w:spacing w:before="120" w:after="120" w:line="276" w:lineRule="auto"/>
        <w:jc w:val="both"/>
        <w:rPr>
          <w:rFonts w:ascii="Times New Roman" w:hAnsi="Times New Roman" w:cs="Times New Roman"/>
          <w:sz w:val="22"/>
          <w:szCs w:val="22"/>
          <w:lang w:val="en-US"/>
        </w:rPr>
      </w:pPr>
    </w:p>
    <w:p w14:paraId="160C6D83" w14:textId="77777777" w:rsidR="005B05A9" w:rsidRPr="00F7778D" w:rsidRDefault="005B05A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Article 20</w:t>
      </w:r>
    </w:p>
    <w:p w14:paraId="75D2025E" w14:textId="77777777" w:rsidR="005B05A9" w:rsidRPr="00F7778D" w:rsidRDefault="005B05A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STUDENTS</w:t>
      </w:r>
    </w:p>
    <w:p w14:paraId="14B1D0CE"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Payments which a student or business apprentice who is or was immediately before visiting a Contracting State a resident of the other Contracting State and who is present in the first-mentioned State solely for the purpose of his education or training receives for the purpose of his maintenance, education or training shall not be taxed in that State, provided that such payments arise from sources outside that State.</w:t>
      </w:r>
    </w:p>
    <w:p w14:paraId="04A41DAC" w14:textId="77777777" w:rsidR="005B05A9" w:rsidRPr="00F7778D" w:rsidRDefault="005B05A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Article 21</w:t>
      </w:r>
    </w:p>
    <w:p w14:paraId="2712F0C1" w14:textId="77777777" w:rsidR="005B05A9" w:rsidRPr="00F7778D" w:rsidRDefault="005B05A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OTHER INCOME</w:t>
      </w:r>
    </w:p>
    <w:p w14:paraId="1CAAE878"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(1) Items of income of a resident of a Contracting State, wherever arising, not dealt with in the foregoing Articles of this Convention shall be taxable in that State. </w:t>
      </w:r>
    </w:p>
    <w:p w14:paraId="63A4FA97"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(2) The provisions of paragraph 1 shall not apply to income, other than income from immovable property as defined in paragraph 2 of Article 6, if the recipient of such income, being a resident of a Contracting State, carries on business in the other Contracting State through a permanent establishment situated therein, or performs in that other State independent personal services from a fixed base situated therein, and the right or property in respect of which the income is paid is effectively connected with such permanent establishment or fixed base. In such case the provisions of Article 7 or Article 14, as the case may be, shall apply. </w:t>
      </w:r>
    </w:p>
    <w:p w14:paraId="4B2E5922"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(3) Notwithstanding the provisions of paragraphs 1 and 2, items of income of a resident of a Contracting State not dealt with in the foregoing Articles of this Convention and arising in the other Contracting State may also be taxed in that other State. </w:t>
      </w:r>
    </w:p>
    <w:p w14:paraId="4C1E44DE"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(4) Income in the sense of paragraph 1 derived by a resident of a Contracting State from the other Contracting State under a legal claim to maintenance may not be taxed in the first-mentioned State if such income would be exempt from tax according to the laws of the other Contracting State. </w:t>
      </w:r>
    </w:p>
    <w:p w14:paraId="4044D87B" w14:textId="77777777" w:rsidR="00F7778D" w:rsidRDefault="00F7778D" w:rsidP="006822C9">
      <w:pPr>
        <w:spacing w:before="120" w:after="120" w:line="276" w:lineRule="auto"/>
        <w:jc w:val="both"/>
        <w:rPr>
          <w:rFonts w:ascii="Times New Roman" w:hAnsi="Times New Roman" w:cs="Times New Roman"/>
          <w:sz w:val="22"/>
          <w:szCs w:val="22"/>
          <w:lang w:val="en-US"/>
        </w:rPr>
      </w:pPr>
    </w:p>
    <w:p w14:paraId="2C31CCBD" w14:textId="77777777" w:rsidR="005B05A9" w:rsidRPr="00F7778D" w:rsidRDefault="005B05A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Article 22</w:t>
      </w:r>
    </w:p>
    <w:p w14:paraId="0D883146" w14:textId="77777777" w:rsidR="005B05A9" w:rsidRPr="00F7778D" w:rsidRDefault="005B05A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CAPITAL</w:t>
      </w:r>
    </w:p>
    <w:p w14:paraId="3CD71043"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(1) Capital represented by immovable property referred to in Article 6, owned by a resident of a Contracting State and situated in the other Contracting State, may be taxed in that other State. </w:t>
      </w:r>
    </w:p>
    <w:p w14:paraId="2197BF45"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(2) Capital represented by movable property forming part of the business property of a permanent establishment which an enterprise of a Contracting State has in the other Contracting State or by movable property pertaining to a fixed base available to a resident of a Contracting State in the other Contracting State for the purpose of performing independent personal services, may be taxed in that other State. </w:t>
      </w:r>
    </w:p>
    <w:p w14:paraId="5591873E"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lastRenderedPageBreak/>
        <w:t xml:space="preserve">(3) Capital represented by ships and aircraft operated in international traffic, and by movable property pertaining to the operation of such ships and aircraft, shall be taxable only in the Contracting State in which the place of effective management of the enterprise is situated. </w:t>
      </w:r>
    </w:p>
    <w:p w14:paraId="4AFE32CF"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(4) All other elements of capital of a resident of a Contracting State shall be taxable only in that State.</w:t>
      </w:r>
    </w:p>
    <w:p w14:paraId="14F00E83" w14:textId="77777777" w:rsidR="00F7778D" w:rsidRDefault="00F7778D" w:rsidP="006822C9">
      <w:pPr>
        <w:spacing w:before="120" w:after="120" w:line="276" w:lineRule="auto"/>
        <w:jc w:val="both"/>
        <w:rPr>
          <w:rFonts w:ascii="Times New Roman" w:hAnsi="Times New Roman" w:cs="Times New Roman"/>
          <w:sz w:val="22"/>
          <w:szCs w:val="22"/>
          <w:lang w:val="en-US"/>
        </w:rPr>
      </w:pPr>
    </w:p>
    <w:p w14:paraId="58696CDD" w14:textId="77777777" w:rsidR="005B05A9" w:rsidRPr="00F7778D" w:rsidRDefault="005B05A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Article 23</w:t>
      </w:r>
    </w:p>
    <w:p w14:paraId="5F8239BE" w14:textId="77777777" w:rsidR="005B05A9" w:rsidRPr="00F7778D" w:rsidRDefault="005B05A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ELIMINATION OF DOUBLE TAXATION</w:t>
      </w:r>
    </w:p>
    <w:p w14:paraId="21EE1799"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(1) In Armenia double taxation shall be eliminated as follows: Where a resident of Armenia derives income or owns capital which, in accordance with the provisions of this Convention, may be taxed in Austria, Armenia shall allow as a deduction from the tax on the income of that resident an amount equal to the income tax paid in Austria; and as a deduction from the tax on the capital of that resident, an amount equal to the capital tax paid in Austria. Such deduction in either case shall not, however, exceed that part of the income tax or capital tax, as computed before the deduction is given, which is attributable, as the case may be, to the income or the capital which may be taxed in Austria. </w:t>
      </w:r>
    </w:p>
    <w:p w14:paraId="460C1FCC"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(2) In Austria double taxation shall be eliminated as follows: </w:t>
      </w:r>
    </w:p>
    <w:p w14:paraId="5A2CBF6E" w14:textId="77777777" w:rsidR="005B05A9" w:rsidRDefault="005B05A9" w:rsidP="00F7778D">
      <w:pPr>
        <w:spacing w:before="120" w:after="120" w:line="276" w:lineRule="auto"/>
        <w:ind w:left="708"/>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a) Where a resident of Austria derives income or owns capital which, in accordance with the provisions of this Convention, may be taxed in Armenia, Austria shall, subject to the provisions of sub-paragraphs b) and c) and paragraph 3, exempt such income or capital from tax. </w:t>
      </w:r>
    </w:p>
    <w:p w14:paraId="01B8D580" w14:textId="77777777" w:rsidR="005B05A9" w:rsidRDefault="005B05A9" w:rsidP="00F7778D">
      <w:pPr>
        <w:spacing w:before="120" w:after="120" w:line="276" w:lineRule="auto"/>
        <w:ind w:left="708"/>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b) Where a resident of Austria derives items of income which, in accordance with the provisions of paragraphs 2 of Articles 10, 11 and 12, paragraphs 4 of Article 13 and paragraph 3 of Article 21 may be taxed in Armenia, Austria shall allow as a deduction from the tax on the income of that resident an amount equal to the tax paid in Armenia. Such deduction shall not, however, exceed that part of the tax, as computed before the deduction is given, which is attributable to such items of income derived from Armenia. </w:t>
      </w:r>
    </w:p>
    <w:p w14:paraId="2AE3509D" w14:textId="77777777" w:rsidR="005B05A9" w:rsidRDefault="005B05A9" w:rsidP="00F7778D">
      <w:pPr>
        <w:spacing w:before="120" w:after="120" w:line="276" w:lineRule="auto"/>
        <w:ind w:left="708"/>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c) Dividends in the sense of sub-paragraph a) of paragraph 2 of Article 10 paid by a company which is a resident of Armenia to a company which is a resident of Austria shall be exempt from tax in Austria, subject to the relevant provisions of the domestic law of Austria, however, notwithstanding any deviating minimum participation requirements provided for by that law. </w:t>
      </w:r>
    </w:p>
    <w:p w14:paraId="6D986AF4"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(3) Where in accordance with any provision of the Convention income derived or capital owned by a resident of a Contracting State is exempt from tax in that State, such State may nevertheless, in calculating the amount of tax on the remaining income or capital of such resident, take into account the exempted income or capital.</w:t>
      </w:r>
    </w:p>
    <w:p w14:paraId="0B4C1445" w14:textId="77777777" w:rsidR="00F7778D" w:rsidRDefault="00F7778D" w:rsidP="006822C9">
      <w:pPr>
        <w:spacing w:before="120" w:after="120" w:line="276" w:lineRule="auto"/>
        <w:jc w:val="both"/>
        <w:rPr>
          <w:rFonts w:ascii="Times New Roman" w:hAnsi="Times New Roman" w:cs="Times New Roman"/>
          <w:sz w:val="22"/>
          <w:szCs w:val="22"/>
          <w:lang w:val="en-US"/>
        </w:rPr>
      </w:pPr>
    </w:p>
    <w:p w14:paraId="00B257D6" w14:textId="77777777" w:rsidR="005B05A9" w:rsidRPr="00F7778D" w:rsidRDefault="005B05A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Article 24</w:t>
      </w:r>
    </w:p>
    <w:p w14:paraId="54E06C21" w14:textId="77777777" w:rsidR="005B05A9" w:rsidRPr="00F7778D" w:rsidRDefault="005B05A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NON-DISCRIMINATION</w:t>
      </w:r>
    </w:p>
    <w:p w14:paraId="40A12174"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(1) Nationals of a Contracting State shall not be subjected in the other Contracting State to any taxation or any requirement connected therewith, which is other or more burdensome than the taxation and connected requirements to which nationals of that other State in the same circumstances, in particular with respect to residence, are or may be subjected. This provision shall, notwithstanding the provisions of Article 1, also apply to persons who are not residents of one or both of the Contracting States. </w:t>
      </w:r>
    </w:p>
    <w:p w14:paraId="008D40ED"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(2) Stateless persons who are residents of a Contracting State shall not be subjected in either Contracting State to any taxation or any requirement connected therewith, which is other or more </w:t>
      </w:r>
      <w:r w:rsidRPr="005B05A9">
        <w:rPr>
          <w:rFonts w:ascii="Times New Roman" w:hAnsi="Times New Roman" w:cs="Times New Roman"/>
          <w:sz w:val="22"/>
          <w:szCs w:val="22"/>
          <w:lang w:val="en-US"/>
        </w:rPr>
        <w:lastRenderedPageBreak/>
        <w:t xml:space="preserve">burdensome than the taxation and connected requirements to which nationals of the State concerned in the same circumstances, in particular with respect to residence, are or may be subjected. </w:t>
      </w:r>
    </w:p>
    <w:p w14:paraId="46007926"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(3) The taxation on a permanent establishment which an enterprise of a Contracting State has in the other Contracting State shall not be less favourably levied in that other State than the taxation levied on enterprises of that other State carrying on the same activities. This provision shall not be construed as obliging a Contracting State to grant to residents of the other Contracting State any personal allowances, reliefs and reductions for taxation purposes on account of civil status or family responsibilities which it grants to its own residents. </w:t>
      </w:r>
    </w:p>
    <w:p w14:paraId="1B34715D"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(4) Except where the provisions of paragraph 1 of Article 9, paragraph 7 of Article 11, or paragraph 6 of Article 12, apply, interest, royalties and other disbursements paid by an enterprise of a Contracting State to a resident of the other Contracting State shall, for the purpose of determining the taxable profits of such enterprise, be deductible under the same conditions as if they had been paid to a resident of the first-mentioned State. Similarly, any debts of an enterprise of a Contracting State to a resident of the other Contracting State shall, for the purpose of determining the taxable capital of such enterprise, be deductible under the same conditions as if they had been contracted to a resident of the first-mentioned State. </w:t>
      </w:r>
    </w:p>
    <w:p w14:paraId="45EDB176"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(5) Enterprises of a Contracting State, the capital of which is wholly or partly owned or controlled, directly or indirectly, by one or more residents of the other Contracting State, shall not be subjected in the first-mentioned State to any taxation or any requirement connected therewith which is other or more burdensome than the taxation and connected requirements to which other similar enterprises of the first-mentioned State are or may be subjected. </w:t>
      </w:r>
    </w:p>
    <w:p w14:paraId="4ABDC9F1"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(6) The provisions of this Article shall, notwithstanding the provisions of Article 2, apply to taxes of every kind and description. </w:t>
      </w:r>
    </w:p>
    <w:p w14:paraId="6DF906BA" w14:textId="77777777" w:rsidR="00F7778D" w:rsidRPr="005B46F5" w:rsidRDefault="00F7778D" w:rsidP="006822C9">
      <w:pPr>
        <w:spacing w:before="120" w:after="120" w:line="276" w:lineRule="auto"/>
        <w:jc w:val="both"/>
        <w:rPr>
          <w:rFonts w:ascii="Times New Roman" w:hAnsi="Times New Roman" w:cs="Times New Roman"/>
          <w:sz w:val="22"/>
          <w:szCs w:val="22"/>
          <w:lang w:val="en-GB"/>
        </w:rPr>
      </w:pPr>
    </w:p>
    <w:p w14:paraId="05840828" w14:textId="77777777" w:rsidR="005B05A9" w:rsidRPr="005B46F5" w:rsidRDefault="005B05A9" w:rsidP="00F7778D">
      <w:pPr>
        <w:spacing w:before="120" w:after="120" w:line="276" w:lineRule="auto"/>
        <w:jc w:val="center"/>
        <w:rPr>
          <w:rFonts w:ascii="Times New Roman" w:hAnsi="Times New Roman" w:cs="Times New Roman"/>
          <w:b/>
          <w:sz w:val="22"/>
          <w:szCs w:val="22"/>
          <w:u w:val="single"/>
          <w:lang w:val="en-GB"/>
        </w:rPr>
      </w:pPr>
      <w:r w:rsidRPr="005B46F5">
        <w:rPr>
          <w:rFonts w:ascii="Times New Roman" w:hAnsi="Times New Roman" w:cs="Times New Roman"/>
          <w:b/>
          <w:sz w:val="22"/>
          <w:szCs w:val="22"/>
          <w:u w:val="single"/>
          <w:lang w:val="en-GB"/>
        </w:rPr>
        <w:t>Article 25</w:t>
      </w:r>
    </w:p>
    <w:p w14:paraId="3539A04D" w14:textId="77777777" w:rsidR="005B05A9" w:rsidRPr="00F7778D" w:rsidRDefault="005B05A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MUTUAL AGREEMENT PROCEDURE</w:t>
      </w:r>
    </w:p>
    <w:p w14:paraId="7EC78588"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(1) Where a person considers that the actions of one or both of the Contracting States result or will result for him in taxation not in accordance with the provisions of this Convention, he may, irrespective of the remedies provided by the domestic law of those States, present his case to the competent authority of the Contracting State of which he is a resident or, if his case comes under paragraph 1 of Article 24, to that of the Contracting State of which he is a national. The case must be presented within three years from the first notification of the action resulting in taxation not in accordance with the provisions of the Convention. </w:t>
      </w:r>
    </w:p>
    <w:p w14:paraId="475AB142"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(2) The competent authority shall endeavour, if the objection appears to it to be justified and if it is not itself able to arrive at a satisfactory solution, to resolve the case by mutual agreement with the competent authority of the other Contracting State, with a view to the avoidance of taxation which is not in accordance with the Convention. Any agreement reached shall be implemented notwithstanding any time limits in the domestic law of the Contracting States. </w:t>
      </w:r>
    </w:p>
    <w:p w14:paraId="7D4F1EBE"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(3) The competent authorities of the Contracting States shall endeavour to resolve by mutual agreement any difficulties or doubts arising as to the interpretation or application of the Convention. They may also consult together for the elimination of double taxation in cases not provided for in the Convention. </w:t>
      </w:r>
    </w:p>
    <w:p w14:paraId="5F5B6332"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(4) The competent authorities of the Contracting States may communicate with each other directly, including through a joint commission consisting of themselves or their representatives, for the purpose of reaching an agreement in the sense of the preceding paragraphs. </w:t>
      </w:r>
    </w:p>
    <w:p w14:paraId="4FF95EE3"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lastRenderedPageBreak/>
        <w:t xml:space="preserve">(5) If it is not possible for the competent authorities to resolve difficulties or doubts arising as to the interpretation or application of the Convention in the course of the mutual agreement procedure according to the preceding paragraphs of this Article within a time limit of two years from the date on which the procedure was initiated, the case shall be presented, upon application of all taxpayers concerned, to an arbitration court by the competent authority of the Contracting State which has initiated the mutual agreement procedure. The arbitration court shall consist of one representative of each competent authority of the Contracting States and of one independent person from each Contracting State who shall be appointed from a list of arbitrators in the order of their ranking. The arbitrators shall elect another person as chairman who must possess the qualifications required for the appointment to the highest judicial offices in his country or be a juriconsult of recognized competence. Each State shall nominate five competent persons for the list of arbitrators. The taxpayer shall be heard before the arbitration court at his request. The arbitration court shall deliver its decision not more than six months from the date on which the matter was referred to it. The decision shall be binding with regard to the individual case on both Contracting States and all taxpayers concerned. </w:t>
      </w:r>
    </w:p>
    <w:p w14:paraId="2CBA0F9F" w14:textId="77777777" w:rsidR="00F7778D" w:rsidRDefault="00F7778D" w:rsidP="006822C9">
      <w:pPr>
        <w:spacing w:before="120" w:after="120" w:line="276" w:lineRule="auto"/>
        <w:jc w:val="both"/>
        <w:rPr>
          <w:rFonts w:ascii="Times New Roman" w:hAnsi="Times New Roman" w:cs="Times New Roman"/>
          <w:sz w:val="22"/>
          <w:szCs w:val="22"/>
          <w:lang w:val="en-US"/>
        </w:rPr>
      </w:pPr>
    </w:p>
    <w:p w14:paraId="78F6027A" w14:textId="77777777" w:rsidR="005B05A9" w:rsidRPr="00F7778D" w:rsidRDefault="005B05A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Article 26</w:t>
      </w:r>
    </w:p>
    <w:p w14:paraId="10C9F99C" w14:textId="77777777" w:rsidR="005B05A9" w:rsidRPr="00F7778D" w:rsidRDefault="005B05A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EXCHANGE OF INFORMATION</w:t>
      </w:r>
    </w:p>
    <w:p w14:paraId="2F798FBE"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(1) The competent authorities of the Contracting States shall exchange such information as is necessary for carrying out the provisions of this Convention or of the domestic laws of the Contracting States concerning taxes covered by the Convention, insofar as the taxation thereunder is not contrary to the Convention. The exchange of information is not restricted by Article 1. Any information received by a Contracting State shall be treated as secret in the same manner as information obtained under the domestic laws of that State and shall be disclosed only to persons or authorities (including courts and administrative bodies) concerned with the assessment or collection of, the enforcement or prosecution in respect of, or the determination of appeals in relation to, the taxes covered by the Convention. Such persons or authorities shall use the information only for such purposes. They may disclose the information in public court proceedings or in judicial decisions. Even in such cases the confidentiality of person-related data may be waived only in so far as this is necessary to safeguard predominant and legitimate interests of another person or predominant public interests. </w:t>
      </w:r>
    </w:p>
    <w:p w14:paraId="658C3D18"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(2) In no case shall the provisions of paragraph 1 be construed so as to impose on a Contracting State the obligation: </w:t>
      </w:r>
    </w:p>
    <w:p w14:paraId="5010B016" w14:textId="77777777" w:rsidR="005B05A9" w:rsidRDefault="005B05A9" w:rsidP="00F7778D">
      <w:pPr>
        <w:spacing w:before="120" w:after="120" w:line="276" w:lineRule="auto"/>
        <w:ind w:left="708"/>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a) to carry out administrative measures at variance with the laws and administrative practice of that or of the other Contracting State; </w:t>
      </w:r>
    </w:p>
    <w:p w14:paraId="2B402B30" w14:textId="77777777" w:rsidR="005B05A9" w:rsidRDefault="005B05A9" w:rsidP="00F7778D">
      <w:pPr>
        <w:spacing w:before="120" w:after="120" w:line="276" w:lineRule="auto"/>
        <w:ind w:left="708"/>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b) to supply information which is not obtainable under the laws or in the normal course of the administration of that or of the other Contracting State; </w:t>
      </w:r>
    </w:p>
    <w:p w14:paraId="57C59931" w14:textId="77777777" w:rsidR="005B05A9" w:rsidRDefault="005B05A9" w:rsidP="00F7778D">
      <w:pPr>
        <w:spacing w:before="120" w:after="120" w:line="276" w:lineRule="auto"/>
        <w:ind w:left="708"/>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c) to supply information which would disclose any trade, business, industrial, commercial or professional secret or trade process, or information, the disclosure of which would be contrary to public policy (ordre public) or to the basic rights granted by a State, in particular in the area of data protection. </w:t>
      </w:r>
    </w:p>
    <w:p w14:paraId="5292D4F3"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(3) Notwithstanding the provisions of paragraph 1 any exchange of information as is necessary for carrying out the provisions of the domestic laws of the Contracting States concerning taxes covered by this Convention can be carried out only if an administrative arrangement between the competent authorities is concluded which will also settle the mode of application of such exchange of information. </w:t>
      </w:r>
    </w:p>
    <w:p w14:paraId="66005A8C" w14:textId="77777777" w:rsidR="00F7778D" w:rsidRDefault="00F7778D" w:rsidP="006822C9">
      <w:pPr>
        <w:spacing w:before="120" w:after="120" w:line="276" w:lineRule="auto"/>
        <w:jc w:val="both"/>
        <w:rPr>
          <w:rFonts w:ascii="Times New Roman" w:hAnsi="Times New Roman" w:cs="Times New Roman"/>
          <w:sz w:val="22"/>
          <w:szCs w:val="22"/>
          <w:lang w:val="en-US"/>
        </w:rPr>
      </w:pPr>
    </w:p>
    <w:p w14:paraId="4B1120A3" w14:textId="77777777" w:rsidR="00A84DC1" w:rsidRDefault="00A84DC1">
      <w:pPr>
        <w:suppressAutoHyphens w:val="0"/>
        <w:rPr>
          <w:rFonts w:ascii="Times New Roman" w:hAnsi="Times New Roman" w:cs="Times New Roman"/>
          <w:b/>
          <w:sz w:val="22"/>
          <w:szCs w:val="22"/>
          <w:u w:val="single"/>
          <w:lang w:val="en-US"/>
        </w:rPr>
      </w:pPr>
      <w:r>
        <w:rPr>
          <w:rFonts w:ascii="Times New Roman" w:hAnsi="Times New Roman" w:cs="Times New Roman"/>
          <w:b/>
          <w:sz w:val="22"/>
          <w:szCs w:val="22"/>
          <w:u w:val="single"/>
          <w:lang w:val="en-US"/>
        </w:rPr>
        <w:br w:type="page"/>
      </w:r>
    </w:p>
    <w:p w14:paraId="369E98C2" w14:textId="7E59835A" w:rsidR="005B05A9" w:rsidRPr="00F7778D" w:rsidRDefault="005B05A9" w:rsidP="00F7778D">
      <w:pPr>
        <w:spacing w:before="120" w:after="120" w:line="276" w:lineRule="auto"/>
        <w:jc w:val="center"/>
        <w:rPr>
          <w:rFonts w:ascii="Times New Roman" w:hAnsi="Times New Roman" w:cs="Times New Roman"/>
          <w:b/>
          <w:sz w:val="22"/>
          <w:szCs w:val="22"/>
          <w:u w:val="single"/>
          <w:lang w:val="en-US"/>
        </w:rPr>
      </w:pPr>
      <w:bookmarkStart w:id="0" w:name="_GoBack"/>
      <w:bookmarkEnd w:id="0"/>
      <w:r w:rsidRPr="00F7778D">
        <w:rPr>
          <w:rFonts w:ascii="Times New Roman" w:hAnsi="Times New Roman" w:cs="Times New Roman"/>
          <w:b/>
          <w:sz w:val="22"/>
          <w:szCs w:val="22"/>
          <w:u w:val="single"/>
          <w:lang w:val="en-US"/>
        </w:rPr>
        <w:lastRenderedPageBreak/>
        <w:t>Article 27</w:t>
      </w:r>
    </w:p>
    <w:p w14:paraId="7D571387" w14:textId="77777777" w:rsidR="005B05A9" w:rsidRPr="00F7778D" w:rsidRDefault="005B05A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MEMBERS OF DIPLOMATIC MISSIONS AND CONSULAR POSTS</w:t>
      </w:r>
    </w:p>
    <w:p w14:paraId="10952612"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Nothing in this Convention shall affect the fiscal privileges of members of diplomatic missions or consular posts under the general rules of international law or under the provisions of special agreements. </w:t>
      </w:r>
    </w:p>
    <w:p w14:paraId="44E2361D" w14:textId="77777777" w:rsidR="00F7778D" w:rsidRDefault="00F7778D" w:rsidP="006822C9">
      <w:pPr>
        <w:spacing w:before="120" w:after="120" w:line="276" w:lineRule="auto"/>
        <w:jc w:val="both"/>
        <w:rPr>
          <w:rFonts w:ascii="Times New Roman" w:hAnsi="Times New Roman" w:cs="Times New Roman"/>
          <w:sz w:val="22"/>
          <w:szCs w:val="22"/>
          <w:lang w:val="en-US"/>
        </w:rPr>
      </w:pPr>
    </w:p>
    <w:tbl>
      <w:tblPr>
        <w:tblStyle w:val="TableGrid"/>
        <w:tblW w:w="9209" w:type="dxa"/>
        <w:tblLook w:val="04A0" w:firstRow="1" w:lastRow="0" w:firstColumn="1" w:lastColumn="0" w:noHBand="0" w:noVBand="1"/>
      </w:tblPr>
      <w:tblGrid>
        <w:gridCol w:w="9209"/>
      </w:tblGrid>
      <w:tr w:rsidR="0064319E" w:rsidRPr="00FC4882" w14:paraId="0AE05E17" w14:textId="77777777" w:rsidTr="0064319E">
        <w:tc>
          <w:tcPr>
            <w:tcW w:w="9209" w:type="dxa"/>
          </w:tcPr>
          <w:p w14:paraId="3542CB81" w14:textId="77777777" w:rsidR="0064319E" w:rsidRPr="0064319E" w:rsidRDefault="0064319E" w:rsidP="0064319E">
            <w:pPr>
              <w:spacing w:after="220" w:line="276" w:lineRule="auto"/>
              <w:ind w:right="181"/>
              <w:jc w:val="both"/>
              <w:rPr>
                <w:rFonts w:ascii="Times New Roman" w:eastAsiaTheme="minorEastAsia" w:hAnsi="Times New Roman" w:cs="Times New Roman"/>
                <w:i/>
                <w:sz w:val="22"/>
                <w:szCs w:val="22"/>
                <w:lang w:val="en-US"/>
              </w:rPr>
            </w:pPr>
            <w:r w:rsidRPr="0064319E">
              <w:rPr>
                <w:rFonts w:ascii="Times New Roman" w:eastAsiaTheme="minorEastAsia" w:hAnsi="Times New Roman" w:cs="Times New Roman"/>
                <w:i/>
                <w:sz w:val="22"/>
                <w:szCs w:val="22"/>
                <w:lang w:val="en-US"/>
              </w:rPr>
              <w:t>The following paragraph 1 of Article 7 of the MLI applies and supersedes the provisions of this Convention:</w:t>
            </w:r>
            <w:r w:rsidRPr="0064319E">
              <w:rPr>
                <w:rStyle w:val="FootnoteReference"/>
                <w:rFonts w:ascii="Times New Roman" w:eastAsiaTheme="minorEastAsia" w:hAnsi="Times New Roman" w:cs="Times New Roman"/>
                <w:i/>
                <w:sz w:val="22"/>
                <w:szCs w:val="22"/>
              </w:rPr>
              <w:footnoteReference w:id="4"/>
            </w:r>
          </w:p>
          <w:p w14:paraId="5E85ECF4" w14:textId="77777777" w:rsidR="0064319E" w:rsidRPr="0064319E" w:rsidRDefault="0064319E" w:rsidP="009E1516">
            <w:pPr>
              <w:pStyle w:val="Para"/>
              <w:spacing w:line="276" w:lineRule="auto"/>
              <w:jc w:val="center"/>
              <w:rPr>
                <w:szCs w:val="22"/>
              </w:rPr>
            </w:pPr>
            <w:r w:rsidRPr="0064319E">
              <w:rPr>
                <w:rFonts w:eastAsiaTheme="minorEastAsia"/>
                <w:szCs w:val="22"/>
                <w:lang w:val="en-US"/>
              </w:rPr>
              <w:t>ARTICLE 7 OF THE MLI –PREVENTION OF TREATY ABUSE</w:t>
            </w:r>
          </w:p>
          <w:p w14:paraId="52E0255B" w14:textId="77777777" w:rsidR="0064319E" w:rsidRPr="0064319E" w:rsidRDefault="0064319E" w:rsidP="009E1516">
            <w:pPr>
              <w:spacing w:after="120" w:line="276" w:lineRule="auto"/>
              <w:jc w:val="center"/>
              <w:rPr>
                <w:rFonts w:ascii="Times New Roman" w:eastAsiaTheme="minorEastAsia" w:hAnsi="Times New Roman" w:cs="Times New Roman"/>
                <w:i/>
                <w:sz w:val="22"/>
                <w:szCs w:val="22"/>
                <w:lang w:val="en-US"/>
              </w:rPr>
            </w:pPr>
            <w:r w:rsidRPr="0064319E">
              <w:rPr>
                <w:rFonts w:ascii="Times New Roman" w:eastAsiaTheme="minorEastAsia" w:hAnsi="Times New Roman" w:cs="Times New Roman"/>
                <w:i/>
                <w:sz w:val="22"/>
                <w:szCs w:val="22"/>
                <w:lang w:val="en-US"/>
              </w:rPr>
              <w:t>(Principal purposes test provision)</w:t>
            </w:r>
          </w:p>
          <w:p w14:paraId="7C05F04B" w14:textId="77777777" w:rsidR="0064319E" w:rsidRPr="0064319E" w:rsidRDefault="0064319E" w:rsidP="009E1516">
            <w:pPr>
              <w:spacing w:after="220" w:line="276" w:lineRule="auto"/>
              <w:ind w:right="181"/>
              <w:jc w:val="both"/>
              <w:rPr>
                <w:rFonts w:ascii="Times New Roman" w:eastAsiaTheme="minorEastAsia" w:hAnsi="Times New Roman" w:cs="Times New Roman"/>
                <w:lang w:val="en-US"/>
              </w:rPr>
            </w:pPr>
            <w:r w:rsidRPr="0064319E">
              <w:rPr>
                <w:rFonts w:ascii="Times New Roman" w:eastAsia="MS Mincho" w:hAnsi="Times New Roman" w:cs="Times New Roman"/>
                <w:iCs/>
                <w:sz w:val="22"/>
                <w:szCs w:val="22"/>
                <w:lang w:val="en-US" w:eastAsia="en-GB"/>
              </w:rPr>
              <w:t>Notwithstanding any provisions of the Convention, a benefit under the Convention shall not be granted in respect of an item of income if it is reasonable to conclude, having regard to all relevant facts and circumstances, that obtaining that benefit was one of the principal purposes of any arrangement or transaction that resulted directly or indirectly in that benefit, unless it is established that granting that benefit in these circumstances would be in accordance with the object and purpose of the relevant provisions of the Agreement.</w:t>
            </w:r>
          </w:p>
        </w:tc>
      </w:tr>
    </w:tbl>
    <w:p w14:paraId="5C86611C" w14:textId="77777777" w:rsidR="0064319E" w:rsidRDefault="0064319E" w:rsidP="006822C9">
      <w:pPr>
        <w:spacing w:before="120" w:after="120" w:line="276" w:lineRule="auto"/>
        <w:jc w:val="both"/>
        <w:rPr>
          <w:rFonts w:ascii="Times New Roman" w:hAnsi="Times New Roman" w:cs="Times New Roman"/>
          <w:sz w:val="22"/>
          <w:szCs w:val="22"/>
          <w:lang w:val="en-US"/>
        </w:rPr>
      </w:pPr>
    </w:p>
    <w:p w14:paraId="2A485753" w14:textId="77777777" w:rsidR="005B05A9" w:rsidRPr="00F7778D" w:rsidRDefault="005B05A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Article 28</w:t>
      </w:r>
    </w:p>
    <w:p w14:paraId="344AD110" w14:textId="77777777" w:rsidR="005B05A9" w:rsidRPr="00F7778D" w:rsidRDefault="005B05A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ENTRY INTO FORCE</w:t>
      </w:r>
    </w:p>
    <w:p w14:paraId="35431859"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(1) This Convention shall be ratified in accordance with the applicable procedures of each Contracting State and the instruments of ratification shall be exchanged as soon as possible. </w:t>
      </w:r>
    </w:p>
    <w:p w14:paraId="6A09D763"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(2) The Convention shall enter into force on the first day of the third month next following that in which the exchange of instruments of ratification takes place and its provisions shall have effect: </w:t>
      </w:r>
    </w:p>
    <w:p w14:paraId="1698CEA1" w14:textId="77777777" w:rsidR="005B05A9" w:rsidRDefault="005B05A9" w:rsidP="00F7778D">
      <w:pPr>
        <w:spacing w:before="120" w:after="120" w:line="276" w:lineRule="auto"/>
        <w:ind w:left="708"/>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a) in respect of taxes withheld at source - on income derived on or after 1 January in the calendar year next following the year in which the Convention enters into force; </w:t>
      </w:r>
    </w:p>
    <w:p w14:paraId="7F3BABE9" w14:textId="77777777" w:rsidR="005B05A9" w:rsidRDefault="005B05A9" w:rsidP="00F7778D">
      <w:pPr>
        <w:spacing w:before="120" w:after="120" w:line="276" w:lineRule="auto"/>
        <w:ind w:left="708"/>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b) in respect of other taxes on income, and on capital - for taxes chargeable on or after 1 January in the calendar year next following the year in which the Convention enters into force. </w:t>
      </w:r>
    </w:p>
    <w:p w14:paraId="2F3EF70B" w14:textId="77777777" w:rsidR="00F7778D" w:rsidRDefault="00F7778D" w:rsidP="006822C9">
      <w:pPr>
        <w:spacing w:before="120" w:after="120" w:line="276" w:lineRule="auto"/>
        <w:jc w:val="both"/>
        <w:rPr>
          <w:rFonts w:ascii="Times New Roman" w:hAnsi="Times New Roman" w:cs="Times New Roman"/>
          <w:sz w:val="22"/>
          <w:szCs w:val="22"/>
          <w:lang w:val="en-US"/>
        </w:rPr>
      </w:pPr>
    </w:p>
    <w:p w14:paraId="1D981BF8" w14:textId="77777777" w:rsidR="005B05A9" w:rsidRPr="00F7778D" w:rsidRDefault="005B05A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Article 29</w:t>
      </w:r>
    </w:p>
    <w:p w14:paraId="6F75AAB2" w14:textId="77777777" w:rsidR="005B05A9" w:rsidRPr="00F7778D" w:rsidRDefault="005B05A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t>TERMINATION</w:t>
      </w:r>
    </w:p>
    <w:p w14:paraId="102251F3"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lastRenderedPageBreak/>
        <w:t xml:space="preserve">This Convention shall remain in force until terminated by a Contracting State. Either Contracting State may terminate the Convention at any time after 5 years from the date on which the Convention enters into force, by giving notice of termination, through diplomatic channels, at least six months before the end of any calendar year. In such event, the Convention shall cease to have effect: </w:t>
      </w:r>
    </w:p>
    <w:p w14:paraId="0FAE7E51" w14:textId="77777777" w:rsidR="005B05A9" w:rsidRDefault="005B05A9" w:rsidP="00F7778D">
      <w:pPr>
        <w:spacing w:before="120" w:after="120" w:line="276" w:lineRule="auto"/>
        <w:ind w:left="708"/>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a) in respect of taxes withheld at source - on income derived on or after 1 January in the calendar year next following the year in which the Convention in which the notice is given; </w:t>
      </w:r>
    </w:p>
    <w:p w14:paraId="3430B541" w14:textId="77777777" w:rsidR="005B05A9" w:rsidRDefault="005B05A9" w:rsidP="00F7778D">
      <w:pPr>
        <w:spacing w:before="120" w:after="120" w:line="276" w:lineRule="auto"/>
        <w:ind w:left="708"/>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b) in respect of other taxes on income, and on capital - for taxes chargeable for any tax year beginning 1 January in the calendar year next following the year in which the notice is given.</w:t>
      </w:r>
    </w:p>
    <w:p w14:paraId="4BA6518F" w14:textId="77777777" w:rsidR="005B05A9" w:rsidRDefault="005B05A9" w:rsidP="006822C9">
      <w:pPr>
        <w:spacing w:before="120" w:after="120" w:line="276" w:lineRule="auto"/>
        <w:jc w:val="both"/>
        <w:rPr>
          <w:rFonts w:ascii="Times New Roman" w:hAnsi="Times New Roman" w:cs="Times New Roman"/>
          <w:sz w:val="22"/>
          <w:szCs w:val="22"/>
          <w:lang w:val="en-US"/>
        </w:rPr>
      </w:pPr>
    </w:p>
    <w:p w14:paraId="4693B7B6" w14:textId="77777777" w:rsidR="005B05A9" w:rsidRDefault="005B05A9" w:rsidP="006822C9">
      <w:pPr>
        <w:spacing w:before="120" w:after="120" w:line="276" w:lineRule="auto"/>
        <w:jc w:val="both"/>
        <w:rPr>
          <w:rFonts w:ascii="Times New Roman" w:hAnsi="Times New Roman" w:cs="Times New Roman"/>
          <w:sz w:val="22"/>
          <w:szCs w:val="22"/>
          <w:lang w:val="en-US"/>
        </w:rPr>
      </w:pPr>
      <w:r>
        <w:rPr>
          <w:rFonts w:ascii="Times New Roman" w:hAnsi="Times New Roman" w:cs="Times New Roman"/>
          <w:sz w:val="22"/>
          <w:szCs w:val="22"/>
          <w:lang w:val="en-US"/>
        </w:rPr>
        <w:t>I</w:t>
      </w:r>
      <w:r w:rsidRPr="005B05A9">
        <w:rPr>
          <w:rFonts w:ascii="Times New Roman" w:hAnsi="Times New Roman" w:cs="Times New Roman"/>
          <w:sz w:val="22"/>
          <w:szCs w:val="22"/>
          <w:lang w:val="en-US"/>
        </w:rPr>
        <w:t xml:space="preserve">N WITNESS WHEREOF the undersigned, being duly authorised thereto, have signed this Convention. </w:t>
      </w:r>
    </w:p>
    <w:p w14:paraId="2BFB9603" w14:textId="77777777" w:rsidR="005B05A9" w:rsidRDefault="005B05A9" w:rsidP="006822C9">
      <w:pPr>
        <w:spacing w:before="120" w:after="120" w:line="276" w:lineRule="auto"/>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DONE in duplicate in Vienna o</w:t>
      </w:r>
      <w:r>
        <w:rPr>
          <w:rFonts w:ascii="Times New Roman" w:hAnsi="Times New Roman" w:cs="Times New Roman"/>
          <w:sz w:val="22"/>
          <w:szCs w:val="22"/>
          <w:lang w:val="en-US"/>
        </w:rPr>
        <w:t>n the 27th day of February 2002</w:t>
      </w:r>
      <w:r w:rsidRPr="005B05A9">
        <w:rPr>
          <w:rFonts w:ascii="Times New Roman" w:hAnsi="Times New Roman" w:cs="Times New Roman"/>
          <w:sz w:val="22"/>
          <w:szCs w:val="22"/>
          <w:lang w:val="en-US"/>
        </w:rPr>
        <w:t xml:space="preserve">, in the German, Armenian and English languages, all texts being equally authentic. In case of divergence of interpretation, the English text shall prevail. </w:t>
      </w:r>
    </w:p>
    <w:p w14:paraId="6DB6C335" w14:textId="77777777" w:rsidR="005B05A9" w:rsidRDefault="005B05A9" w:rsidP="006822C9">
      <w:pPr>
        <w:spacing w:before="120" w:after="120" w:line="276" w:lineRule="auto"/>
        <w:jc w:val="both"/>
        <w:rPr>
          <w:rFonts w:ascii="Times New Roman" w:hAnsi="Times New Roman" w:cs="Times New Roman"/>
          <w:sz w:val="22"/>
          <w:szCs w:val="22"/>
          <w:lang w:val="en-US"/>
        </w:rPr>
      </w:pPr>
    </w:p>
    <w:p w14:paraId="176BCB75" w14:textId="77777777" w:rsidR="005B05A9" w:rsidRDefault="005B05A9" w:rsidP="005B05A9">
      <w:pPr>
        <w:spacing w:before="120" w:after="120" w:line="276" w:lineRule="auto"/>
        <w:ind w:firstLine="708"/>
        <w:jc w:val="both"/>
        <w:rPr>
          <w:rFonts w:ascii="Times New Roman" w:hAnsi="Times New Roman" w:cs="Times New Roman"/>
          <w:sz w:val="22"/>
          <w:szCs w:val="22"/>
          <w:lang w:val="en-US"/>
        </w:rPr>
      </w:pPr>
      <w:r>
        <w:rPr>
          <w:rFonts w:ascii="Times New Roman" w:hAnsi="Times New Roman" w:cs="Times New Roman"/>
          <w:sz w:val="22"/>
          <w:szCs w:val="22"/>
          <w:lang w:val="en-US"/>
        </w:rPr>
        <w:t xml:space="preserve">    </w:t>
      </w:r>
      <w:r w:rsidRPr="005B05A9">
        <w:rPr>
          <w:rFonts w:ascii="Times New Roman" w:hAnsi="Times New Roman" w:cs="Times New Roman"/>
          <w:sz w:val="22"/>
          <w:szCs w:val="22"/>
          <w:lang w:val="en-US"/>
        </w:rPr>
        <w:t xml:space="preserve">For the Government </w:t>
      </w:r>
      <w:r>
        <w:rPr>
          <w:rFonts w:ascii="Times New Roman" w:hAnsi="Times New Roman" w:cs="Times New Roman"/>
          <w:sz w:val="22"/>
          <w:szCs w:val="22"/>
          <w:lang w:val="en-US"/>
        </w:rPr>
        <w:tab/>
      </w:r>
      <w:r>
        <w:rPr>
          <w:rFonts w:ascii="Times New Roman" w:hAnsi="Times New Roman" w:cs="Times New Roman"/>
          <w:sz w:val="22"/>
          <w:szCs w:val="22"/>
          <w:lang w:val="en-US"/>
        </w:rPr>
        <w:tab/>
      </w:r>
      <w:r>
        <w:rPr>
          <w:rFonts w:ascii="Times New Roman" w:hAnsi="Times New Roman" w:cs="Times New Roman"/>
          <w:sz w:val="22"/>
          <w:szCs w:val="22"/>
          <w:lang w:val="en-US"/>
        </w:rPr>
        <w:tab/>
      </w:r>
      <w:r>
        <w:rPr>
          <w:rFonts w:ascii="Times New Roman" w:hAnsi="Times New Roman" w:cs="Times New Roman"/>
          <w:sz w:val="22"/>
          <w:szCs w:val="22"/>
          <w:lang w:val="en-US"/>
        </w:rPr>
        <w:tab/>
      </w:r>
      <w:r>
        <w:rPr>
          <w:rFonts w:ascii="Times New Roman" w:hAnsi="Times New Roman" w:cs="Times New Roman"/>
          <w:sz w:val="22"/>
          <w:szCs w:val="22"/>
          <w:lang w:val="en-US"/>
        </w:rPr>
        <w:tab/>
      </w:r>
      <w:r w:rsidRPr="005B05A9">
        <w:rPr>
          <w:rFonts w:ascii="Times New Roman" w:hAnsi="Times New Roman" w:cs="Times New Roman"/>
          <w:sz w:val="22"/>
          <w:szCs w:val="22"/>
          <w:lang w:val="en-US"/>
        </w:rPr>
        <w:t>For the Government</w:t>
      </w:r>
    </w:p>
    <w:p w14:paraId="1D68FD14" w14:textId="77777777" w:rsidR="005B05A9" w:rsidRDefault="005B05A9" w:rsidP="005B05A9">
      <w:pPr>
        <w:spacing w:before="120" w:after="120" w:line="276" w:lineRule="auto"/>
        <w:ind w:firstLine="708"/>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of the Republic of Austria: </w:t>
      </w:r>
      <w:r>
        <w:rPr>
          <w:rFonts w:ascii="Times New Roman" w:hAnsi="Times New Roman" w:cs="Times New Roman"/>
          <w:sz w:val="22"/>
          <w:szCs w:val="22"/>
          <w:lang w:val="en-US"/>
        </w:rPr>
        <w:tab/>
      </w:r>
      <w:r>
        <w:rPr>
          <w:rFonts w:ascii="Times New Roman" w:hAnsi="Times New Roman" w:cs="Times New Roman"/>
          <w:sz w:val="22"/>
          <w:szCs w:val="22"/>
          <w:lang w:val="en-US"/>
        </w:rPr>
        <w:tab/>
      </w:r>
      <w:r>
        <w:rPr>
          <w:rFonts w:ascii="Times New Roman" w:hAnsi="Times New Roman" w:cs="Times New Roman"/>
          <w:sz w:val="22"/>
          <w:szCs w:val="22"/>
          <w:lang w:val="en-US"/>
        </w:rPr>
        <w:tab/>
        <w:t xml:space="preserve">        </w:t>
      </w:r>
      <w:r w:rsidRPr="005B05A9">
        <w:rPr>
          <w:rFonts w:ascii="Times New Roman" w:hAnsi="Times New Roman" w:cs="Times New Roman"/>
          <w:sz w:val="22"/>
          <w:szCs w:val="22"/>
          <w:lang w:val="en-US"/>
        </w:rPr>
        <w:t>of the Republic of Armenia:</w:t>
      </w:r>
    </w:p>
    <w:p w14:paraId="5FC1BD3C" w14:textId="77777777" w:rsidR="005B05A9" w:rsidRDefault="005B05A9" w:rsidP="005B05A9">
      <w:pPr>
        <w:spacing w:before="120" w:after="120" w:line="276" w:lineRule="auto"/>
        <w:ind w:left="708" w:firstLine="708"/>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Dr. Grasser</w:t>
      </w:r>
      <w:r>
        <w:rPr>
          <w:rFonts w:ascii="Times New Roman" w:hAnsi="Times New Roman" w:cs="Times New Roman"/>
          <w:sz w:val="22"/>
          <w:szCs w:val="22"/>
          <w:lang w:val="en-US"/>
        </w:rPr>
        <w:tab/>
      </w:r>
      <w:r>
        <w:rPr>
          <w:rFonts w:ascii="Times New Roman" w:hAnsi="Times New Roman" w:cs="Times New Roman"/>
          <w:sz w:val="22"/>
          <w:szCs w:val="22"/>
          <w:lang w:val="en-US"/>
        </w:rPr>
        <w:tab/>
      </w:r>
      <w:r>
        <w:rPr>
          <w:rFonts w:ascii="Times New Roman" w:hAnsi="Times New Roman" w:cs="Times New Roman"/>
          <w:sz w:val="22"/>
          <w:szCs w:val="22"/>
          <w:lang w:val="en-US"/>
        </w:rPr>
        <w:tab/>
      </w:r>
      <w:r>
        <w:rPr>
          <w:rFonts w:ascii="Times New Roman" w:hAnsi="Times New Roman" w:cs="Times New Roman"/>
          <w:sz w:val="22"/>
          <w:szCs w:val="22"/>
          <w:lang w:val="en-US"/>
        </w:rPr>
        <w:tab/>
      </w:r>
      <w:r>
        <w:rPr>
          <w:rFonts w:ascii="Times New Roman" w:hAnsi="Times New Roman" w:cs="Times New Roman"/>
          <w:sz w:val="22"/>
          <w:szCs w:val="22"/>
          <w:lang w:val="en-US"/>
        </w:rPr>
        <w:tab/>
        <w:t>V</w:t>
      </w:r>
      <w:r w:rsidRPr="005B05A9">
        <w:rPr>
          <w:rFonts w:ascii="Times New Roman" w:hAnsi="Times New Roman" w:cs="Times New Roman"/>
          <w:sz w:val="22"/>
          <w:szCs w:val="22"/>
          <w:lang w:val="en-US"/>
        </w:rPr>
        <w:t xml:space="preserve">artan Oskanian </w:t>
      </w:r>
    </w:p>
    <w:p w14:paraId="26857FE3" w14:textId="77777777" w:rsidR="005B05A9" w:rsidRDefault="005B05A9" w:rsidP="005B05A9">
      <w:pPr>
        <w:spacing w:before="120" w:after="120" w:line="276" w:lineRule="auto"/>
        <w:ind w:firstLine="708"/>
        <w:jc w:val="both"/>
        <w:rPr>
          <w:rFonts w:ascii="Times New Roman" w:hAnsi="Times New Roman" w:cs="Times New Roman"/>
          <w:sz w:val="22"/>
          <w:szCs w:val="22"/>
          <w:lang w:val="en-US"/>
        </w:rPr>
      </w:pPr>
      <w:r>
        <w:rPr>
          <w:rFonts w:ascii="Times New Roman" w:hAnsi="Times New Roman" w:cs="Times New Roman"/>
          <w:sz w:val="22"/>
          <w:szCs w:val="22"/>
          <w:lang w:val="en-US"/>
        </w:rPr>
        <w:t xml:space="preserve">    </w:t>
      </w:r>
      <w:r w:rsidRPr="005B05A9">
        <w:rPr>
          <w:rFonts w:ascii="Times New Roman" w:hAnsi="Times New Roman" w:cs="Times New Roman"/>
          <w:sz w:val="22"/>
          <w:szCs w:val="22"/>
          <w:lang w:val="en-US"/>
        </w:rPr>
        <w:t xml:space="preserve">(Minister of Finance) </w:t>
      </w:r>
      <w:r>
        <w:rPr>
          <w:rFonts w:ascii="Times New Roman" w:hAnsi="Times New Roman" w:cs="Times New Roman"/>
          <w:sz w:val="22"/>
          <w:szCs w:val="22"/>
          <w:lang w:val="en-US"/>
        </w:rPr>
        <w:tab/>
      </w:r>
      <w:r>
        <w:rPr>
          <w:rFonts w:ascii="Times New Roman" w:hAnsi="Times New Roman" w:cs="Times New Roman"/>
          <w:sz w:val="22"/>
          <w:szCs w:val="22"/>
          <w:lang w:val="en-US"/>
        </w:rPr>
        <w:tab/>
      </w:r>
      <w:r>
        <w:rPr>
          <w:rFonts w:ascii="Times New Roman" w:hAnsi="Times New Roman" w:cs="Times New Roman"/>
          <w:sz w:val="22"/>
          <w:szCs w:val="22"/>
          <w:lang w:val="en-US"/>
        </w:rPr>
        <w:tab/>
        <w:t xml:space="preserve">       </w:t>
      </w:r>
      <w:r w:rsidRPr="005B05A9">
        <w:rPr>
          <w:rFonts w:ascii="Times New Roman" w:hAnsi="Times New Roman" w:cs="Times New Roman"/>
          <w:sz w:val="22"/>
          <w:szCs w:val="22"/>
          <w:lang w:val="en-US"/>
        </w:rPr>
        <w:t>(Minister of Foreign Affairs)</w:t>
      </w:r>
    </w:p>
    <w:p w14:paraId="6A88002D" w14:textId="77777777" w:rsidR="001E40C9" w:rsidRDefault="001E40C9" w:rsidP="001E40C9">
      <w:pPr>
        <w:spacing w:before="120" w:after="120" w:line="276" w:lineRule="auto"/>
        <w:jc w:val="both"/>
        <w:rPr>
          <w:rFonts w:ascii="Times New Roman" w:hAnsi="Times New Roman" w:cs="Times New Roman"/>
          <w:sz w:val="22"/>
          <w:szCs w:val="22"/>
          <w:lang w:val="en-US"/>
        </w:rPr>
      </w:pPr>
    </w:p>
    <w:p w14:paraId="7E7BC0F2" w14:textId="77777777" w:rsidR="001E40C9" w:rsidRDefault="001E40C9">
      <w:pPr>
        <w:suppressAutoHyphens w:val="0"/>
        <w:rPr>
          <w:rFonts w:ascii="Times New Roman" w:hAnsi="Times New Roman" w:cs="Times New Roman"/>
          <w:sz w:val="22"/>
          <w:szCs w:val="22"/>
          <w:lang w:val="en-US"/>
        </w:rPr>
      </w:pPr>
      <w:r>
        <w:rPr>
          <w:rFonts w:ascii="Times New Roman" w:hAnsi="Times New Roman" w:cs="Times New Roman"/>
          <w:sz w:val="22"/>
          <w:szCs w:val="22"/>
          <w:lang w:val="en-US"/>
        </w:rPr>
        <w:br w:type="page"/>
      </w:r>
    </w:p>
    <w:p w14:paraId="6CA5F4C1" w14:textId="77777777" w:rsidR="001E40C9" w:rsidRPr="00F7778D" w:rsidRDefault="001E40C9" w:rsidP="00F7778D">
      <w:pPr>
        <w:spacing w:before="120" w:after="120" w:line="276" w:lineRule="auto"/>
        <w:jc w:val="center"/>
        <w:rPr>
          <w:rFonts w:ascii="Times New Roman" w:hAnsi="Times New Roman" w:cs="Times New Roman"/>
          <w:b/>
          <w:sz w:val="22"/>
          <w:szCs w:val="22"/>
          <w:u w:val="single"/>
          <w:lang w:val="en-US"/>
        </w:rPr>
      </w:pPr>
      <w:r w:rsidRPr="00F7778D">
        <w:rPr>
          <w:rFonts w:ascii="Times New Roman" w:hAnsi="Times New Roman" w:cs="Times New Roman"/>
          <w:b/>
          <w:sz w:val="22"/>
          <w:szCs w:val="22"/>
          <w:u w:val="single"/>
          <w:lang w:val="en-US"/>
        </w:rPr>
        <w:lastRenderedPageBreak/>
        <w:t>PROTOCOL</w:t>
      </w:r>
    </w:p>
    <w:p w14:paraId="35AB7F3C" w14:textId="77777777" w:rsidR="001E40C9" w:rsidRDefault="001E40C9" w:rsidP="001E40C9">
      <w:pPr>
        <w:spacing w:before="120" w:after="120" w:line="276" w:lineRule="auto"/>
        <w:jc w:val="both"/>
        <w:rPr>
          <w:rFonts w:ascii="Times New Roman" w:hAnsi="Times New Roman" w:cs="Times New Roman"/>
          <w:sz w:val="22"/>
          <w:szCs w:val="22"/>
          <w:lang w:val="en-US"/>
        </w:rPr>
      </w:pPr>
    </w:p>
    <w:p w14:paraId="0F3CE2AA" w14:textId="77777777" w:rsidR="001E40C9" w:rsidRDefault="001E40C9" w:rsidP="001E40C9">
      <w:pPr>
        <w:spacing w:before="120" w:after="120" w:line="276" w:lineRule="auto"/>
        <w:jc w:val="both"/>
        <w:rPr>
          <w:rFonts w:ascii="Times New Roman" w:hAnsi="Times New Roman" w:cs="Times New Roman"/>
          <w:sz w:val="22"/>
          <w:szCs w:val="22"/>
          <w:lang w:val="en-US"/>
        </w:rPr>
      </w:pPr>
      <w:r w:rsidRPr="001E40C9">
        <w:rPr>
          <w:rFonts w:ascii="Times New Roman" w:hAnsi="Times New Roman" w:cs="Times New Roman"/>
          <w:sz w:val="22"/>
          <w:szCs w:val="22"/>
          <w:lang w:val="en-US"/>
        </w:rPr>
        <w:t xml:space="preserve">At the moment of signing the Convention between the Government of the Republic of Austria and the Government of the Republic of Armenia for the Avoidance of Double Taxation with respect to Taxes on Income and on Capital the undersigned have agreed that the following provisions shall form an integral part of the Convention. </w:t>
      </w:r>
    </w:p>
    <w:p w14:paraId="2DD03A46" w14:textId="77777777" w:rsidR="001E40C9" w:rsidRDefault="001E40C9" w:rsidP="001E40C9">
      <w:pPr>
        <w:spacing w:before="120" w:after="120" w:line="276" w:lineRule="auto"/>
        <w:jc w:val="both"/>
        <w:rPr>
          <w:rFonts w:ascii="Times New Roman" w:hAnsi="Times New Roman" w:cs="Times New Roman"/>
          <w:sz w:val="22"/>
          <w:szCs w:val="22"/>
          <w:lang w:val="en-US"/>
        </w:rPr>
      </w:pPr>
    </w:p>
    <w:p w14:paraId="285850D8" w14:textId="77777777" w:rsidR="001E40C9" w:rsidRDefault="001E40C9" w:rsidP="001E40C9">
      <w:pPr>
        <w:spacing w:before="120" w:after="120" w:line="276" w:lineRule="auto"/>
        <w:jc w:val="both"/>
        <w:rPr>
          <w:rFonts w:ascii="Times New Roman" w:hAnsi="Times New Roman" w:cs="Times New Roman"/>
          <w:sz w:val="22"/>
          <w:szCs w:val="22"/>
          <w:lang w:val="en-US"/>
        </w:rPr>
      </w:pPr>
      <w:r w:rsidRPr="001E40C9">
        <w:rPr>
          <w:rFonts w:ascii="Times New Roman" w:hAnsi="Times New Roman" w:cs="Times New Roman"/>
          <w:sz w:val="22"/>
          <w:szCs w:val="22"/>
          <w:lang w:val="en-US"/>
        </w:rPr>
        <w:t>I. Interpretation of the Convention</w:t>
      </w:r>
    </w:p>
    <w:p w14:paraId="5F2237E6" w14:textId="77777777" w:rsidR="001E40C9" w:rsidRDefault="001E40C9" w:rsidP="001E40C9">
      <w:pPr>
        <w:spacing w:before="120" w:after="120" w:line="276" w:lineRule="auto"/>
        <w:jc w:val="both"/>
        <w:rPr>
          <w:rFonts w:ascii="Times New Roman" w:hAnsi="Times New Roman" w:cs="Times New Roman"/>
          <w:sz w:val="22"/>
          <w:szCs w:val="22"/>
          <w:lang w:val="en-US"/>
        </w:rPr>
      </w:pPr>
      <w:r w:rsidRPr="001E40C9">
        <w:rPr>
          <w:rFonts w:ascii="Times New Roman" w:hAnsi="Times New Roman" w:cs="Times New Roman"/>
          <w:sz w:val="22"/>
          <w:szCs w:val="22"/>
          <w:lang w:val="en-US"/>
        </w:rPr>
        <w:t xml:space="preserve">It is understood that provisions of the Convention which are drafted according to the corresponding provisions of the OECD-Model Convention on Income and on Capital or the United Nations Model Double Taxation Convention between Developed and Developing Countries with respect to Taxes on Income and on Capital shall generally be expected to have the same meaning as expressed in the OECD or UN Commentary thereon. The understanding in the preceding sentence will not apply with respect to any contrary interpretation agreed to by the competent authorities after the entry into force of the Convention. The Commentaries - as they may be revised from time to time - constitute a means of interpretation in the sense of the Vienna Convention of 23rd May 1969 on the Law of Treaties. In case of any divergence in the interpretation as expressed in the commentaries of the OECD and the UN Model, a common interpretation would have to be sought by mutual agreement according to Article 25, if necessary. </w:t>
      </w:r>
    </w:p>
    <w:p w14:paraId="3EC74CB2" w14:textId="77777777" w:rsidR="001E40C9" w:rsidRDefault="001E40C9" w:rsidP="001E40C9">
      <w:pPr>
        <w:spacing w:before="120" w:after="120" w:line="276" w:lineRule="auto"/>
        <w:jc w:val="both"/>
        <w:rPr>
          <w:rFonts w:ascii="Times New Roman" w:hAnsi="Times New Roman" w:cs="Times New Roman"/>
          <w:sz w:val="22"/>
          <w:szCs w:val="22"/>
          <w:lang w:val="en-US"/>
        </w:rPr>
      </w:pPr>
    </w:p>
    <w:p w14:paraId="7ED60FD8" w14:textId="77777777" w:rsidR="001E40C9" w:rsidRDefault="001E40C9" w:rsidP="001E40C9">
      <w:pPr>
        <w:spacing w:before="120" w:after="120" w:line="276" w:lineRule="auto"/>
        <w:jc w:val="both"/>
        <w:rPr>
          <w:rFonts w:ascii="Times New Roman" w:hAnsi="Times New Roman" w:cs="Times New Roman"/>
          <w:sz w:val="22"/>
          <w:szCs w:val="22"/>
          <w:lang w:val="en-US"/>
        </w:rPr>
      </w:pPr>
      <w:r w:rsidRPr="001E40C9">
        <w:rPr>
          <w:rFonts w:ascii="Times New Roman" w:hAnsi="Times New Roman" w:cs="Times New Roman"/>
          <w:sz w:val="22"/>
          <w:szCs w:val="22"/>
          <w:lang w:val="en-US"/>
        </w:rPr>
        <w:t xml:space="preserve">II. It is understood that the term "competent authority" means in Armenia: </w:t>
      </w:r>
    </w:p>
    <w:p w14:paraId="752AC0BC" w14:textId="77777777" w:rsidR="001E40C9" w:rsidRDefault="001E40C9" w:rsidP="001E40C9">
      <w:pPr>
        <w:spacing w:before="120" w:after="120" w:line="276" w:lineRule="auto"/>
        <w:jc w:val="both"/>
        <w:rPr>
          <w:rFonts w:ascii="Times New Roman" w:hAnsi="Times New Roman" w:cs="Times New Roman"/>
          <w:sz w:val="22"/>
          <w:szCs w:val="22"/>
          <w:lang w:val="en-US"/>
        </w:rPr>
      </w:pPr>
      <w:r w:rsidRPr="001E40C9">
        <w:rPr>
          <w:rFonts w:ascii="Times New Roman" w:hAnsi="Times New Roman" w:cs="Times New Roman"/>
          <w:sz w:val="22"/>
          <w:szCs w:val="22"/>
          <w:lang w:val="en-US"/>
        </w:rPr>
        <w:t xml:space="preserve">a) The Minister of State Revenues or his authorised representative for the application of paragraph 2 of Article 10, paragraph 2 of Article 11, paragraph 2 of Article 12 and Article 26; and </w:t>
      </w:r>
    </w:p>
    <w:p w14:paraId="0430E276" w14:textId="77777777" w:rsidR="001E40C9" w:rsidRDefault="001E40C9" w:rsidP="001E40C9">
      <w:pPr>
        <w:spacing w:before="120" w:after="120" w:line="276" w:lineRule="auto"/>
        <w:jc w:val="both"/>
        <w:rPr>
          <w:rFonts w:ascii="Times New Roman" w:hAnsi="Times New Roman" w:cs="Times New Roman"/>
          <w:sz w:val="22"/>
          <w:szCs w:val="22"/>
          <w:lang w:val="en-US"/>
        </w:rPr>
      </w:pPr>
      <w:r w:rsidRPr="001E40C9">
        <w:rPr>
          <w:rFonts w:ascii="Times New Roman" w:hAnsi="Times New Roman" w:cs="Times New Roman"/>
          <w:sz w:val="22"/>
          <w:szCs w:val="22"/>
          <w:lang w:val="en-US"/>
        </w:rPr>
        <w:t xml:space="preserve">b) The Minister of Finance and Economy or his authorised representative in all other cases. </w:t>
      </w:r>
    </w:p>
    <w:p w14:paraId="626C8D93" w14:textId="77777777" w:rsidR="001E40C9" w:rsidRDefault="001E40C9" w:rsidP="001E40C9">
      <w:pPr>
        <w:spacing w:before="120" w:after="120" w:line="276" w:lineRule="auto"/>
        <w:jc w:val="both"/>
        <w:rPr>
          <w:rFonts w:ascii="Times New Roman" w:hAnsi="Times New Roman" w:cs="Times New Roman"/>
          <w:sz w:val="22"/>
          <w:szCs w:val="22"/>
          <w:lang w:val="en-US"/>
        </w:rPr>
      </w:pPr>
    </w:p>
    <w:p w14:paraId="79802FE4" w14:textId="77777777" w:rsidR="001E40C9" w:rsidRDefault="001E40C9" w:rsidP="001E40C9">
      <w:pPr>
        <w:spacing w:before="120" w:after="120" w:line="276" w:lineRule="auto"/>
        <w:jc w:val="both"/>
        <w:rPr>
          <w:rFonts w:ascii="Times New Roman" w:hAnsi="Times New Roman" w:cs="Times New Roman"/>
          <w:sz w:val="22"/>
          <w:szCs w:val="22"/>
          <w:lang w:val="en-US"/>
        </w:rPr>
      </w:pPr>
      <w:r w:rsidRPr="001E40C9">
        <w:rPr>
          <w:rFonts w:ascii="Times New Roman" w:hAnsi="Times New Roman" w:cs="Times New Roman"/>
          <w:sz w:val="22"/>
          <w:szCs w:val="22"/>
          <w:lang w:val="en-US"/>
        </w:rPr>
        <w:t xml:space="preserve">III. It is understood that when establishing the "place of effective management" as meant in sub-paragraph g) of paragraph 1 of Article 3, paragraph 3 of Article 4, paragraph 1 of Article 8, paragraph 3 of Article 13 and in paragraph 3 of Article 22 circumstances which may, inter alia, be taken into account are the place where a company is actually managed and controlled, the place that plays a leading part in the management of a company from an economic and functional point of view and the place where the accounting books are kept. </w:t>
      </w:r>
    </w:p>
    <w:p w14:paraId="45BA48D2" w14:textId="77777777" w:rsidR="001E40C9" w:rsidRDefault="001E40C9" w:rsidP="001E40C9">
      <w:pPr>
        <w:spacing w:before="120" w:after="120" w:line="276" w:lineRule="auto"/>
        <w:jc w:val="both"/>
        <w:rPr>
          <w:rFonts w:ascii="Times New Roman" w:hAnsi="Times New Roman" w:cs="Times New Roman"/>
          <w:sz w:val="22"/>
          <w:szCs w:val="22"/>
          <w:lang w:val="en-US"/>
        </w:rPr>
      </w:pPr>
    </w:p>
    <w:p w14:paraId="16887808" w14:textId="77777777" w:rsidR="001E40C9" w:rsidRDefault="001E40C9" w:rsidP="001E40C9">
      <w:pPr>
        <w:spacing w:before="120" w:after="120" w:line="276" w:lineRule="auto"/>
        <w:jc w:val="both"/>
        <w:rPr>
          <w:rFonts w:ascii="Times New Roman" w:hAnsi="Times New Roman" w:cs="Times New Roman"/>
          <w:sz w:val="22"/>
          <w:szCs w:val="22"/>
          <w:lang w:val="en-US"/>
        </w:rPr>
      </w:pPr>
      <w:r w:rsidRPr="001E40C9">
        <w:rPr>
          <w:rFonts w:ascii="Times New Roman" w:hAnsi="Times New Roman" w:cs="Times New Roman"/>
          <w:sz w:val="22"/>
          <w:szCs w:val="22"/>
          <w:lang w:val="en-US"/>
        </w:rPr>
        <w:t xml:space="preserve">IN WITNESS WHEREOF the undersigned, being duly authorised thereto, have signed this Protocol. </w:t>
      </w:r>
    </w:p>
    <w:p w14:paraId="0C719949" w14:textId="77777777" w:rsidR="001E40C9" w:rsidRDefault="001E40C9" w:rsidP="001E40C9">
      <w:pPr>
        <w:spacing w:before="120" w:after="120" w:line="276" w:lineRule="auto"/>
        <w:jc w:val="both"/>
        <w:rPr>
          <w:rFonts w:ascii="Times New Roman" w:hAnsi="Times New Roman" w:cs="Times New Roman"/>
          <w:sz w:val="22"/>
          <w:szCs w:val="22"/>
          <w:lang w:val="en-US"/>
        </w:rPr>
      </w:pPr>
      <w:r w:rsidRPr="001E40C9">
        <w:rPr>
          <w:rFonts w:ascii="Times New Roman" w:hAnsi="Times New Roman" w:cs="Times New Roman"/>
          <w:sz w:val="22"/>
          <w:szCs w:val="22"/>
          <w:lang w:val="en-US"/>
        </w:rPr>
        <w:t>DONE in duplicate in Vienna on the 27th day of February 2002, in the German, Armenian and English languages, all texts being equally authentic. In case of divergence of interpretation, the English text shall prevail.</w:t>
      </w:r>
    </w:p>
    <w:p w14:paraId="7D1238D8" w14:textId="77777777" w:rsidR="001E40C9" w:rsidRDefault="001E40C9" w:rsidP="001E40C9">
      <w:pPr>
        <w:spacing w:before="120" w:after="120" w:line="276" w:lineRule="auto"/>
        <w:jc w:val="both"/>
        <w:rPr>
          <w:rFonts w:ascii="Times New Roman" w:hAnsi="Times New Roman" w:cs="Times New Roman"/>
          <w:sz w:val="22"/>
          <w:szCs w:val="22"/>
          <w:lang w:val="en-US"/>
        </w:rPr>
      </w:pPr>
    </w:p>
    <w:p w14:paraId="3F1BA091" w14:textId="77777777" w:rsidR="001E40C9" w:rsidRDefault="001E40C9" w:rsidP="001E40C9">
      <w:pPr>
        <w:spacing w:before="120" w:after="120" w:line="276" w:lineRule="auto"/>
        <w:ind w:firstLine="708"/>
        <w:jc w:val="both"/>
        <w:rPr>
          <w:rFonts w:ascii="Times New Roman" w:hAnsi="Times New Roman" w:cs="Times New Roman"/>
          <w:sz w:val="22"/>
          <w:szCs w:val="22"/>
          <w:lang w:val="en-US"/>
        </w:rPr>
      </w:pPr>
      <w:r>
        <w:rPr>
          <w:rFonts w:ascii="Times New Roman" w:hAnsi="Times New Roman" w:cs="Times New Roman"/>
          <w:sz w:val="22"/>
          <w:szCs w:val="22"/>
          <w:lang w:val="en-US"/>
        </w:rPr>
        <w:t xml:space="preserve">    </w:t>
      </w:r>
      <w:r w:rsidRPr="005B05A9">
        <w:rPr>
          <w:rFonts w:ascii="Times New Roman" w:hAnsi="Times New Roman" w:cs="Times New Roman"/>
          <w:sz w:val="22"/>
          <w:szCs w:val="22"/>
          <w:lang w:val="en-US"/>
        </w:rPr>
        <w:t xml:space="preserve">For the Government </w:t>
      </w:r>
      <w:r>
        <w:rPr>
          <w:rFonts w:ascii="Times New Roman" w:hAnsi="Times New Roman" w:cs="Times New Roman"/>
          <w:sz w:val="22"/>
          <w:szCs w:val="22"/>
          <w:lang w:val="en-US"/>
        </w:rPr>
        <w:tab/>
      </w:r>
      <w:r>
        <w:rPr>
          <w:rFonts w:ascii="Times New Roman" w:hAnsi="Times New Roman" w:cs="Times New Roman"/>
          <w:sz w:val="22"/>
          <w:szCs w:val="22"/>
          <w:lang w:val="en-US"/>
        </w:rPr>
        <w:tab/>
      </w:r>
      <w:r>
        <w:rPr>
          <w:rFonts w:ascii="Times New Roman" w:hAnsi="Times New Roman" w:cs="Times New Roman"/>
          <w:sz w:val="22"/>
          <w:szCs w:val="22"/>
          <w:lang w:val="en-US"/>
        </w:rPr>
        <w:tab/>
      </w:r>
      <w:r>
        <w:rPr>
          <w:rFonts w:ascii="Times New Roman" w:hAnsi="Times New Roman" w:cs="Times New Roman"/>
          <w:sz w:val="22"/>
          <w:szCs w:val="22"/>
          <w:lang w:val="en-US"/>
        </w:rPr>
        <w:tab/>
      </w:r>
      <w:r>
        <w:rPr>
          <w:rFonts w:ascii="Times New Roman" w:hAnsi="Times New Roman" w:cs="Times New Roman"/>
          <w:sz w:val="22"/>
          <w:szCs w:val="22"/>
          <w:lang w:val="en-US"/>
        </w:rPr>
        <w:tab/>
      </w:r>
      <w:r w:rsidRPr="005B05A9">
        <w:rPr>
          <w:rFonts w:ascii="Times New Roman" w:hAnsi="Times New Roman" w:cs="Times New Roman"/>
          <w:sz w:val="22"/>
          <w:szCs w:val="22"/>
          <w:lang w:val="en-US"/>
        </w:rPr>
        <w:t>For the Government</w:t>
      </w:r>
    </w:p>
    <w:p w14:paraId="21EBBC4F" w14:textId="77777777" w:rsidR="001E40C9" w:rsidRDefault="001E40C9" w:rsidP="001E40C9">
      <w:pPr>
        <w:spacing w:before="120" w:after="120" w:line="276" w:lineRule="auto"/>
        <w:ind w:firstLine="708"/>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 xml:space="preserve">of the Republic of Austria: </w:t>
      </w:r>
      <w:r>
        <w:rPr>
          <w:rFonts w:ascii="Times New Roman" w:hAnsi="Times New Roman" w:cs="Times New Roman"/>
          <w:sz w:val="22"/>
          <w:szCs w:val="22"/>
          <w:lang w:val="en-US"/>
        </w:rPr>
        <w:tab/>
      </w:r>
      <w:r>
        <w:rPr>
          <w:rFonts w:ascii="Times New Roman" w:hAnsi="Times New Roman" w:cs="Times New Roman"/>
          <w:sz w:val="22"/>
          <w:szCs w:val="22"/>
          <w:lang w:val="en-US"/>
        </w:rPr>
        <w:tab/>
      </w:r>
      <w:r>
        <w:rPr>
          <w:rFonts w:ascii="Times New Roman" w:hAnsi="Times New Roman" w:cs="Times New Roman"/>
          <w:sz w:val="22"/>
          <w:szCs w:val="22"/>
          <w:lang w:val="en-US"/>
        </w:rPr>
        <w:tab/>
        <w:t xml:space="preserve">        </w:t>
      </w:r>
      <w:r w:rsidRPr="005B05A9">
        <w:rPr>
          <w:rFonts w:ascii="Times New Roman" w:hAnsi="Times New Roman" w:cs="Times New Roman"/>
          <w:sz w:val="22"/>
          <w:szCs w:val="22"/>
          <w:lang w:val="en-US"/>
        </w:rPr>
        <w:t>of the Republic of Armenia:</w:t>
      </w:r>
    </w:p>
    <w:p w14:paraId="6BA3F02C" w14:textId="77777777" w:rsidR="001E40C9" w:rsidRDefault="001E40C9" w:rsidP="001E40C9">
      <w:pPr>
        <w:spacing w:before="120" w:after="120" w:line="276" w:lineRule="auto"/>
        <w:ind w:left="708" w:firstLine="708"/>
        <w:jc w:val="both"/>
        <w:rPr>
          <w:rFonts w:ascii="Times New Roman" w:hAnsi="Times New Roman" w:cs="Times New Roman"/>
          <w:sz w:val="22"/>
          <w:szCs w:val="22"/>
          <w:lang w:val="en-US"/>
        </w:rPr>
      </w:pPr>
      <w:r w:rsidRPr="005B05A9">
        <w:rPr>
          <w:rFonts w:ascii="Times New Roman" w:hAnsi="Times New Roman" w:cs="Times New Roman"/>
          <w:sz w:val="22"/>
          <w:szCs w:val="22"/>
          <w:lang w:val="en-US"/>
        </w:rPr>
        <w:t>Dr. Grasser</w:t>
      </w:r>
      <w:r>
        <w:rPr>
          <w:rFonts w:ascii="Times New Roman" w:hAnsi="Times New Roman" w:cs="Times New Roman"/>
          <w:sz w:val="22"/>
          <w:szCs w:val="22"/>
          <w:lang w:val="en-US"/>
        </w:rPr>
        <w:tab/>
      </w:r>
      <w:r>
        <w:rPr>
          <w:rFonts w:ascii="Times New Roman" w:hAnsi="Times New Roman" w:cs="Times New Roman"/>
          <w:sz w:val="22"/>
          <w:szCs w:val="22"/>
          <w:lang w:val="en-US"/>
        </w:rPr>
        <w:tab/>
      </w:r>
      <w:r>
        <w:rPr>
          <w:rFonts w:ascii="Times New Roman" w:hAnsi="Times New Roman" w:cs="Times New Roman"/>
          <w:sz w:val="22"/>
          <w:szCs w:val="22"/>
          <w:lang w:val="en-US"/>
        </w:rPr>
        <w:tab/>
      </w:r>
      <w:r>
        <w:rPr>
          <w:rFonts w:ascii="Times New Roman" w:hAnsi="Times New Roman" w:cs="Times New Roman"/>
          <w:sz w:val="22"/>
          <w:szCs w:val="22"/>
          <w:lang w:val="en-US"/>
        </w:rPr>
        <w:tab/>
      </w:r>
      <w:r>
        <w:rPr>
          <w:rFonts w:ascii="Times New Roman" w:hAnsi="Times New Roman" w:cs="Times New Roman"/>
          <w:sz w:val="22"/>
          <w:szCs w:val="22"/>
          <w:lang w:val="en-US"/>
        </w:rPr>
        <w:tab/>
        <w:t>V</w:t>
      </w:r>
      <w:r w:rsidRPr="005B05A9">
        <w:rPr>
          <w:rFonts w:ascii="Times New Roman" w:hAnsi="Times New Roman" w:cs="Times New Roman"/>
          <w:sz w:val="22"/>
          <w:szCs w:val="22"/>
          <w:lang w:val="en-US"/>
        </w:rPr>
        <w:t xml:space="preserve">artan Oskanian </w:t>
      </w:r>
    </w:p>
    <w:p w14:paraId="0B41C126" w14:textId="77777777" w:rsidR="001E40C9" w:rsidRPr="001E40C9" w:rsidRDefault="001E40C9" w:rsidP="00F7778D">
      <w:pPr>
        <w:spacing w:before="120" w:after="120" w:line="276" w:lineRule="auto"/>
        <w:ind w:firstLine="708"/>
        <w:jc w:val="both"/>
        <w:rPr>
          <w:rFonts w:ascii="Times New Roman" w:hAnsi="Times New Roman" w:cs="Times New Roman"/>
          <w:sz w:val="22"/>
          <w:szCs w:val="22"/>
          <w:lang w:val="en-US"/>
        </w:rPr>
      </w:pPr>
      <w:r>
        <w:rPr>
          <w:rFonts w:ascii="Times New Roman" w:hAnsi="Times New Roman" w:cs="Times New Roman"/>
          <w:sz w:val="22"/>
          <w:szCs w:val="22"/>
          <w:lang w:val="en-US"/>
        </w:rPr>
        <w:t xml:space="preserve">    </w:t>
      </w:r>
      <w:r w:rsidRPr="005B05A9">
        <w:rPr>
          <w:rFonts w:ascii="Times New Roman" w:hAnsi="Times New Roman" w:cs="Times New Roman"/>
          <w:sz w:val="22"/>
          <w:szCs w:val="22"/>
          <w:lang w:val="en-US"/>
        </w:rPr>
        <w:t xml:space="preserve">(Minister of Finance) </w:t>
      </w:r>
      <w:r>
        <w:rPr>
          <w:rFonts w:ascii="Times New Roman" w:hAnsi="Times New Roman" w:cs="Times New Roman"/>
          <w:sz w:val="22"/>
          <w:szCs w:val="22"/>
          <w:lang w:val="en-US"/>
        </w:rPr>
        <w:tab/>
      </w:r>
      <w:r>
        <w:rPr>
          <w:rFonts w:ascii="Times New Roman" w:hAnsi="Times New Roman" w:cs="Times New Roman"/>
          <w:sz w:val="22"/>
          <w:szCs w:val="22"/>
          <w:lang w:val="en-US"/>
        </w:rPr>
        <w:tab/>
      </w:r>
      <w:r>
        <w:rPr>
          <w:rFonts w:ascii="Times New Roman" w:hAnsi="Times New Roman" w:cs="Times New Roman"/>
          <w:sz w:val="22"/>
          <w:szCs w:val="22"/>
          <w:lang w:val="en-US"/>
        </w:rPr>
        <w:tab/>
        <w:t xml:space="preserve">       </w:t>
      </w:r>
      <w:r w:rsidRPr="005B05A9">
        <w:rPr>
          <w:rFonts w:ascii="Times New Roman" w:hAnsi="Times New Roman" w:cs="Times New Roman"/>
          <w:sz w:val="22"/>
          <w:szCs w:val="22"/>
          <w:lang w:val="en-US"/>
        </w:rPr>
        <w:t>(Minister of Foreign Affairs)</w:t>
      </w:r>
    </w:p>
    <w:sectPr w:rsidR="001E40C9" w:rsidRPr="001E40C9" w:rsidSect="00A84DC1">
      <w:type w:val="continuous"/>
      <w:pgSz w:w="11900" w:h="16840" w:code="9"/>
      <w:pgMar w:top="426" w:right="1531" w:bottom="1531" w:left="1531" w:header="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3BE06E" w14:textId="77777777" w:rsidR="00A40255" w:rsidRDefault="00A40255">
      <w:pPr>
        <w:spacing w:after="0" w:line="240" w:lineRule="auto"/>
      </w:pPr>
      <w:r>
        <w:separator/>
      </w:r>
    </w:p>
  </w:endnote>
  <w:endnote w:type="continuationSeparator" w:id="0">
    <w:p w14:paraId="5DC5EBCA" w14:textId="77777777" w:rsidR="00A40255" w:rsidRDefault="00A40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D14966" w14:textId="77777777" w:rsidR="00A40255" w:rsidRDefault="00A40255">
      <w:pPr>
        <w:spacing w:after="0" w:line="240" w:lineRule="auto"/>
      </w:pPr>
      <w:r>
        <w:separator/>
      </w:r>
    </w:p>
  </w:footnote>
  <w:footnote w:type="continuationSeparator" w:id="0">
    <w:p w14:paraId="0F9E4966" w14:textId="77777777" w:rsidR="00A40255" w:rsidRDefault="00A40255">
      <w:pPr>
        <w:spacing w:after="0" w:line="240" w:lineRule="auto"/>
      </w:pPr>
      <w:r>
        <w:continuationSeparator/>
      </w:r>
    </w:p>
  </w:footnote>
  <w:footnote w:id="1">
    <w:p w14:paraId="6EB70137" w14:textId="77777777" w:rsidR="00A40255" w:rsidRPr="00A40255" w:rsidRDefault="00A40255" w:rsidP="00A40255">
      <w:pPr>
        <w:spacing w:after="0" w:line="240" w:lineRule="auto"/>
        <w:jc w:val="both"/>
        <w:rPr>
          <w:rFonts w:ascii="Times New Roman" w:hAnsi="Times New Roman" w:cs="Times New Roman"/>
          <w:sz w:val="18"/>
          <w:szCs w:val="18"/>
          <w:lang w:val="en-GB"/>
        </w:rPr>
      </w:pPr>
      <w:r w:rsidRPr="009A44DA">
        <w:rPr>
          <w:rStyle w:val="FootnoteReference"/>
          <w:rFonts w:ascii="Times New Roman" w:hAnsi="Times New Roman" w:cs="Times New Roman"/>
          <w:sz w:val="18"/>
          <w:szCs w:val="18"/>
        </w:rPr>
        <w:footnoteRef/>
      </w:r>
      <w:r>
        <w:rPr>
          <w:rFonts w:ascii="Times New Roman" w:hAnsi="Times New Roman" w:cs="Times New Roman"/>
          <w:sz w:val="18"/>
          <w:szCs w:val="18"/>
          <w:lang w:val="en-GB"/>
        </w:rPr>
        <w:t xml:space="preserve"> In accordance with paragrap</w:t>
      </w:r>
      <w:r w:rsidR="001B2613">
        <w:rPr>
          <w:rFonts w:ascii="Times New Roman" w:hAnsi="Times New Roman" w:cs="Times New Roman"/>
          <w:sz w:val="18"/>
          <w:szCs w:val="18"/>
          <w:lang w:val="en-GB"/>
        </w:rPr>
        <w:t>hs</w:t>
      </w:r>
      <w:r w:rsidRPr="001B2613">
        <w:rPr>
          <w:rFonts w:ascii="Times New Roman" w:hAnsi="Times New Roman" w:cs="Times New Roman"/>
          <w:sz w:val="18"/>
          <w:szCs w:val="18"/>
          <w:lang w:val="en-GB"/>
        </w:rPr>
        <w:t xml:space="preserve"> 3 </w:t>
      </w:r>
      <w:r w:rsidR="001B2613" w:rsidRPr="001B2613">
        <w:rPr>
          <w:rFonts w:ascii="Times New Roman" w:hAnsi="Times New Roman" w:cs="Times New Roman"/>
          <w:sz w:val="18"/>
          <w:szCs w:val="18"/>
          <w:lang w:val="en-GB"/>
        </w:rPr>
        <w:t xml:space="preserve">and 5 </w:t>
      </w:r>
      <w:r w:rsidRPr="001B2613">
        <w:rPr>
          <w:rFonts w:ascii="Times New Roman" w:hAnsi="Times New Roman" w:cs="Times New Roman"/>
          <w:sz w:val="18"/>
          <w:szCs w:val="18"/>
          <w:lang w:val="en-GB"/>
        </w:rPr>
        <w:t>of Article</w:t>
      </w:r>
      <w:r w:rsidRPr="00A40255">
        <w:rPr>
          <w:rFonts w:ascii="Times New Roman" w:hAnsi="Times New Roman" w:cs="Times New Roman"/>
          <w:sz w:val="18"/>
          <w:szCs w:val="18"/>
          <w:lang w:val="en-GB"/>
        </w:rPr>
        <w:t xml:space="preserve"> 35 of the MLI, paragraph 1 of Article 6 of the MLI has effect in the Republic of Austria with respect to this Convention:</w:t>
      </w:r>
    </w:p>
    <w:p w14:paraId="7DB68167" w14:textId="77777777" w:rsidR="00A40255" w:rsidRPr="00A40255" w:rsidRDefault="00A40255" w:rsidP="00A40255">
      <w:pPr>
        <w:spacing w:after="0" w:line="240" w:lineRule="auto"/>
        <w:ind w:left="567" w:hanging="283"/>
        <w:jc w:val="both"/>
        <w:rPr>
          <w:rFonts w:ascii="Times New Roman" w:hAnsi="Times New Roman" w:cs="Times New Roman"/>
          <w:sz w:val="18"/>
          <w:szCs w:val="18"/>
          <w:lang w:val="en-GB"/>
        </w:rPr>
      </w:pPr>
      <w:r w:rsidRPr="00A40255">
        <w:rPr>
          <w:rFonts w:ascii="Times New Roman" w:hAnsi="Times New Roman" w:cs="Times New Roman"/>
          <w:sz w:val="18"/>
          <w:szCs w:val="18"/>
          <w:lang w:val="en-GB"/>
        </w:rPr>
        <w:t>a)</w:t>
      </w:r>
      <w:r w:rsidRPr="00A40255">
        <w:rPr>
          <w:rFonts w:ascii="Times New Roman" w:hAnsi="Times New Roman" w:cs="Times New Roman"/>
          <w:sz w:val="18"/>
          <w:szCs w:val="18"/>
          <w:lang w:val="en-GB"/>
        </w:rPr>
        <w:tab/>
        <w:t>with respect to taxes withheld at source on amounts paid or credited to non-residents, where the event giving rise to such taxes occurs on or after 1 January 2024; and</w:t>
      </w:r>
    </w:p>
    <w:p w14:paraId="5D8F584F" w14:textId="77777777" w:rsidR="00A40255" w:rsidRPr="00A40255" w:rsidRDefault="00A40255" w:rsidP="00A40255">
      <w:pPr>
        <w:spacing w:after="0" w:line="240" w:lineRule="auto"/>
        <w:ind w:left="567" w:hanging="283"/>
        <w:jc w:val="both"/>
        <w:rPr>
          <w:rFonts w:ascii="Times New Roman" w:hAnsi="Times New Roman" w:cs="Times New Roman"/>
          <w:sz w:val="18"/>
          <w:szCs w:val="18"/>
          <w:lang w:val="en-GB"/>
        </w:rPr>
      </w:pPr>
      <w:r w:rsidRPr="00A40255">
        <w:rPr>
          <w:rFonts w:ascii="Times New Roman" w:hAnsi="Times New Roman" w:cs="Times New Roman"/>
          <w:sz w:val="18"/>
          <w:szCs w:val="18"/>
          <w:lang w:val="en-GB"/>
        </w:rPr>
        <w:t>b)</w:t>
      </w:r>
      <w:r w:rsidRPr="00A40255">
        <w:rPr>
          <w:rFonts w:ascii="Times New Roman" w:hAnsi="Times New Roman" w:cs="Times New Roman"/>
          <w:sz w:val="18"/>
          <w:szCs w:val="18"/>
          <w:lang w:val="en-GB"/>
        </w:rPr>
        <w:tab/>
        <w:t>with respect to all other taxes levied by the Republic of Austria, for taxes levied with respect to taxable periods beginning on or after 1 January 2025;</w:t>
      </w:r>
    </w:p>
    <w:p w14:paraId="5F3BAD55" w14:textId="77777777" w:rsidR="00A40255" w:rsidRPr="00A40255" w:rsidRDefault="00A40255" w:rsidP="00A40255">
      <w:pPr>
        <w:spacing w:after="0" w:line="240" w:lineRule="auto"/>
        <w:jc w:val="both"/>
        <w:rPr>
          <w:rFonts w:ascii="Times New Roman" w:hAnsi="Times New Roman" w:cs="Times New Roman"/>
          <w:sz w:val="18"/>
          <w:szCs w:val="18"/>
          <w:lang w:val="en-GB"/>
        </w:rPr>
      </w:pPr>
      <w:r w:rsidRPr="00A40255">
        <w:rPr>
          <w:rFonts w:ascii="Times New Roman" w:hAnsi="Times New Roman" w:cs="Times New Roman"/>
          <w:sz w:val="18"/>
          <w:szCs w:val="18"/>
          <w:lang w:val="en-GB"/>
        </w:rPr>
        <w:t xml:space="preserve">and,  </w:t>
      </w:r>
    </w:p>
    <w:p w14:paraId="0F757F88" w14:textId="77777777" w:rsidR="00A40255" w:rsidRPr="00A40255" w:rsidRDefault="00FC4882" w:rsidP="00A40255">
      <w:pPr>
        <w:spacing w:after="0" w:line="240" w:lineRule="auto"/>
        <w:jc w:val="both"/>
        <w:rPr>
          <w:rFonts w:ascii="Times New Roman" w:hAnsi="Times New Roman" w:cs="Times New Roman"/>
          <w:sz w:val="18"/>
          <w:szCs w:val="18"/>
          <w:lang w:val="en-GB"/>
        </w:rPr>
      </w:pPr>
      <w:r>
        <w:rPr>
          <w:rFonts w:ascii="Times New Roman" w:hAnsi="Times New Roman" w:cs="Times New Roman"/>
          <w:sz w:val="18"/>
          <w:szCs w:val="18"/>
          <w:lang w:val="en-GB"/>
        </w:rPr>
        <w:t>in accordance with paragraph 1</w:t>
      </w:r>
      <w:r w:rsidR="00A40255" w:rsidRPr="00A40255">
        <w:rPr>
          <w:rFonts w:ascii="Times New Roman" w:hAnsi="Times New Roman" w:cs="Times New Roman"/>
          <w:sz w:val="18"/>
          <w:szCs w:val="18"/>
          <w:lang w:val="en-GB"/>
        </w:rPr>
        <w:t xml:space="preserve"> of Article 35 of the MLI, paragraph 1 of Article 6 of the MLI has effect in the Republic of </w:t>
      </w:r>
      <w:r w:rsidR="00A40255">
        <w:rPr>
          <w:rFonts w:ascii="Times New Roman" w:hAnsi="Times New Roman" w:cs="Times New Roman"/>
          <w:sz w:val="18"/>
          <w:szCs w:val="18"/>
          <w:lang w:val="en-GB"/>
        </w:rPr>
        <w:t>Armenia</w:t>
      </w:r>
      <w:r w:rsidR="00A40255" w:rsidRPr="00A40255">
        <w:rPr>
          <w:rFonts w:ascii="Times New Roman" w:hAnsi="Times New Roman" w:cs="Times New Roman"/>
          <w:sz w:val="18"/>
          <w:szCs w:val="18"/>
          <w:lang w:val="en-GB"/>
        </w:rPr>
        <w:t xml:space="preserve"> with respect to this Convention:</w:t>
      </w:r>
    </w:p>
    <w:p w14:paraId="29AA3C3B" w14:textId="77777777" w:rsidR="00A40255" w:rsidRPr="00A40255" w:rsidRDefault="00A40255" w:rsidP="00A40255">
      <w:pPr>
        <w:spacing w:after="0" w:line="240" w:lineRule="auto"/>
        <w:ind w:left="567" w:hanging="283"/>
        <w:jc w:val="both"/>
        <w:rPr>
          <w:rFonts w:ascii="Times New Roman" w:hAnsi="Times New Roman" w:cs="Times New Roman"/>
          <w:sz w:val="18"/>
          <w:szCs w:val="18"/>
          <w:lang w:val="en-GB"/>
        </w:rPr>
      </w:pPr>
      <w:r w:rsidRPr="00A40255">
        <w:rPr>
          <w:rFonts w:ascii="Times New Roman" w:hAnsi="Times New Roman" w:cs="Times New Roman"/>
          <w:sz w:val="18"/>
          <w:szCs w:val="18"/>
          <w:lang w:val="en-GB"/>
        </w:rPr>
        <w:t>a)</w:t>
      </w:r>
      <w:r w:rsidRPr="00A40255">
        <w:rPr>
          <w:rFonts w:ascii="Times New Roman" w:hAnsi="Times New Roman" w:cs="Times New Roman"/>
          <w:sz w:val="18"/>
          <w:szCs w:val="18"/>
          <w:lang w:val="en-GB"/>
        </w:rPr>
        <w:tab/>
        <w:t>with respect to taxes withheld at source on amounts paid or credited to non-residents, where the event giving rise to such taxes occurs on or after 1 January 2024; and</w:t>
      </w:r>
    </w:p>
    <w:p w14:paraId="02D56347" w14:textId="77777777" w:rsidR="00A40255" w:rsidRPr="005C73AA" w:rsidRDefault="00A40255" w:rsidP="00A40255">
      <w:pPr>
        <w:spacing w:after="0" w:line="240" w:lineRule="auto"/>
        <w:ind w:left="567" w:hanging="283"/>
        <w:jc w:val="both"/>
        <w:rPr>
          <w:rFonts w:ascii="Times New Roman" w:hAnsi="Times New Roman" w:cs="Times New Roman"/>
          <w:spacing w:val="-1"/>
          <w:sz w:val="18"/>
          <w:szCs w:val="18"/>
          <w:lang w:val="en-GB"/>
        </w:rPr>
      </w:pPr>
      <w:r w:rsidRPr="00A40255">
        <w:rPr>
          <w:rFonts w:ascii="Times New Roman" w:hAnsi="Times New Roman" w:cs="Times New Roman"/>
          <w:sz w:val="18"/>
          <w:szCs w:val="18"/>
          <w:lang w:val="en-GB"/>
        </w:rPr>
        <w:t>b)</w:t>
      </w:r>
      <w:r w:rsidRPr="00A40255">
        <w:rPr>
          <w:rFonts w:ascii="Times New Roman" w:hAnsi="Times New Roman" w:cs="Times New Roman"/>
          <w:sz w:val="18"/>
          <w:szCs w:val="18"/>
          <w:lang w:val="en-GB"/>
        </w:rPr>
        <w:tab/>
        <w:t xml:space="preserve">with respect to all other taxes levied by the Republic of </w:t>
      </w:r>
      <w:r w:rsidR="00684734">
        <w:rPr>
          <w:rFonts w:ascii="Times New Roman" w:hAnsi="Times New Roman" w:cs="Times New Roman"/>
          <w:sz w:val="18"/>
          <w:szCs w:val="18"/>
          <w:lang w:val="en-GB"/>
        </w:rPr>
        <w:t>Armenia</w:t>
      </w:r>
      <w:r w:rsidRPr="00A40255">
        <w:rPr>
          <w:rFonts w:ascii="Times New Roman" w:hAnsi="Times New Roman" w:cs="Times New Roman"/>
          <w:sz w:val="18"/>
          <w:szCs w:val="18"/>
          <w:lang w:val="en-GB"/>
        </w:rPr>
        <w:t>, for taxes levied with respect to taxable periods beginning</w:t>
      </w:r>
      <w:r>
        <w:rPr>
          <w:rFonts w:ascii="Times New Roman" w:hAnsi="Times New Roman" w:cs="Times New Roman"/>
          <w:sz w:val="18"/>
          <w:szCs w:val="18"/>
          <w:lang w:val="en-GB"/>
        </w:rPr>
        <w:t xml:space="preserve"> on or after 1</w:t>
      </w:r>
      <w:r w:rsidRPr="00A40255">
        <w:rPr>
          <w:rFonts w:ascii="Times New Roman" w:hAnsi="Times New Roman" w:cs="Times New Roman"/>
          <w:sz w:val="18"/>
          <w:szCs w:val="18"/>
          <w:lang w:val="en-GB"/>
        </w:rPr>
        <w:t xml:space="preserve"> </w:t>
      </w:r>
      <w:r>
        <w:rPr>
          <w:rFonts w:ascii="Times New Roman" w:hAnsi="Times New Roman" w:cs="Times New Roman"/>
          <w:sz w:val="18"/>
          <w:szCs w:val="18"/>
          <w:lang w:val="en-GB"/>
        </w:rPr>
        <w:t>July</w:t>
      </w:r>
      <w:r w:rsidRPr="00A40255">
        <w:rPr>
          <w:rFonts w:ascii="Times New Roman" w:hAnsi="Times New Roman" w:cs="Times New Roman"/>
          <w:sz w:val="18"/>
          <w:szCs w:val="18"/>
          <w:lang w:val="en-GB"/>
        </w:rPr>
        <w:t xml:space="preserve"> 2024.</w:t>
      </w:r>
    </w:p>
  </w:footnote>
  <w:footnote w:id="2">
    <w:p w14:paraId="4F4E44FA" w14:textId="77777777" w:rsidR="00684734" w:rsidRPr="00A40255" w:rsidRDefault="00A40255" w:rsidP="00684734">
      <w:pPr>
        <w:spacing w:after="0" w:line="240" w:lineRule="auto"/>
        <w:jc w:val="both"/>
        <w:rPr>
          <w:rFonts w:ascii="Times New Roman" w:hAnsi="Times New Roman" w:cs="Times New Roman"/>
          <w:sz w:val="18"/>
          <w:szCs w:val="18"/>
          <w:lang w:val="en-GB"/>
        </w:rPr>
      </w:pPr>
      <w:r w:rsidRPr="00B506A2">
        <w:rPr>
          <w:rStyle w:val="FootnoteReference"/>
          <w:rFonts w:ascii="Times New Roman" w:hAnsi="Times New Roman" w:cs="Times New Roman"/>
          <w:sz w:val="18"/>
          <w:szCs w:val="18"/>
        </w:rPr>
        <w:footnoteRef/>
      </w:r>
      <w:r w:rsidRPr="00A40255">
        <w:rPr>
          <w:rFonts w:ascii="Times New Roman" w:hAnsi="Times New Roman" w:cs="Times New Roman"/>
          <w:sz w:val="18"/>
          <w:szCs w:val="18"/>
          <w:lang w:val="en-US"/>
        </w:rPr>
        <w:t xml:space="preserve"> </w:t>
      </w:r>
      <w:r w:rsidR="00684734">
        <w:rPr>
          <w:rFonts w:ascii="Times New Roman" w:hAnsi="Times New Roman" w:cs="Times New Roman"/>
          <w:sz w:val="18"/>
          <w:szCs w:val="18"/>
          <w:lang w:val="en-GB"/>
        </w:rPr>
        <w:t xml:space="preserve">In accordance with </w:t>
      </w:r>
      <w:r w:rsidR="001B2613">
        <w:rPr>
          <w:rFonts w:ascii="Times New Roman" w:hAnsi="Times New Roman" w:cs="Times New Roman"/>
          <w:sz w:val="18"/>
          <w:szCs w:val="18"/>
          <w:lang w:val="en-GB"/>
        </w:rPr>
        <w:t>paragraphs</w:t>
      </w:r>
      <w:r w:rsidR="001B2613" w:rsidRPr="001B2613">
        <w:rPr>
          <w:rFonts w:ascii="Times New Roman" w:hAnsi="Times New Roman" w:cs="Times New Roman"/>
          <w:sz w:val="18"/>
          <w:szCs w:val="18"/>
          <w:lang w:val="en-GB"/>
        </w:rPr>
        <w:t xml:space="preserve"> 3 and 5</w:t>
      </w:r>
      <w:r w:rsidR="001B2613">
        <w:rPr>
          <w:rFonts w:ascii="Times New Roman" w:hAnsi="Times New Roman" w:cs="Times New Roman"/>
          <w:sz w:val="18"/>
          <w:szCs w:val="18"/>
          <w:lang w:val="en-GB"/>
        </w:rPr>
        <w:t xml:space="preserve"> </w:t>
      </w:r>
      <w:r w:rsidR="00684734" w:rsidRPr="00A40255">
        <w:rPr>
          <w:rFonts w:ascii="Times New Roman" w:hAnsi="Times New Roman" w:cs="Times New Roman"/>
          <w:sz w:val="18"/>
          <w:szCs w:val="18"/>
          <w:lang w:val="en-GB"/>
        </w:rPr>
        <w:t>of Article 35</w:t>
      </w:r>
      <w:r w:rsidR="00684734">
        <w:rPr>
          <w:rFonts w:ascii="Times New Roman" w:hAnsi="Times New Roman" w:cs="Times New Roman"/>
          <w:sz w:val="18"/>
          <w:szCs w:val="18"/>
          <w:lang w:val="en-GB"/>
        </w:rPr>
        <w:t xml:space="preserve"> of the MLI, paragraph 2 of Article 13</w:t>
      </w:r>
      <w:r w:rsidR="00684734" w:rsidRPr="00A40255">
        <w:rPr>
          <w:rFonts w:ascii="Times New Roman" w:hAnsi="Times New Roman" w:cs="Times New Roman"/>
          <w:sz w:val="18"/>
          <w:szCs w:val="18"/>
          <w:lang w:val="en-GB"/>
        </w:rPr>
        <w:t xml:space="preserve"> of the MLI has effect in the Republic of Austria with respect to this Convention:</w:t>
      </w:r>
    </w:p>
    <w:p w14:paraId="08B90EC8" w14:textId="77777777" w:rsidR="00684734" w:rsidRPr="00A40255" w:rsidRDefault="00684734" w:rsidP="00684734">
      <w:pPr>
        <w:spacing w:after="0" w:line="240" w:lineRule="auto"/>
        <w:ind w:left="567" w:hanging="283"/>
        <w:jc w:val="both"/>
        <w:rPr>
          <w:rFonts w:ascii="Times New Roman" w:hAnsi="Times New Roman" w:cs="Times New Roman"/>
          <w:sz w:val="18"/>
          <w:szCs w:val="18"/>
          <w:lang w:val="en-GB"/>
        </w:rPr>
      </w:pPr>
      <w:r w:rsidRPr="00A40255">
        <w:rPr>
          <w:rFonts w:ascii="Times New Roman" w:hAnsi="Times New Roman" w:cs="Times New Roman"/>
          <w:sz w:val="18"/>
          <w:szCs w:val="18"/>
          <w:lang w:val="en-GB"/>
        </w:rPr>
        <w:t>a)</w:t>
      </w:r>
      <w:r w:rsidRPr="00A40255">
        <w:rPr>
          <w:rFonts w:ascii="Times New Roman" w:hAnsi="Times New Roman" w:cs="Times New Roman"/>
          <w:sz w:val="18"/>
          <w:szCs w:val="18"/>
          <w:lang w:val="en-GB"/>
        </w:rPr>
        <w:tab/>
        <w:t>with respect to taxes withheld at source on amounts paid or credited to non-residents, where the event giving rise to such taxes occurs on or after 1 January 2024; and</w:t>
      </w:r>
    </w:p>
    <w:p w14:paraId="3E78BE9C" w14:textId="77777777" w:rsidR="00684734" w:rsidRPr="00A40255" w:rsidRDefault="00684734" w:rsidP="00684734">
      <w:pPr>
        <w:spacing w:after="0" w:line="240" w:lineRule="auto"/>
        <w:ind w:left="567" w:hanging="283"/>
        <w:jc w:val="both"/>
        <w:rPr>
          <w:rFonts w:ascii="Times New Roman" w:hAnsi="Times New Roman" w:cs="Times New Roman"/>
          <w:sz w:val="18"/>
          <w:szCs w:val="18"/>
          <w:lang w:val="en-GB"/>
        </w:rPr>
      </w:pPr>
      <w:r w:rsidRPr="00A40255">
        <w:rPr>
          <w:rFonts w:ascii="Times New Roman" w:hAnsi="Times New Roman" w:cs="Times New Roman"/>
          <w:sz w:val="18"/>
          <w:szCs w:val="18"/>
          <w:lang w:val="en-GB"/>
        </w:rPr>
        <w:t>b)</w:t>
      </w:r>
      <w:r w:rsidRPr="00A40255">
        <w:rPr>
          <w:rFonts w:ascii="Times New Roman" w:hAnsi="Times New Roman" w:cs="Times New Roman"/>
          <w:sz w:val="18"/>
          <w:szCs w:val="18"/>
          <w:lang w:val="en-GB"/>
        </w:rPr>
        <w:tab/>
        <w:t>with respect to all other taxes levied by the Republic of Austria, for taxes levied with respect to taxable periods beginning on or after 1 January 2025;</w:t>
      </w:r>
    </w:p>
    <w:p w14:paraId="39354A1A" w14:textId="77777777" w:rsidR="00684734" w:rsidRPr="00A40255" w:rsidRDefault="00684734" w:rsidP="00684734">
      <w:pPr>
        <w:spacing w:after="0" w:line="240" w:lineRule="auto"/>
        <w:jc w:val="both"/>
        <w:rPr>
          <w:rFonts w:ascii="Times New Roman" w:hAnsi="Times New Roman" w:cs="Times New Roman"/>
          <w:sz w:val="18"/>
          <w:szCs w:val="18"/>
          <w:lang w:val="en-GB"/>
        </w:rPr>
      </w:pPr>
      <w:r w:rsidRPr="00A40255">
        <w:rPr>
          <w:rFonts w:ascii="Times New Roman" w:hAnsi="Times New Roman" w:cs="Times New Roman"/>
          <w:sz w:val="18"/>
          <w:szCs w:val="18"/>
          <w:lang w:val="en-GB"/>
        </w:rPr>
        <w:t xml:space="preserve">and,  </w:t>
      </w:r>
    </w:p>
    <w:p w14:paraId="4C68A2B5" w14:textId="77777777" w:rsidR="00684734" w:rsidRPr="00A40255" w:rsidRDefault="00684734" w:rsidP="00684734">
      <w:pPr>
        <w:spacing w:after="0" w:line="240" w:lineRule="auto"/>
        <w:jc w:val="both"/>
        <w:rPr>
          <w:rFonts w:ascii="Times New Roman" w:hAnsi="Times New Roman" w:cs="Times New Roman"/>
          <w:sz w:val="18"/>
          <w:szCs w:val="18"/>
          <w:lang w:val="en-GB"/>
        </w:rPr>
      </w:pPr>
      <w:r>
        <w:rPr>
          <w:rFonts w:ascii="Times New Roman" w:hAnsi="Times New Roman" w:cs="Times New Roman"/>
          <w:sz w:val="18"/>
          <w:szCs w:val="18"/>
          <w:lang w:val="en-GB"/>
        </w:rPr>
        <w:t xml:space="preserve">in accordance with paragraph </w:t>
      </w:r>
      <w:r w:rsidR="000F5E09">
        <w:rPr>
          <w:rFonts w:ascii="Times New Roman" w:hAnsi="Times New Roman" w:cs="Times New Roman"/>
          <w:sz w:val="18"/>
          <w:szCs w:val="18"/>
          <w:lang w:val="en-GB"/>
        </w:rPr>
        <w:t>1</w:t>
      </w:r>
      <w:r w:rsidRPr="00A40255">
        <w:rPr>
          <w:rFonts w:ascii="Times New Roman" w:hAnsi="Times New Roman" w:cs="Times New Roman"/>
          <w:sz w:val="18"/>
          <w:szCs w:val="18"/>
          <w:lang w:val="en-GB"/>
        </w:rPr>
        <w:t xml:space="preserve"> of Article 35 of the MLI, </w:t>
      </w:r>
      <w:r>
        <w:rPr>
          <w:rFonts w:ascii="Times New Roman" w:hAnsi="Times New Roman" w:cs="Times New Roman"/>
          <w:sz w:val="18"/>
          <w:szCs w:val="18"/>
          <w:lang w:val="en-GB"/>
        </w:rPr>
        <w:t>paragraph 2 of Article 13</w:t>
      </w:r>
      <w:r w:rsidRPr="00A40255">
        <w:rPr>
          <w:rFonts w:ascii="Times New Roman" w:hAnsi="Times New Roman" w:cs="Times New Roman"/>
          <w:sz w:val="18"/>
          <w:szCs w:val="18"/>
          <w:lang w:val="en-GB"/>
        </w:rPr>
        <w:t xml:space="preserve"> of the MLI has effect in the Republic of </w:t>
      </w:r>
      <w:r>
        <w:rPr>
          <w:rFonts w:ascii="Times New Roman" w:hAnsi="Times New Roman" w:cs="Times New Roman"/>
          <w:sz w:val="18"/>
          <w:szCs w:val="18"/>
          <w:lang w:val="en-GB"/>
        </w:rPr>
        <w:t>Armenia</w:t>
      </w:r>
      <w:r w:rsidRPr="00A40255">
        <w:rPr>
          <w:rFonts w:ascii="Times New Roman" w:hAnsi="Times New Roman" w:cs="Times New Roman"/>
          <w:sz w:val="18"/>
          <w:szCs w:val="18"/>
          <w:lang w:val="en-GB"/>
        </w:rPr>
        <w:t xml:space="preserve"> with respect to this Convention:</w:t>
      </w:r>
    </w:p>
    <w:p w14:paraId="6536DCBB" w14:textId="77777777" w:rsidR="00684734" w:rsidRPr="00A40255" w:rsidRDefault="00684734" w:rsidP="00684734">
      <w:pPr>
        <w:spacing w:after="0" w:line="240" w:lineRule="auto"/>
        <w:ind w:left="567" w:hanging="283"/>
        <w:jc w:val="both"/>
        <w:rPr>
          <w:rFonts w:ascii="Times New Roman" w:hAnsi="Times New Roman" w:cs="Times New Roman"/>
          <w:sz w:val="18"/>
          <w:szCs w:val="18"/>
          <w:lang w:val="en-GB"/>
        </w:rPr>
      </w:pPr>
      <w:r w:rsidRPr="00A40255">
        <w:rPr>
          <w:rFonts w:ascii="Times New Roman" w:hAnsi="Times New Roman" w:cs="Times New Roman"/>
          <w:sz w:val="18"/>
          <w:szCs w:val="18"/>
          <w:lang w:val="en-GB"/>
        </w:rPr>
        <w:t>a)</w:t>
      </w:r>
      <w:r w:rsidRPr="00A40255">
        <w:rPr>
          <w:rFonts w:ascii="Times New Roman" w:hAnsi="Times New Roman" w:cs="Times New Roman"/>
          <w:sz w:val="18"/>
          <w:szCs w:val="18"/>
          <w:lang w:val="en-GB"/>
        </w:rPr>
        <w:tab/>
        <w:t>with respect to taxes withheld at source on amounts paid or credited to non-residents, where the event giving rise to such taxes occurs on or after 1 January 2024; and</w:t>
      </w:r>
    </w:p>
    <w:p w14:paraId="04BEF01E" w14:textId="77777777" w:rsidR="00A40255" w:rsidRPr="00B506A2" w:rsidRDefault="00684734" w:rsidP="00684734">
      <w:pPr>
        <w:spacing w:after="0" w:line="240" w:lineRule="auto"/>
        <w:ind w:left="567" w:hanging="283"/>
        <w:jc w:val="both"/>
        <w:rPr>
          <w:rFonts w:ascii="Times New Roman" w:hAnsi="Times New Roman" w:cs="Times New Roman"/>
          <w:sz w:val="18"/>
          <w:szCs w:val="18"/>
          <w:lang w:val="en-GB"/>
        </w:rPr>
      </w:pPr>
      <w:r w:rsidRPr="00A40255">
        <w:rPr>
          <w:rFonts w:ascii="Times New Roman" w:hAnsi="Times New Roman" w:cs="Times New Roman"/>
          <w:sz w:val="18"/>
          <w:szCs w:val="18"/>
          <w:lang w:val="en-GB"/>
        </w:rPr>
        <w:t>b)</w:t>
      </w:r>
      <w:r w:rsidRPr="00A40255">
        <w:rPr>
          <w:rFonts w:ascii="Times New Roman" w:hAnsi="Times New Roman" w:cs="Times New Roman"/>
          <w:sz w:val="18"/>
          <w:szCs w:val="18"/>
          <w:lang w:val="en-GB"/>
        </w:rPr>
        <w:tab/>
        <w:t xml:space="preserve">with respect to all other taxes levied by the Republic of </w:t>
      </w:r>
      <w:r>
        <w:rPr>
          <w:rFonts w:ascii="Times New Roman" w:hAnsi="Times New Roman" w:cs="Times New Roman"/>
          <w:sz w:val="18"/>
          <w:szCs w:val="18"/>
          <w:lang w:val="en-GB"/>
        </w:rPr>
        <w:t>Armenia</w:t>
      </w:r>
      <w:r w:rsidRPr="00A40255">
        <w:rPr>
          <w:rFonts w:ascii="Times New Roman" w:hAnsi="Times New Roman" w:cs="Times New Roman"/>
          <w:sz w:val="18"/>
          <w:szCs w:val="18"/>
          <w:lang w:val="en-GB"/>
        </w:rPr>
        <w:t>, for taxes levied with respect to taxable periods beginning</w:t>
      </w:r>
      <w:r>
        <w:rPr>
          <w:rFonts w:ascii="Times New Roman" w:hAnsi="Times New Roman" w:cs="Times New Roman"/>
          <w:sz w:val="18"/>
          <w:szCs w:val="18"/>
          <w:lang w:val="en-GB"/>
        </w:rPr>
        <w:t xml:space="preserve"> on or after 1</w:t>
      </w:r>
      <w:r w:rsidRPr="00A40255">
        <w:rPr>
          <w:rFonts w:ascii="Times New Roman" w:hAnsi="Times New Roman" w:cs="Times New Roman"/>
          <w:sz w:val="18"/>
          <w:szCs w:val="18"/>
          <w:lang w:val="en-GB"/>
        </w:rPr>
        <w:t xml:space="preserve"> </w:t>
      </w:r>
      <w:r>
        <w:rPr>
          <w:rFonts w:ascii="Times New Roman" w:hAnsi="Times New Roman" w:cs="Times New Roman"/>
          <w:sz w:val="18"/>
          <w:szCs w:val="18"/>
          <w:lang w:val="en-GB"/>
        </w:rPr>
        <w:t>July</w:t>
      </w:r>
      <w:r w:rsidRPr="00A40255">
        <w:rPr>
          <w:rFonts w:ascii="Times New Roman" w:hAnsi="Times New Roman" w:cs="Times New Roman"/>
          <w:sz w:val="18"/>
          <w:szCs w:val="18"/>
          <w:lang w:val="en-GB"/>
        </w:rPr>
        <w:t xml:space="preserve"> 2024.</w:t>
      </w:r>
    </w:p>
  </w:footnote>
  <w:footnote w:id="3">
    <w:p w14:paraId="2C0E5DE1" w14:textId="77777777" w:rsidR="005D7B09" w:rsidRPr="00A40255" w:rsidRDefault="005D7B09" w:rsidP="005D7B09">
      <w:pPr>
        <w:spacing w:after="0" w:line="240" w:lineRule="auto"/>
        <w:jc w:val="both"/>
        <w:rPr>
          <w:rFonts w:ascii="Times New Roman" w:hAnsi="Times New Roman" w:cs="Times New Roman"/>
          <w:sz w:val="18"/>
          <w:szCs w:val="18"/>
          <w:lang w:val="en-GB"/>
        </w:rPr>
      </w:pPr>
      <w:r w:rsidRPr="00B506A2">
        <w:rPr>
          <w:rStyle w:val="FootnoteReference"/>
          <w:rFonts w:ascii="Times New Roman" w:hAnsi="Times New Roman" w:cs="Times New Roman"/>
          <w:sz w:val="18"/>
          <w:szCs w:val="18"/>
        </w:rPr>
        <w:footnoteRef/>
      </w:r>
      <w:r w:rsidRPr="005D7B09">
        <w:rPr>
          <w:rFonts w:ascii="Times New Roman" w:hAnsi="Times New Roman" w:cs="Times New Roman"/>
          <w:sz w:val="18"/>
          <w:szCs w:val="18"/>
          <w:lang w:val="en-US"/>
        </w:rPr>
        <w:t xml:space="preserve"> </w:t>
      </w:r>
      <w:r>
        <w:rPr>
          <w:rFonts w:ascii="Times New Roman" w:hAnsi="Times New Roman" w:cs="Times New Roman"/>
          <w:sz w:val="18"/>
          <w:szCs w:val="18"/>
          <w:lang w:val="en-GB"/>
        </w:rPr>
        <w:t xml:space="preserve">In accordance with </w:t>
      </w:r>
      <w:r w:rsidR="001B2613">
        <w:rPr>
          <w:rFonts w:ascii="Times New Roman" w:hAnsi="Times New Roman" w:cs="Times New Roman"/>
          <w:sz w:val="18"/>
          <w:szCs w:val="18"/>
          <w:lang w:val="en-GB"/>
        </w:rPr>
        <w:t>paragraphs</w:t>
      </w:r>
      <w:r w:rsidR="001B2613" w:rsidRPr="001B2613">
        <w:rPr>
          <w:rFonts w:ascii="Times New Roman" w:hAnsi="Times New Roman" w:cs="Times New Roman"/>
          <w:sz w:val="18"/>
          <w:szCs w:val="18"/>
          <w:lang w:val="en-GB"/>
        </w:rPr>
        <w:t xml:space="preserve"> 3 and 5</w:t>
      </w:r>
      <w:r w:rsidR="001B2613">
        <w:rPr>
          <w:rFonts w:ascii="Times New Roman" w:hAnsi="Times New Roman" w:cs="Times New Roman"/>
          <w:sz w:val="18"/>
          <w:szCs w:val="18"/>
          <w:lang w:val="en-GB"/>
        </w:rPr>
        <w:t xml:space="preserve"> </w:t>
      </w:r>
      <w:r w:rsidRPr="00A40255">
        <w:rPr>
          <w:rFonts w:ascii="Times New Roman" w:hAnsi="Times New Roman" w:cs="Times New Roman"/>
          <w:sz w:val="18"/>
          <w:szCs w:val="18"/>
          <w:lang w:val="en-GB"/>
        </w:rPr>
        <w:t>of Article 35</w:t>
      </w:r>
      <w:r>
        <w:rPr>
          <w:rFonts w:ascii="Times New Roman" w:hAnsi="Times New Roman" w:cs="Times New Roman"/>
          <w:sz w:val="18"/>
          <w:szCs w:val="18"/>
          <w:lang w:val="en-GB"/>
        </w:rPr>
        <w:t xml:space="preserve"> of the MLI, paragraph 2 of Article 13</w:t>
      </w:r>
      <w:r w:rsidRPr="00A40255">
        <w:rPr>
          <w:rFonts w:ascii="Times New Roman" w:hAnsi="Times New Roman" w:cs="Times New Roman"/>
          <w:sz w:val="18"/>
          <w:szCs w:val="18"/>
          <w:lang w:val="en-GB"/>
        </w:rPr>
        <w:t xml:space="preserve"> of the MLI has effect in the Republic of Austria with respect to this Convention:</w:t>
      </w:r>
    </w:p>
    <w:p w14:paraId="3E34564F" w14:textId="77777777" w:rsidR="005D7B09" w:rsidRPr="00A40255" w:rsidRDefault="005D7B09" w:rsidP="005D7B09">
      <w:pPr>
        <w:spacing w:after="0" w:line="240" w:lineRule="auto"/>
        <w:ind w:left="567" w:hanging="283"/>
        <w:jc w:val="both"/>
        <w:rPr>
          <w:rFonts w:ascii="Times New Roman" w:hAnsi="Times New Roman" w:cs="Times New Roman"/>
          <w:sz w:val="18"/>
          <w:szCs w:val="18"/>
          <w:lang w:val="en-GB"/>
        </w:rPr>
      </w:pPr>
      <w:r w:rsidRPr="00A40255">
        <w:rPr>
          <w:rFonts w:ascii="Times New Roman" w:hAnsi="Times New Roman" w:cs="Times New Roman"/>
          <w:sz w:val="18"/>
          <w:szCs w:val="18"/>
          <w:lang w:val="en-GB"/>
        </w:rPr>
        <w:t>a)</w:t>
      </w:r>
      <w:r w:rsidRPr="00A40255">
        <w:rPr>
          <w:rFonts w:ascii="Times New Roman" w:hAnsi="Times New Roman" w:cs="Times New Roman"/>
          <w:sz w:val="18"/>
          <w:szCs w:val="18"/>
          <w:lang w:val="en-GB"/>
        </w:rPr>
        <w:tab/>
        <w:t>with respect to taxes withheld at source on amounts paid or credited to non-residents, where the event giving rise to such taxes occurs on or after 1 January 2024; and</w:t>
      </w:r>
    </w:p>
    <w:p w14:paraId="78DFD8CE" w14:textId="77777777" w:rsidR="005D7B09" w:rsidRPr="00A40255" w:rsidRDefault="005D7B09" w:rsidP="005D7B09">
      <w:pPr>
        <w:spacing w:after="0" w:line="240" w:lineRule="auto"/>
        <w:ind w:left="567" w:hanging="283"/>
        <w:jc w:val="both"/>
        <w:rPr>
          <w:rFonts w:ascii="Times New Roman" w:hAnsi="Times New Roman" w:cs="Times New Roman"/>
          <w:sz w:val="18"/>
          <w:szCs w:val="18"/>
          <w:lang w:val="en-GB"/>
        </w:rPr>
      </w:pPr>
      <w:r w:rsidRPr="00A40255">
        <w:rPr>
          <w:rFonts w:ascii="Times New Roman" w:hAnsi="Times New Roman" w:cs="Times New Roman"/>
          <w:sz w:val="18"/>
          <w:szCs w:val="18"/>
          <w:lang w:val="en-GB"/>
        </w:rPr>
        <w:t>b)</w:t>
      </w:r>
      <w:r w:rsidRPr="00A40255">
        <w:rPr>
          <w:rFonts w:ascii="Times New Roman" w:hAnsi="Times New Roman" w:cs="Times New Roman"/>
          <w:sz w:val="18"/>
          <w:szCs w:val="18"/>
          <w:lang w:val="en-GB"/>
        </w:rPr>
        <w:tab/>
        <w:t>with respect to all other taxes levied by the Republic of Austria, for taxes levied with respect to taxable periods beginning on or after 1 January 2025;</w:t>
      </w:r>
    </w:p>
    <w:p w14:paraId="3E8D5B4F" w14:textId="77777777" w:rsidR="005D7B09" w:rsidRPr="00A40255" w:rsidRDefault="005D7B09" w:rsidP="005D7B09">
      <w:pPr>
        <w:spacing w:after="0" w:line="240" w:lineRule="auto"/>
        <w:jc w:val="both"/>
        <w:rPr>
          <w:rFonts w:ascii="Times New Roman" w:hAnsi="Times New Roman" w:cs="Times New Roman"/>
          <w:sz w:val="18"/>
          <w:szCs w:val="18"/>
          <w:lang w:val="en-GB"/>
        </w:rPr>
      </w:pPr>
      <w:r w:rsidRPr="00A40255">
        <w:rPr>
          <w:rFonts w:ascii="Times New Roman" w:hAnsi="Times New Roman" w:cs="Times New Roman"/>
          <w:sz w:val="18"/>
          <w:szCs w:val="18"/>
          <w:lang w:val="en-GB"/>
        </w:rPr>
        <w:t xml:space="preserve">and,  </w:t>
      </w:r>
    </w:p>
    <w:p w14:paraId="4FF4C4EF" w14:textId="77777777" w:rsidR="005D7B09" w:rsidRPr="00A40255" w:rsidRDefault="005C37AF" w:rsidP="005D7B09">
      <w:pPr>
        <w:spacing w:after="0" w:line="240" w:lineRule="auto"/>
        <w:jc w:val="both"/>
        <w:rPr>
          <w:rFonts w:ascii="Times New Roman" w:hAnsi="Times New Roman" w:cs="Times New Roman"/>
          <w:sz w:val="18"/>
          <w:szCs w:val="18"/>
          <w:lang w:val="en-GB"/>
        </w:rPr>
      </w:pPr>
      <w:r>
        <w:rPr>
          <w:rFonts w:ascii="Times New Roman" w:hAnsi="Times New Roman" w:cs="Times New Roman"/>
          <w:sz w:val="18"/>
          <w:szCs w:val="18"/>
          <w:lang w:val="en-GB"/>
        </w:rPr>
        <w:t>in accordance with paragraph 1</w:t>
      </w:r>
      <w:r w:rsidR="005D7B09" w:rsidRPr="00A40255">
        <w:rPr>
          <w:rFonts w:ascii="Times New Roman" w:hAnsi="Times New Roman" w:cs="Times New Roman"/>
          <w:sz w:val="18"/>
          <w:szCs w:val="18"/>
          <w:lang w:val="en-GB"/>
        </w:rPr>
        <w:t xml:space="preserve"> of Article 35 of the MLI, </w:t>
      </w:r>
      <w:r w:rsidR="005D7B09">
        <w:rPr>
          <w:rFonts w:ascii="Times New Roman" w:hAnsi="Times New Roman" w:cs="Times New Roman"/>
          <w:sz w:val="18"/>
          <w:szCs w:val="18"/>
          <w:lang w:val="en-GB"/>
        </w:rPr>
        <w:t>paragraph 2 of Article 13</w:t>
      </w:r>
      <w:r w:rsidR="005D7B09" w:rsidRPr="00A40255">
        <w:rPr>
          <w:rFonts w:ascii="Times New Roman" w:hAnsi="Times New Roman" w:cs="Times New Roman"/>
          <w:sz w:val="18"/>
          <w:szCs w:val="18"/>
          <w:lang w:val="en-GB"/>
        </w:rPr>
        <w:t xml:space="preserve"> of the MLI has effect in the Republic of </w:t>
      </w:r>
      <w:r w:rsidR="005D7B09">
        <w:rPr>
          <w:rFonts w:ascii="Times New Roman" w:hAnsi="Times New Roman" w:cs="Times New Roman"/>
          <w:sz w:val="18"/>
          <w:szCs w:val="18"/>
          <w:lang w:val="en-GB"/>
        </w:rPr>
        <w:t>Armenia</w:t>
      </w:r>
      <w:r w:rsidR="005D7B09" w:rsidRPr="00A40255">
        <w:rPr>
          <w:rFonts w:ascii="Times New Roman" w:hAnsi="Times New Roman" w:cs="Times New Roman"/>
          <w:sz w:val="18"/>
          <w:szCs w:val="18"/>
          <w:lang w:val="en-GB"/>
        </w:rPr>
        <w:t xml:space="preserve"> with respect to this Convention:</w:t>
      </w:r>
    </w:p>
    <w:p w14:paraId="7C33D97D" w14:textId="77777777" w:rsidR="005D7B09" w:rsidRPr="00A40255" w:rsidRDefault="005D7B09" w:rsidP="005D7B09">
      <w:pPr>
        <w:spacing w:after="0" w:line="240" w:lineRule="auto"/>
        <w:ind w:left="567" w:hanging="283"/>
        <w:jc w:val="both"/>
        <w:rPr>
          <w:rFonts w:ascii="Times New Roman" w:hAnsi="Times New Roman" w:cs="Times New Roman"/>
          <w:sz w:val="18"/>
          <w:szCs w:val="18"/>
          <w:lang w:val="en-GB"/>
        </w:rPr>
      </w:pPr>
      <w:r w:rsidRPr="00A40255">
        <w:rPr>
          <w:rFonts w:ascii="Times New Roman" w:hAnsi="Times New Roman" w:cs="Times New Roman"/>
          <w:sz w:val="18"/>
          <w:szCs w:val="18"/>
          <w:lang w:val="en-GB"/>
        </w:rPr>
        <w:t>a)</w:t>
      </w:r>
      <w:r w:rsidRPr="00A40255">
        <w:rPr>
          <w:rFonts w:ascii="Times New Roman" w:hAnsi="Times New Roman" w:cs="Times New Roman"/>
          <w:sz w:val="18"/>
          <w:szCs w:val="18"/>
          <w:lang w:val="en-GB"/>
        </w:rPr>
        <w:tab/>
        <w:t>with respect to taxes withheld at source on amounts paid or credited to non-residents, where the event giving rise to such taxes occurs on or after 1 January 2024; and</w:t>
      </w:r>
    </w:p>
    <w:p w14:paraId="6C2B9A5A" w14:textId="77777777" w:rsidR="005D7B09" w:rsidRPr="00B506A2" w:rsidRDefault="005D7B09" w:rsidP="005D7B09">
      <w:pPr>
        <w:spacing w:after="0" w:line="240" w:lineRule="auto"/>
        <w:ind w:left="567" w:hanging="283"/>
        <w:jc w:val="both"/>
        <w:rPr>
          <w:rFonts w:ascii="Times New Roman" w:hAnsi="Times New Roman" w:cs="Times New Roman"/>
          <w:sz w:val="18"/>
          <w:szCs w:val="18"/>
          <w:lang w:val="en-GB"/>
        </w:rPr>
      </w:pPr>
      <w:r w:rsidRPr="00A40255">
        <w:rPr>
          <w:rFonts w:ascii="Times New Roman" w:hAnsi="Times New Roman" w:cs="Times New Roman"/>
          <w:sz w:val="18"/>
          <w:szCs w:val="18"/>
          <w:lang w:val="en-GB"/>
        </w:rPr>
        <w:t>b)</w:t>
      </w:r>
      <w:r w:rsidRPr="00A40255">
        <w:rPr>
          <w:rFonts w:ascii="Times New Roman" w:hAnsi="Times New Roman" w:cs="Times New Roman"/>
          <w:sz w:val="18"/>
          <w:szCs w:val="18"/>
          <w:lang w:val="en-GB"/>
        </w:rPr>
        <w:tab/>
        <w:t xml:space="preserve">with respect to all other taxes levied by the Republic of </w:t>
      </w:r>
      <w:r>
        <w:rPr>
          <w:rFonts w:ascii="Times New Roman" w:hAnsi="Times New Roman" w:cs="Times New Roman"/>
          <w:sz w:val="18"/>
          <w:szCs w:val="18"/>
          <w:lang w:val="en-GB"/>
        </w:rPr>
        <w:t>Armenia</w:t>
      </w:r>
      <w:r w:rsidRPr="00A40255">
        <w:rPr>
          <w:rFonts w:ascii="Times New Roman" w:hAnsi="Times New Roman" w:cs="Times New Roman"/>
          <w:sz w:val="18"/>
          <w:szCs w:val="18"/>
          <w:lang w:val="en-GB"/>
        </w:rPr>
        <w:t>, for taxes levied with respect to taxable periods beginning</w:t>
      </w:r>
      <w:r>
        <w:rPr>
          <w:rFonts w:ascii="Times New Roman" w:hAnsi="Times New Roman" w:cs="Times New Roman"/>
          <w:sz w:val="18"/>
          <w:szCs w:val="18"/>
          <w:lang w:val="en-GB"/>
        </w:rPr>
        <w:t xml:space="preserve"> on or after 1</w:t>
      </w:r>
      <w:r w:rsidRPr="00A40255">
        <w:rPr>
          <w:rFonts w:ascii="Times New Roman" w:hAnsi="Times New Roman" w:cs="Times New Roman"/>
          <w:sz w:val="18"/>
          <w:szCs w:val="18"/>
          <w:lang w:val="en-GB"/>
        </w:rPr>
        <w:t xml:space="preserve"> </w:t>
      </w:r>
      <w:r>
        <w:rPr>
          <w:rFonts w:ascii="Times New Roman" w:hAnsi="Times New Roman" w:cs="Times New Roman"/>
          <w:sz w:val="18"/>
          <w:szCs w:val="18"/>
          <w:lang w:val="en-GB"/>
        </w:rPr>
        <w:t>July</w:t>
      </w:r>
      <w:r w:rsidRPr="00A40255">
        <w:rPr>
          <w:rFonts w:ascii="Times New Roman" w:hAnsi="Times New Roman" w:cs="Times New Roman"/>
          <w:sz w:val="18"/>
          <w:szCs w:val="18"/>
          <w:lang w:val="en-GB"/>
        </w:rPr>
        <w:t xml:space="preserve"> 2024.</w:t>
      </w:r>
    </w:p>
  </w:footnote>
  <w:footnote w:id="4">
    <w:p w14:paraId="5FCD57F8" w14:textId="77777777" w:rsidR="0064319E" w:rsidRPr="00A40255" w:rsidRDefault="0064319E" w:rsidP="0064319E">
      <w:pPr>
        <w:spacing w:after="0" w:line="240" w:lineRule="auto"/>
        <w:jc w:val="both"/>
        <w:rPr>
          <w:rFonts w:ascii="Times New Roman" w:hAnsi="Times New Roman" w:cs="Times New Roman"/>
          <w:sz w:val="18"/>
          <w:szCs w:val="18"/>
          <w:lang w:val="en-GB"/>
        </w:rPr>
      </w:pPr>
      <w:r w:rsidRPr="00B506A2">
        <w:rPr>
          <w:rStyle w:val="FootnoteReference"/>
          <w:rFonts w:ascii="Times New Roman" w:hAnsi="Times New Roman" w:cs="Times New Roman"/>
          <w:sz w:val="18"/>
          <w:szCs w:val="18"/>
        </w:rPr>
        <w:footnoteRef/>
      </w:r>
      <w:r w:rsidRPr="0064319E">
        <w:rPr>
          <w:rFonts w:ascii="Times New Roman" w:hAnsi="Times New Roman" w:cs="Times New Roman"/>
          <w:sz w:val="18"/>
          <w:szCs w:val="18"/>
          <w:lang w:val="en-US"/>
        </w:rPr>
        <w:t xml:space="preserve"> </w:t>
      </w:r>
      <w:r>
        <w:rPr>
          <w:rFonts w:ascii="Times New Roman" w:hAnsi="Times New Roman" w:cs="Times New Roman"/>
          <w:sz w:val="18"/>
          <w:szCs w:val="18"/>
          <w:lang w:val="en-GB"/>
        </w:rPr>
        <w:t xml:space="preserve">In accordance with </w:t>
      </w:r>
      <w:r w:rsidR="001B2613">
        <w:rPr>
          <w:rFonts w:ascii="Times New Roman" w:hAnsi="Times New Roman" w:cs="Times New Roman"/>
          <w:sz w:val="18"/>
          <w:szCs w:val="18"/>
          <w:lang w:val="en-GB"/>
        </w:rPr>
        <w:t>paragraphs</w:t>
      </w:r>
      <w:r w:rsidR="001B2613" w:rsidRPr="001B2613">
        <w:rPr>
          <w:rFonts w:ascii="Times New Roman" w:hAnsi="Times New Roman" w:cs="Times New Roman"/>
          <w:sz w:val="18"/>
          <w:szCs w:val="18"/>
          <w:lang w:val="en-GB"/>
        </w:rPr>
        <w:t xml:space="preserve"> 3 and 5</w:t>
      </w:r>
      <w:r w:rsidR="001B2613">
        <w:rPr>
          <w:rFonts w:ascii="Times New Roman" w:hAnsi="Times New Roman" w:cs="Times New Roman"/>
          <w:sz w:val="18"/>
          <w:szCs w:val="18"/>
          <w:lang w:val="en-GB"/>
        </w:rPr>
        <w:t xml:space="preserve"> </w:t>
      </w:r>
      <w:r w:rsidRPr="00A40255">
        <w:rPr>
          <w:rFonts w:ascii="Times New Roman" w:hAnsi="Times New Roman" w:cs="Times New Roman"/>
          <w:sz w:val="18"/>
          <w:szCs w:val="18"/>
          <w:lang w:val="en-GB"/>
        </w:rPr>
        <w:t>of Article 35</w:t>
      </w:r>
      <w:r>
        <w:rPr>
          <w:rFonts w:ascii="Times New Roman" w:hAnsi="Times New Roman" w:cs="Times New Roman"/>
          <w:sz w:val="18"/>
          <w:szCs w:val="18"/>
          <w:lang w:val="en-GB"/>
        </w:rPr>
        <w:t xml:space="preserve"> of the MLI, paragraph 2 of Article 13</w:t>
      </w:r>
      <w:r w:rsidRPr="00A40255">
        <w:rPr>
          <w:rFonts w:ascii="Times New Roman" w:hAnsi="Times New Roman" w:cs="Times New Roman"/>
          <w:sz w:val="18"/>
          <w:szCs w:val="18"/>
          <w:lang w:val="en-GB"/>
        </w:rPr>
        <w:t xml:space="preserve"> of the MLI has effect in the Republic of Austria with respect to this Convention:</w:t>
      </w:r>
    </w:p>
    <w:p w14:paraId="63B4A6E0" w14:textId="77777777" w:rsidR="0064319E" w:rsidRPr="00A40255" w:rsidRDefault="0064319E" w:rsidP="0064319E">
      <w:pPr>
        <w:spacing w:after="0" w:line="240" w:lineRule="auto"/>
        <w:ind w:left="567" w:hanging="283"/>
        <w:jc w:val="both"/>
        <w:rPr>
          <w:rFonts w:ascii="Times New Roman" w:hAnsi="Times New Roman" w:cs="Times New Roman"/>
          <w:sz w:val="18"/>
          <w:szCs w:val="18"/>
          <w:lang w:val="en-GB"/>
        </w:rPr>
      </w:pPr>
      <w:r w:rsidRPr="00A40255">
        <w:rPr>
          <w:rFonts w:ascii="Times New Roman" w:hAnsi="Times New Roman" w:cs="Times New Roman"/>
          <w:sz w:val="18"/>
          <w:szCs w:val="18"/>
          <w:lang w:val="en-GB"/>
        </w:rPr>
        <w:t>a)</w:t>
      </w:r>
      <w:r w:rsidRPr="00A40255">
        <w:rPr>
          <w:rFonts w:ascii="Times New Roman" w:hAnsi="Times New Roman" w:cs="Times New Roman"/>
          <w:sz w:val="18"/>
          <w:szCs w:val="18"/>
          <w:lang w:val="en-GB"/>
        </w:rPr>
        <w:tab/>
        <w:t>with respect to taxes withheld at source on amounts paid or credited to non-residents, where the event giving rise to such taxes occurs on or after 1 January 2024; and</w:t>
      </w:r>
    </w:p>
    <w:p w14:paraId="2472BACA" w14:textId="77777777" w:rsidR="0064319E" w:rsidRPr="00A40255" w:rsidRDefault="0064319E" w:rsidP="0064319E">
      <w:pPr>
        <w:spacing w:after="0" w:line="240" w:lineRule="auto"/>
        <w:ind w:left="567" w:hanging="283"/>
        <w:jc w:val="both"/>
        <w:rPr>
          <w:rFonts w:ascii="Times New Roman" w:hAnsi="Times New Roman" w:cs="Times New Roman"/>
          <w:sz w:val="18"/>
          <w:szCs w:val="18"/>
          <w:lang w:val="en-GB"/>
        </w:rPr>
      </w:pPr>
      <w:r w:rsidRPr="00A40255">
        <w:rPr>
          <w:rFonts w:ascii="Times New Roman" w:hAnsi="Times New Roman" w:cs="Times New Roman"/>
          <w:sz w:val="18"/>
          <w:szCs w:val="18"/>
          <w:lang w:val="en-GB"/>
        </w:rPr>
        <w:t>b)</w:t>
      </w:r>
      <w:r w:rsidRPr="00A40255">
        <w:rPr>
          <w:rFonts w:ascii="Times New Roman" w:hAnsi="Times New Roman" w:cs="Times New Roman"/>
          <w:sz w:val="18"/>
          <w:szCs w:val="18"/>
          <w:lang w:val="en-GB"/>
        </w:rPr>
        <w:tab/>
        <w:t>with respect to all other taxes levied by the Republic of Austria, for taxes levied with respect to taxable periods beginning on or after 1 January 2025;</w:t>
      </w:r>
    </w:p>
    <w:p w14:paraId="6074A1EF" w14:textId="77777777" w:rsidR="0064319E" w:rsidRPr="00A40255" w:rsidRDefault="0064319E" w:rsidP="0064319E">
      <w:pPr>
        <w:spacing w:after="0" w:line="240" w:lineRule="auto"/>
        <w:jc w:val="both"/>
        <w:rPr>
          <w:rFonts w:ascii="Times New Roman" w:hAnsi="Times New Roman" w:cs="Times New Roman"/>
          <w:sz w:val="18"/>
          <w:szCs w:val="18"/>
          <w:lang w:val="en-GB"/>
        </w:rPr>
      </w:pPr>
      <w:r w:rsidRPr="00A40255">
        <w:rPr>
          <w:rFonts w:ascii="Times New Roman" w:hAnsi="Times New Roman" w:cs="Times New Roman"/>
          <w:sz w:val="18"/>
          <w:szCs w:val="18"/>
          <w:lang w:val="en-GB"/>
        </w:rPr>
        <w:t xml:space="preserve">and,  </w:t>
      </w:r>
    </w:p>
    <w:p w14:paraId="757543C2" w14:textId="77777777" w:rsidR="0064319E" w:rsidRPr="00A40255" w:rsidRDefault="0064319E" w:rsidP="0064319E">
      <w:pPr>
        <w:spacing w:after="0" w:line="240" w:lineRule="auto"/>
        <w:jc w:val="both"/>
        <w:rPr>
          <w:rFonts w:ascii="Times New Roman" w:hAnsi="Times New Roman" w:cs="Times New Roman"/>
          <w:sz w:val="18"/>
          <w:szCs w:val="18"/>
          <w:lang w:val="en-GB"/>
        </w:rPr>
      </w:pPr>
      <w:r>
        <w:rPr>
          <w:rFonts w:ascii="Times New Roman" w:hAnsi="Times New Roman" w:cs="Times New Roman"/>
          <w:sz w:val="18"/>
          <w:szCs w:val="18"/>
          <w:lang w:val="en-GB"/>
        </w:rPr>
        <w:t>in ac</w:t>
      </w:r>
      <w:r w:rsidR="00B92280">
        <w:rPr>
          <w:rFonts w:ascii="Times New Roman" w:hAnsi="Times New Roman" w:cs="Times New Roman"/>
          <w:sz w:val="18"/>
          <w:szCs w:val="18"/>
          <w:lang w:val="en-GB"/>
        </w:rPr>
        <w:t>cordance with paragraph 1</w:t>
      </w:r>
      <w:r w:rsidRPr="00A40255">
        <w:rPr>
          <w:rFonts w:ascii="Times New Roman" w:hAnsi="Times New Roman" w:cs="Times New Roman"/>
          <w:sz w:val="18"/>
          <w:szCs w:val="18"/>
          <w:lang w:val="en-GB"/>
        </w:rPr>
        <w:t xml:space="preserve"> of Article 35 of the MLI, </w:t>
      </w:r>
      <w:r>
        <w:rPr>
          <w:rFonts w:ascii="Times New Roman" w:hAnsi="Times New Roman" w:cs="Times New Roman"/>
          <w:sz w:val="18"/>
          <w:szCs w:val="18"/>
          <w:lang w:val="en-GB"/>
        </w:rPr>
        <w:t>paragraph 2 of Article 13</w:t>
      </w:r>
      <w:r w:rsidRPr="00A40255">
        <w:rPr>
          <w:rFonts w:ascii="Times New Roman" w:hAnsi="Times New Roman" w:cs="Times New Roman"/>
          <w:sz w:val="18"/>
          <w:szCs w:val="18"/>
          <w:lang w:val="en-GB"/>
        </w:rPr>
        <w:t xml:space="preserve"> of the MLI has effect in the Republic of </w:t>
      </w:r>
      <w:r>
        <w:rPr>
          <w:rFonts w:ascii="Times New Roman" w:hAnsi="Times New Roman" w:cs="Times New Roman"/>
          <w:sz w:val="18"/>
          <w:szCs w:val="18"/>
          <w:lang w:val="en-GB"/>
        </w:rPr>
        <w:t>Armenia</w:t>
      </w:r>
      <w:r w:rsidRPr="00A40255">
        <w:rPr>
          <w:rFonts w:ascii="Times New Roman" w:hAnsi="Times New Roman" w:cs="Times New Roman"/>
          <w:sz w:val="18"/>
          <w:szCs w:val="18"/>
          <w:lang w:val="en-GB"/>
        </w:rPr>
        <w:t xml:space="preserve"> with respect to this Convention:</w:t>
      </w:r>
    </w:p>
    <w:p w14:paraId="2EB565EF" w14:textId="77777777" w:rsidR="0064319E" w:rsidRPr="00A40255" w:rsidRDefault="0064319E" w:rsidP="0064319E">
      <w:pPr>
        <w:spacing w:after="0" w:line="240" w:lineRule="auto"/>
        <w:ind w:left="567" w:hanging="283"/>
        <w:jc w:val="both"/>
        <w:rPr>
          <w:rFonts w:ascii="Times New Roman" w:hAnsi="Times New Roman" w:cs="Times New Roman"/>
          <w:sz w:val="18"/>
          <w:szCs w:val="18"/>
          <w:lang w:val="en-GB"/>
        </w:rPr>
      </w:pPr>
      <w:r w:rsidRPr="00A40255">
        <w:rPr>
          <w:rFonts w:ascii="Times New Roman" w:hAnsi="Times New Roman" w:cs="Times New Roman"/>
          <w:sz w:val="18"/>
          <w:szCs w:val="18"/>
          <w:lang w:val="en-GB"/>
        </w:rPr>
        <w:t>a)</w:t>
      </w:r>
      <w:r w:rsidRPr="00A40255">
        <w:rPr>
          <w:rFonts w:ascii="Times New Roman" w:hAnsi="Times New Roman" w:cs="Times New Roman"/>
          <w:sz w:val="18"/>
          <w:szCs w:val="18"/>
          <w:lang w:val="en-GB"/>
        </w:rPr>
        <w:tab/>
        <w:t>with respect to taxes withheld at source on amounts paid or credited to non-residents, where the event giving rise to such taxes occurs on or after 1 January 2024; and</w:t>
      </w:r>
    </w:p>
    <w:p w14:paraId="0014506E" w14:textId="77777777" w:rsidR="0064319E" w:rsidRPr="0064319E" w:rsidRDefault="0064319E" w:rsidP="0064319E">
      <w:pPr>
        <w:spacing w:after="0" w:line="240" w:lineRule="auto"/>
        <w:ind w:left="567" w:hanging="283"/>
        <w:jc w:val="both"/>
        <w:rPr>
          <w:rFonts w:ascii="Times New Roman" w:hAnsi="Times New Roman" w:cs="Times New Roman"/>
          <w:sz w:val="18"/>
          <w:szCs w:val="18"/>
          <w:lang w:val="en-US"/>
        </w:rPr>
      </w:pPr>
      <w:r w:rsidRPr="00A40255">
        <w:rPr>
          <w:rFonts w:ascii="Times New Roman" w:hAnsi="Times New Roman" w:cs="Times New Roman"/>
          <w:sz w:val="18"/>
          <w:szCs w:val="18"/>
          <w:lang w:val="en-GB"/>
        </w:rPr>
        <w:t>b)</w:t>
      </w:r>
      <w:r w:rsidRPr="00A40255">
        <w:rPr>
          <w:rFonts w:ascii="Times New Roman" w:hAnsi="Times New Roman" w:cs="Times New Roman"/>
          <w:sz w:val="18"/>
          <w:szCs w:val="18"/>
          <w:lang w:val="en-GB"/>
        </w:rPr>
        <w:tab/>
        <w:t xml:space="preserve">with respect to all other taxes levied by the Republic of </w:t>
      </w:r>
      <w:r>
        <w:rPr>
          <w:rFonts w:ascii="Times New Roman" w:hAnsi="Times New Roman" w:cs="Times New Roman"/>
          <w:sz w:val="18"/>
          <w:szCs w:val="18"/>
          <w:lang w:val="en-GB"/>
        </w:rPr>
        <w:t>Armenia</w:t>
      </w:r>
      <w:r w:rsidRPr="00A40255">
        <w:rPr>
          <w:rFonts w:ascii="Times New Roman" w:hAnsi="Times New Roman" w:cs="Times New Roman"/>
          <w:sz w:val="18"/>
          <w:szCs w:val="18"/>
          <w:lang w:val="en-GB"/>
        </w:rPr>
        <w:t>, for taxes levied with respect to taxable periods beginning</w:t>
      </w:r>
      <w:r>
        <w:rPr>
          <w:rFonts w:ascii="Times New Roman" w:hAnsi="Times New Roman" w:cs="Times New Roman"/>
          <w:sz w:val="18"/>
          <w:szCs w:val="18"/>
          <w:lang w:val="en-GB"/>
        </w:rPr>
        <w:t xml:space="preserve"> on or after 1</w:t>
      </w:r>
      <w:r w:rsidRPr="00A40255">
        <w:rPr>
          <w:rFonts w:ascii="Times New Roman" w:hAnsi="Times New Roman" w:cs="Times New Roman"/>
          <w:sz w:val="18"/>
          <w:szCs w:val="18"/>
          <w:lang w:val="en-GB"/>
        </w:rPr>
        <w:t xml:space="preserve"> </w:t>
      </w:r>
      <w:r>
        <w:rPr>
          <w:rFonts w:ascii="Times New Roman" w:hAnsi="Times New Roman" w:cs="Times New Roman"/>
          <w:sz w:val="18"/>
          <w:szCs w:val="18"/>
          <w:lang w:val="en-GB"/>
        </w:rPr>
        <w:t>July</w:t>
      </w:r>
      <w:r w:rsidRPr="00A40255">
        <w:rPr>
          <w:rFonts w:ascii="Times New Roman" w:hAnsi="Times New Roman" w:cs="Times New Roman"/>
          <w:sz w:val="18"/>
          <w:szCs w:val="18"/>
          <w:lang w:val="en-GB"/>
        </w:rPr>
        <w:t xml:space="preserve"> 2024.</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E2E69"/>
    <w:multiLevelType w:val="hybridMultilevel"/>
    <w:tmpl w:val="3D16049E"/>
    <w:lvl w:ilvl="0" w:tplc="60C6F420">
      <w:start w:val="1"/>
      <w:numFmt w:val="bullet"/>
      <w:pStyle w:val="ListParagraph"/>
      <w:lvlText w:val="•"/>
      <w:lvlJc w:val="left"/>
      <w:pPr>
        <w:ind w:left="720" w:hanging="360"/>
      </w:pPr>
      <w:rPr>
        <w:rFonts w:ascii="Corbel" w:hAnsi="Corbel" w:hint="default"/>
        <w:color w:val="E6320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24E1E97"/>
    <w:multiLevelType w:val="hybridMultilevel"/>
    <w:tmpl w:val="98D6E46C"/>
    <w:lvl w:ilvl="0" w:tplc="A29A7326">
      <w:start w:val="1"/>
      <w:numFmt w:val="lowerLetter"/>
      <w:lvlText w:val="%1)"/>
      <w:lvlJc w:val="left"/>
      <w:pPr>
        <w:ind w:left="1363" w:hanging="567"/>
      </w:pPr>
      <w:rPr>
        <w:rFonts w:ascii="Times New Roman" w:eastAsia="Times New Roman" w:hAnsi="Times New Roman" w:hint="default"/>
        <w:sz w:val="18"/>
        <w:szCs w:val="18"/>
      </w:rPr>
    </w:lvl>
    <w:lvl w:ilvl="1" w:tplc="CA40B578">
      <w:start w:val="1"/>
      <w:numFmt w:val="bullet"/>
      <w:lvlText w:val="•"/>
      <w:lvlJc w:val="left"/>
      <w:pPr>
        <w:ind w:left="2219" w:hanging="567"/>
      </w:pPr>
      <w:rPr>
        <w:rFonts w:hint="default"/>
      </w:rPr>
    </w:lvl>
    <w:lvl w:ilvl="2" w:tplc="72AE0F26">
      <w:start w:val="1"/>
      <w:numFmt w:val="bullet"/>
      <w:lvlText w:val="•"/>
      <w:lvlJc w:val="left"/>
      <w:pPr>
        <w:ind w:left="3075" w:hanging="567"/>
      </w:pPr>
      <w:rPr>
        <w:rFonts w:hint="default"/>
      </w:rPr>
    </w:lvl>
    <w:lvl w:ilvl="3" w:tplc="AAD0793A">
      <w:start w:val="1"/>
      <w:numFmt w:val="bullet"/>
      <w:lvlText w:val="•"/>
      <w:lvlJc w:val="left"/>
      <w:pPr>
        <w:ind w:left="3932" w:hanging="567"/>
      </w:pPr>
      <w:rPr>
        <w:rFonts w:hint="default"/>
      </w:rPr>
    </w:lvl>
    <w:lvl w:ilvl="4" w:tplc="127C7502">
      <w:start w:val="1"/>
      <w:numFmt w:val="bullet"/>
      <w:lvlText w:val="•"/>
      <w:lvlJc w:val="left"/>
      <w:pPr>
        <w:ind w:left="4788" w:hanging="567"/>
      </w:pPr>
      <w:rPr>
        <w:rFonts w:hint="default"/>
      </w:rPr>
    </w:lvl>
    <w:lvl w:ilvl="5" w:tplc="5296CF88">
      <w:start w:val="1"/>
      <w:numFmt w:val="bullet"/>
      <w:lvlText w:val="•"/>
      <w:lvlJc w:val="left"/>
      <w:pPr>
        <w:ind w:left="5644" w:hanging="567"/>
      </w:pPr>
      <w:rPr>
        <w:rFonts w:hint="default"/>
      </w:rPr>
    </w:lvl>
    <w:lvl w:ilvl="6" w:tplc="12E07EA4">
      <w:start w:val="1"/>
      <w:numFmt w:val="bullet"/>
      <w:lvlText w:val="•"/>
      <w:lvlJc w:val="left"/>
      <w:pPr>
        <w:ind w:left="6501" w:hanging="567"/>
      </w:pPr>
      <w:rPr>
        <w:rFonts w:hint="default"/>
      </w:rPr>
    </w:lvl>
    <w:lvl w:ilvl="7" w:tplc="FF144BAA">
      <w:start w:val="1"/>
      <w:numFmt w:val="bullet"/>
      <w:lvlText w:val="•"/>
      <w:lvlJc w:val="left"/>
      <w:pPr>
        <w:ind w:left="7357" w:hanging="567"/>
      </w:pPr>
      <w:rPr>
        <w:rFonts w:hint="default"/>
      </w:rPr>
    </w:lvl>
    <w:lvl w:ilvl="8" w:tplc="19343FE8">
      <w:start w:val="1"/>
      <w:numFmt w:val="bullet"/>
      <w:lvlText w:val="•"/>
      <w:lvlJc w:val="left"/>
      <w:pPr>
        <w:ind w:left="8213" w:hanging="567"/>
      </w:pPr>
      <w:rPr>
        <w:rFonts w:hint="default"/>
      </w:rPr>
    </w:lvl>
  </w:abstractNum>
  <w:abstractNum w:abstractNumId="2" w15:restartNumberingAfterBreak="0">
    <w:nsid w:val="05E56161"/>
    <w:multiLevelType w:val="multilevel"/>
    <w:tmpl w:val="E1F071FE"/>
    <w:styleLink w:val="AT-Brief-berschriftengliederung"/>
    <w:lvl w:ilvl="0">
      <w:start w:val="1"/>
      <w:numFmt w:val="decimal"/>
      <w:lvlText w:val="%1."/>
      <w:lvlJc w:val="left"/>
      <w:pPr>
        <w:tabs>
          <w:tab w:val="num" w:pos="567"/>
        </w:tabs>
        <w:ind w:left="567" w:hanging="567"/>
      </w:pPr>
      <w:rPr>
        <w:rFonts w:hint="default"/>
      </w:rPr>
    </w:lvl>
    <w:lvl w:ilvl="1">
      <w:start w:val="1"/>
      <w:numFmt w:val="decimal"/>
      <w:pStyle w:val="Brief2nummeriert"/>
      <w:lvlText w:val="%2."/>
      <w:lvlJc w:val="left"/>
      <w:pPr>
        <w:tabs>
          <w:tab w:val="num" w:pos="567"/>
        </w:tabs>
        <w:ind w:left="567" w:hanging="567"/>
      </w:pPr>
      <w:rPr>
        <w:rFonts w:hint="default"/>
      </w:rPr>
    </w:lvl>
    <w:lvl w:ilvl="2">
      <w:start w:val="1"/>
      <w:numFmt w:val="decimal"/>
      <w:pStyle w:val="Brief3nummeriert"/>
      <w:lvlText w:val="%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3" w15:restartNumberingAfterBreak="0">
    <w:nsid w:val="08903D5E"/>
    <w:multiLevelType w:val="multilevel"/>
    <w:tmpl w:val="5D24BC4E"/>
    <w:numStyleLink w:val="ATUnsortierteListe"/>
  </w:abstractNum>
  <w:abstractNum w:abstractNumId="4" w15:restartNumberingAfterBreak="0">
    <w:nsid w:val="0BEB66E7"/>
    <w:multiLevelType w:val="hybridMultilevel"/>
    <w:tmpl w:val="98D6E46C"/>
    <w:lvl w:ilvl="0" w:tplc="A29A7326">
      <w:start w:val="1"/>
      <w:numFmt w:val="lowerLetter"/>
      <w:lvlText w:val="%1)"/>
      <w:lvlJc w:val="left"/>
      <w:pPr>
        <w:ind w:left="1363" w:hanging="567"/>
      </w:pPr>
      <w:rPr>
        <w:rFonts w:ascii="Times New Roman" w:eastAsia="Times New Roman" w:hAnsi="Times New Roman" w:hint="default"/>
        <w:sz w:val="18"/>
        <w:szCs w:val="18"/>
      </w:rPr>
    </w:lvl>
    <w:lvl w:ilvl="1" w:tplc="CA40B578">
      <w:start w:val="1"/>
      <w:numFmt w:val="bullet"/>
      <w:lvlText w:val="•"/>
      <w:lvlJc w:val="left"/>
      <w:pPr>
        <w:ind w:left="2219" w:hanging="567"/>
      </w:pPr>
      <w:rPr>
        <w:rFonts w:hint="default"/>
      </w:rPr>
    </w:lvl>
    <w:lvl w:ilvl="2" w:tplc="72AE0F26">
      <w:start w:val="1"/>
      <w:numFmt w:val="bullet"/>
      <w:lvlText w:val="•"/>
      <w:lvlJc w:val="left"/>
      <w:pPr>
        <w:ind w:left="3075" w:hanging="567"/>
      </w:pPr>
      <w:rPr>
        <w:rFonts w:hint="default"/>
      </w:rPr>
    </w:lvl>
    <w:lvl w:ilvl="3" w:tplc="AAD0793A">
      <w:start w:val="1"/>
      <w:numFmt w:val="bullet"/>
      <w:lvlText w:val="•"/>
      <w:lvlJc w:val="left"/>
      <w:pPr>
        <w:ind w:left="3932" w:hanging="567"/>
      </w:pPr>
      <w:rPr>
        <w:rFonts w:hint="default"/>
      </w:rPr>
    </w:lvl>
    <w:lvl w:ilvl="4" w:tplc="127C7502">
      <w:start w:val="1"/>
      <w:numFmt w:val="bullet"/>
      <w:lvlText w:val="•"/>
      <w:lvlJc w:val="left"/>
      <w:pPr>
        <w:ind w:left="4788" w:hanging="567"/>
      </w:pPr>
      <w:rPr>
        <w:rFonts w:hint="default"/>
      </w:rPr>
    </w:lvl>
    <w:lvl w:ilvl="5" w:tplc="5296CF88">
      <w:start w:val="1"/>
      <w:numFmt w:val="bullet"/>
      <w:lvlText w:val="•"/>
      <w:lvlJc w:val="left"/>
      <w:pPr>
        <w:ind w:left="5644" w:hanging="567"/>
      </w:pPr>
      <w:rPr>
        <w:rFonts w:hint="default"/>
      </w:rPr>
    </w:lvl>
    <w:lvl w:ilvl="6" w:tplc="12E07EA4">
      <w:start w:val="1"/>
      <w:numFmt w:val="bullet"/>
      <w:lvlText w:val="•"/>
      <w:lvlJc w:val="left"/>
      <w:pPr>
        <w:ind w:left="6501" w:hanging="567"/>
      </w:pPr>
      <w:rPr>
        <w:rFonts w:hint="default"/>
      </w:rPr>
    </w:lvl>
    <w:lvl w:ilvl="7" w:tplc="FF144BAA">
      <w:start w:val="1"/>
      <w:numFmt w:val="bullet"/>
      <w:lvlText w:val="•"/>
      <w:lvlJc w:val="left"/>
      <w:pPr>
        <w:ind w:left="7357" w:hanging="567"/>
      </w:pPr>
      <w:rPr>
        <w:rFonts w:hint="default"/>
      </w:rPr>
    </w:lvl>
    <w:lvl w:ilvl="8" w:tplc="19343FE8">
      <w:start w:val="1"/>
      <w:numFmt w:val="bullet"/>
      <w:lvlText w:val="•"/>
      <w:lvlJc w:val="left"/>
      <w:pPr>
        <w:ind w:left="8213" w:hanging="567"/>
      </w:pPr>
      <w:rPr>
        <w:rFonts w:hint="default"/>
      </w:rPr>
    </w:lvl>
  </w:abstractNum>
  <w:abstractNum w:abstractNumId="5" w15:restartNumberingAfterBreak="0">
    <w:nsid w:val="0C640B47"/>
    <w:multiLevelType w:val="multilevel"/>
    <w:tmpl w:val="5E0EBE76"/>
    <w:styleLink w:val="ATGliederungsliste"/>
    <w:lvl w:ilvl="0">
      <w:start w:val="1"/>
      <w:numFmt w:val="decimal"/>
      <w:pStyle w:val="Gliederung1"/>
      <w:lvlText w:val="%1."/>
      <w:lvlJc w:val="left"/>
      <w:pPr>
        <w:ind w:left="397" w:hanging="397"/>
      </w:pPr>
      <w:rPr>
        <w:rFonts w:hint="default"/>
      </w:rPr>
    </w:lvl>
    <w:lvl w:ilvl="1">
      <w:start w:val="1"/>
      <w:numFmt w:val="decimal"/>
      <w:pStyle w:val="Gliederung11"/>
      <w:lvlText w:val="%1.%2."/>
      <w:lvlJc w:val="left"/>
      <w:pPr>
        <w:ind w:left="964" w:hanging="567"/>
      </w:pPr>
      <w:rPr>
        <w:rFonts w:hint="default"/>
      </w:rPr>
    </w:lvl>
    <w:lvl w:ilvl="2">
      <w:start w:val="1"/>
      <w:numFmt w:val="decimal"/>
      <w:pStyle w:val="Gliederung111"/>
      <w:lvlText w:val="%1.%2.%3."/>
      <w:lvlJc w:val="left"/>
      <w:pPr>
        <w:ind w:left="1758" w:hanging="794"/>
      </w:pPr>
      <w:rPr>
        <w:rFonts w:hint="default"/>
      </w:rPr>
    </w:lvl>
    <w:lvl w:ilvl="3">
      <w:start w:val="1"/>
      <w:numFmt w:val="decimal"/>
      <w:lvlText w:val="%1.%2.%3.%4."/>
      <w:lvlJc w:val="left"/>
      <w:pPr>
        <w:ind w:left="3318" w:hanging="397"/>
      </w:pPr>
      <w:rPr>
        <w:rFonts w:hint="default"/>
      </w:rPr>
    </w:lvl>
    <w:lvl w:ilvl="4">
      <w:start w:val="1"/>
      <w:numFmt w:val="decimal"/>
      <w:lvlText w:val="%1.%2.%3.%4.%5."/>
      <w:lvlJc w:val="left"/>
      <w:pPr>
        <w:ind w:left="3715" w:hanging="397"/>
      </w:pPr>
      <w:rPr>
        <w:rFonts w:hint="default"/>
      </w:rPr>
    </w:lvl>
    <w:lvl w:ilvl="5">
      <w:start w:val="1"/>
      <w:numFmt w:val="decimal"/>
      <w:lvlText w:val="%1.%2.%3.%4.%5.%6."/>
      <w:lvlJc w:val="left"/>
      <w:pPr>
        <w:ind w:left="4111" w:hanging="396"/>
      </w:pPr>
      <w:rPr>
        <w:rFonts w:hint="default"/>
      </w:rPr>
    </w:lvl>
    <w:lvl w:ilvl="6">
      <w:start w:val="1"/>
      <w:numFmt w:val="decimal"/>
      <w:lvlText w:val="%1.%2.%3.%4.%5.%6.%7."/>
      <w:lvlJc w:val="left"/>
      <w:pPr>
        <w:ind w:left="4508" w:hanging="397"/>
      </w:pPr>
      <w:rPr>
        <w:rFonts w:hint="default"/>
      </w:rPr>
    </w:lvl>
    <w:lvl w:ilvl="7">
      <w:start w:val="1"/>
      <w:numFmt w:val="decimal"/>
      <w:lvlText w:val="%1.%2.%3.%4.%5.%6.%7.%8."/>
      <w:lvlJc w:val="left"/>
      <w:pPr>
        <w:ind w:left="4905" w:hanging="397"/>
      </w:pPr>
      <w:rPr>
        <w:rFonts w:hint="default"/>
      </w:rPr>
    </w:lvl>
    <w:lvl w:ilvl="8">
      <w:start w:val="1"/>
      <w:numFmt w:val="decimal"/>
      <w:lvlText w:val="%1.%2.%3.%4.%5.%6.%7.%8.%9."/>
      <w:lvlJc w:val="left"/>
      <w:pPr>
        <w:ind w:left="5302" w:hanging="397"/>
      </w:pPr>
      <w:rPr>
        <w:rFonts w:hint="default"/>
      </w:rPr>
    </w:lvl>
  </w:abstractNum>
  <w:abstractNum w:abstractNumId="6" w15:restartNumberingAfterBreak="0">
    <w:nsid w:val="17247383"/>
    <w:multiLevelType w:val="multilevel"/>
    <w:tmpl w:val="EF2035A8"/>
    <w:styleLink w:val="Programm-Liste"/>
    <w:lvl w:ilvl="0">
      <w:start w:val="1"/>
      <w:numFmt w:val="bullet"/>
      <w:pStyle w:val="ProgrammAufzhlung1"/>
      <w:lvlText w:val="•"/>
      <w:lvlJc w:val="left"/>
      <w:pPr>
        <w:ind w:left="2285" w:hanging="397"/>
      </w:pPr>
      <w:rPr>
        <w:rFonts w:ascii="Corbel" w:hAnsi="Corbel" w:hint="default"/>
        <w:sz w:val="23"/>
      </w:rPr>
    </w:lvl>
    <w:lvl w:ilvl="1">
      <w:start w:val="1"/>
      <w:numFmt w:val="bullet"/>
      <w:lvlText w:val="o"/>
      <w:lvlJc w:val="left"/>
      <w:pPr>
        <w:ind w:left="3708" w:hanging="360"/>
      </w:pPr>
      <w:rPr>
        <w:rFonts w:ascii="Courier New" w:hAnsi="Courier New" w:cs="Courier New" w:hint="default"/>
      </w:rPr>
    </w:lvl>
    <w:lvl w:ilvl="2">
      <w:start w:val="1"/>
      <w:numFmt w:val="bullet"/>
      <w:lvlText w:val=""/>
      <w:lvlJc w:val="left"/>
      <w:pPr>
        <w:ind w:left="4428" w:hanging="360"/>
      </w:pPr>
      <w:rPr>
        <w:rFonts w:ascii="Wingdings" w:hAnsi="Wingdings" w:hint="default"/>
      </w:rPr>
    </w:lvl>
    <w:lvl w:ilvl="3">
      <w:start w:val="1"/>
      <w:numFmt w:val="bullet"/>
      <w:lvlText w:val=""/>
      <w:lvlJc w:val="left"/>
      <w:pPr>
        <w:ind w:left="5148" w:hanging="360"/>
      </w:pPr>
      <w:rPr>
        <w:rFonts w:ascii="Symbol" w:hAnsi="Symbol" w:hint="default"/>
      </w:rPr>
    </w:lvl>
    <w:lvl w:ilvl="4">
      <w:start w:val="1"/>
      <w:numFmt w:val="bullet"/>
      <w:lvlText w:val="o"/>
      <w:lvlJc w:val="left"/>
      <w:pPr>
        <w:ind w:left="5868" w:hanging="360"/>
      </w:pPr>
      <w:rPr>
        <w:rFonts w:ascii="Courier New" w:hAnsi="Courier New" w:cs="Courier New" w:hint="default"/>
      </w:rPr>
    </w:lvl>
    <w:lvl w:ilvl="5">
      <w:start w:val="1"/>
      <w:numFmt w:val="bullet"/>
      <w:lvlText w:val=""/>
      <w:lvlJc w:val="left"/>
      <w:pPr>
        <w:ind w:left="6588" w:hanging="360"/>
      </w:pPr>
      <w:rPr>
        <w:rFonts w:ascii="Wingdings" w:hAnsi="Wingdings" w:hint="default"/>
      </w:rPr>
    </w:lvl>
    <w:lvl w:ilvl="6">
      <w:start w:val="1"/>
      <w:numFmt w:val="bullet"/>
      <w:lvlText w:val=""/>
      <w:lvlJc w:val="left"/>
      <w:pPr>
        <w:ind w:left="7308" w:hanging="360"/>
      </w:pPr>
      <w:rPr>
        <w:rFonts w:ascii="Symbol" w:hAnsi="Symbol" w:hint="default"/>
      </w:rPr>
    </w:lvl>
    <w:lvl w:ilvl="7">
      <w:start w:val="1"/>
      <w:numFmt w:val="bullet"/>
      <w:lvlText w:val="o"/>
      <w:lvlJc w:val="left"/>
      <w:pPr>
        <w:ind w:left="8028" w:hanging="360"/>
      </w:pPr>
      <w:rPr>
        <w:rFonts w:ascii="Courier New" w:hAnsi="Courier New" w:cs="Courier New" w:hint="default"/>
      </w:rPr>
    </w:lvl>
    <w:lvl w:ilvl="8">
      <w:start w:val="1"/>
      <w:numFmt w:val="bullet"/>
      <w:lvlText w:val=""/>
      <w:lvlJc w:val="left"/>
      <w:pPr>
        <w:ind w:left="8748" w:hanging="360"/>
      </w:pPr>
      <w:rPr>
        <w:rFonts w:ascii="Wingdings" w:hAnsi="Wingdings" w:hint="default"/>
      </w:rPr>
    </w:lvl>
  </w:abstractNum>
  <w:abstractNum w:abstractNumId="7" w15:restartNumberingAfterBreak="0">
    <w:nsid w:val="18C20564"/>
    <w:multiLevelType w:val="hybridMultilevel"/>
    <w:tmpl w:val="04A47908"/>
    <w:lvl w:ilvl="0" w:tplc="930EE8E4">
      <w:start w:val="1"/>
      <w:numFmt w:val="lowerLetter"/>
      <w:pStyle w:val="Listennummera"/>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8DE3044"/>
    <w:multiLevelType w:val="hybridMultilevel"/>
    <w:tmpl w:val="98D6E46C"/>
    <w:lvl w:ilvl="0" w:tplc="A29A7326">
      <w:start w:val="1"/>
      <w:numFmt w:val="lowerLetter"/>
      <w:lvlText w:val="%1)"/>
      <w:lvlJc w:val="left"/>
      <w:pPr>
        <w:ind w:left="1363" w:hanging="567"/>
      </w:pPr>
      <w:rPr>
        <w:rFonts w:ascii="Times New Roman" w:eastAsia="Times New Roman" w:hAnsi="Times New Roman" w:hint="default"/>
        <w:sz w:val="18"/>
        <w:szCs w:val="18"/>
      </w:rPr>
    </w:lvl>
    <w:lvl w:ilvl="1" w:tplc="CA40B578">
      <w:start w:val="1"/>
      <w:numFmt w:val="bullet"/>
      <w:lvlText w:val="•"/>
      <w:lvlJc w:val="left"/>
      <w:pPr>
        <w:ind w:left="2219" w:hanging="567"/>
      </w:pPr>
      <w:rPr>
        <w:rFonts w:hint="default"/>
      </w:rPr>
    </w:lvl>
    <w:lvl w:ilvl="2" w:tplc="72AE0F26">
      <w:start w:val="1"/>
      <w:numFmt w:val="bullet"/>
      <w:lvlText w:val="•"/>
      <w:lvlJc w:val="left"/>
      <w:pPr>
        <w:ind w:left="3075" w:hanging="567"/>
      </w:pPr>
      <w:rPr>
        <w:rFonts w:hint="default"/>
      </w:rPr>
    </w:lvl>
    <w:lvl w:ilvl="3" w:tplc="AAD0793A">
      <w:start w:val="1"/>
      <w:numFmt w:val="bullet"/>
      <w:lvlText w:val="•"/>
      <w:lvlJc w:val="left"/>
      <w:pPr>
        <w:ind w:left="3932" w:hanging="567"/>
      </w:pPr>
      <w:rPr>
        <w:rFonts w:hint="default"/>
      </w:rPr>
    </w:lvl>
    <w:lvl w:ilvl="4" w:tplc="127C7502">
      <w:start w:val="1"/>
      <w:numFmt w:val="bullet"/>
      <w:lvlText w:val="•"/>
      <w:lvlJc w:val="left"/>
      <w:pPr>
        <w:ind w:left="4788" w:hanging="567"/>
      </w:pPr>
      <w:rPr>
        <w:rFonts w:hint="default"/>
      </w:rPr>
    </w:lvl>
    <w:lvl w:ilvl="5" w:tplc="5296CF88">
      <w:start w:val="1"/>
      <w:numFmt w:val="bullet"/>
      <w:lvlText w:val="•"/>
      <w:lvlJc w:val="left"/>
      <w:pPr>
        <w:ind w:left="5644" w:hanging="567"/>
      </w:pPr>
      <w:rPr>
        <w:rFonts w:hint="default"/>
      </w:rPr>
    </w:lvl>
    <w:lvl w:ilvl="6" w:tplc="12E07EA4">
      <w:start w:val="1"/>
      <w:numFmt w:val="bullet"/>
      <w:lvlText w:val="•"/>
      <w:lvlJc w:val="left"/>
      <w:pPr>
        <w:ind w:left="6501" w:hanging="567"/>
      </w:pPr>
      <w:rPr>
        <w:rFonts w:hint="default"/>
      </w:rPr>
    </w:lvl>
    <w:lvl w:ilvl="7" w:tplc="FF144BAA">
      <w:start w:val="1"/>
      <w:numFmt w:val="bullet"/>
      <w:lvlText w:val="•"/>
      <w:lvlJc w:val="left"/>
      <w:pPr>
        <w:ind w:left="7357" w:hanging="567"/>
      </w:pPr>
      <w:rPr>
        <w:rFonts w:hint="default"/>
      </w:rPr>
    </w:lvl>
    <w:lvl w:ilvl="8" w:tplc="19343FE8">
      <w:start w:val="1"/>
      <w:numFmt w:val="bullet"/>
      <w:lvlText w:val="•"/>
      <w:lvlJc w:val="left"/>
      <w:pPr>
        <w:ind w:left="8213" w:hanging="567"/>
      </w:pPr>
      <w:rPr>
        <w:rFonts w:hint="default"/>
      </w:rPr>
    </w:lvl>
  </w:abstractNum>
  <w:abstractNum w:abstractNumId="9" w15:restartNumberingAfterBreak="0">
    <w:nsid w:val="208553F4"/>
    <w:multiLevelType w:val="hybridMultilevel"/>
    <w:tmpl w:val="E61C444A"/>
    <w:lvl w:ilvl="0" w:tplc="1BC26BAE">
      <w:start w:val="1"/>
      <w:numFmt w:val="lowerLetter"/>
      <w:lvlText w:val="%1)"/>
      <w:lvlJc w:val="left"/>
      <w:pPr>
        <w:ind w:left="1363" w:hanging="567"/>
      </w:pPr>
      <w:rPr>
        <w:rFonts w:ascii="Times New Roman" w:eastAsia="Times New Roman" w:hAnsi="Times New Roman" w:cs="Times New Roman" w:hint="default"/>
        <w:sz w:val="18"/>
        <w:szCs w:val="16"/>
      </w:rPr>
    </w:lvl>
    <w:lvl w:ilvl="1" w:tplc="CA40B578">
      <w:start w:val="1"/>
      <w:numFmt w:val="bullet"/>
      <w:lvlText w:val="•"/>
      <w:lvlJc w:val="left"/>
      <w:pPr>
        <w:ind w:left="2219" w:hanging="567"/>
      </w:pPr>
      <w:rPr>
        <w:rFonts w:hint="default"/>
      </w:rPr>
    </w:lvl>
    <w:lvl w:ilvl="2" w:tplc="72AE0F26">
      <w:start w:val="1"/>
      <w:numFmt w:val="bullet"/>
      <w:lvlText w:val="•"/>
      <w:lvlJc w:val="left"/>
      <w:pPr>
        <w:ind w:left="3075" w:hanging="567"/>
      </w:pPr>
      <w:rPr>
        <w:rFonts w:hint="default"/>
      </w:rPr>
    </w:lvl>
    <w:lvl w:ilvl="3" w:tplc="AAD0793A">
      <w:start w:val="1"/>
      <w:numFmt w:val="bullet"/>
      <w:lvlText w:val="•"/>
      <w:lvlJc w:val="left"/>
      <w:pPr>
        <w:ind w:left="3932" w:hanging="567"/>
      </w:pPr>
      <w:rPr>
        <w:rFonts w:hint="default"/>
      </w:rPr>
    </w:lvl>
    <w:lvl w:ilvl="4" w:tplc="127C7502">
      <w:start w:val="1"/>
      <w:numFmt w:val="bullet"/>
      <w:lvlText w:val="•"/>
      <w:lvlJc w:val="left"/>
      <w:pPr>
        <w:ind w:left="4788" w:hanging="567"/>
      </w:pPr>
      <w:rPr>
        <w:rFonts w:hint="default"/>
      </w:rPr>
    </w:lvl>
    <w:lvl w:ilvl="5" w:tplc="5296CF88">
      <w:start w:val="1"/>
      <w:numFmt w:val="bullet"/>
      <w:lvlText w:val="•"/>
      <w:lvlJc w:val="left"/>
      <w:pPr>
        <w:ind w:left="5644" w:hanging="567"/>
      </w:pPr>
      <w:rPr>
        <w:rFonts w:hint="default"/>
      </w:rPr>
    </w:lvl>
    <w:lvl w:ilvl="6" w:tplc="12E07EA4">
      <w:start w:val="1"/>
      <w:numFmt w:val="bullet"/>
      <w:lvlText w:val="•"/>
      <w:lvlJc w:val="left"/>
      <w:pPr>
        <w:ind w:left="6501" w:hanging="567"/>
      </w:pPr>
      <w:rPr>
        <w:rFonts w:hint="default"/>
      </w:rPr>
    </w:lvl>
    <w:lvl w:ilvl="7" w:tplc="FF144BAA">
      <w:start w:val="1"/>
      <w:numFmt w:val="bullet"/>
      <w:lvlText w:val="•"/>
      <w:lvlJc w:val="left"/>
      <w:pPr>
        <w:ind w:left="7357" w:hanging="567"/>
      </w:pPr>
      <w:rPr>
        <w:rFonts w:hint="default"/>
      </w:rPr>
    </w:lvl>
    <w:lvl w:ilvl="8" w:tplc="19343FE8">
      <w:start w:val="1"/>
      <w:numFmt w:val="bullet"/>
      <w:lvlText w:val="•"/>
      <w:lvlJc w:val="left"/>
      <w:pPr>
        <w:ind w:left="8213" w:hanging="567"/>
      </w:pPr>
      <w:rPr>
        <w:rFonts w:hint="default"/>
      </w:rPr>
    </w:lvl>
  </w:abstractNum>
  <w:abstractNum w:abstractNumId="10" w15:restartNumberingAfterBreak="0">
    <w:nsid w:val="223F13DF"/>
    <w:multiLevelType w:val="hybridMultilevel"/>
    <w:tmpl w:val="E61C444A"/>
    <w:lvl w:ilvl="0" w:tplc="1BC26BAE">
      <w:start w:val="1"/>
      <w:numFmt w:val="lowerLetter"/>
      <w:lvlText w:val="%1)"/>
      <w:lvlJc w:val="left"/>
      <w:pPr>
        <w:ind w:left="1363" w:hanging="567"/>
      </w:pPr>
      <w:rPr>
        <w:rFonts w:ascii="Times New Roman" w:eastAsia="Times New Roman" w:hAnsi="Times New Roman" w:cs="Times New Roman" w:hint="default"/>
        <w:sz w:val="18"/>
        <w:szCs w:val="16"/>
      </w:rPr>
    </w:lvl>
    <w:lvl w:ilvl="1" w:tplc="CA40B578">
      <w:start w:val="1"/>
      <w:numFmt w:val="bullet"/>
      <w:lvlText w:val="•"/>
      <w:lvlJc w:val="left"/>
      <w:pPr>
        <w:ind w:left="2219" w:hanging="567"/>
      </w:pPr>
      <w:rPr>
        <w:rFonts w:hint="default"/>
      </w:rPr>
    </w:lvl>
    <w:lvl w:ilvl="2" w:tplc="72AE0F26">
      <w:start w:val="1"/>
      <w:numFmt w:val="bullet"/>
      <w:lvlText w:val="•"/>
      <w:lvlJc w:val="left"/>
      <w:pPr>
        <w:ind w:left="3075" w:hanging="567"/>
      </w:pPr>
      <w:rPr>
        <w:rFonts w:hint="default"/>
      </w:rPr>
    </w:lvl>
    <w:lvl w:ilvl="3" w:tplc="AAD0793A">
      <w:start w:val="1"/>
      <w:numFmt w:val="bullet"/>
      <w:lvlText w:val="•"/>
      <w:lvlJc w:val="left"/>
      <w:pPr>
        <w:ind w:left="3932" w:hanging="567"/>
      </w:pPr>
      <w:rPr>
        <w:rFonts w:hint="default"/>
      </w:rPr>
    </w:lvl>
    <w:lvl w:ilvl="4" w:tplc="127C7502">
      <w:start w:val="1"/>
      <w:numFmt w:val="bullet"/>
      <w:lvlText w:val="•"/>
      <w:lvlJc w:val="left"/>
      <w:pPr>
        <w:ind w:left="4788" w:hanging="567"/>
      </w:pPr>
      <w:rPr>
        <w:rFonts w:hint="default"/>
      </w:rPr>
    </w:lvl>
    <w:lvl w:ilvl="5" w:tplc="5296CF88">
      <w:start w:val="1"/>
      <w:numFmt w:val="bullet"/>
      <w:lvlText w:val="•"/>
      <w:lvlJc w:val="left"/>
      <w:pPr>
        <w:ind w:left="5644" w:hanging="567"/>
      </w:pPr>
      <w:rPr>
        <w:rFonts w:hint="default"/>
      </w:rPr>
    </w:lvl>
    <w:lvl w:ilvl="6" w:tplc="12E07EA4">
      <w:start w:val="1"/>
      <w:numFmt w:val="bullet"/>
      <w:lvlText w:val="•"/>
      <w:lvlJc w:val="left"/>
      <w:pPr>
        <w:ind w:left="6501" w:hanging="567"/>
      </w:pPr>
      <w:rPr>
        <w:rFonts w:hint="default"/>
      </w:rPr>
    </w:lvl>
    <w:lvl w:ilvl="7" w:tplc="FF144BAA">
      <w:start w:val="1"/>
      <w:numFmt w:val="bullet"/>
      <w:lvlText w:val="•"/>
      <w:lvlJc w:val="left"/>
      <w:pPr>
        <w:ind w:left="7357" w:hanging="567"/>
      </w:pPr>
      <w:rPr>
        <w:rFonts w:hint="default"/>
      </w:rPr>
    </w:lvl>
    <w:lvl w:ilvl="8" w:tplc="19343FE8">
      <w:start w:val="1"/>
      <w:numFmt w:val="bullet"/>
      <w:lvlText w:val="•"/>
      <w:lvlJc w:val="left"/>
      <w:pPr>
        <w:ind w:left="8213" w:hanging="567"/>
      </w:pPr>
      <w:rPr>
        <w:rFonts w:hint="default"/>
      </w:rPr>
    </w:lvl>
  </w:abstractNum>
  <w:abstractNum w:abstractNumId="11" w15:restartNumberingAfterBreak="0">
    <w:nsid w:val="31B7673D"/>
    <w:multiLevelType w:val="multilevel"/>
    <w:tmpl w:val="5D24BC4E"/>
    <w:styleLink w:val="ATUnsortierteListe"/>
    <w:lvl w:ilvl="0">
      <w:start w:val="1"/>
      <w:numFmt w:val="bullet"/>
      <w:pStyle w:val="ListBullet"/>
      <w:lvlText w:val="•"/>
      <w:lvlJc w:val="left"/>
      <w:pPr>
        <w:ind w:left="397" w:hanging="397"/>
      </w:pPr>
      <w:rPr>
        <w:rFonts w:asciiTheme="minorHAnsi" w:hAnsiTheme="minorHAnsi" w:hint="default"/>
        <w:b w:val="0"/>
        <w:i w:val="0"/>
        <w:color w:val="E6242F"/>
        <w:sz w:val="23"/>
        <w:szCs w:val="20"/>
      </w:rPr>
    </w:lvl>
    <w:lvl w:ilvl="1">
      <w:start w:val="1"/>
      <w:numFmt w:val="bullet"/>
      <w:pStyle w:val="ListBullet2"/>
      <w:lvlText w:val="−"/>
      <w:lvlJc w:val="left"/>
      <w:pPr>
        <w:ind w:left="794" w:hanging="397"/>
      </w:pPr>
      <w:rPr>
        <w:rFonts w:ascii="Corbel" w:hAnsi="Corbel" w:hint="default"/>
        <w:b/>
        <w:i w:val="0"/>
        <w:caps w:val="0"/>
        <w:strike w:val="0"/>
        <w:dstrike w:val="0"/>
        <w:vanish w:val="0"/>
        <w:color w:val="auto"/>
        <w:sz w:val="23"/>
        <w:szCs w:val="20"/>
        <w:vertAlign w:val="baseline"/>
      </w:rPr>
    </w:lvl>
    <w:lvl w:ilvl="2">
      <w:start w:val="1"/>
      <w:numFmt w:val="bullet"/>
      <w:pStyle w:val="ListBullet3"/>
      <w:lvlText w:val="•"/>
      <w:lvlJc w:val="left"/>
      <w:pPr>
        <w:ind w:left="1191" w:hanging="397"/>
      </w:pPr>
      <w:rPr>
        <w:rFonts w:asciiTheme="minorHAnsi" w:hAnsiTheme="minorHAnsi" w:hint="default"/>
        <w:color w:val="auto"/>
        <w:sz w:val="23"/>
      </w:rPr>
    </w:lvl>
    <w:lvl w:ilvl="3">
      <w:start w:val="1"/>
      <w:numFmt w:val="bullet"/>
      <w:pStyle w:val="ListBullet4"/>
      <w:lvlText w:val="–"/>
      <w:lvlJc w:val="left"/>
      <w:pPr>
        <w:ind w:left="1588" w:hanging="397"/>
      </w:pPr>
      <w:rPr>
        <w:rFonts w:asciiTheme="minorHAnsi" w:hAnsiTheme="minorHAnsi" w:hint="default"/>
        <w:color w:val="E1320F" w:themeColor="text2"/>
        <w:sz w:val="23"/>
      </w:rPr>
    </w:lvl>
    <w:lvl w:ilvl="4">
      <w:start w:val="1"/>
      <w:numFmt w:val="bullet"/>
      <w:pStyle w:val="ListBullet5"/>
      <w:lvlText w:val="•"/>
      <w:lvlJc w:val="left"/>
      <w:pPr>
        <w:ind w:left="1985" w:hanging="341"/>
      </w:pPr>
      <w:rPr>
        <w:rFonts w:asciiTheme="minorHAnsi" w:hAnsiTheme="minorHAnsi" w:hint="default"/>
        <w:color w:val="E6242F"/>
      </w:rPr>
    </w:lvl>
    <w:lvl w:ilvl="5">
      <w:start w:val="1"/>
      <w:numFmt w:val="bullet"/>
      <w:pStyle w:val="Aufzhlungszeichen6"/>
      <w:lvlText w:val="–"/>
      <w:lvlJc w:val="left"/>
      <w:pPr>
        <w:ind w:left="2381" w:hanging="396"/>
      </w:pPr>
      <w:rPr>
        <w:rFonts w:asciiTheme="minorHAnsi" w:hAnsiTheme="minorHAnsi" w:hint="default"/>
        <w:color w:val="auto"/>
      </w:rPr>
    </w:lvl>
    <w:lvl w:ilvl="6">
      <w:start w:val="1"/>
      <w:numFmt w:val="bullet"/>
      <w:pStyle w:val="Aufzhlungszeichen7"/>
      <w:lvlText w:val="•"/>
      <w:lvlJc w:val="left"/>
      <w:pPr>
        <w:ind w:left="2778" w:hanging="397"/>
      </w:pPr>
      <w:rPr>
        <w:rFonts w:asciiTheme="minorHAnsi" w:hAnsiTheme="minorHAnsi" w:hint="default"/>
        <w:color w:val="auto"/>
      </w:rPr>
    </w:lvl>
    <w:lvl w:ilvl="7">
      <w:start w:val="1"/>
      <w:numFmt w:val="bullet"/>
      <w:pStyle w:val="Aufzhlungszeichen8"/>
      <w:lvlText w:val="–"/>
      <w:lvlJc w:val="left"/>
      <w:pPr>
        <w:ind w:left="3175" w:hanging="397"/>
      </w:pPr>
      <w:rPr>
        <w:rFonts w:asciiTheme="minorHAnsi" w:hAnsiTheme="minorHAnsi" w:hint="default"/>
        <w:color w:val="E6242F"/>
      </w:rPr>
    </w:lvl>
    <w:lvl w:ilvl="8">
      <w:start w:val="1"/>
      <w:numFmt w:val="bullet"/>
      <w:pStyle w:val="Aufzhlungszeichen9"/>
      <w:lvlText w:val="•"/>
      <w:lvlJc w:val="left"/>
      <w:pPr>
        <w:ind w:left="3572" w:hanging="397"/>
      </w:pPr>
      <w:rPr>
        <w:rFonts w:asciiTheme="minorHAnsi" w:hAnsiTheme="minorHAnsi" w:hint="default"/>
        <w:color w:val="E6242F"/>
      </w:rPr>
    </w:lvl>
  </w:abstractNum>
  <w:abstractNum w:abstractNumId="12" w15:restartNumberingAfterBreak="0">
    <w:nsid w:val="44D31F79"/>
    <w:multiLevelType w:val="multilevel"/>
    <w:tmpl w:val="EA4CFBFC"/>
    <w:styleLink w:val="eu2018atGliederungsliste"/>
    <w:lvl w:ilvl="0">
      <w:start w:val="1"/>
      <w:numFmt w:val="decimal"/>
      <w:lvlText w:val="%1."/>
      <w:lvlJc w:val="left"/>
      <w:pPr>
        <w:ind w:left="397" w:hanging="397"/>
      </w:pPr>
      <w:rPr>
        <w:rFonts w:hint="default"/>
      </w:rPr>
    </w:lvl>
    <w:lvl w:ilvl="1">
      <w:start w:val="1"/>
      <w:numFmt w:val="decimal"/>
      <w:lvlText w:val="%1.%2."/>
      <w:lvlJc w:val="left"/>
      <w:pPr>
        <w:ind w:left="1361" w:hanging="964"/>
      </w:pPr>
      <w:rPr>
        <w:rFonts w:hint="default"/>
      </w:rPr>
    </w:lvl>
    <w:lvl w:ilvl="2">
      <w:start w:val="1"/>
      <w:numFmt w:val="decimal"/>
      <w:lvlText w:val="%1.%2.%3."/>
      <w:lvlJc w:val="left"/>
      <w:pPr>
        <w:ind w:left="2013" w:hanging="878"/>
      </w:pPr>
      <w:rPr>
        <w:rFonts w:hint="default"/>
      </w:rPr>
    </w:lvl>
    <w:lvl w:ilvl="3">
      <w:start w:val="1"/>
      <w:numFmt w:val="decimal"/>
      <w:lvlText w:val="%1.%2.%3.%4."/>
      <w:lvlJc w:val="left"/>
      <w:pPr>
        <w:ind w:left="2524" w:hanging="397"/>
      </w:pPr>
      <w:rPr>
        <w:rFonts w:hint="default"/>
      </w:rPr>
    </w:lvl>
    <w:lvl w:ilvl="4">
      <w:start w:val="1"/>
      <w:numFmt w:val="decimal"/>
      <w:lvlText w:val="%1.%2.%3.%4.%5."/>
      <w:lvlJc w:val="left"/>
      <w:pPr>
        <w:ind w:left="2921" w:hanging="397"/>
      </w:pPr>
      <w:rPr>
        <w:rFonts w:hint="default"/>
      </w:rPr>
    </w:lvl>
    <w:lvl w:ilvl="5">
      <w:start w:val="1"/>
      <w:numFmt w:val="decimal"/>
      <w:lvlText w:val="%1.%2.%3.%4.%5.%6."/>
      <w:lvlJc w:val="left"/>
      <w:pPr>
        <w:ind w:left="3317" w:hanging="396"/>
      </w:pPr>
      <w:rPr>
        <w:rFonts w:hint="default"/>
      </w:rPr>
    </w:lvl>
    <w:lvl w:ilvl="6">
      <w:start w:val="1"/>
      <w:numFmt w:val="decimal"/>
      <w:lvlText w:val="%1.%2.%3.%4.%5.%6.%7."/>
      <w:lvlJc w:val="left"/>
      <w:pPr>
        <w:ind w:left="3714" w:hanging="397"/>
      </w:pPr>
      <w:rPr>
        <w:rFonts w:hint="default"/>
      </w:rPr>
    </w:lvl>
    <w:lvl w:ilvl="7">
      <w:start w:val="1"/>
      <w:numFmt w:val="decimal"/>
      <w:lvlText w:val="%1.%2.%3.%4.%5.%6.%7.%8."/>
      <w:lvlJc w:val="left"/>
      <w:pPr>
        <w:ind w:left="4111" w:hanging="397"/>
      </w:pPr>
      <w:rPr>
        <w:rFonts w:hint="default"/>
      </w:rPr>
    </w:lvl>
    <w:lvl w:ilvl="8">
      <w:start w:val="1"/>
      <w:numFmt w:val="decimal"/>
      <w:lvlText w:val="%1.%2.%3.%4.%5.%6.%7.%8.%9."/>
      <w:lvlJc w:val="left"/>
      <w:pPr>
        <w:ind w:left="4508" w:hanging="397"/>
      </w:pPr>
      <w:rPr>
        <w:rFonts w:hint="default"/>
      </w:rPr>
    </w:lvl>
  </w:abstractNum>
  <w:abstractNum w:abstractNumId="13" w15:restartNumberingAfterBreak="0">
    <w:nsid w:val="4EAA19BA"/>
    <w:multiLevelType w:val="multilevel"/>
    <w:tmpl w:val="957A0DB6"/>
    <w:styleLink w:val="ATNummerierteListe"/>
    <w:lvl w:ilvl="0">
      <w:start w:val="1"/>
      <w:numFmt w:val="decimal"/>
      <w:pStyle w:val="ListNumber"/>
      <w:isLgl/>
      <w:lvlText w:val="%1."/>
      <w:lvlJc w:val="left"/>
      <w:pPr>
        <w:ind w:left="397" w:hanging="397"/>
      </w:pPr>
      <w:rPr>
        <w:rFonts w:asciiTheme="minorHAnsi" w:hAnsiTheme="minorHAnsi" w:hint="default"/>
        <w:color w:val="E1320F" w:themeColor="text2"/>
        <w:sz w:val="23"/>
      </w:rPr>
    </w:lvl>
    <w:lvl w:ilvl="1">
      <w:start w:val="1"/>
      <w:numFmt w:val="lowerLetter"/>
      <w:pStyle w:val="ListNumber2"/>
      <w:lvlText w:val="%2)"/>
      <w:lvlJc w:val="left"/>
      <w:pPr>
        <w:ind w:left="794" w:hanging="397"/>
      </w:pPr>
      <w:rPr>
        <w:rFonts w:asciiTheme="minorHAnsi" w:hAnsiTheme="minorHAnsi" w:hint="default"/>
        <w:sz w:val="23"/>
      </w:rPr>
    </w:lvl>
    <w:lvl w:ilvl="2">
      <w:start w:val="1"/>
      <w:numFmt w:val="lowerRoman"/>
      <w:pStyle w:val="ListNumber3"/>
      <w:lvlText w:val="%3)"/>
      <w:lvlJc w:val="left"/>
      <w:pPr>
        <w:ind w:left="1191" w:hanging="397"/>
      </w:pPr>
      <w:rPr>
        <w:rFonts w:hint="default"/>
      </w:rPr>
    </w:lvl>
    <w:lvl w:ilvl="3">
      <w:start w:val="1"/>
      <w:numFmt w:val="decimal"/>
      <w:pStyle w:val="ListNumber4"/>
      <w:lvlText w:val="%4."/>
      <w:lvlJc w:val="left"/>
      <w:pPr>
        <w:ind w:left="1588" w:hanging="397"/>
      </w:pPr>
      <w:rPr>
        <w:rFonts w:asciiTheme="minorHAnsi" w:hAnsiTheme="minorHAnsi" w:hint="default"/>
      </w:rPr>
    </w:lvl>
    <w:lvl w:ilvl="4">
      <w:start w:val="1"/>
      <w:numFmt w:val="lowerLetter"/>
      <w:pStyle w:val="ListNumber5"/>
      <w:lvlText w:val="%5)"/>
      <w:lvlJc w:val="left"/>
      <w:pPr>
        <w:ind w:left="1985" w:hanging="397"/>
      </w:pPr>
      <w:rPr>
        <w:rFonts w:asciiTheme="minorHAnsi" w:hAnsiTheme="minorHAnsi" w:hint="default"/>
      </w:rPr>
    </w:lvl>
    <w:lvl w:ilvl="5">
      <w:start w:val="1"/>
      <w:numFmt w:val="lowerRoman"/>
      <w:pStyle w:val="Listennummer6"/>
      <w:lvlText w:val="%6)"/>
      <w:lvlJc w:val="left"/>
      <w:pPr>
        <w:ind w:left="2382" w:hanging="397"/>
      </w:pPr>
      <w:rPr>
        <w:rFonts w:asciiTheme="minorHAnsi" w:hAnsiTheme="minorHAnsi" w:hint="default"/>
      </w:rPr>
    </w:lvl>
    <w:lvl w:ilvl="6">
      <w:start w:val="1"/>
      <w:numFmt w:val="decimal"/>
      <w:pStyle w:val="Listennummer7"/>
      <w:lvlText w:val="%7."/>
      <w:lvlJc w:val="left"/>
      <w:pPr>
        <w:ind w:left="2779" w:hanging="397"/>
      </w:pPr>
      <w:rPr>
        <w:rFonts w:asciiTheme="minorHAnsi" w:hAnsiTheme="minorHAnsi" w:hint="default"/>
      </w:rPr>
    </w:lvl>
    <w:lvl w:ilvl="7">
      <w:start w:val="1"/>
      <w:numFmt w:val="lowerLetter"/>
      <w:pStyle w:val="Listennummer8"/>
      <w:lvlText w:val="%8."/>
      <w:lvlJc w:val="left"/>
      <w:pPr>
        <w:ind w:left="3176" w:hanging="397"/>
      </w:pPr>
      <w:rPr>
        <w:rFonts w:asciiTheme="minorHAnsi" w:hAnsiTheme="minorHAnsi" w:hint="default"/>
      </w:rPr>
    </w:lvl>
    <w:lvl w:ilvl="8">
      <w:start w:val="1"/>
      <w:numFmt w:val="lowerRoman"/>
      <w:pStyle w:val="Listennummer9"/>
      <w:lvlText w:val="%9."/>
      <w:lvlJc w:val="left"/>
      <w:pPr>
        <w:ind w:left="3573" w:hanging="397"/>
      </w:pPr>
      <w:rPr>
        <w:rFonts w:asciiTheme="minorHAnsi" w:hAnsiTheme="minorHAnsi" w:hint="default"/>
      </w:rPr>
    </w:lvl>
  </w:abstractNum>
  <w:abstractNum w:abstractNumId="14" w15:restartNumberingAfterBreak="0">
    <w:nsid w:val="610722F4"/>
    <w:multiLevelType w:val="multilevel"/>
    <w:tmpl w:val="81B0A2F0"/>
    <w:styleLink w:val="eu2018atGliederungsliste2"/>
    <w:lvl w:ilvl="0">
      <w:start w:val="1"/>
      <w:numFmt w:val="decimal"/>
      <w:lvlText w:val="%1)"/>
      <w:lvlJc w:val="left"/>
      <w:pPr>
        <w:ind w:left="397" w:hanging="397"/>
      </w:pPr>
      <w:rPr>
        <w:rFonts w:hint="default"/>
        <w:b w:val="0"/>
        <w:i w:val="0"/>
        <w:color w:val="auto"/>
        <w:sz w:val="22"/>
      </w:rPr>
    </w:lvl>
    <w:lvl w:ilvl="1">
      <w:start w:val="1"/>
      <w:numFmt w:val="lowerLetter"/>
      <w:lvlText w:val="%2)"/>
      <w:lvlJc w:val="left"/>
      <w:pPr>
        <w:ind w:left="794" w:hanging="397"/>
      </w:pPr>
      <w:rPr>
        <w:rFonts w:hint="default"/>
        <w:b w:val="0"/>
        <w:i w:val="0"/>
        <w:color w:val="auto"/>
        <w:sz w:val="22"/>
      </w:rPr>
    </w:lvl>
    <w:lvl w:ilvl="2">
      <w:start w:val="1"/>
      <w:numFmt w:val="lowerRoman"/>
      <w:lvlText w:val="%3)"/>
      <w:lvlJc w:val="left"/>
      <w:pPr>
        <w:ind w:left="1191" w:hanging="397"/>
      </w:pPr>
      <w:rPr>
        <w:rFonts w:hint="default"/>
        <w:b w:val="0"/>
        <w:i w:val="0"/>
        <w:color w:val="auto"/>
        <w:sz w:val="22"/>
      </w:rPr>
    </w:lvl>
    <w:lvl w:ilvl="3">
      <w:start w:val="1"/>
      <w:numFmt w:val="decimal"/>
      <w:lvlText w:val="(%4)"/>
      <w:lvlJc w:val="left"/>
      <w:pPr>
        <w:ind w:left="1588" w:hanging="397"/>
      </w:pPr>
      <w:rPr>
        <w:rFonts w:hint="default"/>
        <w:b w:val="0"/>
        <w:i w:val="0"/>
        <w:color w:val="auto"/>
        <w:sz w:val="22"/>
      </w:rPr>
    </w:lvl>
    <w:lvl w:ilvl="4">
      <w:start w:val="1"/>
      <w:numFmt w:val="lowerLetter"/>
      <w:lvlText w:val="(%5)"/>
      <w:lvlJc w:val="left"/>
      <w:pPr>
        <w:ind w:left="1985" w:hanging="397"/>
      </w:pPr>
      <w:rPr>
        <w:rFonts w:hint="default"/>
        <w:b/>
        <w:i w:val="0"/>
        <w:color w:val="E6242F"/>
      </w:rPr>
    </w:lvl>
    <w:lvl w:ilvl="5">
      <w:start w:val="1"/>
      <w:numFmt w:val="lowerRoman"/>
      <w:lvlText w:val="(%6)"/>
      <w:lvlJc w:val="left"/>
      <w:pPr>
        <w:ind w:left="2381" w:hanging="396"/>
      </w:pPr>
      <w:rPr>
        <w:rFonts w:hint="default"/>
        <w:b/>
        <w:i w:val="0"/>
        <w:color w:val="E6242F"/>
      </w:rPr>
    </w:lvl>
    <w:lvl w:ilvl="6">
      <w:start w:val="1"/>
      <w:numFmt w:val="decimal"/>
      <w:lvlText w:val="%7."/>
      <w:lvlJc w:val="left"/>
      <w:pPr>
        <w:ind w:left="2778" w:hanging="397"/>
      </w:pPr>
      <w:rPr>
        <w:rFonts w:hint="default"/>
        <w:b/>
        <w:i w:val="0"/>
        <w:color w:val="E6242F"/>
      </w:rPr>
    </w:lvl>
    <w:lvl w:ilvl="7">
      <w:start w:val="1"/>
      <w:numFmt w:val="lowerLetter"/>
      <w:lvlText w:val="%8."/>
      <w:lvlJc w:val="left"/>
      <w:pPr>
        <w:ind w:left="3175" w:hanging="397"/>
      </w:pPr>
      <w:rPr>
        <w:rFonts w:hint="default"/>
        <w:b/>
        <w:i w:val="0"/>
        <w:color w:val="E6242F"/>
      </w:rPr>
    </w:lvl>
    <w:lvl w:ilvl="8">
      <w:start w:val="1"/>
      <w:numFmt w:val="lowerRoman"/>
      <w:lvlText w:val="%9."/>
      <w:lvlJc w:val="left"/>
      <w:pPr>
        <w:ind w:left="3572" w:hanging="397"/>
      </w:pPr>
      <w:rPr>
        <w:rFonts w:hint="default"/>
        <w:b/>
        <w:i w:val="0"/>
        <w:color w:val="E6242F"/>
      </w:rPr>
    </w:lvl>
  </w:abstractNum>
  <w:abstractNum w:abstractNumId="15" w15:restartNumberingAfterBreak="0">
    <w:nsid w:val="62912DEB"/>
    <w:multiLevelType w:val="hybridMultilevel"/>
    <w:tmpl w:val="E61C444A"/>
    <w:lvl w:ilvl="0" w:tplc="1BC26BAE">
      <w:start w:val="1"/>
      <w:numFmt w:val="lowerLetter"/>
      <w:lvlText w:val="%1)"/>
      <w:lvlJc w:val="left"/>
      <w:pPr>
        <w:ind w:left="1363" w:hanging="567"/>
      </w:pPr>
      <w:rPr>
        <w:rFonts w:ascii="Times New Roman" w:eastAsia="Times New Roman" w:hAnsi="Times New Roman" w:cs="Times New Roman" w:hint="default"/>
        <w:sz w:val="18"/>
        <w:szCs w:val="16"/>
      </w:rPr>
    </w:lvl>
    <w:lvl w:ilvl="1" w:tplc="CA40B578">
      <w:start w:val="1"/>
      <w:numFmt w:val="bullet"/>
      <w:lvlText w:val="•"/>
      <w:lvlJc w:val="left"/>
      <w:pPr>
        <w:ind w:left="2219" w:hanging="567"/>
      </w:pPr>
      <w:rPr>
        <w:rFonts w:hint="default"/>
      </w:rPr>
    </w:lvl>
    <w:lvl w:ilvl="2" w:tplc="72AE0F26">
      <w:start w:val="1"/>
      <w:numFmt w:val="bullet"/>
      <w:lvlText w:val="•"/>
      <w:lvlJc w:val="left"/>
      <w:pPr>
        <w:ind w:left="3075" w:hanging="567"/>
      </w:pPr>
      <w:rPr>
        <w:rFonts w:hint="default"/>
      </w:rPr>
    </w:lvl>
    <w:lvl w:ilvl="3" w:tplc="AAD0793A">
      <w:start w:val="1"/>
      <w:numFmt w:val="bullet"/>
      <w:lvlText w:val="•"/>
      <w:lvlJc w:val="left"/>
      <w:pPr>
        <w:ind w:left="3932" w:hanging="567"/>
      </w:pPr>
      <w:rPr>
        <w:rFonts w:hint="default"/>
      </w:rPr>
    </w:lvl>
    <w:lvl w:ilvl="4" w:tplc="127C7502">
      <w:start w:val="1"/>
      <w:numFmt w:val="bullet"/>
      <w:lvlText w:val="•"/>
      <w:lvlJc w:val="left"/>
      <w:pPr>
        <w:ind w:left="4788" w:hanging="567"/>
      </w:pPr>
      <w:rPr>
        <w:rFonts w:hint="default"/>
      </w:rPr>
    </w:lvl>
    <w:lvl w:ilvl="5" w:tplc="5296CF88">
      <w:start w:val="1"/>
      <w:numFmt w:val="bullet"/>
      <w:lvlText w:val="•"/>
      <w:lvlJc w:val="left"/>
      <w:pPr>
        <w:ind w:left="5644" w:hanging="567"/>
      </w:pPr>
      <w:rPr>
        <w:rFonts w:hint="default"/>
      </w:rPr>
    </w:lvl>
    <w:lvl w:ilvl="6" w:tplc="12E07EA4">
      <w:start w:val="1"/>
      <w:numFmt w:val="bullet"/>
      <w:lvlText w:val="•"/>
      <w:lvlJc w:val="left"/>
      <w:pPr>
        <w:ind w:left="6501" w:hanging="567"/>
      </w:pPr>
      <w:rPr>
        <w:rFonts w:hint="default"/>
      </w:rPr>
    </w:lvl>
    <w:lvl w:ilvl="7" w:tplc="FF144BAA">
      <w:start w:val="1"/>
      <w:numFmt w:val="bullet"/>
      <w:lvlText w:val="•"/>
      <w:lvlJc w:val="left"/>
      <w:pPr>
        <w:ind w:left="7357" w:hanging="567"/>
      </w:pPr>
      <w:rPr>
        <w:rFonts w:hint="default"/>
      </w:rPr>
    </w:lvl>
    <w:lvl w:ilvl="8" w:tplc="19343FE8">
      <w:start w:val="1"/>
      <w:numFmt w:val="bullet"/>
      <w:lvlText w:val="•"/>
      <w:lvlJc w:val="left"/>
      <w:pPr>
        <w:ind w:left="8213" w:hanging="567"/>
      </w:pPr>
      <w:rPr>
        <w:rFonts w:hint="default"/>
      </w:rPr>
    </w:lvl>
  </w:abstractNum>
  <w:abstractNum w:abstractNumId="16" w15:restartNumberingAfterBreak="0">
    <w:nsid w:val="63F625AA"/>
    <w:multiLevelType w:val="hybridMultilevel"/>
    <w:tmpl w:val="E61C444A"/>
    <w:lvl w:ilvl="0" w:tplc="1BC26BAE">
      <w:start w:val="1"/>
      <w:numFmt w:val="lowerLetter"/>
      <w:lvlText w:val="%1)"/>
      <w:lvlJc w:val="left"/>
      <w:pPr>
        <w:ind w:left="1363" w:hanging="567"/>
      </w:pPr>
      <w:rPr>
        <w:rFonts w:ascii="Times New Roman" w:eastAsia="Times New Roman" w:hAnsi="Times New Roman" w:cs="Times New Roman" w:hint="default"/>
        <w:sz w:val="18"/>
        <w:szCs w:val="16"/>
      </w:rPr>
    </w:lvl>
    <w:lvl w:ilvl="1" w:tplc="CA40B578">
      <w:start w:val="1"/>
      <w:numFmt w:val="bullet"/>
      <w:lvlText w:val="•"/>
      <w:lvlJc w:val="left"/>
      <w:pPr>
        <w:ind w:left="2219" w:hanging="567"/>
      </w:pPr>
      <w:rPr>
        <w:rFonts w:hint="default"/>
      </w:rPr>
    </w:lvl>
    <w:lvl w:ilvl="2" w:tplc="72AE0F26">
      <w:start w:val="1"/>
      <w:numFmt w:val="bullet"/>
      <w:lvlText w:val="•"/>
      <w:lvlJc w:val="left"/>
      <w:pPr>
        <w:ind w:left="3075" w:hanging="567"/>
      </w:pPr>
      <w:rPr>
        <w:rFonts w:hint="default"/>
      </w:rPr>
    </w:lvl>
    <w:lvl w:ilvl="3" w:tplc="AAD0793A">
      <w:start w:val="1"/>
      <w:numFmt w:val="bullet"/>
      <w:lvlText w:val="•"/>
      <w:lvlJc w:val="left"/>
      <w:pPr>
        <w:ind w:left="3932" w:hanging="567"/>
      </w:pPr>
      <w:rPr>
        <w:rFonts w:hint="default"/>
      </w:rPr>
    </w:lvl>
    <w:lvl w:ilvl="4" w:tplc="127C7502">
      <w:start w:val="1"/>
      <w:numFmt w:val="bullet"/>
      <w:lvlText w:val="•"/>
      <w:lvlJc w:val="left"/>
      <w:pPr>
        <w:ind w:left="4788" w:hanging="567"/>
      </w:pPr>
      <w:rPr>
        <w:rFonts w:hint="default"/>
      </w:rPr>
    </w:lvl>
    <w:lvl w:ilvl="5" w:tplc="5296CF88">
      <w:start w:val="1"/>
      <w:numFmt w:val="bullet"/>
      <w:lvlText w:val="•"/>
      <w:lvlJc w:val="left"/>
      <w:pPr>
        <w:ind w:left="5644" w:hanging="567"/>
      </w:pPr>
      <w:rPr>
        <w:rFonts w:hint="default"/>
      </w:rPr>
    </w:lvl>
    <w:lvl w:ilvl="6" w:tplc="12E07EA4">
      <w:start w:val="1"/>
      <w:numFmt w:val="bullet"/>
      <w:lvlText w:val="•"/>
      <w:lvlJc w:val="left"/>
      <w:pPr>
        <w:ind w:left="6501" w:hanging="567"/>
      </w:pPr>
      <w:rPr>
        <w:rFonts w:hint="default"/>
      </w:rPr>
    </w:lvl>
    <w:lvl w:ilvl="7" w:tplc="FF144BAA">
      <w:start w:val="1"/>
      <w:numFmt w:val="bullet"/>
      <w:lvlText w:val="•"/>
      <w:lvlJc w:val="left"/>
      <w:pPr>
        <w:ind w:left="7357" w:hanging="567"/>
      </w:pPr>
      <w:rPr>
        <w:rFonts w:hint="default"/>
      </w:rPr>
    </w:lvl>
    <w:lvl w:ilvl="8" w:tplc="19343FE8">
      <w:start w:val="1"/>
      <w:numFmt w:val="bullet"/>
      <w:lvlText w:val="•"/>
      <w:lvlJc w:val="left"/>
      <w:pPr>
        <w:ind w:left="8213" w:hanging="567"/>
      </w:pPr>
      <w:rPr>
        <w:rFonts w:hint="default"/>
      </w:rPr>
    </w:lvl>
  </w:abstractNum>
  <w:abstractNum w:abstractNumId="17" w15:restartNumberingAfterBreak="0">
    <w:nsid w:val="6F25295A"/>
    <w:multiLevelType w:val="hybridMultilevel"/>
    <w:tmpl w:val="98D6E46C"/>
    <w:lvl w:ilvl="0" w:tplc="A29A7326">
      <w:start w:val="1"/>
      <w:numFmt w:val="lowerLetter"/>
      <w:lvlText w:val="%1)"/>
      <w:lvlJc w:val="left"/>
      <w:pPr>
        <w:ind w:left="1363" w:hanging="567"/>
      </w:pPr>
      <w:rPr>
        <w:rFonts w:ascii="Times New Roman" w:eastAsia="Times New Roman" w:hAnsi="Times New Roman" w:hint="default"/>
        <w:sz w:val="18"/>
        <w:szCs w:val="18"/>
      </w:rPr>
    </w:lvl>
    <w:lvl w:ilvl="1" w:tplc="CA40B578">
      <w:start w:val="1"/>
      <w:numFmt w:val="bullet"/>
      <w:lvlText w:val="•"/>
      <w:lvlJc w:val="left"/>
      <w:pPr>
        <w:ind w:left="2219" w:hanging="567"/>
      </w:pPr>
      <w:rPr>
        <w:rFonts w:hint="default"/>
      </w:rPr>
    </w:lvl>
    <w:lvl w:ilvl="2" w:tplc="72AE0F26">
      <w:start w:val="1"/>
      <w:numFmt w:val="bullet"/>
      <w:lvlText w:val="•"/>
      <w:lvlJc w:val="left"/>
      <w:pPr>
        <w:ind w:left="3075" w:hanging="567"/>
      </w:pPr>
      <w:rPr>
        <w:rFonts w:hint="default"/>
      </w:rPr>
    </w:lvl>
    <w:lvl w:ilvl="3" w:tplc="AAD0793A">
      <w:start w:val="1"/>
      <w:numFmt w:val="bullet"/>
      <w:lvlText w:val="•"/>
      <w:lvlJc w:val="left"/>
      <w:pPr>
        <w:ind w:left="3932" w:hanging="567"/>
      </w:pPr>
      <w:rPr>
        <w:rFonts w:hint="default"/>
      </w:rPr>
    </w:lvl>
    <w:lvl w:ilvl="4" w:tplc="127C7502">
      <w:start w:val="1"/>
      <w:numFmt w:val="bullet"/>
      <w:lvlText w:val="•"/>
      <w:lvlJc w:val="left"/>
      <w:pPr>
        <w:ind w:left="4788" w:hanging="567"/>
      </w:pPr>
      <w:rPr>
        <w:rFonts w:hint="default"/>
      </w:rPr>
    </w:lvl>
    <w:lvl w:ilvl="5" w:tplc="5296CF88">
      <w:start w:val="1"/>
      <w:numFmt w:val="bullet"/>
      <w:lvlText w:val="•"/>
      <w:lvlJc w:val="left"/>
      <w:pPr>
        <w:ind w:left="5644" w:hanging="567"/>
      </w:pPr>
      <w:rPr>
        <w:rFonts w:hint="default"/>
      </w:rPr>
    </w:lvl>
    <w:lvl w:ilvl="6" w:tplc="12E07EA4">
      <w:start w:val="1"/>
      <w:numFmt w:val="bullet"/>
      <w:lvlText w:val="•"/>
      <w:lvlJc w:val="left"/>
      <w:pPr>
        <w:ind w:left="6501" w:hanging="567"/>
      </w:pPr>
      <w:rPr>
        <w:rFonts w:hint="default"/>
      </w:rPr>
    </w:lvl>
    <w:lvl w:ilvl="7" w:tplc="FF144BAA">
      <w:start w:val="1"/>
      <w:numFmt w:val="bullet"/>
      <w:lvlText w:val="•"/>
      <w:lvlJc w:val="left"/>
      <w:pPr>
        <w:ind w:left="7357" w:hanging="567"/>
      </w:pPr>
      <w:rPr>
        <w:rFonts w:hint="default"/>
      </w:rPr>
    </w:lvl>
    <w:lvl w:ilvl="8" w:tplc="19343FE8">
      <w:start w:val="1"/>
      <w:numFmt w:val="bullet"/>
      <w:lvlText w:val="•"/>
      <w:lvlJc w:val="left"/>
      <w:pPr>
        <w:ind w:left="8213" w:hanging="567"/>
      </w:pPr>
      <w:rPr>
        <w:rFonts w:hint="default"/>
      </w:rPr>
    </w:lvl>
  </w:abstractNum>
  <w:abstractNum w:abstractNumId="18" w15:restartNumberingAfterBreak="0">
    <w:nsid w:val="717E33BA"/>
    <w:multiLevelType w:val="multilevel"/>
    <w:tmpl w:val="19CCF85C"/>
    <w:lvl w:ilvl="0">
      <w:start w:val="1"/>
      <w:numFmt w:val="decimal"/>
      <w:pStyle w:val="1nummeriert"/>
      <w:lvlText w:val="%1."/>
      <w:lvlJc w:val="left"/>
      <w:pPr>
        <w:tabs>
          <w:tab w:val="num" w:pos="567"/>
        </w:tabs>
        <w:ind w:left="567" w:hanging="567"/>
      </w:pPr>
      <w:rPr>
        <w:rFonts w:hint="default"/>
      </w:rPr>
    </w:lvl>
    <w:lvl w:ilvl="1">
      <w:start w:val="1"/>
      <w:numFmt w:val="decimal"/>
      <w:pStyle w:val="2nummeriert"/>
      <w:lvlText w:val="%1.%2."/>
      <w:lvlJc w:val="left"/>
      <w:pPr>
        <w:ind w:left="936" w:hanging="936"/>
      </w:pPr>
      <w:rPr>
        <w:rFonts w:hint="default"/>
      </w:rPr>
    </w:lvl>
    <w:lvl w:ilvl="2">
      <w:start w:val="1"/>
      <w:numFmt w:val="decimal"/>
      <w:pStyle w:val="3nummeriert"/>
      <w:lvlText w:val="%1.%2.%3."/>
      <w:lvlJc w:val="left"/>
      <w:pPr>
        <w:ind w:left="1304" w:hanging="1304"/>
      </w:pPr>
      <w:rPr>
        <w:rFonts w:hint="default"/>
      </w:rPr>
    </w:lvl>
    <w:lvl w:ilvl="3">
      <w:start w:val="1"/>
      <w:numFmt w:val="decimal"/>
      <w:pStyle w:val="4nummeriert"/>
      <w:lvlText w:val="%1.%2.%3.%4."/>
      <w:lvlJc w:val="left"/>
      <w:pPr>
        <w:ind w:left="1673" w:hanging="1673"/>
      </w:pPr>
      <w:rPr>
        <w:rFonts w:hint="default"/>
      </w:rPr>
    </w:lvl>
    <w:lvl w:ilvl="4">
      <w:start w:val="1"/>
      <w:numFmt w:val="decimal"/>
      <w:pStyle w:val="5nummeriert"/>
      <w:lvlText w:val="%1.%2.%3.%4.%5."/>
      <w:lvlJc w:val="left"/>
      <w:pPr>
        <w:ind w:left="2041" w:hanging="2041"/>
      </w:pPr>
      <w:rPr>
        <w:rFonts w:hint="default"/>
      </w:rPr>
    </w:lvl>
    <w:lvl w:ilvl="5">
      <w:start w:val="1"/>
      <w:numFmt w:val="decimal"/>
      <w:lvlText w:val="%1.%2.%3.%4.%5.%6."/>
      <w:lvlJc w:val="left"/>
      <w:pPr>
        <w:ind w:left="2552" w:hanging="567"/>
      </w:pPr>
      <w:rPr>
        <w:rFonts w:hint="default"/>
      </w:rPr>
    </w:lvl>
    <w:lvl w:ilvl="6">
      <w:start w:val="1"/>
      <w:numFmt w:val="decimal"/>
      <w:lvlText w:val="%1.%2.%3.%4.%5.%6.%7."/>
      <w:lvlJc w:val="left"/>
      <w:pPr>
        <w:ind w:left="2949" w:hanging="567"/>
      </w:pPr>
      <w:rPr>
        <w:rFonts w:hint="default"/>
      </w:rPr>
    </w:lvl>
    <w:lvl w:ilvl="7">
      <w:start w:val="1"/>
      <w:numFmt w:val="decimal"/>
      <w:lvlText w:val="%1.%2.%3.%4.%5.%6.%7.%8."/>
      <w:lvlJc w:val="left"/>
      <w:pPr>
        <w:ind w:left="3346" w:hanging="567"/>
      </w:pPr>
      <w:rPr>
        <w:rFonts w:hint="default"/>
      </w:rPr>
    </w:lvl>
    <w:lvl w:ilvl="8">
      <w:start w:val="1"/>
      <w:numFmt w:val="decimal"/>
      <w:lvlText w:val="%1.%2.%3.%4.%5.%6.%7.%8.%9."/>
      <w:lvlJc w:val="left"/>
      <w:pPr>
        <w:ind w:left="3743" w:hanging="567"/>
      </w:pPr>
      <w:rPr>
        <w:rFonts w:hint="default"/>
      </w:rPr>
    </w:lvl>
  </w:abstractNum>
  <w:abstractNum w:abstractNumId="19" w15:restartNumberingAfterBreak="0">
    <w:nsid w:val="7EC810F4"/>
    <w:multiLevelType w:val="multilevel"/>
    <w:tmpl w:val="957A0DB6"/>
    <w:numStyleLink w:val="ATNummerierteListe"/>
  </w:abstractNum>
  <w:num w:numId="1">
    <w:abstractNumId w:val="18"/>
  </w:num>
  <w:num w:numId="2">
    <w:abstractNumId w:val="5"/>
  </w:num>
  <w:num w:numId="3">
    <w:abstractNumId w:val="13"/>
  </w:num>
  <w:num w:numId="4">
    <w:abstractNumId w:val="11"/>
  </w:num>
  <w:num w:numId="5">
    <w:abstractNumId w:val="2"/>
  </w:num>
  <w:num w:numId="6">
    <w:abstractNumId w:val="3"/>
  </w:num>
  <w:num w:numId="7">
    <w:abstractNumId w:val="2"/>
  </w:num>
  <w:num w:numId="8">
    <w:abstractNumId w:val="12"/>
  </w:num>
  <w:num w:numId="9">
    <w:abstractNumId w:val="14"/>
  </w:num>
  <w:num w:numId="10">
    <w:abstractNumId w:val="0"/>
  </w:num>
  <w:num w:numId="11">
    <w:abstractNumId w:val="5"/>
  </w:num>
  <w:num w:numId="12">
    <w:abstractNumId w:val="19"/>
  </w:num>
  <w:num w:numId="13">
    <w:abstractNumId w:val="7"/>
  </w:num>
  <w:num w:numId="14">
    <w:abstractNumId w:val="6"/>
  </w:num>
  <w:num w:numId="15">
    <w:abstractNumId w:val="17"/>
  </w:num>
  <w:num w:numId="16">
    <w:abstractNumId w:val="16"/>
  </w:num>
  <w:num w:numId="17">
    <w:abstractNumId w:val="15"/>
  </w:num>
  <w:num w:numId="18">
    <w:abstractNumId w:val="4"/>
  </w:num>
  <w:num w:numId="19">
    <w:abstractNumId w:val="10"/>
  </w:num>
  <w:num w:numId="20">
    <w:abstractNumId w:val="8"/>
  </w:num>
  <w:num w:numId="21">
    <w:abstractNumId w:val="9"/>
  </w:num>
  <w:num w:numId="22">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stylePaneFormatFilter w:val="5704" w:allStyles="0" w:customStyles="0" w:latentStyles="1" w:stylesInUse="0" w:headingStyles="0" w:numberingStyles="0" w:tableStyles="0" w:directFormattingOnRuns="1" w:directFormattingOnParagraphs="1" w:directFormattingOnNumbering="1" w:directFormattingOnTables="0" w:clearFormatting="1" w:top3HeadingStyles="0" w:visibleStyles="1" w:alternateStyleNames="0"/>
  <w:mailMerge>
    <w:mainDocumentType w:val="formLetters"/>
    <w:linkToQuery/>
    <w:dataType w:val="textFile"/>
    <w:connectString w:val=""/>
    <w:query w:val="SELECT * FROM C:\Users\vosedi\AppData\Local\Temp\Fabasoft\Data\Datasource_COO.3000.101.23.5508696.doc"/>
  </w:mailMerge>
  <w:styleLockQFSet/>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154"/>
    <w:rsid w:val="00000D66"/>
    <w:rsid w:val="0000588B"/>
    <w:rsid w:val="0000604D"/>
    <w:rsid w:val="00012163"/>
    <w:rsid w:val="000121D2"/>
    <w:rsid w:val="00012E9C"/>
    <w:rsid w:val="000151FD"/>
    <w:rsid w:val="000170E5"/>
    <w:rsid w:val="00026187"/>
    <w:rsid w:val="000265B0"/>
    <w:rsid w:val="00026B23"/>
    <w:rsid w:val="00027D72"/>
    <w:rsid w:val="000545D8"/>
    <w:rsid w:val="000560D3"/>
    <w:rsid w:val="00065D92"/>
    <w:rsid w:val="00082363"/>
    <w:rsid w:val="00093EE9"/>
    <w:rsid w:val="000B790A"/>
    <w:rsid w:val="000B7E84"/>
    <w:rsid w:val="000D0476"/>
    <w:rsid w:val="000D35A2"/>
    <w:rsid w:val="000D5488"/>
    <w:rsid w:val="000E5154"/>
    <w:rsid w:val="000F16DD"/>
    <w:rsid w:val="000F1DC8"/>
    <w:rsid w:val="000F36F6"/>
    <w:rsid w:val="000F3AFB"/>
    <w:rsid w:val="000F4620"/>
    <w:rsid w:val="000F5E09"/>
    <w:rsid w:val="000F61EE"/>
    <w:rsid w:val="00104BB0"/>
    <w:rsid w:val="0011172A"/>
    <w:rsid w:val="00117299"/>
    <w:rsid w:val="00125D58"/>
    <w:rsid w:val="00133039"/>
    <w:rsid w:val="00133BFA"/>
    <w:rsid w:val="001415B7"/>
    <w:rsid w:val="00142D13"/>
    <w:rsid w:val="001618EC"/>
    <w:rsid w:val="00170ABD"/>
    <w:rsid w:val="0017245E"/>
    <w:rsid w:val="00174099"/>
    <w:rsid w:val="001810F2"/>
    <w:rsid w:val="00196AEC"/>
    <w:rsid w:val="001A059C"/>
    <w:rsid w:val="001A0963"/>
    <w:rsid w:val="001A1E0F"/>
    <w:rsid w:val="001A2E32"/>
    <w:rsid w:val="001A7F6A"/>
    <w:rsid w:val="001B065A"/>
    <w:rsid w:val="001B0989"/>
    <w:rsid w:val="001B2613"/>
    <w:rsid w:val="001B478A"/>
    <w:rsid w:val="001C54D6"/>
    <w:rsid w:val="001D0C7D"/>
    <w:rsid w:val="001D29BD"/>
    <w:rsid w:val="001D4D7C"/>
    <w:rsid w:val="001D77B6"/>
    <w:rsid w:val="001E1434"/>
    <w:rsid w:val="001E40C9"/>
    <w:rsid w:val="001F2989"/>
    <w:rsid w:val="001F615E"/>
    <w:rsid w:val="001F64DC"/>
    <w:rsid w:val="001F6B64"/>
    <w:rsid w:val="002067BE"/>
    <w:rsid w:val="002073B6"/>
    <w:rsid w:val="00210601"/>
    <w:rsid w:val="002125AB"/>
    <w:rsid w:val="00213694"/>
    <w:rsid w:val="00222BA0"/>
    <w:rsid w:val="00223FCE"/>
    <w:rsid w:val="00234090"/>
    <w:rsid w:val="002400FC"/>
    <w:rsid w:val="00240305"/>
    <w:rsid w:val="002508A6"/>
    <w:rsid w:val="00256FD3"/>
    <w:rsid w:val="00266DFD"/>
    <w:rsid w:val="00271811"/>
    <w:rsid w:val="00271DF0"/>
    <w:rsid w:val="00274340"/>
    <w:rsid w:val="002747DF"/>
    <w:rsid w:val="00277C98"/>
    <w:rsid w:val="002814E0"/>
    <w:rsid w:val="00282C37"/>
    <w:rsid w:val="00290F64"/>
    <w:rsid w:val="00296AA0"/>
    <w:rsid w:val="002B3AFF"/>
    <w:rsid w:val="002B56E9"/>
    <w:rsid w:val="002B66BD"/>
    <w:rsid w:val="002D25D9"/>
    <w:rsid w:val="002D68BF"/>
    <w:rsid w:val="002E6967"/>
    <w:rsid w:val="002E7389"/>
    <w:rsid w:val="002E7E47"/>
    <w:rsid w:val="00301C6F"/>
    <w:rsid w:val="00330A07"/>
    <w:rsid w:val="00332581"/>
    <w:rsid w:val="0033569B"/>
    <w:rsid w:val="00345AB9"/>
    <w:rsid w:val="00347256"/>
    <w:rsid w:val="0035374F"/>
    <w:rsid w:val="00354E81"/>
    <w:rsid w:val="00356393"/>
    <w:rsid w:val="0036309F"/>
    <w:rsid w:val="003654D1"/>
    <w:rsid w:val="00371B6B"/>
    <w:rsid w:val="003735C6"/>
    <w:rsid w:val="0038210E"/>
    <w:rsid w:val="00384C0E"/>
    <w:rsid w:val="00387DC9"/>
    <w:rsid w:val="00390167"/>
    <w:rsid w:val="003927BF"/>
    <w:rsid w:val="003A18FA"/>
    <w:rsid w:val="003B07AA"/>
    <w:rsid w:val="003B0DDE"/>
    <w:rsid w:val="003B2721"/>
    <w:rsid w:val="003C23B4"/>
    <w:rsid w:val="003C2EE3"/>
    <w:rsid w:val="003C388E"/>
    <w:rsid w:val="003D5967"/>
    <w:rsid w:val="003D7191"/>
    <w:rsid w:val="003D75ED"/>
    <w:rsid w:val="003E375F"/>
    <w:rsid w:val="003E391A"/>
    <w:rsid w:val="003E3DC0"/>
    <w:rsid w:val="003E63E1"/>
    <w:rsid w:val="003E71F3"/>
    <w:rsid w:val="003F175E"/>
    <w:rsid w:val="003F3394"/>
    <w:rsid w:val="003F7A21"/>
    <w:rsid w:val="003F7C56"/>
    <w:rsid w:val="00400A03"/>
    <w:rsid w:val="00400D1B"/>
    <w:rsid w:val="004045F5"/>
    <w:rsid w:val="00412AAC"/>
    <w:rsid w:val="00417328"/>
    <w:rsid w:val="004175B6"/>
    <w:rsid w:val="00421E8E"/>
    <w:rsid w:val="00423944"/>
    <w:rsid w:val="00425A8B"/>
    <w:rsid w:val="004262C5"/>
    <w:rsid w:val="00426D48"/>
    <w:rsid w:val="0043665D"/>
    <w:rsid w:val="00444E70"/>
    <w:rsid w:val="00446742"/>
    <w:rsid w:val="00451BD5"/>
    <w:rsid w:val="00451F48"/>
    <w:rsid w:val="00453779"/>
    <w:rsid w:val="00462CF5"/>
    <w:rsid w:val="00464EF8"/>
    <w:rsid w:val="00466A88"/>
    <w:rsid w:val="004746C1"/>
    <w:rsid w:val="00474A5E"/>
    <w:rsid w:val="004761AB"/>
    <w:rsid w:val="00493C86"/>
    <w:rsid w:val="004A41FD"/>
    <w:rsid w:val="004B5DF0"/>
    <w:rsid w:val="004C265F"/>
    <w:rsid w:val="004D18E4"/>
    <w:rsid w:val="004D1FC9"/>
    <w:rsid w:val="004E01F9"/>
    <w:rsid w:val="004F184D"/>
    <w:rsid w:val="004F483A"/>
    <w:rsid w:val="004F5981"/>
    <w:rsid w:val="004F59DF"/>
    <w:rsid w:val="004F5B13"/>
    <w:rsid w:val="004F6111"/>
    <w:rsid w:val="004F6547"/>
    <w:rsid w:val="005004EA"/>
    <w:rsid w:val="00507579"/>
    <w:rsid w:val="00511B9D"/>
    <w:rsid w:val="005250FE"/>
    <w:rsid w:val="00525B28"/>
    <w:rsid w:val="00526183"/>
    <w:rsid w:val="00527049"/>
    <w:rsid w:val="00532B97"/>
    <w:rsid w:val="00532C0D"/>
    <w:rsid w:val="00532C8D"/>
    <w:rsid w:val="00537279"/>
    <w:rsid w:val="0054133F"/>
    <w:rsid w:val="00541508"/>
    <w:rsid w:val="00552A3C"/>
    <w:rsid w:val="0055417F"/>
    <w:rsid w:val="00555582"/>
    <w:rsid w:val="00555F6D"/>
    <w:rsid w:val="00556560"/>
    <w:rsid w:val="005578EA"/>
    <w:rsid w:val="005717DB"/>
    <w:rsid w:val="00572FF8"/>
    <w:rsid w:val="00582715"/>
    <w:rsid w:val="005A1223"/>
    <w:rsid w:val="005A1855"/>
    <w:rsid w:val="005A2F5E"/>
    <w:rsid w:val="005B05A9"/>
    <w:rsid w:val="005B46F5"/>
    <w:rsid w:val="005B510D"/>
    <w:rsid w:val="005B5865"/>
    <w:rsid w:val="005C2308"/>
    <w:rsid w:val="005C37AF"/>
    <w:rsid w:val="005C45A7"/>
    <w:rsid w:val="005C466F"/>
    <w:rsid w:val="005C5636"/>
    <w:rsid w:val="005C5863"/>
    <w:rsid w:val="005C6B61"/>
    <w:rsid w:val="005D1D40"/>
    <w:rsid w:val="005D7B09"/>
    <w:rsid w:val="005E5989"/>
    <w:rsid w:val="005E6927"/>
    <w:rsid w:val="005F2C9C"/>
    <w:rsid w:val="005F4C59"/>
    <w:rsid w:val="0060364E"/>
    <w:rsid w:val="00604B5A"/>
    <w:rsid w:val="00605D22"/>
    <w:rsid w:val="006078D7"/>
    <w:rsid w:val="0061273E"/>
    <w:rsid w:val="00616D83"/>
    <w:rsid w:val="00617A1C"/>
    <w:rsid w:val="00617F5D"/>
    <w:rsid w:val="00624592"/>
    <w:rsid w:val="00627D2A"/>
    <w:rsid w:val="00630F52"/>
    <w:rsid w:val="00632787"/>
    <w:rsid w:val="00633472"/>
    <w:rsid w:val="00634FC6"/>
    <w:rsid w:val="00641433"/>
    <w:rsid w:val="006430A7"/>
    <w:rsid w:val="0064319E"/>
    <w:rsid w:val="006466EB"/>
    <w:rsid w:val="00655FC0"/>
    <w:rsid w:val="0065681A"/>
    <w:rsid w:val="006641AA"/>
    <w:rsid w:val="00674F49"/>
    <w:rsid w:val="006822C9"/>
    <w:rsid w:val="0068343A"/>
    <w:rsid w:val="00684734"/>
    <w:rsid w:val="00684834"/>
    <w:rsid w:val="006873CC"/>
    <w:rsid w:val="006926D9"/>
    <w:rsid w:val="006A0D38"/>
    <w:rsid w:val="006A3D6E"/>
    <w:rsid w:val="006C017C"/>
    <w:rsid w:val="006C1011"/>
    <w:rsid w:val="006C67C5"/>
    <w:rsid w:val="006D473D"/>
    <w:rsid w:val="006E30F3"/>
    <w:rsid w:val="006E7430"/>
    <w:rsid w:val="006F6F0A"/>
    <w:rsid w:val="00700FB4"/>
    <w:rsid w:val="0070138E"/>
    <w:rsid w:val="0070380B"/>
    <w:rsid w:val="00703AC8"/>
    <w:rsid w:val="0070408A"/>
    <w:rsid w:val="0070572C"/>
    <w:rsid w:val="00706271"/>
    <w:rsid w:val="007123E3"/>
    <w:rsid w:val="00724228"/>
    <w:rsid w:val="00724A29"/>
    <w:rsid w:val="007276F5"/>
    <w:rsid w:val="00743745"/>
    <w:rsid w:val="00746986"/>
    <w:rsid w:val="00750143"/>
    <w:rsid w:val="0075619E"/>
    <w:rsid w:val="00763BA9"/>
    <w:rsid w:val="007673E1"/>
    <w:rsid w:val="007678E4"/>
    <w:rsid w:val="00774503"/>
    <w:rsid w:val="007750A2"/>
    <w:rsid w:val="00776BAB"/>
    <w:rsid w:val="00777093"/>
    <w:rsid w:val="00777C3C"/>
    <w:rsid w:val="00786674"/>
    <w:rsid w:val="00796503"/>
    <w:rsid w:val="007B1855"/>
    <w:rsid w:val="007C0CC9"/>
    <w:rsid w:val="007C3791"/>
    <w:rsid w:val="007C6688"/>
    <w:rsid w:val="007C739C"/>
    <w:rsid w:val="007D09DC"/>
    <w:rsid w:val="007D5948"/>
    <w:rsid w:val="007D6BF2"/>
    <w:rsid w:val="007D7905"/>
    <w:rsid w:val="007E2229"/>
    <w:rsid w:val="007F4BE0"/>
    <w:rsid w:val="007F691B"/>
    <w:rsid w:val="00805341"/>
    <w:rsid w:val="00806B0A"/>
    <w:rsid w:val="0081129A"/>
    <w:rsid w:val="008219A4"/>
    <w:rsid w:val="00823D6C"/>
    <w:rsid w:val="0083299F"/>
    <w:rsid w:val="0084178B"/>
    <w:rsid w:val="00845356"/>
    <w:rsid w:val="00851704"/>
    <w:rsid w:val="008531FD"/>
    <w:rsid w:val="00865DF7"/>
    <w:rsid w:val="00871149"/>
    <w:rsid w:val="00871C98"/>
    <w:rsid w:val="00874C84"/>
    <w:rsid w:val="00881B64"/>
    <w:rsid w:val="00883127"/>
    <w:rsid w:val="00890763"/>
    <w:rsid w:val="00896A97"/>
    <w:rsid w:val="00897AE5"/>
    <w:rsid w:val="008A58EF"/>
    <w:rsid w:val="008A6DF3"/>
    <w:rsid w:val="008A7818"/>
    <w:rsid w:val="008B003C"/>
    <w:rsid w:val="008C3032"/>
    <w:rsid w:val="008C30AD"/>
    <w:rsid w:val="008C5B56"/>
    <w:rsid w:val="008D5EC2"/>
    <w:rsid w:val="008D65EE"/>
    <w:rsid w:val="008F55E4"/>
    <w:rsid w:val="00900E0E"/>
    <w:rsid w:val="009011B4"/>
    <w:rsid w:val="009053E4"/>
    <w:rsid w:val="00920D0A"/>
    <w:rsid w:val="00927708"/>
    <w:rsid w:val="00932E3B"/>
    <w:rsid w:val="009408F4"/>
    <w:rsid w:val="0095393D"/>
    <w:rsid w:val="0096043E"/>
    <w:rsid w:val="00966BA8"/>
    <w:rsid w:val="00973F5F"/>
    <w:rsid w:val="009740D5"/>
    <w:rsid w:val="009753E9"/>
    <w:rsid w:val="00981E40"/>
    <w:rsid w:val="00990336"/>
    <w:rsid w:val="00990D48"/>
    <w:rsid w:val="009938F2"/>
    <w:rsid w:val="00996A6D"/>
    <w:rsid w:val="00996D2E"/>
    <w:rsid w:val="00997DBD"/>
    <w:rsid w:val="009B1D92"/>
    <w:rsid w:val="009B2F57"/>
    <w:rsid w:val="009B40DE"/>
    <w:rsid w:val="009B6A3E"/>
    <w:rsid w:val="009B7F6F"/>
    <w:rsid w:val="009C19D1"/>
    <w:rsid w:val="009C5ECB"/>
    <w:rsid w:val="009D1D2D"/>
    <w:rsid w:val="009D2CF1"/>
    <w:rsid w:val="009D3432"/>
    <w:rsid w:val="009D6C44"/>
    <w:rsid w:val="009E2D99"/>
    <w:rsid w:val="009E73E3"/>
    <w:rsid w:val="009F23D1"/>
    <w:rsid w:val="009F3DA5"/>
    <w:rsid w:val="00A06925"/>
    <w:rsid w:val="00A25C68"/>
    <w:rsid w:val="00A26175"/>
    <w:rsid w:val="00A266CE"/>
    <w:rsid w:val="00A2745F"/>
    <w:rsid w:val="00A30CB0"/>
    <w:rsid w:val="00A3316F"/>
    <w:rsid w:val="00A35318"/>
    <w:rsid w:val="00A40255"/>
    <w:rsid w:val="00A45DA0"/>
    <w:rsid w:val="00A56050"/>
    <w:rsid w:val="00A601DC"/>
    <w:rsid w:val="00A63FD3"/>
    <w:rsid w:val="00A70D68"/>
    <w:rsid w:val="00A8116A"/>
    <w:rsid w:val="00A84DC1"/>
    <w:rsid w:val="00A8602E"/>
    <w:rsid w:val="00A96B16"/>
    <w:rsid w:val="00A97637"/>
    <w:rsid w:val="00AA0F7B"/>
    <w:rsid w:val="00AB37B5"/>
    <w:rsid w:val="00AC12D9"/>
    <w:rsid w:val="00AC1B4A"/>
    <w:rsid w:val="00AC36E1"/>
    <w:rsid w:val="00AC3876"/>
    <w:rsid w:val="00AC4029"/>
    <w:rsid w:val="00AC43E1"/>
    <w:rsid w:val="00AC6BAB"/>
    <w:rsid w:val="00AD1534"/>
    <w:rsid w:val="00AD2597"/>
    <w:rsid w:val="00AD3E22"/>
    <w:rsid w:val="00AD700E"/>
    <w:rsid w:val="00AE2B25"/>
    <w:rsid w:val="00AE34A8"/>
    <w:rsid w:val="00AF312F"/>
    <w:rsid w:val="00AF39F1"/>
    <w:rsid w:val="00AF4465"/>
    <w:rsid w:val="00AF6B14"/>
    <w:rsid w:val="00B01E38"/>
    <w:rsid w:val="00B06626"/>
    <w:rsid w:val="00B13740"/>
    <w:rsid w:val="00B17D9B"/>
    <w:rsid w:val="00B236A6"/>
    <w:rsid w:val="00B2519C"/>
    <w:rsid w:val="00B30DAF"/>
    <w:rsid w:val="00B33321"/>
    <w:rsid w:val="00B3374C"/>
    <w:rsid w:val="00B410E5"/>
    <w:rsid w:val="00B43D4D"/>
    <w:rsid w:val="00B449AD"/>
    <w:rsid w:val="00B461D7"/>
    <w:rsid w:val="00B463C6"/>
    <w:rsid w:val="00B53A1C"/>
    <w:rsid w:val="00B53B3A"/>
    <w:rsid w:val="00B541B8"/>
    <w:rsid w:val="00B61B48"/>
    <w:rsid w:val="00B62A0C"/>
    <w:rsid w:val="00B6682D"/>
    <w:rsid w:val="00B6715C"/>
    <w:rsid w:val="00B71719"/>
    <w:rsid w:val="00B719AA"/>
    <w:rsid w:val="00B72D79"/>
    <w:rsid w:val="00B83A72"/>
    <w:rsid w:val="00B84EB5"/>
    <w:rsid w:val="00B92280"/>
    <w:rsid w:val="00B9240C"/>
    <w:rsid w:val="00B93113"/>
    <w:rsid w:val="00BA0364"/>
    <w:rsid w:val="00BB0A97"/>
    <w:rsid w:val="00BB3F91"/>
    <w:rsid w:val="00BB5E30"/>
    <w:rsid w:val="00BD5DED"/>
    <w:rsid w:val="00BE0BD1"/>
    <w:rsid w:val="00BE4CA6"/>
    <w:rsid w:val="00BE4F95"/>
    <w:rsid w:val="00BE65F2"/>
    <w:rsid w:val="00BF439F"/>
    <w:rsid w:val="00BF575F"/>
    <w:rsid w:val="00C01127"/>
    <w:rsid w:val="00C03418"/>
    <w:rsid w:val="00C151F2"/>
    <w:rsid w:val="00C17CAB"/>
    <w:rsid w:val="00C201D3"/>
    <w:rsid w:val="00C209EC"/>
    <w:rsid w:val="00C256C8"/>
    <w:rsid w:val="00C27FFC"/>
    <w:rsid w:val="00C31F58"/>
    <w:rsid w:val="00C414AC"/>
    <w:rsid w:val="00C43AAD"/>
    <w:rsid w:val="00C558C2"/>
    <w:rsid w:val="00C61C4B"/>
    <w:rsid w:val="00C651D4"/>
    <w:rsid w:val="00C673FD"/>
    <w:rsid w:val="00C75EC2"/>
    <w:rsid w:val="00C80A55"/>
    <w:rsid w:val="00C82287"/>
    <w:rsid w:val="00C84E83"/>
    <w:rsid w:val="00C90D12"/>
    <w:rsid w:val="00CB16E7"/>
    <w:rsid w:val="00CB1842"/>
    <w:rsid w:val="00CB255E"/>
    <w:rsid w:val="00CB25FB"/>
    <w:rsid w:val="00CC0243"/>
    <w:rsid w:val="00CC4E05"/>
    <w:rsid w:val="00CC7051"/>
    <w:rsid w:val="00CC7543"/>
    <w:rsid w:val="00CC7E9B"/>
    <w:rsid w:val="00CE25EE"/>
    <w:rsid w:val="00CE3B94"/>
    <w:rsid w:val="00CE6CB2"/>
    <w:rsid w:val="00CF0F1F"/>
    <w:rsid w:val="00CF3EA6"/>
    <w:rsid w:val="00CF6DD0"/>
    <w:rsid w:val="00D03F50"/>
    <w:rsid w:val="00D04E44"/>
    <w:rsid w:val="00D12BF6"/>
    <w:rsid w:val="00D12F4A"/>
    <w:rsid w:val="00D2124E"/>
    <w:rsid w:val="00D23B84"/>
    <w:rsid w:val="00D25848"/>
    <w:rsid w:val="00D27E4A"/>
    <w:rsid w:val="00D30786"/>
    <w:rsid w:val="00D30D37"/>
    <w:rsid w:val="00D32D0F"/>
    <w:rsid w:val="00D3584F"/>
    <w:rsid w:val="00D41666"/>
    <w:rsid w:val="00D46572"/>
    <w:rsid w:val="00D4713D"/>
    <w:rsid w:val="00D47811"/>
    <w:rsid w:val="00D47EAB"/>
    <w:rsid w:val="00D51100"/>
    <w:rsid w:val="00D54626"/>
    <w:rsid w:val="00D62679"/>
    <w:rsid w:val="00D6491E"/>
    <w:rsid w:val="00D77C9B"/>
    <w:rsid w:val="00D77FC3"/>
    <w:rsid w:val="00D80816"/>
    <w:rsid w:val="00D86D59"/>
    <w:rsid w:val="00D95DFE"/>
    <w:rsid w:val="00D97FAA"/>
    <w:rsid w:val="00DA0660"/>
    <w:rsid w:val="00DA7002"/>
    <w:rsid w:val="00DB2194"/>
    <w:rsid w:val="00DB60F3"/>
    <w:rsid w:val="00DC0005"/>
    <w:rsid w:val="00DD32CF"/>
    <w:rsid w:val="00DE0531"/>
    <w:rsid w:val="00DE21EC"/>
    <w:rsid w:val="00DE67C1"/>
    <w:rsid w:val="00DF02B4"/>
    <w:rsid w:val="00DF3085"/>
    <w:rsid w:val="00DF3A35"/>
    <w:rsid w:val="00E0184C"/>
    <w:rsid w:val="00E07E46"/>
    <w:rsid w:val="00E15A7F"/>
    <w:rsid w:val="00E20D01"/>
    <w:rsid w:val="00E23127"/>
    <w:rsid w:val="00E24344"/>
    <w:rsid w:val="00E24C38"/>
    <w:rsid w:val="00E24C7F"/>
    <w:rsid w:val="00E34D71"/>
    <w:rsid w:val="00E36F08"/>
    <w:rsid w:val="00E4350C"/>
    <w:rsid w:val="00E558CC"/>
    <w:rsid w:val="00E61C89"/>
    <w:rsid w:val="00E70002"/>
    <w:rsid w:val="00E7122B"/>
    <w:rsid w:val="00E7268F"/>
    <w:rsid w:val="00E74092"/>
    <w:rsid w:val="00E82648"/>
    <w:rsid w:val="00E82917"/>
    <w:rsid w:val="00E8370B"/>
    <w:rsid w:val="00E83963"/>
    <w:rsid w:val="00E90D57"/>
    <w:rsid w:val="00EA6936"/>
    <w:rsid w:val="00EA780C"/>
    <w:rsid w:val="00EB00EE"/>
    <w:rsid w:val="00EC01EB"/>
    <w:rsid w:val="00EC57AC"/>
    <w:rsid w:val="00ED31EF"/>
    <w:rsid w:val="00ED3636"/>
    <w:rsid w:val="00ED586D"/>
    <w:rsid w:val="00EE1C95"/>
    <w:rsid w:val="00EE50CB"/>
    <w:rsid w:val="00EF4F07"/>
    <w:rsid w:val="00F00B03"/>
    <w:rsid w:val="00F04B82"/>
    <w:rsid w:val="00F07526"/>
    <w:rsid w:val="00F07CBB"/>
    <w:rsid w:val="00F163EA"/>
    <w:rsid w:val="00F20912"/>
    <w:rsid w:val="00F2586A"/>
    <w:rsid w:val="00F267D1"/>
    <w:rsid w:val="00F26F7A"/>
    <w:rsid w:val="00F3004A"/>
    <w:rsid w:val="00F30B6B"/>
    <w:rsid w:val="00F3370E"/>
    <w:rsid w:val="00F351CD"/>
    <w:rsid w:val="00F36810"/>
    <w:rsid w:val="00F50FD3"/>
    <w:rsid w:val="00F56A20"/>
    <w:rsid w:val="00F57F7C"/>
    <w:rsid w:val="00F71313"/>
    <w:rsid w:val="00F71415"/>
    <w:rsid w:val="00F73C34"/>
    <w:rsid w:val="00F75835"/>
    <w:rsid w:val="00F7778D"/>
    <w:rsid w:val="00F77B36"/>
    <w:rsid w:val="00F85946"/>
    <w:rsid w:val="00F878A5"/>
    <w:rsid w:val="00F9027D"/>
    <w:rsid w:val="00FA2FE3"/>
    <w:rsid w:val="00FA611B"/>
    <w:rsid w:val="00FA792B"/>
    <w:rsid w:val="00FB29A7"/>
    <w:rsid w:val="00FB506D"/>
    <w:rsid w:val="00FB5B9F"/>
    <w:rsid w:val="00FB788A"/>
    <w:rsid w:val="00FC2D14"/>
    <w:rsid w:val="00FC4882"/>
    <w:rsid w:val="00FC4CC4"/>
    <w:rsid w:val="00FC5AC6"/>
    <w:rsid w:val="00FC7FF8"/>
    <w:rsid w:val="00FE3D80"/>
    <w:rsid w:val="00FE50BF"/>
    <w:rsid w:val="00FF7976"/>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496E524"/>
  <w15:chartTrackingRefBased/>
  <w15:docId w15:val="{4DDB0377-307C-4BA8-81AB-C12315C36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de-DE" w:eastAsia="en-US" w:bidi="ar-SA"/>
      </w:rPr>
    </w:rPrDefault>
    <w:pPrDefault>
      <w:pPr>
        <w:spacing w:after="360" w:line="300" w:lineRule="auto"/>
      </w:pPr>
    </w:pPrDefault>
  </w:docDefaults>
  <w:latentStyles w:defLockedState="0" w:defUIPriority="99" w:defSemiHidden="0" w:defUnhideWhenUsed="0" w:defQFormat="0" w:count="371">
    <w:lsdException w:name="Normal" w:uiPriority="0" w:qFormat="1"/>
    <w:lsdException w:name="heading 1" w:uiPriority="2" w:qFormat="1"/>
    <w:lsdException w:name="heading 2" w:semiHidden="1" w:uiPriority="2" w:unhideWhenUsed="1" w:qFormat="1"/>
    <w:lsdException w:name="heading 3" w:semiHidden="1" w:uiPriority="2" w:unhideWhenUsed="1"/>
    <w:lsdException w:name="heading 4" w:semiHidden="1" w:uiPriority="2" w:unhideWhenUsed="1"/>
    <w:lsdException w:name="heading 5" w:semiHidden="1" w:uiPriority="2" w:unhideWhenUsed="1"/>
    <w:lsdException w:name="heading 6" w:semiHidden="1" w:uiPriority="2" w:unhideWhenUsed="1" w:qFormat="1"/>
    <w:lsdException w:name="heading 7" w:semiHidden="1" w:uiPriority="2" w:unhideWhenUsed="1" w:qFormat="1"/>
    <w:lsdException w:name="heading 8" w:semiHidden="1" w:uiPriority="2" w:unhideWhenUsed="1" w:qFormat="1"/>
    <w:lsdException w:name="heading 9" w:semiHidden="1" w:uiPriority="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iPriority="57" w:unhideWhenUsed="1"/>
    <w:lsdException w:name="annotation text" w:semiHidden="1" w:unhideWhenUsed="1"/>
    <w:lsdException w:name="header" w:semiHidden="1" w:unhideWhenUsed="1"/>
    <w:lsdException w:name="footer" w:semiHidden="1" w:uiPriority="57" w:unhideWhenUsed="1"/>
    <w:lsdException w:name="index heading" w:semiHidden="1" w:unhideWhenUsed="1"/>
    <w:lsdException w:name="caption" w:semiHidden="1" w:uiPriority="5" w:unhideWhenUsed="1" w:qFormat="1"/>
    <w:lsdException w:name="table of figures" w:semiHidden="1" w:uiPriority="4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 w:unhideWhenUsed="1" w:qFormat="1"/>
    <w:lsdException w:name="List Number" w:semiHidden="1" w:uiPriority="1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0" w:unhideWhenUsed="1" w:qFormat="1"/>
    <w:lsdException w:name="List Bullet 3" w:semiHidden="1" w:uiPriority="10" w:unhideWhenUsed="1" w:qFormat="1"/>
    <w:lsdException w:name="List Bullet 4" w:semiHidden="1" w:uiPriority="10" w:unhideWhenUsed="1"/>
    <w:lsdException w:name="List Bullet 5" w:semiHidden="1" w:uiPriority="10" w:unhideWhenUsed="1"/>
    <w:lsdException w:name="List Number 2" w:semiHidden="1" w:uiPriority="12" w:unhideWhenUsed="1" w:qFormat="1"/>
    <w:lsdException w:name="List Number 3" w:semiHidden="1" w:uiPriority="12" w:unhideWhenUsed="1"/>
    <w:lsdException w:name="List Number 4" w:semiHidden="1" w:uiPriority="12" w:unhideWhenUsed="1"/>
    <w:lsdException w:name="List Number 5" w:semiHidden="1" w:uiPriority="12" w:unhideWhenUsed="1"/>
    <w:lsdException w:name="Title" w:uiPriority="29"/>
    <w:lsdException w:name="Closing" w:semiHidden="1" w:uiPriority="46" w:unhideWhenUsed="1" w:qFormat="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iPriority="13" w:unhideWhenUsed="1" w:qFormat="1"/>
    <w:lsdException w:name="List Continue 2" w:semiHidden="1" w:uiPriority="14" w:unhideWhenUsed="1" w:qFormat="1"/>
    <w:lsdException w:name="List Continue 3" w:semiHidden="1" w:uiPriority="14" w:unhideWhenUsed="1"/>
    <w:lsdException w:name="List Continue 4" w:semiHidden="1" w:uiPriority="14"/>
    <w:lsdException w:name="List Continue 5" w:semiHidden="1" w:uiPriority="14"/>
    <w:lsdException w:name="Message Header" w:semiHidden="1" w:unhideWhenUsed="1"/>
    <w:lsdException w:name="Subtitle" w:uiPriority="29"/>
    <w:lsdException w:name="Salutation" w:semiHidden="1"/>
    <w:lsdException w:name="Date"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59" w:unhideWhenUsed="1" w:qFormat="1"/>
    <w:lsdException w:name="FollowedHyperlink" w:semiHidden="1" w:unhideWhenUsed="1"/>
    <w:lsdException w:name="Strong" w:uiPriority="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54"/>
    <w:lsdException w:name="Quote" w:uiPriority="2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Intense Emphasis" w:uiPriority="21"/>
    <w:lsdException w:name="Subtle Reference" w:uiPriority="31"/>
    <w:lsdException w:name="Intense Reference" w:uiPriority="32"/>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7B09"/>
    <w:pPr>
      <w:suppressAutoHyphens/>
    </w:pPr>
  </w:style>
  <w:style w:type="paragraph" w:styleId="Heading1">
    <w:name w:val="heading 1"/>
    <w:aliases w:val="Ü1"/>
    <w:basedOn w:val="Normal"/>
    <w:next w:val="Normal"/>
    <w:link w:val="Heading1Char"/>
    <w:uiPriority w:val="2"/>
    <w:semiHidden/>
    <w:qFormat/>
    <w:rsid w:val="00786674"/>
    <w:pPr>
      <w:keepNext/>
      <w:pageBreakBefore/>
      <w:spacing w:after="690" w:line="690" w:lineRule="exact"/>
      <w:outlineLvl w:val="0"/>
    </w:pPr>
    <w:rPr>
      <w:rFonts w:asciiTheme="majorHAnsi" w:hAnsiTheme="majorHAnsi"/>
      <w:bCs/>
      <w:color w:val="E1320F" w:themeColor="text2"/>
      <w:sz w:val="56"/>
      <w:szCs w:val="22"/>
    </w:rPr>
  </w:style>
  <w:style w:type="paragraph" w:styleId="Heading2">
    <w:name w:val="heading 2"/>
    <w:aliases w:val="Ü2"/>
    <w:basedOn w:val="Heading1"/>
    <w:next w:val="Normal"/>
    <w:link w:val="Heading2Char"/>
    <w:uiPriority w:val="2"/>
    <w:rsid w:val="00786674"/>
    <w:pPr>
      <w:pageBreakBefore w:val="0"/>
      <w:spacing w:before="360" w:after="360" w:line="264" w:lineRule="auto"/>
      <w:outlineLvl w:val="1"/>
    </w:pPr>
    <w:rPr>
      <w:b/>
      <w:color w:val="auto"/>
      <w:sz w:val="28"/>
    </w:rPr>
  </w:style>
  <w:style w:type="paragraph" w:styleId="Heading3">
    <w:name w:val="heading 3"/>
    <w:aliases w:val="Ü3"/>
    <w:basedOn w:val="Heading2"/>
    <w:next w:val="Normal"/>
    <w:link w:val="Heading3Char"/>
    <w:uiPriority w:val="2"/>
    <w:rsid w:val="00786674"/>
    <w:pPr>
      <w:spacing w:after="0" w:line="288" w:lineRule="auto"/>
      <w:outlineLvl w:val="2"/>
    </w:pPr>
    <w:rPr>
      <w:sz w:val="25"/>
    </w:rPr>
  </w:style>
  <w:style w:type="paragraph" w:styleId="Heading4">
    <w:name w:val="heading 4"/>
    <w:aliases w:val="Ü4"/>
    <w:basedOn w:val="Heading3"/>
    <w:next w:val="Normal"/>
    <w:link w:val="Heading4Char"/>
    <w:uiPriority w:val="2"/>
    <w:semiHidden/>
    <w:rsid w:val="00786674"/>
    <w:pPr>
      <w:outlineLvl w:val="3"/>
    </w:pPr>
    <w:rPr>
      <w:sz w:val="23"/>
    </w:rPr>
  </w:style>
  <w:style w:type="paragraph" w:styleId="Heading5">
    <w:name w:val="heading 5"/>
    <w:aliases w:val="Ü5"/>
    <w:basedOn w:val="Heading4"/>
    <w:next w:val="Normal"/>
    <w:link w:val="Heading5Char"/>
    <w:uiPriority w:val="2"/>
    <w:semiHidden/>
    <w:rsid w:val="00786674"/>
    <w:pPr>
      <w:outlineLvl w:val="4"/>
    </w:pPr>
    <w:rPr>
      <w:b w:val="0"/>
      <w:color w:val="4D4D4D"/>
    </w:rPr>
  </w:style>
  <w:style w:type="paragraph" w:styleId="Heading6">
    <w:name w:val="heading 6"/>
    <w:basedOn w:val="Normal"/>
    <w:next w:val="Normal"/>
    <w:link w:val="Heading6Char"/>
    <w:uiPriority w:val="2"/>
    <w:semiHidden/>
    <w:qFormat/>
    <w:rsid w:val="00786674"/>
    <w:pPr>
      <w:pBdr>
        <w:bottom w:val="dotted" w:sz="6" w:space="1" w:color="CA0237" w:themeColor="accent1"/>
      </w:pBdr>
      <w:spacing w:before="300" w:after="0"/>
      <w:outlineLvl w:val="5"/>
    </w:pPr>
    <w:rPr>
      <w:caps/>
      <w:color w:val="970128" w:themeColor="accent1" w:themeShade="BF"/>
      <w:spacing w:val="10"/>
      <w:szCs w:val="22"/>
    </w:rPr>
  </w:style>
  <w:style w:type="paragraph" w:styleId="Heading7">
    <w:name w:val="heading 7"/>
    <w:basedOn w:val="Normal"/>
    <w:next w:val="Normal"/>
    <w:link w:val="Heading7Char"/>
    <w:uiPriority w:val="2"/>
    <w:semiHidden/>
    <w:qFormat/>
    <w:rsid w:val="00786674"/>
    <w:pPr>
      <w:spacing w:before="300" w:after="0"/>
      <w:outlineLvl w:val="6"/>
    </w:pPr>
    <w:rPr>
      <w:caps/>
      <w:color w:val="970128" w:themeColor="accent1" w:themeShade="BF"/>
      <w:spacing w:val="10"/>
      <w:szCs w:val="22"/>
    </w:rPr>
  </w:style>
  <w:style w:type="paragraph" w:styleId="Heading8">
    <w:name w:val="heading 8"/>
    <w:basedOn w:val="Normal"/>
    <w:next w:val="Normal"/>
    <w:link w:val="Heading8Char"/>
    <w:uiPriority w:val="2"/>
    <w:semiHidden/>
    <w:qFormat/>
    <w:rsid w:val="00786674"/>
    <w:pPr>
      <w:spacing w:before="300" w:after="0"/>
      <w:outlineLvl w:val="7"/>
    </w:pPr>
    <w:rPr>
      <w:caps/>
      <w:spacing w:val="10"/>
      <w:sz w:val="18"/>
      <w:szCs w:val="18"/>
    </w:rPr>
  </w:style>
  <w:style w:type="paragraph" w:styleId="Heading9">
    <w:name w:val="heading 9"/>
    <w:basedOn w:val="Normal"/>
    <w:next w:val="Normal"/>
    <w:link w:val="Heading9Char"/>
    <w:uiPriority w:val="2"/>
    <w:semiHidden/>
    <w:qFormat/>
    <w:rsid w:val="00786674"/>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endedaten">
    <w:name w:val="Absendedaten"/>
    <w:basedOn w:val="NoSpacing"/>
    <w:uiPriority w:val="49"/>
    <w:qFormat/>
    <w:rsid w:val="00786674"/>
    <w:pPr>
      <w:spacing w:line="240" w:lineRule="exact"/>
    </w:pPr>
    <w:rPr>
      <w:sz w:val="18"/>
      <w:szCs w:val="16"/>
    </w:rPr>
  </w:style>
  <w:style w:type="paragraph" w:styleId="TOC1">
    <w:name w:val="toc 1"/>
    <w:basedOn w:val="Normal"/>
    <w:next w:val="Normal"/>
    <w:autoRedefine/>
    <w:uiPriority w:val="39"/>
    <w:semiHidden/>
    <w:rsid w:val="00786674"/>
    <w:pPr>
      <w:tabs>
        <w:tab w:val="left" w:pos="284"/>
        <w:tab w:val="right" w:leader="dot" w:pos="7297"/>
      </w:tabs>
      <w:spacing w:after="156"/>
    </w:pPr>
    <w:rPr>
      <w:color w:val="E1320F" w:themeColor="text2"/>
    </w:rPr>
  </w:style>
  <w:style w:type="paragraph" w:styleId="Footer">
    <w:name w:val="footer"/>
    <w:basedOn w:val="Normal"/>
    <w:link w:val="FooterChar"/>
    <w:uiPriority w:val="57"/>
    <w:rsid w:val="00786674"/>
    <w:pPr>
      <w:spacing w:after="0"/>
      <w:jc w:val="right"/>
    </w:pPr>
    <w:rPr>
      <w:sz w:val="18"/>
      <w:szCs w:val="15"/>
    </w:rPr>
  </w:style>
  <w:style w:type="character" w:customStyle="1" w:styleId="FooterChar">
    <w:name w:val="Footer Char"/>
    <w:basedOn w:val="DefaultParagraphFont"/>
    <w:link w:val="Footer"/>
    <w:uiPriority w:val="57"/>
    <w:rsid w:val="00786674"/>
    <w:rPr>
      <w:sz w:val="18"/>
      <w:szCs w:val="15"/>
    </w:rPr>
  </w:style>
  <w:style w:type="paragraph" w:styleId="NoSpacing">
    <w:name w:val="No Spacing"/>
    <w:basedOn w:val="Normal"/>
    <w:link w:val="NoSpacingChar"/>
    <w:qFormat/>
    <w:rsid w:val="00786674"/>
    <w:pPr>
      <w:spacing w:after="0"/>
    </w:pPr>
  </w:style>
  <w:style w:type="character" w:customStyle="1" w:styleId="Heading1Char">
    <w:name w:val="Heading 1 Char"/>
    <w:aliases w:val="Ü1 Char"/>
    <w:basedOn w:val="DefaultParagraphFont"/>
    <w:link w:val="Heading1"/>
    <w:uiPriority w:val="2"/>
    <w:semiHidden/>
    <w:rsid w:val="00786674"/>
    <w:rPr>
      <w:rFonts w:asciiTheme="majorHAnsi" w:hAnsiTheme="majorHAnsi"/>
      <w:bCs/>
      <w:color w:val="E1320F" w:themeColor="text2"/>
      <w:sz w:val="56"/>
      <w:szCs w:val="22"/>
    </w:rPr>
  </w:style>
  <w:style w:type="character" w:customStyle="1" w:styleId="Heading2Char">
    <w:name w:val="Heading 2 Char"/>
    <w:aliases w:val="Ü2 Char"/>
    <w:basedOn w:val="DefaultParagraphFont"/>
    <w:link w:val="Heading2"/>
    <w:uiPriority w:val="2"/>
    <w:rsid w:val="00786674"/>
    <w:rPr>
      <w:rFonts w:asciiTheme="majorHAnsi" w:hAnsiTheme="majorHAnsi"/>
      <w:b/>
      <w:bCs/>
      <w:sz w:val="28"/>
      <w:szCs w:val="22"/>
    </w:rPr>
  </w:style>
  <w:style w:type="character" w:customStyle="1" w:styleId="Heading3Char">
    <w:name w:val="Heading 3 Char"/>
    <w:aliases w:val="Ü3 Char"/>
    <w:basedOn w:val="DefaultParagraphFont"/>
    <w:link w:val="Heading3"/>
    <w:uiPriority w:val="2"/>
    <w:rsid w:val="00786674"/>
    <w:rPr>
      <w:rFonts w:asciiTheme="majorHAnsi" w:hAnsiTheme="majorHAnsi"/>
      <w:b/>
      <w:bCs/>
      <w:sz w:val="25"/>
      <w:szCs w:val="22"/>
    </w:rPr>
  </w:style>
  <w:style w:type="character" w:customStyle="1" w:styleId="Heading4Char">
    <w:name w:val="Heading 4 Char"/>
    <w:aliases w:val="Ü4 Char"/>
    <w:basedOn w:val="DefaultParagraphFont"/>
    <w:link w:val="Heading4"/>
    <w:uiPriority w:val="2"/>
    <w:semiHidden/>
    <w:rsid w:val="00786674"/>
    <w:rPr>
      <w:rFonts w:asciiTheme="majorHAnsi" w:hAnsiTheme="majorHAnsi"/>
      <w:b/>
      <w:bCs/>
      <w:sz w:val="23"/>
      <w:szCs w:val="22"/>
    </w:rPr>
  </w:style>
  <w:style w:type="character" w:customStyle="1" w:styleId="Heading5Char">
    <w:name w:val="Heading 5 Char"/>
    <w:aliases w:val="Ü5 Char"/>
    <w:basedOn w:val="DefaultParagraphFont"/>
    <w:link w:val="Heading5"/>
    <w:uiPriority w:val="2"/>
    <w:semiHidden/>
    <w:rsid w:val="00786674"/>
    <w:rPr>
      <w:rFonts w:asciiTheme="majorHAnsi" w:hAnsiTheme="majorHAnsi"/>
      <w:bCs/>
      <w:color w:val="4D4D4D"/>
      <w:sz w:val="23"/>
      <w:szCs w:val="22"/>
    </w:rPr>
  </w:style>
  <w:style w:type="character" w:customStyle="1" w:styleId="Heading6Char">
    <w:name w:val="Heading 6 Char"/>
    <w:basedOn w:val="DefaultParagraphFont"/>
    <w:link w:val="Heading6"/>
    <w:uiPriority w:val="2"/>
    <w:semiHidden/>
    <w:rsid w:val="00786674"/>
    <w:rPr>
      <w:caps/>
      <w:color w:val="970128" w:themeColor="accent1" w:themeShade="BF"/>
      <w:spacing w:val="10"/>
      <w:szCs w:val="22"/>
    </w:rPr>
  </w:style>
  <w:style w:type="character" w:customStyle="1" w:styleId="Heading7Char">
    <w:name w:val="Heading 7 Char"/>
    <w:basedOn w:val="DefaultParagraphFont"/>
    <w:link w:val="Heading7"/>
    <w:uiPriority w:val="2"/>
    <w:semiHidden/>
    <w:rsid w:val="00786674"/>
    <w:rPr>
      <w:caps/>
      <w:color w:val="970128" w:themeColor="accent1" w:themeShade="BF"/>
      <w:spacing w:val="10"/>
      <w:szCs w:val="22"/>
    </w:rPr>
  </w:style>
  <w:style w:type="character" w:customStyle="1" w:styleId="Heading8Char">
    <w:name w:val="Heading 8 Char"/>
    <w:basedOn w:val="DefaultParagraphFont"/>
    <w:link w:val="Heading8"/>
    <w:uiPriority w:val="2"/>
    <w:semiHidden/>
    <w:rsid w:val="00786674"/>
    <w:rPr>
      <w:caps/>
      <w:spacing w:val="10"/>
      <w:sz w:val="18"/>
      <w:szCs w:val="18"/>
    </w:rPr>
  </w:style>
  <w:style w:type="character" w:customStyle="1" w:styleId="Heading9Char">
    <w:name w:val="Heading 9 Char"/>
    <w:basedOn w:val="DefaultParagraphFont"/>
    <w:link w:val="Heading9"/>
    <w:uiPriority w:val="2"/>
    <w:semiHidden/>
    <w:rsid w:val="00786674"/>
    <w:rPr>
      <w:i/>
      <w:caps/>
      <w:spacing w:val="10"/>
      <w:sz w:val="18"/>
      <w:szCs w:val="18"/>
    </w:rPr>
  </w:style>
  <w:style w:type="paragraph" w:styleId="Caption">
    <w:name w:val="caption"/>
    <w:basedOn w:val="Normal"/>
    <w:next w:val="Normal"/>
    <w:uiPriority w:val="5"/>
    <w:qFormat/>
    <w:rsid w:val="00786674"/>
    <w:pPr>
      <w:keepNext/>
      <w:spacing w:before="360"/>
    </w:pPr>
    <w:rPr>
      <w:bCs/>
      <w:color w:val="404040" w:themeColor="text1" w:themeTint="BF"/>
      <w:sz w:val="21"/>
      <w:szCs w:val="16"/>
    </w:rPr>
  </w:style>
  <w:style w:type="paragraph" w:customStyle="1" w:styleId="ProgrammWannWas">
    <w:name w:val="Programm Wann Was"/>
    <w:aliases w:val="P-Wann-Was"/>
    <w:basedOn w:val="Normal"/>
    <w:uiPriority w:val="23"/>
    <w:qFormat/>
    <w:rsid w:val="00786674"/>
    <w:pPr>
      <w:ind w:left="1888" w:hanging="1888"/>
    </w:pPr>
    <w:rPr>
      <w:rFonts w:eastAsia="Times New Roman" w:cs="Times New Roman"/>
      <w:szCs w:val="22"/>
      <w:lang w:eastAsia="de-AT"/>
    </w:rPr>
  </w:style>
  <w:style w:type="character" w:styleId="Strong">
    <w:name w:val="Strong"/>
    <w:uiPriority w:val="1"/>
    <w:qFormat/>
    <w:rsid w:val="00786674"/>
    <w:rPr>
      <w:b/>
      <w:bCs/>
    </w:rPr>
  </w:style>
  <w:style w:type="paragraph" w:styleId="CommentText">
    <w:name w:val="annotation text"/>
    <w:basedOn w:val="Normal"/>
    <w:link w:val="CommentTextChar"/>
    <w:uiPriority w:val="99"/>
    <w:semiHidden/>
    <w:unhideWhenUsed/>
    <w:rsid w:val="00786674"/>
    <w:pPr>
      <w:spacing w:line="240" w:lineRule="auto"/>
    </w:pPr>
    <w:rPr>
      <w:sz w:val="20"/>
    </w:rPr>
  </w:style>
  <w:style w:type="paragraph" w:styleId="ListParagraph">
    <w:name w:val="List Paragraph"/>
    <w:basedOn w:val="Normal"/>
    <w:uiPriority w:val="54"/>
    <w:semiHidden/>
    <w:rsid w:val="00786674"/>
    <w:pPr>
      <w:numPr>
        <w:numId w:val="10"/>
      </w:numPr>
      <w:contextualSpacing/>
    </w:pPr>
  </w:style>
  <w:style w:type="paragraph" w:styleId="Quote">
    <w:name w:val="Quote"/>
    <w:basedOn w:val="Normal"/>
    <w:next w:val="Normal"/>
    <w:link w:val="QuoteChar"/>
    <w:uiPriority w:val="20"/>
    <w:qFormat/>
    <w:rsid w:val="00786674"/>
    <w:pPr>
      <w:ind w:left="397" w:right="794"/>
    </w:pPr>
    <w:rPr>
      <w:iCs/>
      <w:color w:val="E1320F" w:themeColor="text2"/>
      <w:sz w:val="25"/>
    </w:rPr>
  </w:style>
  <w:style w:type="character" w:customStyle="1" w:styleId="QuoteChar">
    <w:name w:val="Quote Char"/>
    <w:basedOn w:val="DefaultParagraphFont"/>
    <w:link w:val="Quote"/>
    <w:uiPriority w:val="20"/>
    <w:rsid w:val="00786674"/>
    <w:rPr>
      <w:iCs/>
      <w:color w:val="E1320F" w:themeColor="text2"/>
      <w:sz w:val="25"/>
    </w:rPr>
  </w:style>
  <w:style w:type="paragraph" w:styleId="IntenseQuote">
    <w:name w:val="Intense Quote"/>
    <w:basedOn w:val="Normal"/>
    <w:next w:val="Normal"/>
    <w:link w:val="IntenseQuoteChar"/>
    <w:uiPriority w:val="30"/>
    <w:semiHidden/>
    <w:rsid w:val="00786674"/>
    <w:pPr>
      <w:pBdr>
        <w:top w:val="single" w:sz="4" w:space="10" w:color="CA0237" w:themeColor="accent1"/>
        <w:left w:val="single" w:sz="4" w:space="10" w:color="CA0237" w:themeColor="accent1"/>
      </w:pBdr>
      <w:spacing w:after="0"/>
      <w:ind w:left="1296" w:right="1152"/>
      <w:jc w:val="both"/>
    </w:pPr>
    <w:rPr>
      <w:i/>
      <w:iCs/>
    </w:rPr>
  </w:style>
  <w:style w:type="character" w:customStyle="1" w:styleId="IntenseQuoteChar">
    <w:name w:val="Intense Quote Char"/>
    <w:basedOn w:val="DefaultParagraphFont"/>
    <w:link w:val="IntenseQuote"/>
    <w:uiPriority w:val="30"/>
    <w:semiHidden/>
    <w:rsid w:val="00786674"/>
    <w:rPr>
      <w:i/>
      <w:iCs/>
    </w:rPr>
  </w:style>
  <w:style w:type="character" w:styleId="IntenseEmphasis">
    <w:name w:val="Intense Emphasis"/>
    <w:uiPriority w:val="21"/>
    <w:semiHidden/>
    <w:rsid w:val="00786674"/>
    <w:rPr>
      <w:b/>
      <w:bCs/>
      <w:caps/>
      <w:smallCaps w:val="0"/>
      <w:color w:val="E1320F" w:themeColor="text2"/>
      <w:spacing w:val="0"/>
    </w:rPr>
  </w:style>
  <w:style w:type="paragraph" w:customStyle="1" w:styleId="KennZ">
    <w:name w:val="KennZ"/>
    <w:basedOn w:val="GZ"/>
    <w:uiPriority w:val="49"/>
    <w:semiHidden/>
    <w:qFormat/>
    <w:rsid w:val="00786674"/>
    <w:pPr>
      <w:spacing w:after="345"/>
    </w:pPr>
    <w:rPr>
      <w:b/>
      <w:caps/>
    </w:rPr>
  </w:style>
  <w:style w:type="character" w:styleId="IntenseReference">
    <w:name w:val="Intense Reference"/>
    <w:uiPriority w:val="32"/>
    <w:semiHidden/>
    <w:rsid w:val="00786674"/>
    <w:rPr>
      <w:b/>
      <w:bCs/>
      <w:i/>
      <w:iCs/>
      <w:caps/>
      <w:color w:val="CA0237" w:themeColor="accent1"/>
    </w:rPr>
  </w:style>
  <w:style w:type="paragraph" w:styleId="TOCHeading">
    <w:name w:val="TOC Heading"/>
    <w:basedOn w:val="Heading1"/>
    <w:next w:val="Normal"/>
    <w:uiPriority w:val="39"/>
    <w:semiHidden/>
    <w:unhideWhenUsed/>
    <w:qFormat/>
    <w:rsid w:val="00786674"/>
    <w:pPr>
      <w:outlineLvl w:val="9"/>
    </w:pPr>
  </w:style>
  <w:style w:type="paragraph" w:customStyle="1" w:styleId="PersonalName">
    <w:name w:val="Personal Name"/>
    <w:basedOn w:val="Normal"/>
    <w:uiPriority w:val="99"/>
    <w:semiHidden/>
    <w:rsid w:val="00786674"/>
    <w:pPr>
      <w:spacing w:before="720"/>
    </w:pPr>
    <w:rPr>
      <w:b/>
      <w:color w:val="000000"/>
      <w:spacing w:val="10"/>
      <w:kern w:val="28"/>
      <w:sz w:val="28"/>
      <w:szCs w:val="28"/>
    </w:rPr>
  </w:style>
  <w:style w:type="character" w:customStyle="1" w:styleId="NoSpacingChar">
    <w:name w:val="No Spacing Char"/>
    <w:basedOn w:val="DefaultParagraphFont"/>
    <w:link w:val="NoSpacing"/>
    <w:rsid w:val="00786674"/>
  </w:style>
  <w:style w:type="paragraph" w:styleId="BalloonText">
    <w:name w:val="Balloon Text"/>
    <w:basedOn w:val="Normal"/>
    <w:link w:val="BalloonTextChar"/>
    <w:uiPriority w:val="99"/>
    <w:semiHidden/>
    <w:unhideWhenUsed/>
    <w:rsid w:val="007866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6674"/>
    <w:rPr>
      <w:rFonts w:ascii="Tahoma" w:hAnsi="Tahoma" w:cs="Tahoma"/>
      <w:sz w:val="16"/>
      <w:szCs w:val="16"/>
    </w:rPr>
  </w:style>
  <w:style w:type="table" w:styleId="TableGrid">
    <w:name w:val="Table Grid"/>
    <w:basedOn w:val="TableNormal"/>
    <w:uiPriority w:val="59"/>
    <w:rsid w:val="00786674"/>
    <w:pPr>
      <w:spacing w:after="0" w:line="264" w:lineRule="auto"/>
    </w:pPr>
    <w:rPr>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Pr>
  </w:style>
  <w:style w:type="character" w:styleId="Hyperlink">
    <w:name w:val="Hyperlink"/>
    <w:basedOn w:val="DefaultParagraphFont"/>
    <w:uiPriority w:val="59"/>
    <w:qFormat/>
    <w:rsid w:val="00A8602E"/>
    <w:rPr>
      <w:rFonts w:asciiTheme="minorHAnsi" w:hAnsiTheme="minorHAnsi"/>
      <w:color w:val="auto"/>
      <w:u w:val="single"/>
    </w:rPr>
  </w:style>
  <w:style w:type="paragraph" w:styleId="Header">
    <w:name w:val="header"/>
    <w:basedOn w:val="Normal"/>
    <w:link w:val="HeaderChar"/>
    <w:uiPriority w:val="99"/>
    <w:semiHidden/>
    <w:rsid w:val="00786674"/>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674"/>
  </w:style>
  <w:style w:type="paragraph" w:customStyle="1" w:styleId="UnterzeichnetiV">
    <w:name w:val="Unterzeichnet i.V."/>
    <w:basedOn w:val="NoSpacing"/>
    <w:next w:val="Normal"/>
    <w:uiPriority w:val="46"/>
    <w:qFormat/>
    <w:rsid w:val="00786674"/>
  </w:style>
  <w:style w:type="character" w:styleId="PlaceholderText">
    <w:name w:val="Placeholder Text"/>
    <w:basedOn w:val="DefaultParagraphFont"/>
    <w:uiPriority w:val="99"/>
    <w:semiHidden/>
    <w:rsid w:val="00786674"/>
    <w:rPr>
      <w:color w:val="808080"/>
    </w:rPr>
  </w:style>
  <w:style w:type="paragraph" w:styleId="Title">
    <w:name w:val="Title"/>
    <w:basedOn w:val="Normal"/>
    <w:next w:val="Subtitle"/>
    <w:link w:val="TitleChar"/>
    <w:uiPriority w:val="29"/>
    <w:semiHidden/>
    <w:rsid w:val="00786674"/>
    <w:pPr>
      <w:framePr w:w="9072" w:hSpace="284" w:wrap="around" w:hAnchor="page" w:x="1611" w:yAlign="bottom" w:anchorLock="1"/>
      <w:spacing w:line="690" w:lineRule="exact"/>
    </w:pPr>
    <w:rPr>
      <w:rFonts w:eastAsia="Calibri" w:cs="Times New Roman"/>
      <w:sz w:val="56"/>
      <w:szCs w:val="60"/>
    </w:rPr>
  </w:style>
  <w:style w:type="character" w:customStyle="1" w:styleId="TitleChar">
    <w:name w:val="Title Char"/>
    <w:basedOn w:val="DefaultParagraphFont"/>
    <w:link w:val="Title"/>
    <w:uiPriority w:val="29"/>
    <w:semiHidden/>
    <w:rsid w:val="00786674"/>
    <w:rPr>
      <w:rFonts w:eastAsia="Calibri" w:cs="Times New Roman"/>
      <w:sz w:val="56"/>
      <w:szCs w:val="60"/>
    </w:rPr>
  </w:style>
  <w:style w:type="paragraph" w:styleId="Subtitle">
    <w:name w:val="Subtitle"/>
    <w:basedOn w:val="Normal"/>
    <w:next w:val="Normal"/>
    <w:link w:val="SubtitleChar"/>
    <w:uiPriority w:val="29"/>
    <w:semiHidden/>
    <w:rsid w:val="00786674"/>
    <w:pPr>
      <w:numPr>
        <w:ilvl w:val="1"/>
      </w:numPr>
    </w:pPr>
    <w:rPr>
      <w:rFonts w:eastAsiaTheme="majorEastAsia" w:cstheme="majorBidi"/>
      <w:iCs/>
      <w:sz w:val="28"/>
    </w:rPr>
  </w:style>
  <w:style w:type="character" w:customStyle="1" w:styleId="SubtitleChar">
    <w:name w:val="Subtitle Char"/>
    <w:basedOn w:val="DefaultParagraphFont"/>
    <w:link w:val="Subtitle"/>
    <w:uiPriority w:val="29"/>
    <w:semiHidden/>
    <w:rsid w:val="00786674"/>
    <w:rPr>
      <w:rFonts w:eastAsiaTheme="majorEastAsia" w:cstheme="majorBidi"/>
      <w:iCs/>
      <w:sz w:val="28"/>
    </w:rPr>
  </w:style>
  <w:style w:type="paragraph" w:customStyle="1" w:styleId="Anschriftdaten">
    <w:name w:val="Anschriftdaten"/>
    <w:basedOn w:val="NoSpacing"/>
    <w:uiPriority w:val="49"/>
    <w:qFormat/>
    <w:rsid w:val="00786674"/>
    <w:pPr>
      <w:spacing w:line="252" w:lineRule="auto"/>
      <w:ind w:right="1701"/>
    </w:pPr>
  </w:style>
  <w:style w:type="character" w:customStyle="1" w:styleId="Kursiv">
    <w:name w:val="Kursiv"/>
    <w:basedOn w:val="DefaultParagraphFont"/>
    <w:uiPriority w:val="59"/>
    <w:qFormat/>
    <w:rsid w:val="00786674"/>
    <w:rPr>
      <w:i/>
      <w:iCs/>
    </w:rPr>
  </w:style>
  <w:style w:type="paragraph" w:customStyle="1" w:styleId="TH-Spalte">
    <w:name w:val="TH-Spalte"/>
    <w:basedOn w:val="TD"/>
    <w:uiPriority w:val="4"/>
    <w:qFormat/>
    <w:rsid w:val="00786674"/>
    <w:rPr>
      <w:b/>
    </w:rPr>
  </w:style>
  <w:style w:type="paragraph" w:styleId="Closing">
    <w:name w:val="Closing"/>
    <w:aliases w:val="Gruß"/>
    <w:basedOn w:val="Normal"/>
    <w:next w:val="Normal"/>
    <w:link w:val="ClosingChar"/>
    <w:uiPriority w:val="46"/>
    <w:qFormat/>
    <w:rsid w:val="00786674"/>
    <w:pPr>
      <w:spacing w:before="360"/>
    </w:pPr>
  </w:style>
  <w:style w:type="paragraph" w:customStyle="1" w:styleId="An">
    <w:name w:val="An"/>
    <w:basedOn w:val="Anschriftdaten"/>
    <w:uiPriority w:val="99"/>
    <w:semiHidden/>
    <w:rsid w:val="00786674"/>
    <w:pPr>
      <w:spacing w:line="220" w:lineRule="exact"/>
    </w:pPr>
    <w:rPr>
      <w:sz w:val="16"/>
    </w:rPr>
  </w:style>
  <w:style w:type="paragraph" w:customStyle="1" w:styleId="TH-Spaltelinks">
    <w:name w:val="TH-Spalte links"/>
    <w:aliases w:val="TH Sp links"/>
    <w:basedOn w:val="TH-Spalte"/>
    <w:uiPriority w:val="4"/>
    <w:qFormat/>
    <w:rsid w:val="00786674"/>
    <w:pPr>
      <w:jc w:val="left"/>
    </w:pPr>
  </w:style>
  <w:style w:type="paragraph" w:styleId="ListBullet">
    <w:name w:val="List Bullet"/>
    <w:aliases w:val="UL 1"/>
    <w:basedOn w:val="Normal"/>
    <w:uiPriority w:val="9"/>
    <w:qFormat/>
    <w:rsid w:val="00786674"/>
    <w:pPr>
      <w:numPr>
        <w:numId w:val="6"/>
      </w:numPr>
      <w:spacing w:after="0"/>
      <w:contextualSpacing/>
    </w:pPr>
    <w:rPr>
      <w:rFonts w:cs="Times New Roman"/>
      <w:lang w:eastAsia="de-AT"/>
    </w:rPr>
  </w:style>
  <w:style w:type="paragraph" w:styleId="ListBullet2">
    <w:name w:val="List Bullet 2"/>
    <w:aliases w:val="UL 2"/>
    <w:basedOn w:val="ListBullet"/>
    <w:uiPriority w:val="10"/>
    <w:qFormat/>
    <w:rsid w:val="00786674"/>
    <w:pPr>
      <w:numPr>
        <w:ilvl w:val="1"/>
      </w:numPr>
    </w:pPr>
  </w:style>
  <w:style w:type="paragraph" w:styleId="ListBullet3">
    <w:name w:val="List Bullet 3"/>
    <w:aliases w:val="UL 3"/>
    <w:basedOn w:val="Normal"/>
    <w:uiPriority w:val="10"/>
    <w:rsid w:val="00786674"/>
    <w:pPr>
      <w:numPr>
        <w:ilvl w:val="2"/>
        <w:numId w:val="6"/>
      </w:numPr>
      <w:spacing w:after="0"/>
    </w:pPr>
    <w:rPr>
      <w:rFonts w:eastAsia="Times New Roman" w:cs="Times New Roman"/>
      <w:szCs w:val="22"/>
      <w:lang w:eastAsia="de-AT"/>
    </w:rPr>
  </w:style>
  <w:style w:type="paragraph" w:styleId="ListBullet4">
    <w:name w:val="List Bullet 4"/>
    <w:basedOn w:val="Normal"/>
    <w:uiPriority w:val="10"/>
    <w:semiHidden/>
    <w:rsid w:val="00786674"/>
    <w:pPr>
      <w:numPr>
        <w:ilvl w:val="3"/>
        <w:numId w:val="6"/>
      </w:numPr>
      <w:spacing w:after="0"/>
    </w:pPr>
    <w:rPr>
      <w:rFonts w:eastAsia="Times New Roman" w:cs="Times New Roman"/>
      <w:szCs w:val="22"/>
      <w:lang w:eastAsia="de-AT"/>
    </w:rPr>
  </w:style>
  <w:style w:type="numbering" w:customStyle="1" w:styleId="ATUnsortierteListe">
    <w:name w:val="AT Unsortierte Liste"/>
    <w:uiPriority w:val="99"/>
    <w:rsid w:val="00786674"/>
    <w:pPr>
      <w:numPr>
        <w:numId w:val="4"/>
      </w:numPr>
    </w:pPr>
  </w:style>
  <w:style w:type="paragraph" w:styleId="ListBullet5">
    <w:name w:val="List Bullet 5"/>
    <w:basedOn w:val="Normal"/>
    <w:uiPriority w:val="10"/>
    <w:semiHidden/>
    <w:rsid w:val="00786674"/>
    <w:pPr>
      <w:numPr>
        <w:ilvl w:val="4"/>
        <w:numId w:val="6"/>
      </w:numPr>
      <w:spacing w:after="0"/>
    </w:pPr>
    <w:rPr>
      <w:rFonts w:eastAsia="Times New Roman" w:cs="Times New Roman"/>
      <w:szCs w:val="22"/>
      <w:lang w:eastAsia="de-AT"/>
    </w:rPr>
  </w:style>
  <w:style w:type="paragraph" w:customStyle="1" w:styleId="Aufzhlungszeichen6">
    <w:name w:val="Aufzählungszeichen 6"/>
    <w:basedOn w:val="Normal"/>
    <w:uiPriority w:val="10"/>
    <w:semiHidden/>
    <w:rsid w:val="00786674"/>
    <w:pPr>
      <w:numPr>
        <w:ilvl w:val="5"/>
        <w:numId w:val="6"/>
      </w:numPr>
      <w:spacing w:after="0"/>
    </w:pPr>
    <w:rPr>
      <w:rFonts w:eastAsia="Times New Roman" w:cs="Times New Roman"/>
      <w:szCs w:val="22"/>
      <w:lang w:eastAsia="de-AT"/>
    </w:rPr>
  </w:style>
  <w:style w:type="paragraph" w:customStyle="1" w:styleId="Aufzhlungszeichen7">
    <w:name w:val="Aufzählungszeichen 7"/>
    <w:basedOn w:val="Normal"/>
    <w:uiPriority w:val="10"/>
    <w:semiHidden/>
    <w:rsid w:val="00786674"/>
    <w:pPr>
      <w:numPr>
        <w:ilvl w:val="6"/>
        <w:numId w:val="6"/>
      </w:numPr>
      <w:spacing w:after="0"/>
    </w:pPr>
    <w:rPr>
      <w:rFonts w:eastAsia="Times New Roman" w:cs="Times New Roman"/>
      <w:szCs w:val="22"/>
      <w:lang w:eastAsia="de-AT"/>
    </w:rPr>
  </w:style>
  <w:style w:type="paragraph" w:customStyle="1" w:styleId="Aufzhlungszeichen8">
    <w:name w:val="Aufzählungszeichen 8"/>
    <w:basedOn w:val="Normal"/>
    <w:uiPriority w:val="10"/>
    <w:semiHidden/>
    <w:rsid w:val="00786674"/>
    <w:pPr>
      <w:numPr>
        <w:ilvl w:val="7"/>
        <w:numId w:val="6"/>
      </w:numPr>
      <w:spacing w:after="0"/>
    </w:pPr>
    <w:rPr>
      <w:rFonts w:eastAsia="Times New Roman" w:cs="Times New Roman"/>
      <w:szCs w:val="22"/>
      <w:lang w:eastAsia="de-AT"/>
    </w:rPr>
  </w:style>
  <w:style w:type="paragraph" w:customStyle="1" w:styleId="Aufzhlungszeichen9">
    <w:name w:val="Aufzählungszeichen 9"/>
    <w:basedOn w:val="Normal"/>
    <w:uiPriority w:val="10"/>
    <w:semiHidden/>
    <w:rsid w:val="00786674"/>
    <w:pPr>
      <w:numPr>
        <w:ilvl w:val="8"/>
        <w:numId w:val="6"/>
      </w:numPr>
      <w:spacing w:after="0"/>
    </w:pPr>
    <w:rPr>
      <w:rFonts w:eastAsia="Times New Roman" w:cs="Times New Roman"/>
      <w:szCs w:val="22"/>
      <w:lang w:eastAsia="de-AT"/>
    </w:rPr>
  </w:style>
  <w:style w:type="paragraph" w:customStyle="1" w:styleId="Brief2">
    <w:name w:val="Brief Ü2"/>
    <w:basedOn w:val="Heading2"/>
    <w:next w:val="Normal"/>
    <w:uiPriority w:val="2"/>
    <w:qFormat/>
    <w:rsid w:val="00786674"/>
  </w:style>
  <w:style w:type="paragraph" w:customStyle="1" w:styleId="Brief3">
    <w:name w:val="Brief Ü3"/>
    <w:basedOn w:val="Heading3"/>
    <w:next w:val="Normal"/>
    <w:uiPriority w:val="2"/>
    <w:qFormat/>
    <w:rsid w:val="00786674"/>
  </w:style>
  <w:style w:type="paragraph" w:customStyle="1" w:styleId="ProgrammAbsatz">
    <w:name w:val="Programm Absatz"/>
    <w:aliases w:val="P-Absatz"/>
    <w:basedOn w:val="ProgrammWannWas"/>
    <w:uiPriority w:val="24"/>
    <w:qFormat/>
    <w:rsid w:val="00786674"/>
    <w:pPr>
      <w:ind w:firstLine="0"/>
    </w:pPr>
  </w:style>
  <w:style w:type="paragraph" w:customStyle="1" w:styleId="Betreff">
    <w:name w:val="Betreff"/>
    <w:aliases w:val="Betreff-Titel,Betreff-H1"/>
    <w:basedOn w:val="Normal"/>
    <w:next w:val="StdVOR"/>
    <w:link w:val="BetreffZchn"/>
    <w:uiPriority w:val="3"/>
    <w:qFormat/>
    <w:rsid w:val="00786674"/>
    <w:pPr>
      <w:shd w:val="clear" w:color="auto" w:fill="FFFFFF"/>
      <w:spacing w:line="264" w:lineRule="auto"/>
      <w:outlineLvl w:val="0"/>
    </w:pPr>
    <w:rPr>
      <w:rFonts w:asciiTheme="majorHAnsi" w:hAnsiTheme="majorHAnsi"/>
      <w:b/>
      <w:sz w:val="28"/>
    </w:rPr>
  </w:style>
  <w:style w:type="paragraph" w:customStyle="1" w:styleId="TD">
    <w:name w:val="TD"/>
    <w:basedOn w:val="Normal"/>
    <w:uiPriority w:val="4"/>
    <w:qFormat/>
    <w:rsid w:val="00786674"/>
    <w:pPr>
      <w:spacing w:after="0"/>
      <w:jc w:val="right"/>
    </w:pPr>
    <w:rPr>
      <w:sz w:val="21"/>
    </w:rPr>
  </w:style>
  <w:style w:type="paragraph" w:customStyle="1" w:styleId="TDlinks">
    <w:name w:val="TD links"/>
    <w:basedOn w:val="TD"/>
    <w:uiPriority w:val="4"/>
    <w:qFormat/>
    <w:rsid w:val="00786674"/>
    <w:pPr>
      <w:jc w:val="left"/>
    </w:pPr>
  </w:style>
  <w:style w:type="table" w:styleId="LightShading">
    <w:name w:val="Light Shading"/>
    <w:basedOn w:val="TableNormal"/>
    <w:uiPriority w:val="60"/>
    <w:rsid w:val="007866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rsid w:val="0078667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E6EFF3"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Accent6">
    <w:name w:val="Light Grid Accent 6"/>
    <w:basedOn w:val="TableNormal"/>
    <w:uiPriority w:val="62"/>
    <w:rsid w:val="00786674"/>
    <w:pPr>
      <w:spacing w:after="0" w:line="240" w:lineRule="auto"/>
    </w:pPr>
    <w:tblPr>
      <w:tblStyleRowBandSize w:val="1"/>
      <w:tblStyleColBandSize w:val="1"/>
      <w:tblBorders>
        <w:top w:val="single" w:sz="8" w:space="0" w:color="BCCF00" w:themeColor="accent6"/>
        <w:left w:val="single" w:sz="8" w:space="0" w:color="BCCF00" w:themeColor="accent6"/>
        <w:bottom w:val="single" w:sz="8" w:space="0" w:color="BCCF00" w:themeColor="accent6"/>
        <w:right w:val="single" w:sz="8" w:space="0" w:color="BCCF00" w:themeColor="accent6"/>
        <w:insideH w:val="single" w:sz="8" w:space="0" w:color="BCCF00" w:themeColor="accent6"/>
        <w:insideV w:val="single" w:sz="8" w:space="0" w:color="BCCF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CCF00" w:themeColor="accent6"/>
          <w:left w:val="single" w:sz="8" w:space="0" w:color="BCCF00" w:themeColor="accent6"/>
          <w:bottom w:val="single" w:sz="18" w:space="0" w:color="BCCF00" w:themeColor="accent6"/>
          <w:right w:val="single" w:sz="8" w:space="0" w:color="BCCF00" w:themeColor="accent6"/>
          <w:insideH w:val="nil"/>
          <w:insideV w:val="single" w:sz="8" w:space="0" w:color="BCCF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CCF00" w:themeColor="accent6"/>
          <w:left w:val="single" w:sz="8" w:space="0" w:color="BCCF00" w:themeColor="accent6"/>
          <w:bottom w:val="single" w:sz="8" w:space="0" w:color="BCCF00" w:themeColor="accent6"/>
          <w:right w:val="single" w:sz="8" w:space="0" w:color="BCCF00" w:themeColor="accent6"/>
          <w:insideH w:val="nil"/>
          <w:insideV w:val="single" w:sz="8" w:space="0" w:color="BCCF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CCF00" w:themeColor="accent6"/>
          <w:left w:val="single" w:sz="8" w:space="0" w:color="BCCF00" w:themeColor="accent6"/>
          <w:bottom w:val="single" w:sz="8" w:space="0" w:color="BCCF00" w:themeColor="accent6"/>
          <w:right w:val="single" w:sz="8" w:space="0" w:color="BCCF00" w:themeColor="accent6"/>
        </w:tcBorders>
      </w:tcPr>
    </w:tblStylePr>
    <w:tblStylePr w:type="band1Vert">
      <w:tblPr/>
      <w:tcPr>
        <w:tcBorders>
          <w:top w:val="single" w:sz="8" w:space="0" w:color="BCCF00" w:themeColor="accent6"/>
          <w:left w:val="single" w:sz="8" w:space="0" w:color="BCCF00" w:themeColor="accent6"/>
          <w:bottom w:val="single" w:sz="8" w:space="0" w:color="BCCF00" w:themeColor="accent6"/>
          <w:right w:val="single" w:sz="8" w:space="0" w:color="BCCF00" w:themeColor="accent6"/>
        </w:tcBorders>
        <w:shd w:val="clear" w:color="auto" w:fill="F7FFB4" w:themeFill="accent6" w:themeFillTint="3F"/>
      </w:tcPr>
    </w:tblStylePr>
    <w:tblStylePr w:type="band1Horz">
      <w:tblPr/>
      <w:tcPr>
        <w:tcBorders>
          <w:top w:val="single" w:sz="8" w:space="0" w:color="BCCF00" w:themeColor="accent6"/>
          <w:left w:val="single" w:sz="8" w:space="0" w:color="BCCF00" w:themeColor="accent6"/>
          <w:bottom w:val="single" w:sz="8" w:space="0" w:color="BCCF00" w:themeColor="accent6"/>
          <w:right w:val="single" w:sz="8" w:space="0" w:color="BCCF00" w:themeColor="accent6"/>
          <w:insideV w:val="single" w:sz="8" w:space="0" w:color="BCCF00" w:themeColor="accent6"/>
        </w:tcBorders>
        <w:shd w:val="clear" w:color="auto" w:fill="F7FFB4" w:themeFill="accent6" w:themeFillTint="3F"/>
      </w:tcPr>
    </w:tblStylePr>
    <w:tblStylePr w:type="band2Horz">
      <w:tblPr/>
      <w:tcPr>
        <w:tcBorders>
          <w:top w:val="single" w:sz="8" w:space="0" w:color="BCCF00" w:themeColor="accent6"/>
          <w:left w:val="single" w:sz="8" w:space="0" w:color="BCCF00" w:themeColor="accent6"/>
          <w:bottom w:val="single" w:sz="8" w:space="0" w:color="BCCF00" w:themeColor="accent6"/>
          <w:right w:val="single" w:sz="8" w:space="0" w:color="BCCF00" w:themeColor="accent6"/>
          <w:insideV w:val="single" w:sz="8" w:space="0" w:color="BCCF00" w:themeColor="accent6"/>
        </w:tcBorders>
      </w:tcPr>
    </w:tblStylePr>
  </w:style>
  <w:style w:type="table" w:styleId="MediumShading1-Accent4">
    <w:name w:val="Medium Shading 1 Accent 4"/>
    <w:basedOn w:val="TableNormal"/>
    <w:uiPriority w:val="63"/>
    <w:rsid w:val="00786674"/>
    <w:pPr>
      <w:spacing w:after="0" w:line="240" w:lineRule="auto"/>
    </w:pPr>
    <w:tblPr>
      <w:tblStyleRowBandSize w:val="1"/>
      <w:tblStyleColBandSize w:val="1"/>
      <w:tblBorders>
        <w:top w:val="single" w:sz="8"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single" w:sz="8" w:space="0" w:color="FFB638" w:themeColor="accent4" w:themeTint="BF"/>
      </w:tblBorders>
    </w:tblPr>
    <w:tblStylePr w:type="firstRow">
      <w:pPr>
        <w:spacing w:before="0" w:after="0" w:line="240" w:lineRule="auto"/>
      </w:pPr>
      <w:rPr>
        <w:b/>
        <w:bCs/>
        <w:color w:val="E6EFF3" w:themeColor="background1"/>
      </w:rPr>
      <w:tblPr/>
      <w:tcPr>
        <w:tcBorders>
          <w:top w:val="single" w:sz="8"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nil"/>
          <w:insideV w:val="nil"/>
        </w:tcBorders>
        <w:shd w:val="clear" w:color="auto" w:fill="F59C00" w:themeFill="accent4"/>
      </w:tcPr>
    </w:tblStylePr>
    <w:tblStylePr w:type="lastRow">
      <w:pPr>
        <w:spacing w:before="0" w:after="0" w:line="240" w:lineRule="auto"/>
      </w:pPr>
      <w:rPr>
        <w:b/>
        <w:bCs/>
      </w:rPr>
      <w:tblPr/>
      <w:tcPr>
        <w:tcBorders>
          <w:top w:val="double" w:sz="6"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7BD" w:themeFill="accent4" w:themeFillTint="3F"/>
      </w:tcPr>
    </w:tblStylePr>
    <w:tblStylePr w:type="band1Horz">
      <w:tblPr/>
      <w:tcPr>
        <w:tcBorders>
          <w:insideH w:val="nil"/>
          <w:insideV w:val="nil"/>
        </w:tcBorders>
        <w:shd w:val="clear" w:color="auto" w:fill="FFE7BD"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86674"/>
    <w:pPr>
      <w:spacing w:after="0" w:line="240" w:lineRule="auto"/>
    </w:pPr>
    <w:tblPr>
      <w:tblStyleRowBandSize w:val="1"/>
      <w:tblStyleColBandSize w:val="1"/>
      <w:tblBorders>
        <w:top w:val="single" w:sz="8"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single" w:sz="8" w:space="0" w:color="69C2D0" w:themeColor="accent5" w:themeTint="BF"/>
      </w:tblBorders>
    </w:tblPr>
    <w:tblStylePr w:type="firstRow">
      <w:pPr>
        <w:spacing w:before="0" w:after="0" w:line="240" w:lineRule="auto"/>
      </w:pPr>
      <w:rPr>
        <w:b/>
        <w:bCs/>
        <w:color w:val="E6EFF3" w:themeColor="background1"/>
      </w:rPr>
      <w:tblPr/>
      <w:tcPr>
        <w:tcBorders>
          <w:top w:val="single" w:sz="8"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nil"/>
          <w:insideV w:val="nil"/>
        </w:tcBorders>
        <w:shd w:val="clear" w:color="auto" w:fill="3BACBE" w:themeFill="accent5"/>
      </w:tcPr>
    </w:tblStylePr>
    <w:tblStylePr w:type="lastRow">
      <w:pPr>
        <w:spacing w:before="0" w:after="0" w:line="240" w:lineRule="auto"/>
      </w:pPr>
      <w:rPr>
        <w:b/>
        <w:bCs/>
      </w:rPr>
      <w:tblPr/>
      <w:tcPr>
        <w:tcBorders>
          <w:top w:val="double" w:sz="6"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nil"/>
          <w:insideV w:val="nil"/>
        </w:tcBorders>
      </w:tcPr>
    </w:tblStylePr>
    <w:tblStylePr w:type="firstCol">
      <w:rPr>
        <w:b/>
        <w:bCs/>
      </w:rPr>
    </w:tblStylePr>
    <w:tblStylePr w:type="lastCol">
      <w:rPr>
        <w:b/>
        <w:bCs/>
      </w:rPr>
    </w:tblStylePr>
    <w:tblStylePr w:type="band1Vert">
      <w:tblPr/>
      <w:tcPr>
        <w:shd w:val="clear" w:color="auto" w:fill="CDEAEF" w:themeFill="accent5" w:themeFillTint="3F"/>
      </w:tcPr>
    </w:tblStylePr>
    <w:tblStylePr w:type="band1Horz">
      <w:tblPr/>
      <w:tcPr>
        <w:tcBorders>
          <w:insideH w:val="nil"/>
          <w:insideV w:val="nil"/>
        </w:tcBorders>
        <w:shd w:val="clear" w:color="auto" w:fill="CDEAEF" w:themeFill="accent5" w:themeFillTint="3F"/>
      </w:tcPr>
    </w:tblStylePr>
    <w:tblStylePr w:type="band2Horz">
      <w:tblPr/>
      <w:tcPr>
        <w:tcBorders>
          <w:insideH w:val="nil"/>
          <w:insideV w:val="nil"/>
        </w:tcBorders>
      </w:tcPr>
    </w:tblStylePr>
  </w:style>
  <w:style w:type="paragraph" w:customStyle="1" w:styleId="TH-Zeile">
    <w:name w:val="TH-Zeile"/>
    <w:basedOn w:val="TDlinks"/>
    <w:uiPriority w:val="4"/>
    <w:qFormat/>
    <w:rsid w:val="00786674"/>
    <w:rPr>
      <w:b/>
    </w:rPr>
  </w:style>
  <w:style w:type="paragraph" w:customStyle="1" w:styleId="GliederungListenfortsetzung11">
    <w:name w:val="Gliederung Listenfortsetzung 1.1."/>
    <w:aliases w:val="GL F 1.1."/>
    <w:basedOn w:val="ListContinue2"/>
    <w:next w:val="Gliederung11"/>
    <w:uiPriority w:val="17"/>
    <w:qFormat/>
    <w:rsid w:val="00786674"/>
    <w:pPr>
      <w:spacing w:after="345"/>
      <w:ind w:left="964"/>
      <w:contextualSpacing w:val="0"/>
    </w:pPr>
    <w:rPr>
      <w:rFonts w:eastAsia="Times New Roman" w:cs="Times New Roman"/>
      <w:szCs w:val="22"/>
      <w:lang w:eastAsia="de-AT"/>
    </w:rPr>
  </w:style>
  <w:style w:type="numbering" w:customStyle="1" w:styleId="eu2018atGliederungsliste2">
    <w:name w:val="eu2018at Gliederungsliste 2"/>
    <w:uiPriority w:val="99"/>
    <w:rsid w:val="00786674"/>
    <w:pPr>
      <w:numPr>
        <w:numId w:val="9"/>
      </w:numPr>
    </w:pPr>
  </w:style>
  <w:style w:type="paragraph" w:customStyle="1" w:styleId="Gliederung10">
    <w:name w:val="Gliederung 1)"/>
    <w:aliases w:val="GL 1)"/>
    <w:basedOn w:val="ListParagraph"/>
    <w:uiPriority w:val="15"/>
    <w:semiHidden/>
    <w:rsid w:val="00786674"/>
    <w:pPr>
      <w:numPr>
        <w:numId w:val="0"/>
      </w:numPr>
      <w:contextualSpacing w:val="0"/>
    </w:pPr>
    <w:rPr>
      <w:rFonts w:eastAsia="Times New Roman" w:cs="Times New Roman"/>
      <w:szCs w:val="22"/>
      <w:lang w:eastAsia="de-AT"/>
    </w:rPr>
  </w:style>
  <w:style w:type="paragraph" w:customStyle="1" w:styleId="Gliederunga">
    <w:name w:val="Gliederung a)"/>
    <w:aliases w:val="GL 1)a)"/>
    <w:basedOn w:val="ListParagraph"/>
    <w:uiPriority w:val="15"/>
    <w:semiHidden/>
    <w:rsid w:val="00786674"/>
    <w:pPr>
      <w:numPr>
        <w:numId w:val="0"/>
      </w:numPr>
      <w:contextualSpacing w:val="0"/>
    </w:pPr>
    <w:rPr>
      <w:rFonts w:eastAsia="Times New Roman" w:cs="Times New Roman"/>
      <w:szCs w:val="22"/>
      <w:lang w:eastAsia="de-AT"/>
    </w:rPr>
  </w:style>
  <w:style w:type="numbering" w:customStyle="1" w:styleId="eu2018atGliederungsliste">
    <w:name w:val="eu2018at Gliederungsliste"/>
    <w:uiPriority w:val="99"/>
    <w:rsid w:val="00786674"/>
    <w:pPr>
      <w:numPr>
        <w:numId w:val="8"/>
      </w:numPr>
    </w:pPr>
  </w:style>
  <w:style w:type="paragraph" w:customStyle="1" w:styleId="Gliederungi">
    <w:name w:val="Gliederung i)"/>
    <w:aliases w:val="GL1)a) i)"/>
    <w:basedOn w:val="ListParagraph"/>
    <w:uiPriority w:val="15"/>
    <w:semiHidden/>
    <w:rsid w:val="00786674"/>
    <w:pPr>
      <w:numPr>
        <w:numId w:val="0"/>
      </w:numPr>
      <w:contextualSpacing w:val="0"/>
    </w:pPr>
    <w:rPr>
      <w:rFonts w:eastAsia="Times New Roman" w:cs="Times New Roman"/>
      <w:szCs w:val="22"/>
      <w:lang w:eastAsia="de-AT"/>
    </w:rPr>
  </w:style>
  <w:style w:type="paragraph" w:customStyle="1" w:styleId="Gliederung1">
    <w:name w:val="Gliederung 1."/>
    <w:aliases w:val="GL 1."/>
    <w:basedOn w:val="Normal"/>
    <w:uiPriority w:val="17"/>
    <w:qFormat/>
    <w:rsid w:val="00786674"/>
    <w:pPr>
      <w:numPr>
        <w:numId w:val="11"/>
      </w:numPr>
    </w:pPr>
    <w:rPr>
      <w:rFonts w:eastAsia="Times New Roman" w:cs="Times New Roman"/>
      <w:szCs w:val="22"/>
      <w:lang w:eastAsia="de-AT"/>
    </w:rPr>
  </w:style>
  <w:style w:type="paragraph" w:customStyle="1" w:styleId="Gliederung11">
    <w:name w:val="Gliederung 1.1"/>
    <w:aliases w:val="GL 1.1."/>
    <w:basedOn w:val="Normal"/>
    <w:uiPriority w:val="17"/>
    <w:qFormat/>
    <w:rsid w:val="00786674"/>
    <w:pPr>
      <w:numPr>
        <w:ilvl w:val="1"/>
        <w:numId w:val="11"/>
      </w:numPr>
    </w:pPr>
    <w:rPr>
      <w:rFonts w:eastAsia="Times New Roman" w:cs="Times New Roman"/>
      <w:szCs w:val="22"/>
      <w:lang w:eastAsia="de-AT"/>
    </w:rPr>
  </w:style>
  <w:style w:type="paragraph" w:customStyle="1" w:styleId="Gliederung111">
    <w:name w:val="Gliederung 1.1.1."/>
    <w:aliases w:val="GL 1.1.1"/>
    <w:basedOn w:val="Normal"/>
    <w:uiPriority w:val="17"/>
    <w:semiHidden/>
    <w:rsid w:val="00786674"/>
    <w:pPr>
      <w:numPr>
        <w:ilvl w:val="2"/>
        <w:numId w:val="11"/>
      </w:numPr>
    </w:pPr>
    <w:rPr>
      <w:rFonts w:eastAsia="Times New Roman" w:cs="Times New Roman"/>
      <w:szCs w:val="22"/>
      <w:lang w:eastAsia="de-AT"/>
    </w:rPr>
  </w:style>
  <w:style w:type="paragraph" w:customStyle="1" w:styleId="GliederungListenfortsetzung111">
    <w:name w:val="Gliederung Listenfortsetzung 1.1.1"/>
    <w:aliases w:val="GL F 1.1.1"/>
    <w:basedOn w:val="Gliederung111"/>
    <w:next w:val="Gliederung111"/>
    <w:uiPriority w:val="17"/>
    <w:semiHidden/>
    <w:rsid w:val="00786674"/>
    <w:pPr>
      <w:numPr>
        <w:ilvl w:val="0"/>
        <w:numId w:val="0"/>
      </w:numPr>
      <w:ind w:left="1758"/>
    </w:pPr>
  </w:style>
  <w:style w:type="paragraph" w:customStyle="1" w:styleId="GliederungListenfortsetzung1">
    <w:name w:val="Gliederung Listenfortsetzung 1"/>
    <w:aliases w:val="GL F 1."/>
    <w:basedOn w:val="ListContinue"/>
    <w:next w:val="Gliederung1"/>
    <w:uiPriority w:val="17"/>
    <w:qFormat/>
    <w:rsid w:val="00786674"/>
    <w:pPr>
      <w:spacing w:after="345"/>
    </w:pPr>
    <w:rPr>
      <w:rFonts w:eastAsia="Times New Roman" w:cs="Times New Roman"/>
      <w:szCs w:val="22"/>
      <w:lang w:eastAsia="de-AT"/>
    </w:rPr>
  </w:style>
  <w:style w:type="paragraph" w:customStyle="1" w:styleId="GliederungListenfortsetzung10">
    <w:name w:val="Gliederung Listenfortsetzung 1)"/>
    <w:aliases w:val="GL F 1)"/>
    <w:basedOn w:val="ListContinue"/>
    <w:uiPriority w:val="16"/>
    <w:semiHidden/>
    <w:rsid w:val="00786674"/>
    <w:pPr>
      <w:spacing w:after="220"/>
      <w:contextualSpacing w:val="0"/>
    </w:pPr>
    <w:rPr>
      <w:rFonts w:eastAsia="Times New Roman" w:cs="Times New Roman"/>
      <w:szCs w:val="22"/>
      <w:lang w:eastAsia="de-AT"/>
    </w:rPr>
  </w:style>
  <w:style w:type="paragraph" w:customStyle="1" w:styleId="GliederungListenfortsetzung1a">
    <w:name w:val="Gliederung Listenfortsetzung 1)a)"/>
    <w:aliases w:val="GL F 1)a)"/>
    <w:basedOn w:val="ListContinue2"/>
    <w:uiPriority w:val="16"/>
    <w:semiHidden/>
    <w:rsid w:val="00786674"/>
    <w:pPr>
      <w:spacing w:after="220"/>
      <w:contextualSpacing w:val="0"/>
    </w:pPr>
    <w:rPr>
      <w:rFonts w:eastAsia="Times New Roman" w:cs="Times New Roman"/>
      <w:szCs w:val="22"/>
      <w:lang w:eastAsia="de-AT"/>
    </w:rPr>
  </w:style>
  <w:style w:type="paragraph" w:customStyle="1" w:styleId="GliederungListenfortsetzung1ai">
    <w:name w:val="Gliederung Listenfortsetzung 1)a)i)"/>
    <w:aliases w:val="GL F 1)a)i)"/>
    <w:basedOn w:val="ListContinue3"/>
    <w:uiPriority w:val="16"/>
    <w:semiHidden/>
    <w:rsid w:val="00786674"/>
    <w:pPr>
      <w:spacing w:after="220"/>
      <w:contextualSpacing w:val="0"/>
    </w:pPr>
    <w:rPr>
      <w:rFonts w:eastAsia="Times New Roman" w:cs="Times New Roman"/>
      <w:szCs w:val="22"/>
      <w:lang w:eastAsia="de-AT"/>
    </w:rPr>
  </w:style>
  <w:style w:type="paragraph" w:styleId="ListContinue2">
    <w:name w:val="List Continue 2"/>
    <w:aliases w:val="L Ftsz 2"/>
    <w:basedOn w:val="Normal"/>
    <w:uiPriority w:val="14"/>
    <w:qFormat/>
    <w:rsid w:val="00786674"/>
    <w:pPr>
      <w:spacing w:after="0"/>
      <w:ind w:left="794"/>
      <w:contextualSpacing/>
    </w:pPr>
  </w:style>
  <w:style w:type="paragraph" w:styleId="ListContinue">
    <w:name w:val="List Continue"/>
    <w:aliases w:val="L Ftsz 1"/>
    <w:basedOn w:val="Normal"/>
    <w:uiPriority w:val="13"/>
    <w:qFormat/>
    <w:rsid w:val="00786674"/>
    <w:pPr>
      <w:spacing w:after="0"/>
      <w:ind w:left="397"/>
      <w:contextualSpacing/>
    </w:pPr>
  </w:style>
  <w:style w:type="paragraph" w:styleId="ListContinue3">
    <w:name w:val="List Continue 3"/>
    <w:aliases w:val="L Ftsz 3"/>
    <w:basedOn w:val="Normal"/>
    <w:uiPriority w:val="14"/>
    <w:rsid w:val="00786674"/>
    <w:pPr>
      <w:spacing w:after="0"/>
      <w:ind w:left="1191"/>
      <w:contextualSpacing/>
    </w:pPr>
  </w:style>
  <w:style w:type="paragraph" w:customStyle="1" w:styleId="Absende-URL">
    <w:name w:val="Absende-URL"/>
    <w:basedOn w:val="NoSpacing"/>
    <w:next w:val="Absendedaten"/>
    <w:uiPriority w:val="54"/>
    <w:rsid w:val="00786674"/>
    <w:pPr>
      <w:spacing w:before="85" w:after="794" w:line="220" w:lineRule="exact"/>
    </w:pPr>
    <w:rPr>
      <w:noProof/>
      <w:color w:val="E1320F"/>
      <w:lang w:eastAsia="de-AT"/>
    </w:rPr>
  </w:style>
  <w:style w:type="paragraph" w:customStyle="1" w:styleId="GZ">
    <w:name w:val="GZ"/>
    <w:basedOn w:val="Normal"/>
    <w:next w:val="Normal"/>
    <w:uiPriority w:val="47"/>
    <w:qFormat/>
    <w:rsid w:val="00786674"/>
    <w:pPr>
      <w:spacing w:before="220" w:after="0"/>
    </w:pPr>
  </w:style>
  <w:style w:type="paragraph" w:customStyle="1" w:styleId="StdVOR">
    <w:name w:val="Std+VOR"/>
    <w:basedOn w:val="Normal"/>
    <w:next w:val="Normal"/>
    <w:qFormat/>
    <w:rsid w:val="00786674"/>
    <w:pPr>
      <w:spacing w:before="360"/>
    </w:pPr>
  </w:style>
  <w:style w:type="paragraph" w:styleId="ListNumber">
    <w:name w:val="List Number"/>
    <w:aliases w:val="OL 1"/>
    <w:basedOn w:val="Normal"/>
    <w:uiPriority w:val="11"/>
    <w:qFormat/>
    <w:rsid w:val="00786674"/>
    <w:pPr>
      <w:numPr>
        <w:numId w:val="12"/>
      </w:numPr>
      <w:spacing w:after="0"/>
      <w:contextualSpacing/>
    </w:pPr>
  </w:style>
  <w:style w:type="paragraph" w:styleId="BlockText">
    <w:name w:val="Block Text"/>
    <w:basedOn w:val="Normal"/>
    <w:uiPriority w:val="99"/>
    <w:semiHidden/>
    <w:unhideWhenUsed/>
    <w:rsid w:val="0078667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ind w:left="1152" w:right="1152"/>
    </w:pPr>
    <w:rPr>
      <w:i/>
      <w:iCs/>
      <w:color w:val="7F7F7F" w:themeColor="text1" w:themeTint="80"/>
    </w:rPr>
  </w:style>
  <w:style w:type="character" w:styleId="EndnoteReference">
    <w:name w:val="endnote reference"/>
    <w:basedOn w:val="DefaultParagraphFont"/>
    <w:uiPriority w:val="99"/>
    <w:semiHidden/>
    <w:unhideWhenUsed/>
    <w:rsid w:val="00786674"/>
    <w:rPr>
      <w:vertAlign w:val="superscript"/>
    </w:rPr>
  </w:style>
  <w:style w:type="paragraph" w:styleId="FootnoteText">
    <w:name w:val="footnote text"/>
    <w:basedOn w:val="Normal"/>
    <w:link w:val="FootnoteTextChar"/>
    <w:uiPriority w:val="57"/>
    <w:semiHidden/>
    <w:unhideWhenUsed/>
    <w:rsid w:val="00786674"/>
    <w:pPr>
      <w:spacing w:after="0" w:line="270" w:lineRule="exact"/>
    </w:pPr>
    <w:rPr>
      <w:sz w:val="19"/>
    </w:rPr>
  </w:style>
  <w:style w:type="character" w:customStyle="1" w:styleId="FootnoteTextChar">
    <w:name w:val="Footnote Text Char"/>
    <w:basedOn w:val="DefaultParagraphFont"/>
    <w:link w:val="FootnoteText"/>
    <w:uiPriority w:val="57"/>
    <w:semiHidden/>
    <w:rsid w:val="00786674"/>
    <w:rPr>
      <w:sz w:val="19"/>
    </w:rPr>
  </w:style>
  <w:style w:type="character" w:styleId="FootnoteReference">
    <w:name w:val="footnote reference"/>
    <w:basedOn w:val="DefaultParagraphFont"/>
    <w:uiPriority w:val="99"/>
    <w:unhideWhenUsed/>
    <w:rsid w:val="00786674"/>
    <w:rPr>
      <w:vertAlign w:val="superscript"/>
    </w:rPr>
  </w:style>
  <w:style w:type="character" w:customStyle="1" w:styleId="CommentTextChar">
    <w:name w:val="Comment Text Char"/>
    <w:basedOn w:val="DefaultParagraphFont"/>
    <w:link w:val="CommentText"/>
    <w:uiPriority w:val="99"/>
    <w:semiHidden/>
    <w:rsid w:val="00786674"/>
    <w:rPr>
      <w:sz w:val="20"/>
    </w:rPr>
  </w:style>
  <w:style w:type="character" w:customStyle="1" w:styleId="ClosingChar">
    <w:name w:val="Closing Char"/>
    <w:aliases w:val="Gruß Char"/>
    <w:basedOn w:val="DefaultParagraphFont"/>
    <w:link w:val="Closing"/>
    <w:uiPriority w:val="46"/>
    <w:rsid w:val="00786674"/>
  </w:style>
  <w:style w:type="paragraph" w:customStyle="1" w:styleId="Listennummera">
    <w:name w:val="Listennummer a)"/>
    <w:aliases w:val="OL 1 a)"/>
    <w:basedOn w:val="ListNumber"/>
    <w:uiPriority w:val="18"/>
    <w:qFormat/>
    <w:rsid w:val="00786674"/>
    <w:pPr>
      <w:numPr>
        <w:numId w:val="13"/>
      </w:numPr>
    </w:pPr>
  </w:style>
  <w:style w:type="numbering" w:customStyle="1" w:styleId="ATGliederungsliste">
    <w:name w:val="AT Gliederungsliste"/>
    <w:uiPriority w:val="99"/>
    <w:rsid w:val="00786674"/>
    <w:pPr>
      <w:numPr>
        <w:numId w:val="2"/>
      </w:numPr>
    </w:pPr>
  </w:style>
  <w:style w:type="paragraph" w:styleId="ListNumber2">
    <w:name w:val="List Number 2"/>
    <w:aliases w:val="OL 2"/>
    <w:basedOn w:val="Normal"/>
    <w:uiPriority w:val="12"/>
    <w:qFormat/>
    <w:rsid w:val="00786674"/>
    <w:pPr>
      <w:numPr>
        <w:ilvl w:val="1"/>
        <w:numId w:val="12"/>
      </w:numPr>
      <w:spacing w:after="0"/>
    </w:pPr>
  </w:style>
  <w:style w:type="paragraph" w:styleId="ListNumber3">
    <w:name w:val="List Number 3"/>
    <w:aliases w:val="OL 3"/>
    <w:basedOn w:val="Normal"/>
    <w:uiPriority w:val="12"/>
    <w:rsid w:val="00786674"/>
    <w:pPr>
      <w:numPr>
        <w:ilvl w:val="2"/>
        <w:numId w:val="12"/>
      </w:numPr>
      <w:spacing w:after="0"/>
    </w:pPr>
  </w:style>
  <w:style w:type="paragraph" w:styleId="ListNumber4">
    <w:name w:val="List Number 4"/>
    <w:basedOn w:val="Normal"/>
    <w:uiPriority w:val="12"/>
    <w:semiHidden/>
    <w:rsid w:val="00786674"/>
    <w:pPr>
      <w:numPr>
        <w:ilvl w:val="3"/>
        <w:numId w:val="12"/>
      </w:numPr>
      <w:spacing w:after="0" w:line="276" w:lineRule="auto"/>
    </w:pPr>
  </w:style>
  <w:style w:type="paragraph" w:styleId="ListNumber5">
    <w:name w:val="List Number 5"/>
    <w:basedOn w:val="Normal"/>
    <w:uiPriority w:val="12"/>
    <w:semiHidden/>
    <w:rsid w:val="00786674"/>
    <w:pPr>
      <w:numPr>
        <w:ilvl w:val="4"/>
        <w:numId w:val="12"/>
      </w:numPr>
      <w:spacing w:after="0"/>
    </w:pPr>
  </w:style>
  <w:style w:type="paragraph" w:customStyle="1" w:styleId="Listennummer6">
    <w:name w:val="Listennummer 6"/>
    <w:basedOn w:val="Normal"/>
    <w:uiPriority w:val="12"/>
    <w:semiHidden/>
    <w:rsid w:val="00786674"/>
    <w:pPr>
      <w:numPr>
        <w:ilvl w:val="5"/>
        <w:numId w:val="12"/>
      </w:numPr>
      <w:spacing w:after="0"/>
    </w:pPr>
    <w:rPr>
      <w:rFonts w:eastAsia="Times New Roman" w:cs="Times New Roman"/>
      <w:szCs w:val="22"/>
      <w:lang w:eastAsia="de-AT"/>
    </w:rPr>
  </w:style>
  <w:style w:type="paragraph" w:customStyle="1" w:styleId="Listennummer7">
    <w:name w:val="Listennummer 7"/>
    <w:basedOn w:val="Normal"/>
    <w:uiPriority w:val="12"/>
    <w:semiHidden/>
    <w:rsid w:val="00786674"/>
    <w:pPr>
      <w:numPr>
        <w:ilvl w:val="6"/>
        <w:numId w:val="12"/>
      </w:numPr>
      <w:spacing w:after="0"/>
    </w:pPr>
    <w:rPr>
      <w:rFonts w:eastAsia="Times New Roman" w:cs="Times New Roman"/>
      <w:szCs w:val="22"/>
      <w:lang w:eastAsia="de-AT"/>
    </w:rPr>
  </w:style>
  <w:style w:type="paragraph" w:customStyle="1" w:styleId="Listennummer8">
    <w:name w:val="Listennummer 8"/>
    <w:basedOn w:val="Normal"/>
    <w:uiPriority w:val="12"/>
    <w:semiHidden/>
    <w:rsid w:val="00786674"/>
    <w:pPr>
      <w:numPr>
        <w:ilvl w:val="7"/>
        <w:numId w:val="12"/>
      </w:numPr>
      <w:spacing w:after="0"/>
    </w:pPr>
    <w:rPr>
      <w:rFonts w:eastAsia="Times New Roman" w:cs="Times New Roman"/>
      <w:szCs w:val="22"/>
      <w:lang w:eastAsia="de-AT"/>
    </w:rPr>
  </w:style>
  <w:style w:type="paragraph" w:customStyle="1" w:styleId="Listennummer9">
    <w:name w:val="Listennummer 9"/>
    <w:basedOn w:val="Normal"/>
    <w:uiPriority w:val="12"/>
    <w:semiHidden/>
    <w:rsid w:val="00786674"/>
    <w:pPr>
      <w:numPr>
        <w:ilvl w:val="8"/>
        <w:numId w:val="12"/>
      </w:numPr>
      <w:spacing w:after="0"/>
    </w:pPr>
    <w:rPr>
      <w:rFonts w:eastAsia="Times New Roman" w:cs="Times New Roman"/>
      <w:szCs w:val="22"/>
      <w:lang w:eastAsia="de-AT"/>
    </w:rPr>
  </w:style>
  <w:style w:type="table" w:customStyle="1" w:styleId="Republik-AT">
    <w:name w:val="Republik-AT"/>
    <w:basedOn w:val="TableGrid"/>
    <w:uiPriority w:val="99"/>
    <w:rsid w:val="00786674"/>
    <w:pPr>
      <w:spacing w:line="240" w:lineRule="auto"/>
    </w:pPr>
    <w:tblPr>
      <w:tblStyleRowBandSize w:val="1"/>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8" w:type="dxa"/>
        <w:bottom w:w="108" w:type="dxa"/>
      </w:tblCellMar>
    </w:tblPr>
    <w:tblStylePr w:type="firstRow">
      <w:tblPr/>
      <w:tcPr>
        <w:tcBorders>
          <w:top w:val="nil"/>
          <w:left w:val="nil"/>
          <w:bottom w:val="single" w:sz="12" w:space="0" w:color="auto"/>
          <w:right w:val="nil"/>
          <w:insideH w:val="nil"/>
          <w:insideV w:val="nil"/>
          <w:tl2br w:val="nil"/>
          <w:tr2bl w:val="nil"/>
        </w:tcBorders>
        <w:shd w:val="clear" w:color="auto" w:fill="E6EFF3" w:themeFill="background1"/>
      </w:tcPr>
    </w:tblStylePr>
    <w:tblStylePr w:type="firstCol">
      <w:tblPr/>
      <w:tcPr>
        <w:shd w:val="clear" w:color="auto" w:fill="E6EFF3" w:themeFill="background1"/>
      </w:tcPr>
    </w:tblStylePr>
    <w:tblStylePr w:type="band1Horz">
      <w:tblPr/>
      <w:tcPr>
        <w:tcBorders>
          <w:top w:val="nil"/>
          <w:left w:val="nil"/>
          <w:bottom w:val="single" w:sz="2" w:space="0" w:color="auto"/>
          <w:right w:val="nil"/>
          <w:insideH w:val="nil"/>
          <w:insideV w:val="nil"/>
          <w:tl2br w:val="nil"/>
          <w:tr2bl w:val="nil"/>
        </w:tcBorders>
      </w:tcPr>
    </w:tblStylePr>
    <w:tblStylePr w:type="band2Horz">
      <w:tblPr/>
      <w:tcPr>
        <w:tcBorders>
          <w:top w:val="nil"/>
          <w:left w:val="nil"/>
          <w:bottom w:val="single" w:sz="2" w:space="0" w:color="auto"/>
          <w:right w:val="nil"/>
          <w:insideH w:val="nil"/>
          <w:insideV w:val="nil"/>
          <w:tl2br w:val="nil"/>
          <w:tr2bl w:val="nil"/>
        </w:tcBorders>
      </w:tcPr>
    </w:tblStylePr>
  </w:style>
  <w:style w:type="numbering" w:customStyle="1" w:styleId="ATNummerierteListe">
    <w:name w:val="AT NummerierteListe"/>
    <w:basedOn w:val="NoList"/>
    <w:uiPriority w:val="99"/>
    <w:rsid w:val="00786674"/>
    <w:pPr>
      <w:numPr>
        <w:numId w:val="3"/>
      </w:numPr>
    </w:pPr>
  </w:style>
  <w:style w:type="paragraph" w:styleId="TOC2">
    <w:name w:val="toc 2"/>
    <w:basedOn w:val="Normal"/>
    <w:next w:val="Normal"/>
    <w:autoRedefine/>
    <w:uiPriority w:val="39"/>
    <w:semiHidden/>
    <w:rsid w:val="00786674"/>
    <w:pPr>
      <w:tabs>
        <w:tab w:val="left" w:pos="426"/>
        <w:tab w:val="right" w:leader="dot" w:pos="7297"/>
      </w:tabs>
      <w:spacing w:after="156"/>
    </w:pPr>
  </w:style>
  <w:style w:type="paragraph" w:styleId="TOC3">
    <w:name w:val="toc 3"/>
    <w:basedOn w:val="Normal"/>
    <w:next w:val="Normal"/>
    <w:autoRedefine/>
    <w:uiPriority w:val="39"/>
    <w:semiHidden/>
    <w:rsid w:val="00786674"/>
    <w:pPr>
      <w:tabs>
        <w:tab w:val="left" w:pos="907"/>
        <w:tab w:val="right" w:leader="dot" w:pos="7297"/>
      </w:tabs>
      <w:spacing w:after="100"/>
      <w:ind w:left="312"/>
    </w:pPr>
  </w:style>
  <w:style w:type="character" w:customStyle="1" w:styleId="small">
    <w:name w:val="small"/>
    <w:basedOn w:val="DefaultParagraphFont"/>
    <w:uiPriority w:val="46"/>
    <w:qFormat/>
    <w:rsid w:val="00786674"/>
    <w:rPr>
      <w:sz w:val="18"/>
      <w:szCs w:val="16"/>
    </w:rPr>
  </w:style>
  <w:style w:type="paragraph" w:customStyle="1" w:styleId="1nummeriert">
    <w:name w:val="Ü1 nummeriert"/>
    <w:basedOn w:val="Heading1"/>
    <w:next w:val="Normal"/>
    <w:uiPriority w:val="2"/>
    <w:semiHidden/>
    <w:qFormat/>
    <w:rsid w:val="002B56E9"/>
    <w:pPr>
      <w:keepLines/>
      <w:numPr>
        <w:numId w:val="1"/>
      </w:numPr>
      <w:tabs>
        <w:tab w:val="clear" w:pos="567"/>
      </w:tabs>
      <w:ind w:left="1134" w:hanging="1134"/>
    </w:pPr>
    <w:rPr>
      <w:rFonts w:eastAsiaTheme="majorEastAsia" w:cstheme="majorBidi"/>
      <w:bCs w:val="0"/>
      <w:szCs w:val="32"/>
    </w:rPr>
  </w:style>
  <w:style w:type="paragraph" w:customStyle="1" w:styleId="2nummeriert">
    <w:name w:val="Ü2 nummeriert"/>
    <w:basedOn w:val="Heading2"/>
    <w:next w:val="Normal"/>
    <w:uiPriority w:val="2"/>
    <w:semiHidden/>
    <w:qFormat/>
    <w:rsid w:val="00C17CAB"/>
    <w:pPr>
      <w:keepLines/>
      <w:numPr>
        <w:ilvl w:val="1"/>
        <w:numId w:val="1"/>
      </w:numPr>
      <w:spacing w:before="345"/>
      <w:ind w:left="1134" w:hanging="1134"/>
    </w:pPr>
    <w:rPr>
      <w:rFonts w:eastAsiaTheme="majorEastAsia" w:cstheme="majorBidi"/>
      <w:bCs w:val="0"/>
      <w:szCs w:val="26"/>
    </w:rPr>
  </w:style>
  <w:style w:type="paragraph" w:customStyle="1" w:styleId="3nummeriert">
    <w:name w:val="Ü3 nummeriert"/>
    <w:basedOn w:val="Heading3"/>
    <w:next w:val="Normal"/>
    <w:uiPriority w:val="2"/>
    <w:semiHidden/>
    <w:qFormat/>
    <w:rsid w:val="00C17CAB"/>
    <w:pPr>
      <w:keepLines/>
      <w:numPr>
        <w:ilvl w:val="2"/>
        <w:numId w:val="1"/>
      </w:numPr>
      <w:spacing w:before="345"/>
      <w:ind w:left="1134" w:hanging="1134"/>
    </w:pPr>
    <w:rPr>
      <w:rFonts w:eastAsiaTheme="majorEastAsia" w:cstheme="majorBidi"/>
      <w:bCs w:val="0"/>
      <w:szCs w:val="24"/>
    </w:rPr>
  </w:style>
  <w:style w:type="paragraph" w:customStyle="1" w:styleId="4nummeriert">
    <w:name w:val="Ü4 nummeriert"/>
    <w:basedOn w:val="Heading4"/>
    <w:next w:val="Normal"/>
    <w:uiPriority w:val="2"/>
    <w:semiHidden/>
    <w:rsid w:val="00721F3A"/>
    <w:pPr>
      <w:keepLines/>
      <w:numPr>
        <w:ilvl w:val="3"/>
        <w:numId w:val="1"/>
      </w:numPr>
      <w:spacing w:before="345"/>
      <w:ind w:left="1134" w:hanging="1134"/>
    </w:pPr>
    <w:rPr>
      <w:rFonts w:eastAsiaTheme="majorEastAsia" w:cstheme="majorBidi"/>
      <w:iCs/>
      <w:szCs w:val="24"/>
    </w:rPr>
  </w:style>
  <w:style w:type="paragraph" w:customStyle="1" w:styleId="5nummeriert">
    <w:name w:val="Ü5 nummeriert"/>
    <w:basedOn w:val="Heading5"/>
    <w:next w:val="Normal"/>
    <w:uiPriority w:val="2"/>
    <w:semiHidden/>
    <w:rsid w:val="00F14649"/>
    <w:pPr>
      <w:keepLines/>
      <w:numPr>
        <w:ilvl w:val="4"/>
        <w:numId w:val="1"/>
      </w:numPr>
      <w:spacing w:before="345" w:line="276" w:lineRule="auto"/>
      <w:ind w:left="1134" w:hanging="1134"/>
    </w:pPr>
    <w:rPr>
      <w:rFonts w:eastAsiaTheme="majorEastAsia" w:cstheme="majorBidi"/>
      <w:color w:val="404040" w:themeColor="text1" w:themeTint="BF"/>
      <w:sz w:val="24"/>
      <w:szCs w:val="24"/>
    </w:rPr>
  </w:style>
  <w:style w:type="paragraph" w:customStyle="1" w:styleId="1-small">
    <w:name w:val="Ü1-small"/>
    <w:basedOn w:val="Heading1"/>
    <w:next w:val="Normal"/>
    <w:uiPriority w:val="3"/>
    <w:semiHidden/>
    <w:rsid w:val="00786674"/>
    <w:pPr>
      <w:spacing w:after="345"/>
    </w:pPr>
    <w:rPr>
      <w:b/>
      <w:color w:val="auto"/>
      <w:sz w:val="25"/>
      <w:szCs w:val="25"/>
    </w:rPr>
  </w:style>
  <w:style w:type="character" w:customStyle="1" w:styleId="Hochstellen">
    <w:name w:val="Hochstellen"/>
    <w:basedOn w:val="DefaultParagraphFont"/>
    <w:uiPriority w:val="59"/>
    <w:qFormat/>
    <w:rsid w:val="00786674"/>
    <w:rPr>
      <w:caps w:val="0"/>
      <w:smallCaps w:val="0"/>
      <w:strike w:val="0"/>
      <w:dstrike w:val="0"/>
      <w:vanish w:val="0"/>
      <w:vertAlign w:val="superscript"/>
    </w:rPr>
  </w:style>
  <w:style w:type="paragraph" w:customStyle="1" w:styleId="ProgrammAufzhlung1">
    <w:name w:val="Programm Aufzählung 1"/>
    <w:aliases w:val="P-UL"/>
    <w:basedOn w:val="Normal"/>
    <w:uiPriority w:val="24"/>
    <w:qFormat/>
    <w:rsid w:val="00786674"/>
    <w:pPr>
      <w:numPr>
        <w:numId w:val="14"/>
      </w:numPr>
      <w:spacing w:after="0"/>
    </w:pPr>
    <w:rPr>
      <w:rFonts w:eastAsia="Times New Roman" w:cs="Times New Roman"/>
      <w:szCs w:val="22"/>
      <w:lang w:eastAsia="de-AT"/>
    </w:rPr>
  </w:style>
  <w:style w:type="paragraph" w:customStyle="1" w:styleId="P-Intro">
    <w:name w:val="P-Intro"/>
    <w:basedOn w:val="Normal"/>
    <w:uiPriority w:val="19"/>
    <w:semiHidden/>
    <w:qFormat/>
    <w:rsid w:val="00786674"/>
    <w:pPr>
      <w:spacing w:after="690"/>
    </w:pPr>
    <w:rPr>
      <w:color w:val="E1320F" w:themeColor="text2"/>
      <w:sz w:val="25"/>
    </w:rPr>
  </w:style>
  <w:style w:type="paragraph" w:customStyle="1" w:styleId="ProgrammAufzhlung1ABSTNACH">
    <w:name w:val="Programm Aufzählung 1 ABST NACH"/>
    <w:aliases w:val="P-UL Ende"/>
    <w:basedOn w:val="ProgrammAufzhlung1"/>
    <w:uiPriority w:val="24"/>
    <w:qFormat/>
    <w:rsid w:val="00786674"/>
    <w:pPr>
      <w:spacing w:after="345"/>
    </w:pPr>
  </w:style>
  <w:style w:type="paragraph" w:customStyle="1" w:styleId="Quelle">
    <w:name w:val="Quelle"/>
    <w:basedOn w:val="StdVOR"/>
    <w:next w:val="Normal"/>
    <w:uiPriority w:val="5"/>
    <w:qFormat/>
    <w:rsid w:val="00786674"/>
    <w:rPr>
      <w:sz w:val="21"/>
      <w:szCs w:val="19"/>
    </w:rPr>
  </w:style>
  <w:style w:type="paragraph" w:styleId="TableofFigures">
    <w:name w:val="table of figures"/>
    <w:basedOn w:val="Normal"/>
    <w:next w:val="Normal"/>
    <w:uiPriority w:val="40"/>
    <w:semiHidden/>
    <w:rsid w:val="00786674"/>
    <w:pPr>
      <w:spacing w:after="0"/>
    </w:pPr>
  </w:style>
  <w:style w:type="paragraph" w:styleId="TOC4">
    <w:name w:val="toc 4"/>
    <w:basedOn w:val="Normal"/>
    <w:next w:val="Normal"/>
    <w:autoRedefine/>
    <w:uiPriority w:val="39"/>
    <w:semiHidden/>
    <w:rsid w:val="00786674"/>
    <w:pPr>
      <w:tabs>
        <w:tab w:val="left" w:pos="1077"/>
        <w:tab w:val="right" w:leader="dot" w:pos="7297"/>
      </w:tabs>
      <w:spacing w:after="100"/>
      <w:ind w:left="312"/>
    </w:pPr>
  </w:style>
  <w:style w:type="paragraph" w:customStyle="1" w:styleId="BoxTitel">
    <w:name w:val="Box Titel"/>
    <w:basedOn w:val="Normal"/>
    <w:uiPriority w:val="21"/>
    <w:semiHidden/>
    <w:qFormat/>
    <w:rsid w:val="00786674"/>
    <w:pPr>
      <w:pBdr>
        <w:top w:val="single" w:sz="4" w:space="15" w:color="E6EFF3" w:themeColor="background1"/>
        <w:left w:val="single" w:sz="4" w:space="20" w:color="E6EFF3" w:themeColor="background1"/>
        <w:right w:val="single" w:sz="4" w:space="20" w:color="E6EFF3" w:themeColor="background1"/>
      </w:pBdr>
      <w:shd w:val="clear" w:color="auto" w:fill="E6EFF3" w:themeFill="background1"/>
      <w:spacing w:after="0"/>
      <w:ind w:left="397" w:right="397"/>
    </w:pPr>
    <w:rPr>
      <w:b/>
      <w:bCs/>
      <w:color w:val="E1320F" w:themeColor="text2"/>
    </w:rPr>
  </w:style>
  <w:style w:type="paragraph" w:customStyle="1" w:styleId="BoxStd">
    <w:name w:val="Box Std"/>
    <w:basedOn w:val="Normal"/>
    <w:uiPriority w:val="22"/>
    <w:rsid w:val="00786674"/>
    <w:pPr>
      <w:pBdr>
        <w:top w:val="single" w:sz="4" w:space="14" w:color="E6EFF3" w:themeColor="background1"/>
        <w:left w:val="single" w:sz="4" w:space="20" w:color="E6EFF3" w:themeColor="background1"/>
        <w:bottom w:val="single" w:sz="4" w:space="14" w:color="E6EFF3" w:themeColor="background1"/>
        <w:right w:val="single" w:sz="4" w:space="20" w:color="E6EFF3" w:themeColor="background1"/>
      </w:pBdr>
      <w:shd w:val="clear" w:color="auto" w:fill="E6EFF3" w:themeFill="background1"/>
      <w:ind w:left="397" w:right="397"/>
    </w:pPr>
  </w:style>
  <w:style w:type="paragraph" w:customStyle="1" w:styleId="BoxUL1">
    <w:name w:val="Box UL 1"/>
    <w:basedOn w:val="ProgrammAufzhlung1"/>
    <w:uiPriority w:val="22"/>
    <w:semiHidden/>
    <w:qFormat/>
    <w:rsid w:val="00786674"/>
    <w:pPr>
      <w:pBdr>
        <w:top w:val="single" w:sz="4" w:space="14" w:color="E6EFF3" w:themeColor="background1"/>
        <w:left w:val="single" w:sz="4" w:space="20" w:color="E6EFF3" w:themeColor="background1"/>
        <w:bottom w:val="single" w:sz="4" w:space="14" w:color="E6EFF3" w:themeColor="background1"/>
        <w:right w:val="single" w:sz="4" w:space="20" w:color="E6EFF3" w:themeColor="background1"/>
      </w:pBdr>
      <w:shd w:val="clear" w:color="auto" w:fill="E6EFF3" w:themeFill="background1"/>
      <w:ind w:left="794" w:right="397"/>
      <w:contextualSpacing/>
    </w:pPr>
  </w:style>
  <w:style w:type="numbering" w:customStyle="1" w:styleId="Programm-Liste">
    <w:name w:val="Programm-Liste"/>
    <w:basedOn w:val="NoList"/>
    <w:rsid w:val="00786674"/>
    <w:pPr>
      <w:numPr>
        <w:numId w:val="14"/>
      </w:numPr>
    </w:pPr>
  </w:style>
  <w:style w:type="paragraph" w:customStyle="1" w:styleId="Vermerk">
    <w:name w:val="Vermerk"/>
    <w:basedOn w:val="Normal"/>
    <w:uiPriority w:val="47"/>
    <w:qFormat/>
    <w:rsid w:val="00786674"/>
    <w:rPr>
      <w:sz w:val="18"/>
    </w:rPr>
  </w:style>
  <w:style w:type="character" w:customStyle="1" w:styleId="Tiefstellen">
    <w:name w:val="Tiefstellen"/>
    <w:basedOn w:val="DefaultParagraphFont"/>
    <w:uiPriority w:val="59"/>
    <w:qFormat/>
    <w:rsid w:val="00786674"/>
    <w:rPr>
      <w:caps w:val="0"/>
      <w:smallCaps w:val="0"/>
      <w:strike w:val="0"/>
      <w:dstrike w:val="0"/>
      <w:vanish w:val="0"/>
      <w:vertAlign w:val="subscript"/>
    </w:rPr>
  </w:style>
  <w:style w:type="paragraph" w:customStyle="1" w:styleId="AbsNACH">
    <w:name w:val="Abs+NACH"/>
    <w:basedOn w:val="Absendedaten"/>
    <w:uiPriority w:val="49"/>
    <w:qFormat/>
    <w:rsid w:val="00786674"/>
    <w:pPr>
      <w:spacing w:after="240"/>
    </w:pPr>
    <w:rPr>
      <w:rFonts w:eastAsia="Times New Roman" w:cs="Times New Roman"/>
      <w:szCs w:val="20"/>
    </w:rPr>
  </w:style>
  <w:style w:type="character" w:customStyle="1" w:styleId="Grobuchstaben">
    <w:name w:val="Großbuchstaben"/>
    <w:basedOn w:val="DefaultParagraphFont"/>
    <w:uiPriority w:val="59"/>
    <w:qFormat/>
    <w:rsid w:val="00786674"/>
    <w:rPr>
      <w:caps/>
      <w:smallCaps w:val="0"/>
      <w:strike w:val="0"/>
      <w:dstrike w:val="0"/>
      <w:vanish w:val="0"/>
      <w:vertAlign w:val="baseline"/>
    </w:rPr>
  </w:style>
  <w:style w:type="character" w:styleId="FollowedHyperlink">
    <w:name w:val="FollowedHyperlink"/>
    <w:basedOn w:val="DefaultParagraphFont"/>
    <w:uiPriority w:val="99"/>
    <w:semiHidden/>
    <w:unhideWhenUsed/>
    <w:rsid w:val="00786674"/>
    <w:rPr>
      <w:color w:val="636362" w:themeColor="followedHyperlink"/>
      <w:u w:val="single"/>
    </w:rPr>
  </w:style>
  <w:style w:type="paragraph" w:customStyle="1" w:styleId="UZ-Datum">
    <w:name w:val="UZ-Datum"/>
    <w:basedOn w:val="UnterzeichnetiV"/>
    <w:next w:val="UnterzeichnetiV"/>
    <w:uiPriority w:val="46"/>
    <w:rsid w:val="00786674"/>
    <w:pPr>
      <w:spacing w:before="360"/>
    </w:pPr>
    <w:rPr>
      <w:rFonts w:eastAsia="Times New Roman" w:cs="Times New Roman"/>
      <w:szCs w:val="20"/>
    </w:rPr>
  </w:style>
  <w:style w:type="paragraph" w:customStyle="1" w:styleId="Elektronischgefertigt">
    <w:name w:val="Elektronisch gefertigt"/>
    <w:basedOn w:val="StdVOR"/>
    <w:next w:val="Normal"/>
    <w:uiPriority w:val="46"/>
    <w:qFormat/>
    <w:rsid w:val="00786674"/>
    <w:pPr>
      <w:spacing w:after="0"/>
    </w:pPr>
    <w:rPr>
      <w:sz w:val="18"/>
    </w:rPr>
  </w:style>
  <w:style w:type="paragraph" w:customStyle="1" w:styleId="Brief2nummeriert">
    <w:name w:val="Brief Ü2 nummeriert"/>
    <w:basedOn w:val="Normal"/>
    <w:next w:val="Normal"/>
    <w:uiPriority w:val="2"/>
    <w:qFormat/>
    <w:rsid w:val="00786674"/>
    <w:pPr>
      <w:keepNext/>
      <w:keepLines/>
      <w:numPr>
        <w:ilvl w:val="1"/>
        <w:numId w:val="7"/>
      </w:numPr>
      <w:spacing w:before="360" w:line="264" w:lineRule="auto"/>
      <w:outlineLvl w:val="1"/>
    </w:pPr>
    <w:rPr>
      <w:rFonts w:asciiTheme="majorHAnsi" w:eastAsiaTheme="majorEastAsia" w:hAnsiTheme="majorHAnsi" w:cstheme="majorBidi"/>
      <w:b/>
      <w:sz w:val="28"/>
      <w:szCs w:val="26"/>
    </w:rPr>
  </w:style>
  <w:style w:type="character" w:customStyle="1" w:styleId="BetreffZchn">
    <w:name w:val="Betreff Zchn"/>
    <w:aliases w:val="Betreff-Titel Zchn,Betreff-H1 Zchn"/>
    <w:basedOn w:val="DefaultParagraphFont"/>
    <w:link w:val="Betreff"/>
    <w:uiPriority w:val="3"/>
    <w:rsid w:val="00786674"/>
    <w:rPr>
      <w:rFonts w:asciiTheme="majorHAnsi" w:hAnsiTheme="majorHAnsi"/>
      <w:b/>
      <w:sz w:val="28"/>
      <w:shd w:val="clear" w:color="auto" w:fill="FFFFFF"/>
    </w:rPr>
  </w:style>
  <w:style w:type="numbering" w:customStyle="1" w:styleId="AT-Brief-berschriftengliederung">
    <w:name w:val="AT-Brief-Überschriftengliederung"/>
    <w:uiPriority w:val="99"/>
    <w:rsid w:val="00786674"/>
    <w:pPr>
      <w:numPr>
        <w:numId w:val="5"/>
      </w:numPr>
    </w:pPr>
  </w:style>
  <w:style w:type="paragraph" w:customStyle="1" w:styleId="Brief3nummeriert">
    <w:name w:val="Brief Ü3 nummeriert"/>
    <w:basedOn w:val="Normal"/>
    <w:next w:val="Normal"/>
    <w:uiPriority w:val="2"/>
    <w:qFormat/>
    <w:rsid w:val="00786674"/>
    <w:pPr>
      <w:keepNext/>
      <w:keepLines/>
      <w:numPr>
        <w:ilvl w:val="2"/>
        <w:numId w:val="7"/>
      </w:numPr>
      <w:spacing w:before="360" w:after="0" w:line="288" w:lineRule="auto"/>
      <w:outlineLvl w:val="2"/>
    </w:pPr>
    <w:rPr>
      <w:rFonts w:asciiTheme="majorHAnsi" w:eastAsiaTheme="majorEastAsia" w:hAnsiTheme="majorHAnsi" w:cstheme="majorBidi"/>
      <w:b/>
      <w:sz w:val="25"/>
    </w:rPr>
  </w:style>
  <w:style w:type="paragraph" w:styleId="Date">
    <w:name w:val="Date"/>
    <w:basedOn w:val="Normal"/>
    <w:next w:val="Normal"/>
    <w:link w:val="DateChar"/>
    <w:rsid w:val="00786674"/>
    <w:pPr>
      <w:ind w:left="6050"/>
    </w:pPr>
    <w:rPr>
      <w:lang w:val="de-AT"/>
    </w:rPr>
  </w:style>
  <w:style w:type="character" w:customStyle="1" w:styleId="DateChar">
    <w:name w:val="Date Char"/>
    <w:basedOn w:val="DefaultParagraphFont"/>
    <w:link w:val="Date"/>
    <w:rsid w:val="00786674"/>
    <w:rPr>
      <w:lang w:val="de-AT"/>
    </w:rPr>
  </w:style>
  <w:style w:type="paragraph" w:customStyle="1" w:styleId="Block">
    <w:name w:val="Block"/>
    <w:basedOn w:val="Normal"/>
    <w:uiPriority w:val="1"/>
    <w:qFormat/>
    <w:rsid w:val="00786674"/>
    <w:pPr>
      <w:suppressAutoHyphens w:val="0"/>
      <w:jc w:val="both"/>
    </w:pPr>
    <w:rPr>
      <w:rFonts w:eastAsia="Times New Roman" w:cs="Times New Roman"/>
      <w:szCs w:val="20"/>
    </w:rPr>
  </w:style>
  <w:style w:type="paragraph" w:customStyle="1" w:styleId="BlockVOR">
    <w:name w:val="Block+VOR"/>
    <w:basedOn w:val="Block"/>
    <w:next w:val="Block"/>
    <w:uiPriority w:val="1"/>
    <w:qFormat/>
    <w:rsid w:val="00786674"/>
    <w:pPr>
      <w:spacing w:before="360"/>
    </w:pPr>
  </w:style>
  <w:style w:type="paragraph" w:customStyle="1" w:styleId="GZklein">
    <w:name w:val="GZ klein"/>
    <w:basedOn w:val="GZ"/>
    <w:uiPriority w:val="47"/>
    <w:rsid w:val="00786674"/>
    <w:rPr>
      <w:sz w:val="18"/>
    </w:rPr>
  </w:style>
  <w:style w:type="paragraph" w:customStyle="1" w:styleId="Zitat-klein">
    <w:name w:val="Zitat-klein"/>
    <w:basedOn w:val="Normal"/>
    <w:next w:val="Normal"/>
    <w:uiPriority w:val="20"/>
    <w:qFormat/>
    <w:rsid w:val="00786674"/>
    <w:pPr>
      <w:ind w:left="397"/>
    </w:pPr>
  </w:style>
  <w:style w:type="table" w:customStyle="1" w:styleId="Tabellenraster2">
    <w:name w:val="Tabellenraster2"/>
    <w:basedOn w:val="TableNormal"/>
    <w:next w:val="TableGrid"/>
    <w:uiPriority w:val="59"/>
    <w:rsid w:val="00D25848"/>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lenraster1">
    <w:name w:val="Tabellenraster1"/>
    <w:basedOn w:val="TableNormal"/>
    <w:next w:val="TableGrid"/>
    <w:uiPriority w:val="39"/>
    <w:rsid w:val="00A40255"/>
    <w:pPr>
      <w:spacing w:after="0" w:line="240" w:lineRule="auto"/>
    </w:pPr>
    <w:rPr>
      <w:rFonts w:eastAsia="Times New Roman"/>
      <w:sz w:val="22"/>
      <w:szCs w:val="22"/>
      <w:lang w:val="de-AT" w:eastAsia="de-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
    <w:name w:val="Para"/>
    <w:basedOn w:val="Normal"/>
    <w:uiPriority w:val="3"/>
    <w:qFormat/>
    <w:rsid w:val="00A40255"/>
    <w:pPr>
      <w:suppressAutoHyphens w:val="0"/>
      <w:spacing w:before="120" w:after="120" w:line="240" w:lineRule="auto"/>
      <w:ind w:left="680" w:right="680"/>
      <w:jc w:val="both"/>
    </w:pPr>
    <w:rPr>
      <w:rFonts w:ascii="Times New Roman" w:eastAsia="SimSun" w:hAnsi="Times New Roman" w:cs="Times New Roman"/>
      <w:sz w:val="22"/>
      <w:szCs w:val="20"/>
      <w:lang w:val="en-GB"/>
    </w:rPr>
  </w:style>
  <w:style w:type="character" w:styleId="CommentReference">
    <w:name w:val="annotation reference"/>
    <w:basedOn w:val="DefaultParagraphFont"/>
    <w:uiPriority w:val="99"/>
    <w:semiHidden/>
    <w:unhideWhenUsed/>
    <w:rsid w:val="00ED586D"/>
    <w:rPr>
      <w:sz w:val="16"/>
      <w:szCs w:val="16"/>
    </w:rPr>
  </w:style>
  <w:style w:type="paragraph" w:styleId="CommentSubject">
    <w:name w:val="annotation subject"/>
    <w:basedOn w:val="CommentText"/>
    <w:next w:val="CommentText"/>
    <w:link w:val="CommentSubjectChar"/>
    <w:uiPriority w:val="99"/>
    <w:semiHidden/>
    <w:unhideWhenUsed/>
    <w:rsid w:val="00ED586D"/>
    <w:rPr>
      <w:b/>
      <w:bCs/>
      <w:szCs w:val="20"/>
    </w:rPr>
  </w:style>
  <w:style w:type="character" w:customStyle="1" w:styleId="CommentSubjectChar">
    <w:name w:val="Comment Subject Char"/>
    <w:basedOn w:val="CommentTextChar"/>
    <w:link w:val="CommentSubject"/>
    <w:uiPriority w:val="99"/>
    <w:semiHidden/>
    <w:rsid w:val="00ED586D"/>
    <w:rPr>
      <w:b/>
      <w:bCs/>
      <w:sz w:val="20"/>
      <w:szCs w:val="20"/>
    </w:rPr>
  </w:style>
  <w:style w:type="paragraph" w:styleId="BodyText">
    <w:name w:val="Body Text"/>
    <w:basedOn w:val="Normal"/>
    <w:link w:val="BodyTextChar"/>
    <w:uiPriority w:val="1"/>
    <w:qFormat/>
    <w:rsid w:val="00A84DC1"/>
    <w:pPr>
      <w:widowControl w:val="0"/>
      <w:suppressAutoHyphens w:val="0"/>
      <w:autoSpaceDE w:val="0"/>
      <w:autoSpaceDN w:val="0"/>
      <w:spacing w:after="0" w:line="240" w:lineRule="auto"/>
    </w:pPr>
    <w:rPr>
      <w:rFonts w:ascii="Cambria" w:eastAsia="Cambria" w:hAnsi="Cambria" w:cs="Cambria"/>
      <w:sz w:val="22"/>
      <w:szCs w:val="22"/>
      <w:lang w:val="en-US"/>
    </w:rPr>
  </w:style>
  <w:style w:type="character" w:customStyle="1" w:styleId="BodyTextChar">
    <w:name w:val="Body Text Char"/>
    <w:basedOn w:val="DefaultParagraphFont"/>
    <w:link w:val="BodyText"/>
    <w:uiPriority w:val="1"/>
    <w:rsid w:val="00A84DC1"/>
    <w:rPr>
      <w:rFonts w:ascii="Cambria" w:eastAsia="Cambria" w:hAnsi="Cambria" w:cs="Cambria"/>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050884">
      <w:bodyDiv w:val="1"/>
      <w:marLeft w:val="0"/>
      <w:marRight w:val="0"/>
      <w:marTop w:val="0"/>
      <w:marBottom w:val="0"/>
      <w:divBdr>
        <w:top w:val="none" w:sz="0" w:space="0" w:color="auto"/>
        <w:left w:val="none" w:sz="0" w:space="0" w:color="auto"/>
        <w:bottom w:val="none" w:sz="0" w:space="0" w:color="auto"/>
        <w:right w:val="none" w:sz="0" w:space="0" w:color="auto"/>
      </w:divBdr>
    </w:div>
    <w:div w:id="1701514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Republik-AT-2020">
  <a:themeElements>
    <a:clrScheme name="Republik-AT-2020">
      <a:dk1>
        <a:srgbClr val="000000"/>
      </a:dk1>
      <a:lt1>
        <a:srgbClr val="E6EFF3"/>
      </a:lt1>
      <a:dk2>
        <a:srgbClr val="E1320F"/>
      </a:dk2>
      <a:lt2>
        <a:srgbClr val="FFFFFF"/>
      </a:lt2>
      <a:accent1>
        <a:srgbClr val="CA0237"/>
      </a:accent1>
      <a:accent2>
        <a:srgbClr val="5FB564"/>
      </a:accent2>
      <a:accent3>
        <a:srgbClr val="950F53"/>
      </a:accent3>
      <a:accent4>
        <a:srgbClr val="F59C00"/>
      </a:accent4>
      <a:accent5>
        <a:srgbClr val="3BACBE"/>
      </a:accent5>
      <a:accent6>
        <a:srgbClr val="BCCF00"/>
      </a:accent6>
      <a:hlink>
        <a:srgbClr val="1C1C1C"/>
      </a:hlink>
      <a:folHlink>
        <a:srgbClr val="63636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configuration xmlns:c="http://ns.axespdf.com/word/configuration">
  <c:group id="Styles">
    <c:group id="TH-Spalte">
      <c:property id="RoleID" type="string">ParagraphHeaderCell</c:property>
      <c:property id="Scope" type="integer">1</c:property>
    </c:group>
    <c:group id="TH Spalte 1">
      <c:property id="RoleID" type="string">ParagraphHeaderCell</c:property>
      <c:property id="Scope" type="integer">1</c:property>
    </c:group>
    <c:group id="Brief Ü2">
      <c:property id="RoleID" type="string">ParagraphHeading</c:property>
      <c:property id="Level" type="integer">2</c:property>
    </c:group>
    <c:group id="__Caption">
      <c:property id="RoleID" type="string">ParagraphCaption</c:property>
    </c:group>
    <c:group id="__ListContinue">
      <c:property id="RoleID" type="string">ParagraphListContinue</c:property>
    </c:group>
    <c:group id="TH Spalte links;TH Sp links">
      <c:property id="RoleID" type="string">ParagraphHeaderCell</c:property>
      <c:property id="Scope" type="integer">1</c:property>
    </c:group>
    <c:group id="TH Zeile">
      <c:property id="RoleID" type="string">ParagraphHeaderCell</c:property>
      <c:property id="Scope" type="integer">2</c:property>
    </c:group>
    <c:group id="__Quote">
      <c:property id="RoleID" type="string">ParagraphBlockQuote</c:property>
    </c:group>
    <c:group id="Gliederung Listenfortsetzung 1);GL F 1)">
      <c:property id="RoleID" type="string">ParagraphListContinue</c:property>
    </c:group>
    <c:group id="Gliederung Listenfortsetzung 1)a);GL F 1)a)">
      <c:property id="RoleID" type="string">ParagraphListContinue</c:property>
      <c:property id="Level" type="integer">2</c:property>
    </c:group>
    <c:group id="Gliederung Listenfortsetzung 1)a)i);GL F 1)a)i)">
      <c:property id="RoleID" type="string">ParagraphListContinue</c:property>
      <c:property id="Level" type="integer">3</c:property>
    </c:group>
    <c:group id="Gliederung Listenfortsetzung 1;GL F 1.">
      <c:property id="RoleID" type="string">ParagraphListContinue</c:property>
    </c:group>
    <c:group id="Gliederung Listenfortsetzung 1.1.;GL F 1.1.">
      <c:property id="RoleID" type="string">ParagraphListContinue</c:property>
      <c:property id="Level" type="integer">2</c:property>
    </c:group>
    <c:group id="Gliederung Listenfortsetzung 1.1.1;GL F 1.1.1.">
      <c:property id="RoleID" type="string">ParagraphListContinue</c:property>
      <c:property id="Level" type="integer">3</c:property>
    </c:group>
    <c:group id="__ListContinue2">
      <c:property id="RoleID" type="string">ParagraphListContinue</c:property>
      <c:property id="Level" type="integer">2</c:property>
    </c:group>
    <c:group id="__ListContinue3">
      <c:property id="RoleID" type="string">ParagraphListContinue</c:property>
      <c:property id="Level" type="integer">3</c:property>
    </c:group>
    <c:group id="Brief Titel">
      <c:property id="RoleID" type="string">ParagraphDefault</c:property>
    </c:group>
    <c:group id="Brief Ü1">
      <c:property id="RoleID" type="string">ParagraphHeading</c:property>
    </c:group>
    <c:group id="__ListContinue4">
      <c:property id="RoleID" type="string">ParagraphListContinue</c:property>
      <c:property id="Level" type="integer">4</c:property>
    </c:group>
    <c:group id="__ListContinue5">
      <c:property id="RoleID" type="string">ParagraphListContinue</c:property>
      <c:property id="Level" type="integer">5</c:property>
    </c:group>
    <c:group id="Ü1 nummeriert">
      <c:property id="RoleID" type="string">ParagraphHeading</c:property>
    </c:group>
    <c:group id="Ü2 nummeriert">
      <c:property id="RoleID" type="string">ParagraphHeading</c:property>
      <c:property id="Level" type="integer">2</c:property>
    </c:group>
    <c:group id="Ü3 nummeriert">
      <c:property id="RoleID" type="string">ParagraphHeading</c:property>
      <c:property id="Level" type="integer">3</c:property>
    </c:group>
    <c:group id="Ü4 nummeriert">
      <c:property id="RoleID" type="string">ParagraphHeading</c:property>
      <c:property id="Level" type="integer">4</c:property>
    </c:group>
    <c:group id="Ü5 nummeriert">
      <c:property id="RoleID" type="string">ParagraphHeading</c:property>
      <c:property id="Level" type="integer">5</c:property>
    </c:group>
    <c:group id="TH-Spalte links;TH Sp links">
      <c:property id="RoleID" type="string">ParagraphHeaderCell</c:property>
      <c:property id="Scope" type="integer">1</c:property>
    </c:group>
    <c:group id="TH-Zeile">
      <c:property id="RoleID" type="string">ParagraphHeaderCell</c:property>
      <c:property id="Scope" type="integer">2</c:property>
    </c:group>
    <c:group id="Brief Ü3">
      <c:property id="RoleID" type="string">ParagraphHeading</c:property>
      <c:property id="Level" type="integer">3</c:property>
    </c:group>
    <c:group id="Betreff;Betreff Ü1">
      <c:property id="RoleID" type="string">ParagraphHeading</c:property>
    </c:group>
  </c:group>
  <c:group id="Content">
    <c:group id="686494040">
      <c:property id="RoleID" type="string">TableLayoutTable</c:property>
    </c:group>
    <c:group id="3921579054">
      <c:property id="RoleID" type="string">TableLayoutTable</c:property>
    </c:group>
    <c:group id="4176048609">
      <c:property id="RoleID" type="string">TableLayoutTable</c:property>
    </c:group>
    <c:group id="232524469">
      <c:property id="RoleID" type="string">TableLayoutTable</c:property>
    </c:group>
    <c:group id="1600754214">
      <c:property id="RoleID" type="string">TableLayoutTable</c:property>
    </c:group>
  </c:group>
  <c:group id="InitialView">
    <c:property id="MagnificationFactor" type="float">100</c:property>
  </c:group>
</c:configuration>
</file>

<file path=customXml/item2.xml><?xml version="1.0" encoding="utf-8"?>
<f:fields xmlns:f="http://schemas.fabasoft.com/folio/2007/fields">
  <f:record>
    <f:field ref="objname" par="" text="fin-Standarderledigung_BKA-Logo_BK" edit="true"/>
    <f:field ref="objsubject" par="" text="" edit="true"/>
    <f:field ref="objcreatedby" par="" text="VOSTA, Edith"/>
    <f:field ref="objcreatedat" par="" date="2018-08-01T14:56:11" text="01.08.2018 14:56:11"/>
    <f:field ref="objchangedby" par="" text="VOSTA, Edith"/>
    <f:field ref="objmodifiedat" par="" date="2018-08-01T14:56:12" text="01.08.2018 14:56:12"/>
    <f:field ref="doc_FSCFOLIO_1_1001_FieldDocumentNumber" par="" text=""/>
    <f:field ref="doc_FSCFOLIO_1_1001_FieldSubject" par="" text="" edit="true"/>
    <f:field ref="FSCFOLIO_1_1001_FieldCurrentUser" par="" text="Edith VOSTA"/>
    <f:field ref="CCAPRECONFIG_15_1001_Objektname" par="" text="fin-Standarderledigung_BKA-Logo_BK" edit="true"/>
    <f:field ref="CCAPRECONFIG_15_1001_Objektname" par="" text="fin-Standarderledigung_BKA-Logo_BK" edit="true"/>
    <f:field ref="EIBPRECONFIG_1_1001_FieldEIBAttachments" par="" text=""/>
    <f:field ref="EIBPRECONFIG_1_1001_FieldEIBNextFiles" par="" text=""/>
    <f:field ref="EIBPRECONFIG_1_1001_FieldEIBPreviousFiles" par="" text=""/>
    <f:field ref="EIBPRECONFIG_1_1001_FieldEIBRelatedFiles" par="" text=""/>
    <f:field ref="EIBPRECONFIG_1_1001_FieldEIBCompletedOrdinals" par="" text=""/>
    <f:field ref="EIBPRECONFIG_1_1001_FieldEIBOUAddr" par="" text="Ballhausplatz 2, 1010 Wien"/>
    <f:field ref="EIBPRECONFIG_1_1001_FieldEIBRecipients" par="" text=""/>
    <f:field ref="EIBPRECONFIG_1_1001_FieldEIBSignatures" par="" text=""/>
    <f:field ref="EIBPRECONFIG_1_1001_FieldCCAAddrAbschriftsbemerkung" par="" text=""/>
    <f:field ref="EIBPRECONFIG_1_1001_FieldCCAAddrAdresse" par="" text=""/>
    <f:field ref="EIBPRECONFIG_1_1001_FieldCCAAddrPostalischeAdresse" par="" text=""/>
    <f:field ref="EIBPRECONFIG_1_1001_FieldCCAIncomingSubject" par="" text=""/>
    <f:field ref="EIBPRECONFIG_1_1001_FieldCCAPersonalSubjAddress" par="" text=""/>
    <f:field ref="EIBPRECONFIG_1_1001_FieldCCASubfileSubject" par="" text=""/>
    <f:field ref="EIBPRECONFIG_1_1001_FieldCCASubject" par="" text="Betreff"/>
    <f:field ref="EIBVFGH_15_1700_FieldPartPlaintiffList" par="" text=""/>
    <f:field ref="EIBVFGH_15_1700_FieldGoesOutToList" par="" text=""/>
  </f:record>
  <f:display par="" text="Allgemein">
    <f:field ref="objname" text="Name"/>
    <f:field ref="objsubject" text="Anmerkungen"/>
    <f:field ref="objcreatedby" text="Erzeugt von"/>
    <f:field ref="objcreatedat" text="Erzeugt am/um"/>
    <f:field ref="objchangedby" text="Letzte Änderung von"/>
    <f:field ref="objmodifiedat" text="Letzte Änderung am/um"/>
    <f:field ref="FSCFOLIO_1_1001_FieldCurrentUser" text="Aktueller Benutzer"/>
    <f:field ref="CCAPRECONFIG_15_1001_Objektname" text="Objektname"/>
    <f:field ref="EIBPRECONFIG_1_1001_FieldEIBAttachments" text="Beilagen"/>
    <f:field ref="EIBPRECONFIG_1_1001_FieldEIBNextFiles" text="Nachzahlen"/>
    <f:field ref="EIBPRECONFIG_1_1001_FieldEIBPreviousFiles" text="Vorzahlen"/>
    <f:field ref="EIBPRECONFIG_1_1001_FieldEIBRelatedFiles" text="Bezugszahlen"/>
    <f:field ref="EIBPRECONFIG_1_1001_FieldEIBCompletedOrdinals" text="Miterledigte Akten"/>
    <f:field ref="EIBPRECONFIG_1_1001_FieldEIBOUAddr" text="Adresse der OE"/>
    <f:field ref="EIBPRECONFIG_1_1001_FieldEIBRecipients" text="Empfänger"/>
    <f:field ref="EIBPRECONFIG_1_1001_FieldEIBSignatures" text="Unterschriften"/>
    <f:field ref="EIBPRECONFIG_1_1001_FieldCCAAddrAbschriftsbemerkung" text="Abschriftsbemerkung"/>
    <f:field ref="EIBPRECONFIG_1_1001_FieldCCAAddrAdresse" text="Adresse"/>
    <f:field ref="EIBPRECONFIG_1_1001_FieldCCAAddrPostalischeAdresse" text="PostalischeAdresse"/>
    <f:field ref="EIBPRECONFIG_1_1001_FieldCCAIncomingSubject" text="EST-Betreff"/>
    <f:field ref="EIBPRECONFIG_1_1001_FieldCCAPersonalSubjAddress" text="Adresse (Namenszahl)"/>
    <f:field ref="EIBPRECONFIG_1_1001_FieldCCASubfileSubject" text="Betreff des Geschäftsstücks"/>
    <f:field ref="EIBPRECONFIG_1_1001_FieldCCASubject" text="Gegenstand"/>
    <f:field ref="EIBVFGH_15_1700_FieldPartPlaintiffList" text="Liste der Antragsteller"/>
    <f:field ref="EIBVFGH_15_1700_FieldGoesOutToList" text="Ergeht an Liste"/>
  </f:display>
  <f:display par="" text="Serienbrief">
    <f:field ref="doc_FSCFOLIO_1_1001_FieldDocumentNumber" text="Dokument Nummer"/>
    <f:field ref="doc_FSCFOLIO_1_1001_FieldSubject" text="Betreff"/>
  </f:display>
</f:field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7056FF-7B86-4D01-9E5A-CEA42F9797A6}">
  <ds:schemaRefs>
    <ds:schemaRef ds:uri="http://ns.axespdf.com/word/configuration"/>
  </ds:schemaRefs>
</ds:datastoreItem>
</file>

<file path=customXml/itemProps2.xml><?xml version="1.0" encoding="utf-8"?>
<ds:datastoreItem xmlns:ds="http://schemas.openxmlformats.org/officeDocument/2006/customXml" ds:itemID="{4E8A9591-F074-446B-902F-511FF79C122F}">
  <ds:schemaRefs>
    <ds:schemaRef ds:uri="http://schemas.fabasoft.com/folio/2007/fields"/>
  </ds:schemaRefs>
</ds:datastoreItem>
</file>

<file path=customXml/itemProps3.xml><?xml version="1.0" encoding="utf-8"?>
<ds:datastoreItem xmlns:ds="http://schemas.openxmlformats.org/officeDocument/2006/customXml" ds:itemID="{12C42E63-B072-4A74-B76E-1FC73AD39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21</Pages>
  <Words>9887</Words>
  <Characters>49755</Characters>
  <Application>Microsoft Office Word</Application>
  <DocSecurity>0</DocSecurity>
  <Lines>826</Lines>
  <Paragraphs>297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BMF Infra2019</Company>
  <LinksUpToDate>false</LinksUpToDate>
  <CharactersWithSpaces>59593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Szczepanski Jan</dc:creator>
  <cp:keywords/>
  <dc:description/>
  <cp:lastModifiedBy>Vladimir Aseyan</cp:lastModifiedBy>
  <cp:revision>4</cp:revision>
  <cp:lastPrinted>2018-07-24T12:21:00Z</cp:lastPrinted>
  <dcterms:created xsi:type="dcterms:W3CDTF">2025-03-27T06:51:00Z</dcterms:created>
  <dcterms:modified xsi:type="dcterms:W3CDTF">2025-04-03T05:57:00Z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ndokCustomIdentifier">
    <vt:lpwstr>4e5aee6d-ae23-44ac-a70f-d4b09afa3a1e</vt:lpwstr>
  </property>
  <property fmtid="{D5CDD505-2E9C-101B-9397-08002B2CF9AE}" pid="3" name="GrammarlyDocumentId">
    <vt:lpwstr>17db3d7a095777f23b2b5b32a68d6633bba40b6c2548f13d55f9026287a75e1c</vt:lpwstr>
  </property>
</Properties>
</file>